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72B" w:rsidRPr="004B18D5" w:rsidRDefault="0061172B" w:rsidP="0061172B">
      <w:pPr>
        <w:shd w:val="clear" w:color="auto" w:fill="FFFFFF"/>
        <w:spacing w:after="204" w:line="240" w:lineRule="auto"/>
        <w:rPr>
          <w:rFonts w:ascii="Arial" w:eastAsia="Times New Roman" w:hAnsi="Arial" w:cs="Arial"/>
          <w:color w:val="3D3B39"/>
          <w:sz w:val="20"/>
          <w:szCs w:val="20"/>
          <w:lang w:eastAsia="it-IT"/>
        </w:rPr>
      </w:pPr>
      <w:r w:rsidRPr="004B18D5">
        <w:rPr>
          <w:rFonts w:ascii="Arial" w:eastAsia="Times New Roman" w:hAnsi="Arial" w:cs="Arial"/>
          <w:color w:val="3D3B39"/>
          <w:sz w:val="20"/>
          <w:szCs w:val="20"/>
          <w:lang w:eastAsia="it-IT"/>
        </w:rPr>
        <w:t>BILANCIO CONSOLIDATO</w:t>
      </w:r>
    </w:p>
    <w:p w:rsidR="0061172B" w:rsidRPr="0061172B" w:rsidRDefault="0061172B" w:rsidP="0061172B">
      <w:pPr>
        <w:shd w:val="clear" w:color="auto" w:fill="FFFFFF"/>
        <w:spacing w:after="204" w:line="240" w:lineRule="auto"/>
        <w:rPr>
          <w:rFonts w:ascii="Arial" w:eastAsia="Times New Roman" w:hAnsi="Arial" w:cs="Arial"/>
          <w:color w:val="3D3B39"/>
          <w:sz w:val="20"/>
          <w:szCs w:val="20"/>
          <w:lang w:eastAsia="it-IT"/>
        </w:rPr>
      </w:pPr>
      <w:r w:rsidRPr="0061172B">
        <w:rPr>
          <w:rFonts w:ascii="Arial" w:eastAsia="Times New Roman" w:hAnsi="Arial" w:cs="Arial"/>
          <w:color w:val="3D3B39"/>
          <w:sz w:val="20"/>
          <w:szCs w:val="20"/>
          <w:lang w:eastAsia="it-IT"/>
        </w:rPr>
        <w:t>Tutti i </w:t>
      </w:r>
      <w:r w:rsidRPr="004B18D5">
        <w:rPr>
          <w:rFonts w:ascii="Arial" w:eastAsia="Times New Roman" w:hAnsi="Arial" w:cs="Arial"/>
          <w:b/>
          <w:bCs/>
          <w:color w:val="3D3B39"/>
          <w:sz w:val="20"/>
          <w:szCs w:val="20"/>
          <w:lang w:eastAsia="it-IT"/>
        </w:rPr>
        <w:t>Comuni</w:t>
      </w:r>
      <w:r w:rsidRPr="0061172B">
        <w:rPr>
          <w:rFonts w:ascii="Arial" w:eastAsia="Times New Roman" w:hAnsi="Arial" w:cs="Arial"/>
          <w:color w:val="3D3B39"/>
          <w:sz w:val="20"/>
          <w:szCs w:val="20"/>
          <w:lang w:eastAsia="it-IT"/>
        </w:rPr>
        <w:t> con una </w:t>
      </w:r>
      <w:r w:rsidRPr="004B18D5">
        <w:rPr>
          <w:rFonts w:ascii="Arial" w:eastAsia="Times New Roman" w:hAnsi="Arial" w:cs="Arial"/>
          <w:b/>
          <w:bCs/>
          <w:color w:val="3D3B39"/>
          <w:sz w:val="20"/>
          <w:szCs w:val="20"/>
          <w:lang w:eastAsia="it-IT"/>
        </w:rPr>
        <w:t>popolazione superiore</w:t>
      </w:r>
      <w:r w:rsidRPr="0061172B">
        <w:rPr>
          <w:rFonts w:ascii="Arial" w:eastAsia="Times New Roman" w:hAnsi="Arial" w:cs="Arial"/>
          <w:color w:val="3D3B39"/>
          <w:sz w:val="20"/>
          <w:szCs w:val="20"/>
          <w:lang w:eastAsia="it-IT"/>
        </w:rPr>
        <w:t> a </w:t>
      </w:r>
      <w:r w:rsidRPr="004B18D5">
        <w:rPr>
          <w:rFonts w:ascii="Arial" w:eastAsia="Times New Roman" w:hAnsi="Arial" w:cs="Arial"/>
          <w:b/>
          <w:bCs/>
          <w:color w:val="3D3B39"/>
          <w:sz w:val="20"/>
          <w:szCs w:val="20"/>
          <w:lang w:eastAsia="it-IT"/>
        </w:rPr>
        <w:t>5mila abitanti</w:t>
      </w:r>
      <w:r w:rsidRPr="0061172B">
        <w:rPr>
          <w:rFonts w:ascii="Arial" w:eastAsia="Times New Roman" w:hAnsi="Arial" w:cs="Arial"/>
          <w:color w:val="3D3B39"/>
          <w:sz w:val="20"/>
          <w:szCs w:val="20"/>
          <w:lang w:eastAsia="it-IT"/>
        </w:rPr>
        <w:t> sono tenuti ad approvarlo </w:t>
      </w:r>
      <w:r w:rsidRPr="004B18D5">
        <w:rPr>
          <w:rFonts w:ascii="Arial" w:eastAsia="Times New Roman" w:hAnsi="Arial" w:cs="Arial"/>
          <w:b/>
          <w:bCs/>
          <w:color w:val="3D3B39"/>
          <w:sz w:val="20"/>
          <w:szCs w:val="20"/>
          <w:lang w:eastAsia="it-IT"/>
        </w:rPr>
        <w:t>entro il 30 settembre</w:t>
      </w:r>
      <w:r w:rsidRPr="0061172B">
        <w:rPr>
          <w:rFonts w:ascii="Arial" w:eastAsia="Times New Roman" w:hAnsi="Arial" w:cs="Arial"/>
          <w:color w:val="3D3B39"/>
          <w:sz w:val="20"/>
          <w:szCs w:val="20"/>
          <w:lang w:eastAsia="it-IT"/>
        </w:rPr>
        <w:t>. Per tutti, invece, compreso i Comuni con popolazione inferiore a 5 mila abitanti, l’obbligo scatta dal prossimo anno.</w:t>
      </w:r>
    </w:p>
    <w:p w:rsidR="0061172B" w:rsidRPr="0061172B" w:rsidRDefault="0061172B" w:rsidP="0061172B">
      <w:pPr>
        <w:shd w:val="clear" w:color="auto" w:fill="FFFFFF"/>
        <w:spacing w:after="204" w:line="240" w:lineRule="auto"/>
        <w:rPr>
          <w:rFonts w:ascii="Arial" w:eastAsia="Times New Roman" w:hAnsi="Arial" w:cs="Arial"/>
          <w:color w:val="3D3B39"/>
          <w:sz w:val="20"/>
          <w:szCs w:val="20"/>
          <w:lang w:eastAsia="it-IT"/>
        </w:rPr>
      </w:pPr>
      <w:r w:rsidRPr="0061172B">
        <w:rPr>
          <w:rFonts w:ascii="Arial" w:eastAsia="Times New Roman" w:hAnsi="Arial" w:cs="Arial"/>
          <w:color w:val="3D3B39"/>
          <w:sz w:val="20"/>
          <w:szCs w:val="20"/>
          <w:lang w:eastAsia="it-IT"/>
        </w:rPr>
        <w:t>Nel caso in esame </w:t>
      </w:r>
      <w:r w:rsidRPr="004B18D5">
        <w:rPr>
          <w:rFonts w:ascii="Arial" w:eastAsia="Times New Roman" w:hAnsi="Arial" w:cs="Arial"/>
          <w:b/>
          <w:bCs/>
          <w:color w:val="3D3B39"/>
          <w:sz w:val="20"/>
          <w:szCs w:val="20"/>
          <w:lang w:eastAsia="it-IT"/>
        </w:rPr>
        <w:t>è l’ente locale che funge da capofila e che deve aggregare i numeri del proprio bilancio con quelli dei bilanci delle società controllate o partecipate</w:t>
      </w:r>
      <w:r w:rsidRPr="0061172B">
        <w:rPr>
          <w:rFonts w:ascii="Arial" w:eastAsia="Times New Roman" w:hAnsi="Arial" w:cs="Arial"/>
          <w:color w:val="3D3B39"/>
          <w:sz w:val="20"/>
          <w:szCs w:val="20"/>
          <w:lang w:eastAsia="it-IT"/>
        </w:rPr>
        <w:t>. Lo </w:t>
      </w:r>
      <w:r w:rsidRPr="004B18D5">
        <w:rPr>
          <w:rFonts w:ascii="Arial" w:eastAsia="Times New Roman" w:hAnsi="Arial" w:cs="Arial"/>
          <w:b/>
          <w:bCs/>
          <w:color w:val="3D3B39"/>
          <w:sz w:val="20"/>
          <w:szCs w:val="20"/>
          <w:lang w:eastAsia="it-IT"/>
        </w:rPr>
        <w:t>scopo,</w:t>
      </w:r>
      <w:r w:rsidRPr="0061172B">
        <w:rPr>
          <w:rFonts w:ascii="Arial" w:eastAsia="Times New Roman" w:hAnsi="Arial" w:cs="Arial"/>
          <w:color w:val="3D3B39"/>
          <w:sz w:val="20"/>
          <w:szCs w:val="20"/>
          <w:lang w:eastAsia="it-IT"/>
        </w:rPr>
        <w:t> sempreché sia davvero utile, </w:t>
      </w:r>
      <w:r w:rsidRPr="004B18D5">
        <w:rPr>
          <w:rFonts w:ascii="Arial" w:eastAsia="Times New Roman" w:hAnsi="Arial" w:cs="Arial"/>
          <w:b/>
          <w:bCs/>
          <w:color w:val="3D3B39"/>
          <w:sz w:val="20"/>
          <w:szCs w:val="20"/>
          <w:lang w:eastAsia="it-IT"/>
        </w:rPr>
        <w:t>è quello di avere una rappresentazione complessiva del patrimonio del Gruppo di Amministrazione Pubblica (GAP) dei soggetti rilevanti</w:t>
      </w:r>
      <w:r w:rsidRPr="0061172B">
        <w:rPr>
          <w:rFonts w:ascii="Arial" w:eastAsia="Times New Roman" w:hAnsi="Arial" w:cs="Arial"/>
          <w:color w:val="3D3B39"/>
          <w:sz w:val="20"/>
          <w:szCs w:val="20"/>
          <w:lang w:eastAsia="it-IT"/>
        </w:rPr>
        <w:t>, per comprenderne l’entità e il risultato operativo dato appunto dalla somma del risultato dell’ente locale con quello dei soggetti a cui partecipa.</w:t>
      </w:r>
      <w:r w:rsidRPr="0061172B">
        <w:rPr>
          <w:rFonts w:ascii="Arial" w:eastAsia="Times New Roman" w:hAnsi="Arial" w:cs="Arial"/>
          <w:color w:val="3D3B39"/>
          <w:sz w:val="20"/>
          <w:szCs w:val="20"/>
          <w:lang w:eastAsia="it-IT"/>
        </w:rPr>
        <w:br/>
        <w:t>Per arrivare a questo risultato è necessario possedere:</w:t>
      </w:r>
    </w:p>
    <w:p w:rsidR="0061172B" w:rsidRPr="0061172B" w:rsidRDefault="0061172B" w:rsidP="0061172B">
      <w:pPr>
        <w:numPr>
          <w:ilvl w:val="0"/>
          <w:numId w:val="1"/>
        </w:numPr>
        <w:shd w:val="clear" w:color="auto" w:fill="FFFFFF"/>
        <w:spacing w:before="100" w:beforeAutospacing="1" w:after="100" w:afterAutospacing="1" w:line="240" w:lineRule="auto"/>
        <w:rPr>
          <w:rFonts w:ascii="Arial" w:eastAsia="Times New Roman" w:hAnsi="Arial" w:cs="Arial"/>
          <w:color w:val="3D3B39"/>
          <w:sz w:val="20"/>
          <w:szCs w:val="20"/>
          <w:lang w:eastAsia="it-IT"/>
        </w:rPr>
      </w:pPr>
      <w:r w:rsidRPr="0061172B">
        <w:rPr>
          <w:rFonts w:ascii="Arial" w:eastAsia="Times New Roman" w:hAnsi="Arial" w:cs="Arial"/>
          <w:color w:val="3D3B39"/>
          <w:sz w:val="20"/>
          <w:szCs w:val="20"/>
          <w:lang w:eastAsia="it-IT"/>
        </w:rPr>
        <w:t>il </w:t>
      </w:r>
      <w:r w:rsidRPr="004B18D5">
        <w:rPr>
          <w:rFonts w:ascii="Arial" w:eastAsia="Times New Roman" w:hAnsi="Arial" w:cs="Arial"/>
          <w:b/>
          <w:bCs/>
          <w:color w:val="3D3B39"/>
          <w:sz w:val="20"/>
          <w:szCs w:val="20"/>
          <w:lang w:eastAsia="it-IT"/>
        </w:rPr>
        <w:t>bilancio derivante</w:t>
      </w:r>
      <w:r w:rsidRPr="0061172B">
        <w:rPr>
          <w:rFonts w:ascii="Arial" w:eastAsia="Times New Roman" w:hAnsi="Arial" w:cs="Arial"/>
          <w:color w:val="3D3B39"/>
          <w:sz w:val="20"/>
          <w:szCs w:val="20"/>
          <w:lang w:eastAsia="it-IT"/>
        </w:rPr>
        <w:t> dalla </w:t>
      </w:r>
      <w:r w:rsidRPr="004B18D5">
        <w:rPr>
          <w:rFonts w:ascii="Arial" w:eastAsia="Times New Roman" w:hAnsi="Arial" w:cs="Arial"/>
          <w:b/>
          <w:bCs/>
          <w:color w:val="3D3B39"/>
          <w:sz w:val="20"/>
          <w:szCs w:val="20"/>
          <w:lang w:eastAsia="it-IT"/>
        </w:rPr>
        <w:t>contabilità economico- patrimoniale</w:t>
      </w:r>
      <w:r w:rsidRPr="0061172B">
        <w:rPr>
          <w:rFonts w:ascii="Arial" w:eastAsia="Times New Roman" w:hAnsi="Arial" w:cs="Arial"/>
          <w:color w:val="3D3B39"/>
          <w:sz w:val="20"/>
          <w:szCs w:val="20"/>
          <w:lang w:eastAsia="it-IT"/>
        </w:rPr>
        <w:t> </w:t>
      </w:r>
      <w:r w:rsidRPr="004B18D5">
        <w:rPr>
          <w:rFonts w:ascii="Arial" w:eastAsia="Times New Roman" w:hAnsi="Arial" w:cs="Arial"/>
          <w:b/>
          <w:bCs/>
          <w:color w:val="3D3B39"/>
          <w:sz w:val="20"/>
          <w:szCs w:val="20"/>
          <w:lang w:eastAsia="it-IT"/>
        </w:rPr>
        <w:t xml:space="preserve">dell’ente </w:t>
      </w:r>
      <w:r w:rsidRPr="0061172B">
        <w:rPr>
          <w:rFonts w:ascii="Arial" w:eastAsia="Times New Roman" w:hAnsi="Arial" w:cs="Arial"/>
          <w:color w:val="3D3B39"/>
          <w:sz w:val="20"/>
          <w:szCs w:val="20"/>
          <w:lang w:eastAsia="it-IT"/>
        </w:rPr>
        <w:t>, composto da stato patrimoniale e conto economico;</w:t>
      </w:r>
    </w:p>
    <w:p w:rsidR="0061172B" w:rsidRPr="0061172B" w:rsidRDefault="0061172B" w:rsidP="0061172B">
      <w:pPr>
        <w:numPr>
          <w:ilvl w:val="0"/>
          <w:numId w:val="1"/>
        </w:numPr>
        <w:shd w:val="clear" w:color="auto" w:fill="FFFFFF"/>
        <w:spacing w:before="100" w:beforeAutospacing="1" w:after="100" w:afterAutospacing="1" w:line="240" w:lineRule="auto"/>
        <w:rPr>
          <w:rFonts w:ascii="Arial" w:eastAsia="Times New Roman" w:hAnsi="Arial" w:cs="Arial"/>
          <w:color w:val="3D3B39"/>
          <w:sz w:val="20"/>
          <w:szCs w:val="20"/>
          <w:lang w:eastAsia="it-IT"/>
        </w:rPr>
      </w:pPr>
      <w:r w:rsidRPr="0061172B">
        <w:rPr>
          <w:rFonts w:ascii="Arial" w:eastAsia="Times New Roman" w:hAnsi="Arial" w:cs="Arial"/>
          <w:color w:val="3D3B39"/>
          <w:sz w:val="20"/>
          <w:szCs w:val="20"/>
          <w:lang w:eastAsia="it-IT"/>
        </w:rPr>
        <w:t>i </w:t>
      </w:r>
      <w:r w:rsidRPr="004B18D5">
        <w:rPr>
          <w:rFonts w:ascii="Arial" w:eastAsia="Times New Roman" w:hAnsi="Arial" w:cs="Arial"/>
          <w:b/>
          <w:bCs/>
          <w:color w:val="3D3B39"/>
          <w:sz w:val="20"/>
          <w:szCs w:val="20"/>
          <w:lang w:eastAsia="it-IT"/>
        </w:rPr>
        <w:t>bilanci delle società partecipate</w:t>
      </w:r>
      <w:r w:rsidRPr="0061172B">
        <w:rPr>
          <w:rFonts w:ascii="Arial" w:eastAsia="Times New Roman" w:hAnsi="Arial" w:cs="Arial"/>
          <w:color w:val="3D3B39"/>
          <w:sz w:val="20"/>
          <w:szCs w:val="20"/>
          <w:lang w:eastAsia="it-IT"/>
        </w:rPr>
        <w:t> che rientrano nel perimetro di consolidamento (stato patrimoniale, conto economico e nota integrativa) .</w:t>
      </w:r>
    </w:p>
    <w:p w:rsidR="0061172B" w:rsidRPr="0061172B" w:rsidRDefault="0061172B" w:rsidP="0061172B">
      <w:pPr>
        <w:shd w:val="clear" w:color="auto" w:fill="FFFFFF"/>
        <w:spacing w:after="204" w:line="240" w:lineRule="auto"/>
        <w:rPr>
          <w:rFonts w:ascii="Arial" w:eastAsia="Times New Roman" w:hAnsi="Arial" w:cs="Arial"/>
          <w:color w:val="3D3B39"/>
          <w:sz w:val="20"/>
          <w:szCs w:val="20"/>
          <w:lang w:eastAsia="it-IT"/>
        </w:rPr>
      </w:pPr>
      <w:r w:rsidRPr="0061172B">
        <w:rPr>
          <w:rFonts w:ascii="Arial" w:eastAsia="Times New Roman" w:hAnsi="Arial" w:cs="Arial"/>
          <w:color w:val="3D3B39"/>
          <w:sz w:val="20"/>
          <w:szCs w:val="20"/>
          <w:lang w:eastAsia="it-IT"/>
        </w:rPr>
        <w:t>Ma facciamo un passo indietro. Prima di tutto l’Ente dovrà fare una ricognizione di tutte le partecipazioni societarie o di altri organismi partecipati, come ad esempio fondazioni, aziende speciali, etc. A dire il vero ciò dovrebbe essere già stato fatto con la ricognizione delle partecipazioni al fine di razionalizzare il portafoglio in ossequio al decreto “Madia”. Le partecipazioni di carattere finanziario (ad esempio azioni di una società quotata o quote di una società a responsabilità limitata non strumentale) non rilevano ai fini del “Gruppo di Amministrazione Pubblica”. Rientrano, infatti, solo le partecipazioni in società o </w:t>
      </w:r>
      <w:r w:rsidRPr="004B18D5">
        <w:rPr>
          <w:rFonts w:ascii="Arial" w:eastAsia="Times New Roman" w:hAnsi="Arial" w:cs="Arial"/>
          <w:b/>
          <w:bCs/>
          <w:color w:val="3D3B39"/>
          <w:sz w:val="20"/>
          <w:szCs w:val="20"/>
          <w:lang w:eastAsia="it-IT"/>
        </w:rPr>
        <w:t xml:space="preserve">organismi </w:t>
      </w:r>
      <w:proofErr w:type="spellStart"/>
      <w:r w:rsidRPr="004B18D5">
        <w:rPr>
          <w:rFonts w:ascii="Arial" w:eastAsia="Times New Roman" w:hAnsi="Arial" w:cs="Arial"/>
          <w:b/>
          <w:bCs/>
          <w:color w:val="3D3B39"/>
          <w:sz w:val="20"/>
          <w:szCs w:val="20"/>
          <w:lang w:eastAsia="it-IT"/>
        </w:rPr>
        <w:t>strumentali</w:t>
      </w:r>
      <w:r w:rsidRPr="0061172B">
        <w:rPr>
          <w:rFonts w:ascii="Arial" w:eastAsia="Times New Roman" w:hAnsi="Arial" w:cs="Arial"/>
          <w:color w:val="3D3B39"/>
          <w:sz w:val="20"/>
          <w:szCs w:val="20"/>
          <w:lang w:eastAsia="it-IT"/>
        </w:rPr>
        <w:t>all</w:t>
      </w:r>
      <w:proofErr w:type="spellEnd"/>
      <w:r w:rsidRPr="0061172B">
        <w:rPr>
          <w:rFonts w:ascii="Arial" w:eastAsia="Times New Roman" w:hAnsi="Arial" w:cs="Arial"/>
          <w:color w:val="3D3B39"/>
          <w:sz w:val="20"/>
          <w:szCs w:val="20"/>
          <w:lang w:eastAsia="it-IT"/>
        </w:rPr>
        <w:t xml:space="preserve">’ente, piccole o grandi che siano, le quali fanno parte del </w:t>
      </w:r>
      <w:proofErr w:type="spellStart"/>
      <w:r w:rsidRPr="0061172B">
        <w:rPr>
          <w:rFonts w:ascii="Arial" w:eastAsia="Times New Roman" w:hAnsi="Arial" w:cs="Arial"/>
          <w:color w:val="3D3B39"/>
          <w:sz w:val="20"/>
          <w:szCs w:val="20"/>
          <w:lang w:eastAsia="it-IT"/>
        </w:rPr>
        <w:t>cosidetto</w:t>
      </w:r>
      <w:proofErr w:type="spellEnd"/>
      <w:r w:rsidRPr="0061172B">
        <w:rPr>
          <w:rFonts w:ascii="Arial" w:eastAsia="Times New Roman" w:hAnsi="Arial" w:cs="Arial"/>
          <w:color w:val="3D3B39"/>
          <w:sz w:val="20"/>
          <w:szCs w:val="20"/>
          <w:lang w:eastAsia="it-IT"/>
        </w:rPr>
        <w:t xml:space="preserve"> “GAP”.</w:t>
      </w:r>
      <w:r w:rsidRPr="0061172B">
        <w:rPr>
          <w:rFonts w:ascii="Arial" w:eastAsia="Times New Roman" w:hAnsi="Arial" w:cs="Arial"/>
          <w:color w:val="3D3B39"/>
          <w:sz w:val="20"/>
          <w:szCs w:val="20"/>
          <w:lang w:eastAsia="it-IT"/>
        </w:rPr>
        <w:br/>
        <w:t>Gli </w:t>
      </w:r>
      <w:r w:rsidRPr="004B18D5">
        <w:rPr>
          <w:rFonts w:ascii="Arial" w:eastAsia="Times New Roman" w:hAnsi="Arial" w:cs="Arial"/>
          <w:b/>
          <w:bCs/>
          <w:color w:val="3D3B39"/>
          <w:sz w:val="20"/>
          <w:szCs w:val="20"/>
          <w:lang w:eastAsia="it-IT"/>
        </w:rPr>
        <w:t>Enti strumentali</w:t>
      </w:r>
      <w:r w:rsidRPr="0061172B">
        <w:rPr>
          <w:rFonts w:ascii="Arial" w:eastAsia="Times New Roman" w:hAnsi="Arial" w:cs="Arial"/>
          <w:color w:val="3D3B39"/>
          <w:sz w:val="20"/>
          <w:szCs w:val="20"/>
          <w:lang w:eastAsia="it-IT"/>
        </w:rPr>
        <w:t> sono distinti nelle </w:t>
      </w:r>
      <w:r w:rsidRPr="004B18D5">
        <w:rPr>
          <w:rFonts w:ascii="Arial" w:eastAsia="Times New Roman" w:hAnsi="Arial" w:cs="Arial"/>
          <w:b/>
          <w:bCs/>
          <w:color w:val="3D3B39"/>
          <w:sz w:val="20"/>
          <w:szCs w:val="20"/>
          <w:lang w:eastAsia="it-IT"/>
        </w:rPr>
        <w:t>seguenti tipologie,</w:t>
      </w:r>
      <w:r w:rsidRPr="0061172B">
        <w:rPr>
          <w:rFonts w:ascii="Arial" w:eastAsia="Times New Roman" w:hAnsi="Arial" w:cs="Arial"/>
          <w:color w:val="3D3B39"/>
          <w:sz w:val="20"/>
          <w:szCs w:val="20"/>
          <w:lang w:eastAsia="it-IT"/>
        </w:rPr>
        <w:t> corrispondenti alle missioni del bilancio:</w:t>
      </w:r>
    </w:p>
    <w:p w:rsidR="0061172B" w:rsidRPr="0061172B" w:rsidRDefault="0061172B" w:rsidP="0061172B">
      <w:pPr>
        <w:shd w:val="clear" w:color="auto" w:fill="FFFFFF"/>
        <w:spacing w:after="204" w:line="240" w:lineRule="auto"/>
        <w:rPr>
          <w:rFonts w:ascii="Arial" w:eastAsia="Times New Roman" w:hAnsi="Arial" w:cs="Arial"/>
          <w:color w:val="3D3B39"/>
          <w:sz w:val="20"/>
          <w:szCs w:val="20"/>
          <w:lang w:eastAsia="it-IT"/>
        </w:rPr>
      </w:pPr>
      <w:r w:rsidRPr="0061172B">
        <w:rPr>
          <w:rFonts w:ascii="Arial" w:eastAsia="Times New Roman" w:hAnsi="Arial" w:cs="Arial"/>
          <w:color w:val="3D3B39"/>
          <w:sz w:val="20"/>
          <w:szCs w:val="20"/>
          <w:lang w:eastAsia="it-IT"/>
        </w:rPr>
        <w:t>a) servizi istituzionali, generali e di gestione;</w:t>
      </w:r>
      <w:r w:rsidRPr="0061172B">
        <w:rPr>
          <w:rFonts w:ascii="Arial" w:eastAsia="Times New Roman" w:hAnsi="Arial" w:cs="Arial"/>
          <w:color w:val="3D3B39"/>
          <w:sz w:val="20"/>
          <w:szCs w:val="20"/>
          <w:lang w:eastAsia="it-IT"/>
        </w:rPr>
        <w:br/>
        <w:t>b) istruzione e diritto allo studio;</w:t>
      </w:r>
      <w:r w:rsidRPr="0061172B">
        <w:rPr>
          <w:rFonts w:ascii="Arial" w:eastAsia="Times New Roman" w:hAnsi="Arial" w:cs="Arial"/>
          <w:color w:val="3D3B39"/>
          <w:sz w:val="20"/>
          <w:szCs w:val="20"/>
          <w:lang w:eastAsia="it-IT"/>
        </w:rPr>
        <w:br/>
        <w:t>c) ordine pubblico e sicurezza;</w:t>
      </w:r>
      <w:r w:rsidRPr="0061172B">
        <w:rPr>
          <w:rFonts w:ascii="Arial" w:eastAsia="Times New Roman" w:hAnsi="Arial" w:cs="Arial"/>
          <w:color w:val="3D3B39"/>
          <w:sz w:val="20"/>
          <w:szCs w:val="20"/>
          <w:lang w:eastAsia="it-IT"/>
        </w:rPr>
        <w:br/>
        <w:t>d) tutela e valorizzazione dei beni ed attività culturali;</w:t>
      </w:r>
      <w:r w:rsidRPr="0061172B">
        <w:rPr>
          <w:rFonts w:ascii="Arial" w:eastAsia="Times New Roman" w:hAnsi="Arial" w:cs="Arial"/>
          <w:color w:val="3D3B39"/>
          <w:sz w:val="20"/>
          <w:szCs w:val="20"/>
          <w:lang w:eastAsia="it-IT"/>
        </w:rPr>
        <w:br/>
        <w:t>e) politiche giovanili, sport e tempo libero;</w:t>
      </w:r>
      <w:r w:rsidRPr="0061172B">
        <w:rPr>
          <w:rFonts w:ascii="Arial" w:eastAsia="Times New Roman" w:hAnsi="Arial" w:cs="Arial"/>
          <w:color w:val="3D3B39"/>
          <w:sz w:val="20"/>
          <w:szCs w:val="20"/>
          <w:lang w:eastAsia="it-IT"/>
        </w:rPr>
        <w:br/>
        <w:t>f) turismo;</w:t>
      </w:r>
      <w:r w:rsidRPr="0061172B">
        <w:rPr>
          <w:rFonts w:ascii="Arial" w:eastAsia="Times New Roman" w:hAnsi="Arial" w:cs="Arial"/>
          <w:color w:val="3D3B39"/>
          <w:sz w:val="20"/>
          <w:szCs w:val="20"/>
          <w:lang w:eastAsia="it-IT"/>
        </w:rPr>
        <w:br/>
        <w:t>g) assetto del territorio ed edilizia abitativa;</w:t>
      </w:r>
      <w:r w:rsidRPr="0061172B">
        <w:rPr>
          <w:rFonts w:ascii="Arial" w:eastAsia="Times New Roman" w:hAnsi="Arial" w:cs="Arial"/>
          <w:color w:val="3D3B39"/>
          <w:sz w:val="20"/>
          <w:szCs w:val="20"/>
          <w:lang w:eastAsia="it-IT"/>
        </w:rPr>
        <w:br/>
        <w:t>h) sviluppo sostenibile e tutela del territorio e dell’ambiente;</w:t>
      </w:r>
      <w:r w:rsidRPr="0061172B">
        <w:rPr>
          <w:rFonts w:ascii="Arial" w:eastAsia="Times New Roman" w:hAnsi="Arial" w:cs="Arial"/>
          <w:color w:val="3D3B39"/>
          <w:sz w:val="20"/>
          <w:szCs w:val="20"/>
          <w:lang w:eastAsia="it-IT"/>
        </w:rPr>
        <w:br/>
        <w:t>i) trasporti e diritto alla mobilità;</w:t>
      </w:r>
      <w:r w:rsidRPr="0061172B">
        <w:rPr>
          <w:rFonts w:ascii="Arial" w:eastAsia="Times New Roman" w:hAnsi="Arial" w:cs="Arial"/>
          <w:color w:val="3D3B39"/>
          <w:sz w:val="20"/>
          <w:szCs w:val="20"/>
          <w:lang w:eastAsia="it-IT"/>
        </w:rPr>
        <w:br/>
        <w:t>j) soccorso civile;</w:t>
      </w:r>
      <w:r w:rsidRPr="0061172B">
        <w:rPr>
          <w:rFonts w:ascii="Arial" w:eastAsia="Times New Roman" w:hAnsi="Arial" w:cs="Arial"/>
          <w:color w:val="3D3B39"/>
          <w:sz w:val="20"/>
          <w:szCs w:val="20"/>
          <w:lang w:eastAsia="it-IT"/>
        </w:rPr>
        <w:br/>
        <w:t>k) diritti sociali, politiche sociali e famiglia;</w:t>
      </w:r>
      <w:r w:rsidRPr="0061172B">
        <w:rPr>
          <w:rFonts w:ascii="Arial" w:eastAsia="Times New Roman" w:hAnsi="Arial" w:cs="Arial"/>
          <w:color w:val="3D3B39"/>
          <w:sz w:val="20"/>
          <w:szCs w:val="20"/>
          <w:lang w:eastAsia="it-IT"/>
        </w:rPr>
        <w:br/>
        <w:t>l) tutela della salute;</w:t>
      </w:r>
      <w:r w:rsidRPr="0061172B">
        <w:rPr>
          <w:rFonts w:ascii="Arial" w:eastAsia="Times New Roman" w:hAnsi="Arial" w:cs="Arial"/>
          <w:color w:val="3D3B39"/>
          <w:sz w:val="20"/>
          <w:szCs w:val="20"/>
          <w:lang w:eastAsia="it-IT"/>
        </w:rPr>
        <w:br/>
        <w:t>m) sviluppo economico e competitività;</w:t>
      </w:r>
      <w:r w:rsidRPr="0061172B">
        <w:rPr>
          <w:rFonts w:ascii="Arial" w:eastAsia="Times New Roman" w:hAnsi="Arial" w:cs="Arial"/>
          <w:color w:val="3D3B39"/>
          <w:sz w:val="20"/>
          <w:szCs w:val="20"/>
          <w:lang w:eastAsia="it-IT"/>
        </w:rPr>
        <w:br/>
        <w:t>n) politiche per il lavoro e la formazione professionale;</w:t>
      </w:r>
      <w:r w:rsidRPr="0061172B">
        <w:rPr>
          <w:rFonts w:ascii="Arial" w:eastAsia="Times New Roman" w:hAnsi="Arial" w:cs="Arial"/>
          <w:color w:val="3D3B39"/>
          <w:sz w:val="20"/>
          <w:szCs w:val="20"/>
          <w:lang w:eastAsia="it-IT"/>
        </w:rPr>
        <w:br/>
        <w:t>o) agricoltura, politiche agroalimentari e pesca;</w:t>
      </w:r>
      <w:r w:rsidRPr="0061172B">
        <w:rPr>
          <w:rFonts w:ascii="Arial" w:eastAsia="Times New Roman" w:hAnsi="Arial" w:cs="Arial"/>
          <w:color w:val="3D3B39"/>
          <w:sz w:val="20"/>
          <w:szCs w:val="20"/>
          <w:lang w:eastAsia="it-IT"/>
        </w:rPr>
        <w:br/>
        <w:t>p) energia e diversificazione delle fonti energetiche;</w:t>
      </w:r>
      <w:r w:rsidRPr="0061172B">
        <w:rPr>
          <w:rFonts w:ascii="Arial" w:eastAsia="Times New Roman" w:hAnsi="Arial" w:cs="Arial"/>
          <w:color w:val="3D3B39"/>
          <w:sz w:val="20"/>
          <w:szCs w:val="20"/>
          <w:lang w:eastAsia="it-IT"/>
        </w:rPr>
        <w:br/>
        <w:t>q) relazione con le altre autonomie territoriali e locali;</w:t>
      </w:r>
      <w:r w:rsidRPr="0061172B">
        <w:rPr>
          <w:rFonts w:ascii="Arial" w:eastAsia="Times New Roman" w:hAnsi="Arial" w:cs="Arial"/>
          <w:color w:val="3D3B39"/>
          <w:sz w:val="20"/>
          <w:szCs w:val="20"/>
          <w:lang w:eastAsia="it-IT"/>
        </w:rPr>
        <w:br/>
        <w:t>r) relazioni internazionali.</w:t>
      </w:r>
    </w:p>
    <w:p w:rsidR="0061172B" w:rsidRPr="0061172B" w:rsidRDefault="0061172B" w:rsidP="0061172B">
      <w:pPr>
        <w:shd w:val="clear" w:color="auto" w:fill="FFFFFF"/>
        <w:spacing w:after="204" w:line="240" w:lineRule="auto"/>
        <w:rPr>
          <w:rFonts w:ascii="Arial" w:eastAsia="Times New Roman" w:hAnsi="Arial" w:cs="Arial"/>
          <w:b/>
          <w:bCs/>
          <w:color w:val="000000"/>
          <w:sz w:val="20"/>
          <w:szCs w:val="20"/>
          <w:lang w:eastAsia="it-IT"/>
        </w:rPr>
      </w:pPr>
      <w:r w:rsidRPr="004B18D5">
        <w:rPr>
          <w:rFonts w:ascii="Arial" w:eastAsia="Times New Roman" w:hAnsi="Arial" w:cs="Arial"/>
          <w:b/>
          <w:bCs/>
          <w:color w:val="3D3B39"/>
          <w:sz w:val="20"/>
          <w:szCs w:val="20"/>
          <w:lang w:eastAsia="it-IT"/>
        </w:rPr>
        <w:t>Una volta individuati gli organismi, si deve verificare quali di questi rientrano nel perimetro di consolidamento</w:t>
      </w:r>
      <w:r w:rsidRPr="0061172B">
        <w:rPr>
          <w:rFonts w:ascii="Arial" w:eastAsia="Times New Roman" w:hAnsi="Arial" w:cs="Arial"/>
          <w:color w:val="3D3B39"/>
          <w:sz w:val="20"/>
          <w:szCs w:val="20"/>
          <w:lang w:eastAsia="it-IT"/>
        </w:rPr>
        <w:t xml:space="preserve">, cioè quali sono interessati all’operazione oppure no. Diciamo, in via generale, che tutti gli organismi strumentali controllati, ovvero quelli per i quali l’ente ha un potere di controllo, rientrano nel perimetro di consolidamento, eccetto quelli che emettono strumenti finanziari in mercati regolamentati, (normalmente le società quotate) ma anche altri soggetti sempre interessati. </w:t>
      </w:r>
    </w:p>
    <w:p w:rsidR="0061172B" w:rsidRPr="004B18D5" w:rsidRDefault="0061172B" w:rsidP="0061172B">
      <w:pPr>
        <w:shd w:val="clear" w:color="auto" w:fill="FFFFFF"/>
        <w:spacing w:after="204" w:line="240" w:lineRule="auto"/>
        <w:rPr>
          <w:rFonts w:ascii="Arial" w:eastAsia="Times New Roman" w:hAnsi="Arial" w:cs="Arial"/>
          <w:color w:val="3D3B39"/>
          <w:sz w:val="20"/>
          <w:szCs w:val="20"/>
          <w:lang w:eastAsia="it-IT"/>
        </w:rPr>
      </w:pPr>
      <w:r w:rsidRPr="0061172B">
        <w:rPr>
          <w:rFonts w:ascii="Arial" w:eastAsia="Times New Roman" w:hAnsi="Arial" w:cs="Arial"/>
          <w:color w:val="3D3B39"/>
          <w:sz w:val="20"/>
          <w:szCs w:val="20"/>
          <w:lang w:eastAsia="it-IT"/>
        </w:rPr>
        <w:t xml:space="preserve">Prima di tutto se il Responsabile del Servizio Finanziario dell’ente intende affidare a terzi la redazione del bilancio consolidato, deve porre in essere una determina con la quale individua il soggetto affidatario e il compenso da riconoscergli. Poi, la Giunta Comunale con delibera definirà due distinti elenchi: con il primo elencherà tutti gli organismi rientranti nel Gruppo di Amministrazione Pubblica; con il secondo tutti quegli organismi rientranti nel perimetro di consolidamento. </w:t>
      </w:r>
    </w:p>
    <w:p w:rsidR="0061172B" w:rsidRPr="004B18D5" w:rsidRDefault="0061172B" w:rsidP="0061172B">
      <w:pPr>
        <w:shd w:val="clear" w:color="auto" w:fill="FFFFFF"/>
        <w:tabs>
          <w:tab w:val="left" w:pos="1418"/>
        </w:tabs>
        <w:spacing w:after="204" w:line="240" w:lineRule="auto"/>
        <w:rPr>
          <w:rFonts w:ascii="Arial" w:hAnsi="Arial" w:cs="Arial"/>
          <w:color w:val="1A171B"/>
          <w:sz w:val="20"/>
          <w:szCs w:val="20"/>
          <w:shd w:val="clear" w:color="auto" w:fill="F3E2D1"/>
        </w:rPr>
      </w:pPr>
      <w:r w:rsidRPr="004B18D5">
        <w:rPr>
          <w:rFonts w:ascii="Arial" w:hAnsi="Arial" w:cs="Arial"/>
          <w:color w:val="1A171B"/>
          <w:sz w:val="20"/>
          <w:szCs w:val="20"/>
          <w:shd w:val="clear" w:color="auto" w:fill="F3E2D1"/>
        </w:rPr>
        <w:t xml:space="preserve">L'articolo 151 del </w:t>
      </w:r>
      <w:proofErr w:type="spellStart"/>
      <w:r w:rsidRPr="004B18D5">
        <w:rPr>
          <w:rFonts w:ascii="Arial" w:hAnsi="Arial" w:cs="Arial"/>
          <w:color w:val="1A171B"/>
          <w:sz w:val="20"/>
          <w:szCs w:val="20"/>
          <w:shd w:val="clear" w:color="auto" w:fill="F3E2D1"/>
        </w:rPr>
        <w:t>Dlgs</w:t>
      </w:r>
      <w:proofErr w:type="spellEnd"/>
      <w:r w:rsidRPr="004B18D5">
        <w:rPr>
          <w:rFonts w:ascii="Arial" w:hAnsi="Arial" w:cs="Arial"/>
          <w:color w:val="1A171B"/>
          <w:sz w:val="20"/>
          <w:szCs w:val="20"/>
          <w:shd w:val="clear" w:color="auto" w:fill="F3E2D1"/>
        </w:rPr>
        <w:t xml:space="preserve"> 267/2000 individua nel 30 settembre dell'esercizio successivo, il termine ultimo per l'approvazione del bilancio consolidato da parte degli enti locali. </w:t>
      </w:r>
      <w:r w:rsidRPr="004B18D5">
        <w:rPr>
          <w:rFonts w:ascii="Arial" w:hAnsi="Arial" w:cs="Arial"/>
          <w:color w:val="1A171B"/>
          <w:sz w:val="20"/>
          <w:szCs w:val="20"/>
        </w:rPr>
        <w:br/>
      </w:r>
      <w:r w:rsidRPr="004B18D5">
        <w:rPr>
          <w:rFonts w:ascii="Arial" w:hAnsi="Arial" w:cs="Arial"/>
          <w:color w:val="1A171B"/>
          <w:sz w:val="20"/>
          <w:szCs w:val="20"/>
          <w:shd w:val="clear" w:color="auto" w:fill="F3E2D1"/>
        </w:rPr>
        <w:t xml:space="preserve">Si tratta dell'ultimo importante tassello che viene a completare, almeno per gli enti con popolazione superiore ai 5mila abitanti, l'applicazione a regime della riforma dell'ordinamento contabile introdotta dal </w:t>
      </w:r>
      <w:proofErr w:type="spellStart"/>
      <w:r w:rsidRPr="004B18D5">
        <w:rPr>
          <w:rFonts w:ascii="Arial" w:hAnsi="Arial" w:cs="Arial"/>
          <w:color w:val="1A171B"/>
          <w:sz w:val="20"/>
          <w:szCs w:val="20"/>
          <w:shd w:val="clear" w:color="auto" w:fill="F3E2D1"/>
        </w:rPr>
        <w:t>Dlgs</w:t>
      </w:r>
      <w:proofErr w:type="spellEnd"/>
      <w:r w:rsidRPr="004B18D5">
        <w:rPr>
          <w:rFonts w:ascii="Arial" w:hAnsi="Arial" w:cs="Arial"/>
          <w:color w:val="1A171B"/>
          <w:sz w:val="20"/>
          <w:szCs w:val="20"/>
          <w:shd w:val="clear" w:color="auto" w:fill="F3E2D1"/>
        </w:rPr>
        <w:t xml:space="preserve"> 118/2011 </w:t>
      </w:r>
      <w:r w:rsidRPr="004B18D5">
        <w:rPr>
          <w:rFonts w:ascii="Arial" w:hAnsi="Arial" w:cs="Arial"/>
          <w:color w:val="1A171B"/>
          <w:sz w:val="20"/>
          <w:szCs w:val="20"/>
          <w:shd w:val="clear" w:color="auto" w:fill="F3E2D1"/>
        </w:rPr>
        <w:lastRenderedPageBreak/>
        <w:t xml:space="preserve">come modificato dal </w:t>
      </w:r>
      <w:proofErr w:type="spellStart"/>
      <w:r w:rsidRPr="004B18D5">
        <w:rPr>
          <w:rFonts w:ascii="Arial" w:hAnsi="Arial" w:cs="Arial"/>
          <w:color w:val="1A171B"/>
          <w:sz w:val="20"/>
          <w:szCs w:val="20"/>
          <w:shd w:val="clear" w:color="auto" w:fill="F3E2D1"/>
        </w:rPr>
        <w:t>Dlgs</w:t>
      </w:r>
      <w:proofErr w:type="spellEnd"/>
      <w:r w:rsidRPr="004B18D5">
        <w:rPr>
          <w:rFonts w:ascii="Arial" w:hAnsi="Arial" w:cs="Arial"/>
          <w:color w:val="1A171B"/>
          <w:sz w:val="20"/>
          <w:szCs w:val="20"/>
          <w:shd w:val="clear" w:color="auto" w:fill="F3E2D1"/>
        </w:rPr>
        <w:t xml:space="preserve"> 126/2014. Secondo l'articolo 223-bis del </w:t>
      </w:r>
      <w:proofErr w:type="spellStart"/>
      <w:r w:rsidRPr="004B18D5">
        <w:rPr>
          <w:rFonts w:ascii="Arial" w:hAnsi="Arial" w:cs="Arial"/>
          <w:color w:val="1A171B"/>
          <w:sz w:val="20"/>
          <w:szCs w:val="20"/>
          <w:shd w:val="clear" w:color="auto" w:fill="F3E2D1"/>
        </w:rPr>
        <w:t>Tuel</w:t>
      </w:r>
      <w:proofErr w:type="spellEnd"/>
      <w:r w:rsidRPr="004B18D5">
        <w:rPr>
          <w:rFonts w:ascii="Arial" w:hAnsi="Arial" w:cs="Arial"/>
          <w:color w:val="1A171B"/>
          <w:sz w:val="20"/>
          <w:szCs w:val="20"/>
          <w:shd w:val="clear" w:color="auto" w:fill="F3E2D1"/>
        </w:rPr>
        <w:t xml:space="preserve"> infatti «...Il bilancio consolidato è redatto secondo lo schema previsto dall'allegato n. 11 del decreto legislativo 23 giugno 2011. n. 118, e successive modificazioni. Gli enti locali con popolazione inferiore a 5.000 abitanti possono non predisporre il bilancio consolidato fino all'esercizio 2017.». Di conseguenza, tutti gli enti con popolazione superiore ai 5mila abitanti e gli enti con popolazione inferiore che non si sono avvalsi della suddetta facoltà, dovranno sottoporre all'approvazione dei propri Consigli comunali il nuovo documento contabile entro il  mese di settembre. </w:t>
      </w:r>
      <w:r w:rsidRPr="004B18D5">
        <w:rPr>
          <w:rFonts w:ascii="Arial" w:hAnsi="Arial" w:cs="Arial"/>
          <w:color w:val="1A171B"/>
          <w:sz w:val="20"/>
          <w:szCs w:val="20"/>
        </w:rPr>
        <w:br/>
      </w:r>
      <w:r w:rsidRPr="004B18D5">
        <w:rPr>
          <w:rFonts w:ascii="Arial" w:hAnsi="Arial" w:cs="Arial"/>
          <w:color w:val="1A171B"/>
          <w:sz w:val="20"/>
          <w:szCs w:val="20"/>
          <w:shd w:val="clear" w:color="auto" w:fill="F3E2D1"/>
        </w:rPr>
        <w:t xml:space="preserve">Il principio contabile allegato 4/4 relativo al bilancio consolidato, al punto 3.02 stabilisce che entro 10 giorni dall'approvazione (e in ogni caso entro il 20 di agosto dell'anno successivo) i soggetti rientranti nell'area di consolidamento debbano provvedere a trasmettere all'ente i bilanci d'esercizio e la documentazione integrativa necessaria prevedendo inoltre, nel caso gli stessi non siano ancora stati approvati, la trasmissione entro il medesimo termine del 20 agosto dei dati di pre-consuntivo o copia del bilancio predisposto ai fini dell'approvazione. Occorre inoltre ricordare che l'articolo 239 del </w:t>
      </w:r>
      <w:proofErr w:type="spellStart"/>
      <w:r w:rsidRPr="004B18D5">
        <w:rPr>
          <w:rFonts w:ascii="Arial" w:hAnsi="Arial" w:cs="Arial"/>
          <w:color w:val="1A171B"/>
          <w:sz w:val="20"/>
          <w:szCs w:val="20"/>
          <w:shd w:val="clear" w:color="auto" w:fill="F3E2D1"/>
        </w:rPr>
        <w:t>Tuel</w:t>
      </w:r>
      <w:proofErr w:type="spellEnd"/>
      <w:r w:rsidRPr="004B18D5">
        <w:rPr>
          <w:rFonts w:ascii="Arial" w:hAnsi="Arial" w:cs="Arial"/>
          <w:color w:val="1A171B"/>
          <w:sz w:val="20"/>
          <w:szCs w:val="20"/>
          <w:shd w:val="clear" w:color="auto" w:fill="F3E2D1"/>
        </w:rPr>
        <w:t xml:space="preserve"> attribuisce ai revisori dei conti l'obbligo di rilascio di specifica relazione sulla deliberazione consiliare di approvazione del bilancio consolidato e sullo schema del bilancio consolidato medesimo, da rilasciare entro un termine previsto dal regolamento di contabilità e comunque non inferiore a 20 giorni, decorrente dalla trasmissione della proposta approvata dall'organo esecutivo.</w:t>
      </w:r>
    </w:p>
    <w:p w:rsidR="0061172B" w:rsidRPr="004B18D5" w:rsidRDefault="0061172B" w:rsidP="0061172B">
      <w:pPr>
        <w:shd w:val="clear" w:color="auto" w:fill="FFFFFF"/>
        <w:tabs>
          <w:tab w:val="left" w:pos="1418"/>
        </w:tabs>
        <w:spacing w:after="204" w:line="240" w:lineRule="auto"/>
        <w:rPr>
          <w:rFonts w:ascii="Arial" w:hAnsi="Arial" w:cs="Arial"/>
          <w:color w:val="1A171B"/>
          <w:sz w:val="20"/>
          <w:szCs w:val="20"/>
          <w:shd w:val="clear" w:color="auto" w:fill="F3E2D1"/>
        </w:rPr>
      </w:pPr>
    </w:p>
    <w:p w:rsidR="0061172B" w:rsidRPr="004B18D5" w:rsidRDefault="0061172B" w:rsidP="0061172B">
      <w:pPr>
        <w:shd w:val="clear" w:color="auto" w:fill="FFFFFF"/>
        <w:tabs>
          <w:tab w:val="left" w:pos="1418"/>
        </w:tabs>
        <w:spacing w:after="204" w:line="240" w:lineRule="auto"/>
        <w:rPr>
          <w:rFonts w:ascii="Arial" w:hAnsi="Arial" w:cs="Arial"/>
          <w:color w:val="1A171B"/>
          <w:sz w:val="20"/>
          <w:szCs w:val="20"/>
          <w:shd w:val="clear" w:color="auto" w:fill="F3E2D1"/>
        </w:rPr>
      </w:pPr>
      <w:r w:rsidRPr="004B18D5">
        <w:rPr>
          <w:rFonts w:ascii="Arial" w:hAnsi="Arial" w:cs="Arial"/>
          <w:color w:val="1A171B"/>
          <w:sz w:val="20"/>
          <w:szCs w:val="20"/>
          <w:shd w:val="clear" w:color="auto" w:fill="F3E2D1"/>
        </w:rPr>
        <w:t>REVISORI DEI CONTI</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I consigli comunali, provinciali e delle città metropolitane eleggono con voto limitato a due componenti, un collegio di revisori composto da tre membri.</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 xml:space="preserve"> I componenti del collegio dei revisori sono scelti:</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a) uno tra gli iscritti al registro dei revisori contabili, il quale svolge le funzioni di presidente del collegio;</w:t>
      </w:r>
      <w:r w:rsidRPr="004B18D5">
        <w:rPr>
          <w:rFonts w:ascii="Arial" w:hAnsi="Arial" w:cs="Arial"/>
          <w:color w:val="000000"/>
          <w:sz w:val="20"/>
          <w:szCs w:val="20"/>
        </w:rPr>
        <w:br/>
        <w:t>b) uno tra gli iscritti nell'albo dei dottori commercialisti;</w:t>
      </w:r>
      <w:r w:rsidRPr="004B18D5">
        <w:rPr>
          <w:rFonts w:ascii="Arial" w:hAnsi="Arial" w:cs="Arial"/>
          <w:color w:val="000000"/>
          <w:sz w:val="20"/>
          <w:szCs w:val="20"/>
        </w:rPr>
        <w:br/>
        <w:t>c) uno tra gli iscritti nell'albo dei ragionieri.</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 xml:space="preserve"> Nei comuni con popolazione inferiore a 15.000 abitanti, nelle unioni dei comuni, la revisione economico-finanziaria è affidata ad un solo revisore eletto dal consiglio comunale a maggioranza assoluta dei membri </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 xml:space="preserve"> Gli enti locali comunicano ai propri tesorieri i nominativi dei soggetti cui è affidato l'incarico entro 20 giorni dall'avvenuta esecutività della delibera di nomina. L'organo di revisione contabile dura in carica tre anni a decorrere dalla data di esecutività della delibera o dalla data di immediata eseguibilità e i suoi componenti non possono svolgere l’incarico per più di due volte nello stesso ente locale. Ove nei collegi si proceda a sostituzione di un singolo componente la durata dell'incarico del nuovo revisore è limitata al tempo residuo sino alla scadenza del termine triennale. Il revisore è revocabile solo per inadempienza ed in particolare per la mancata presentazione della relazione alla proposta di deliberazione consiliare del rendiconto entro il termine Il revisore cessa dall'incarico per:</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a) scadenza del mandato;</w:t>
      </w:r>
      <w:r w:rsidRPr="004B18D5">
        <w:rPr>
          <w:rFonts w:ascii="Arial" w:hAnsi="Arial" w:cs="Arial"/>
          <w:color w:val="000000"/>
          <w:sz w:val="20"/>
          <w:szCs w:val="20"/>
        </w:rPr>
        <w:br/>
        <w:t>b) dimissioni volontarie da comunicare con preavviso di almeno quarantacinque giorni e che non sono soggette ad accettazione da parte dell’ente;</w:t>
      </w:r>
      <w:r w:rsidRPr="004B18D5">
        <w:rPr>
          <w:rFonts w:ascii="Arial" w:hAnsi="Arial" w:cs="Arial"/>
          <w:color w:val="000000"/>
          <w:sz w:val="20"/>
          <w:szCs w:val="20"/>
        </w:rPr>
        <w:br/>
        <w:t>c) impossibilità derivante da qualsivoglia causa a svolgere l'incarico per un periodo di tempo stabilito dal regolamento dell'ente. Il collegio dei revisori è validamente costituito anche nel caso in cui siano presenti solo due componenti. Salvo diversa disposizione del regolamento di contabilità dell'ente locale, ciascun revisore non può assumere complessivamente più di otto incarichi, tra i quali non più di quattro incarichi in comuni con popolazione inferiore a 5.000 abitanti, non più di tre in comuni con popolazione compresa tra i 5.000 ed i 99.999 abitanti e non più di uno in comune con popolazione pari o superiore a 100.000 abitanti. Le province sono equiparate ai comuni con popolazione pari o superiore a 100.000 abitanti e le comunità montane ai comuni con popolazione inferiore a 5.000 abitanti.</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 xml:space="preserve"> L'organo dei revisione svolge le seguenti funzioni:</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a) attività di collaborazione con l'organo consiliare secondo le disposizioni dello statuto e del regolamento;</w:t>
      </w:r>
      <w:r w:rsidRPr="004B18D5">
        <w:rPr>
          <w:rFonts w:ascii="Arial" w:hAnsi="Arial" w:cs="Arial"/>
          <w:color w:val="000000"/>
          <w:sz w:val="20"/>
          <w:szCs w:val="20"/>
        </w:rPr>
        <w:br/>
        <w:t>b) pareri, con le modalità stabilite dal regolamento, in materia di: </w:t>
      </w:r>
      <w:r w:rsidRPr="004B18D5">
        <w:rPr>
          <w:rFonts w:ascii="Arial" w:hAnsi="Arial" w:cs="Arial"/>
          <w:color w:val="000000"/>
          <w:sz w:val="20"/>
          <w:szCs w:val="20"/>
        </w:rPr>
        <w:br/>
        <w:t>1) strumenti di programmazione economico-finanziaria; </w:t>
      </w:r>
      <w:r w:rsidRPr="004B18D5">
        <w:rPr>
          <w:rFonts w:ascii="Arial" w:hAnsi="Arial" w:cs="Arial"/>
          <w:color w:val="000000"/>
          <w:sz w:val="20"/>
          <w:szCs w:val="20"/>
        </w:rPr>
        <w:br/>
      </w:r>
      <w:r w:rsidRPr="004B18D5">
        <w:rPr>
          <w:rFonts w:ascii="Arial" w:hAnsi="Arial" w:cs="Arial"/>
          <w:color w:val="000000"/>
          <w:sz w:val="20"/>
          <w:szCs w:val="20"/>
        </w:rPr>
        <w:lastRenderedPageBreak/>
        <w:t>2) proposta di bilancio di previsione verifica degli equilibri e variazioni di bilancio escluse quelle attribuite alla competenza della giunta, del responsabile finanziario e dei dirigenti, a meno che il parere dei revisori sia espressamente previsto dalle norme o dai principi contabili, fermo restando la necessità dell'organo di revisione di verificare, in sede di esame del rendiconto della gestione, dandone conto nella propria relazione, l'esistenza dei presupposti che hanno dato luogo alle variazioni di bilancio approvate nel corso dell'esercizio, comprese quelle approvate nel corso dell'esercizio provvisorio; </w:t>
      </w:r>
      <w:r w:rsidRPr="004B18D5">
        <w:rPr>
          <w:rFonts w:ascii="Arial" w:hAnsi="Arial" w:cs="Arial"/>
          <w:color w:val="000000"/>
          <w:sz w:val="20"/>
          <w:szCs w:val="20"/>
        </w:rPr>
        <w:br/>
        <w:t>3) modalità di gestione dei servizi e proposte di costituzione o di partecipazione ad organismi esterni; </w:t>
      </w:r>
      <w:r w:rsidRPr="004B18D5">
        <w:rPr>
          <w:rFonts w:ascii="Arial" w:hAnsi="Arial" w:cs="Arial"/>
          <w:color w:val="000000"/>
          <w:sz w:val="20"/>
          <w:szCs w:val="20"/>
        </w:rPr>
        <w:br/>
        <w:t>4) proposte di ricorso all'indebitamento; </w:t>
      </w:r>
      <w:r w:rsidRPr="004B18D5">
        <w:rPr>
          <w:rFonts w:ascii="Arial" w:hAnsi="Arial" w:cs="Arial"/>
          <w:color w:val="000000"/>
          <w:sz w:val="20"/>
          <w:szCs w:val="20"/>
        </w:rPr>
        <w:br/>
        <w:t>5) proposte di utilizzo di strumenti di finanza innovativa, nel rispetto della disciplina statale vigente in materia; </w:t>
      </w:r>
      <w:r w:rsidRPr="004B18D5">
        <w:rPr>
          <w:rFonts w:ascii="Arial" w:hAnsi="Arial" w:cs="Arial"/>
          <w:color w:val="000000"/>
          <w:sz w:val="20"/>
          <w:szCs w:val="20"/>
        </w:rPr>
        <w:br/>
        <w:t>6) proposte di riconoscimento di debiti fuori bilancio e transazioni; </w:t>
      </w:r>
      <w:r w:rsidRPr="004B18D5">
        <w:rPr>
          <w:rFonts w:ascii="Arial" w:hAnsi="Arial" w:cs="Arial"/>
          <w:color w:val="000000"/>
          <w:sz w:val="20"/>
          <w:szCs w:val="20"/>
        </w:rPr>
        <w:br/>
        <w:t>7) proposte di regolamento di contabilità, economato-provveditorato, patrimonio e di applicazione dei tributi locali;</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c) vigilanza sulla regolarità contabile, finanziaria ed economica della gestione relativamente all'acquisizione delle entrate, all'effettuazione delle spese, all'attività contrattuale, all'amministrazione dei beni, alla completezza della documentazione, agli adempimenti fiscali ed alla tenuta della contabilità; l'organo di revisione svolge tali funzioni anche con tecniche motivate di campionamento;</w:t>
      </w:r>
      <w:r w:rsidRPr="004B18D5">
        <w:rPr>
          <w:rFonts w:ascii="Arial" w:hAnsi="Arial" w:cs="Arial"/>
          <w:color w:val="000000"/>
          <w:sz w:val="20"/>
          <w:szCs w:val="20"/>
        </w:rPr>
        <w:br/>
        <w:t xml:space="preserve">d) relazione sulla proposta di deliberazione consiliare di approvazione del rendiconto della gestione e sullo schema di rendiconto entro il termine, previsto dal regolamento di contabilità e comunque non inferiore a 20 giorni, decorrente dalla trasmissione della stessa proposta approvata dall'organo esecutivo E </w:t>
      </w:r>
      <w:proofErr w:type="spellStart"/>
      <w:r w:rsidRPr="004B18D5">
        <w:rPr>
          <w:rFonts w:ascii="Arial" w:hAnsi="Arial" w:cs="Arial"/>
          <w:color w:val="000000"/>
          <w:sz w:val="20"/>
          <w:szCs w:val="20"/>
        </w:rPr>
        <w:t>larelazione</w:t>
      </w:r>
      <w:proofErr w:type="spellEnd"/>
      <w:r w:rsidRPr="004B18D5">
        <w:rPr>
          <w:rFonts w:ascii="Arial" w:hAnsi="Arial" w:cs="Arial"/>
          <w:color w:val="000000"/>
          <w:sz w:val="20"/>
          <w:szCs w:val="20"/>
        </w:rPr>
        <w:t xml:space="preserve"> sulla proposta di deliberazione consiliare di approvazione del bilancio consolidato di cui all'articolo 233-bis e sullo schema di bilancio consolidato, entro il termine previsto dal regolamento di contabilità e comunque non inferiore a 20 giorni, decorrente dalla trasmissione della stessa proposta approvata dall'organo esecutivo; e) referto all'organo consiliare su gravi irregolarità di gestione, con contestuale denuncia ai competenti organi giurisdizionali ove si configurino ipotesi di responsabilità;</w:t>
      </w:r>
      <w:r w:rsidRPr="004B18D5">
        <w:rPr>
          <w:rFonts w:ascii="Arial" w:hAnsi="Arial" w:cs="Arial"/>
          <w:color w:val="000000"/>
          <w:sz w:val="20"/>
          <w:szCs w:val="20"/>
        </w:rPr>
        <w:br/>
        <w:t>f) verifiche di cassa di cui all'articolo 223.</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 xml:space="preserve">Al fine di garantire l'adempimento delle funzioni di cui al precedente comma, l'organo di revisione ha diritto di accesso agli atti e documenti dell'ente e può partecipare all'assemblea dell'organo consiliare per l'approvazione del bilancio di previsione e del rendiconto di gestione. Può altresì partecipare alle altre assemblee dell'organo consiliare e, se previsto dallo statuto dell'ente, alle riunioni dell'organo esecutivo. Per consentire la partecipazione alle predette assemblee all'organo di revisione sono comunicati i relativi ordini del giorno. </w:t>
      </w:r>
    </w:p>
    <w:p w:rsidR="004B18D5" w:rsidRPr="004B18D5" w:rsidRDefault="004B18D5" w:rsidP="004B18D5">
      <w:pPr>
        <w:pStyle w:val="NormaleWeb"/>
        <w:rPr>
          <w:rFonts w:ascii="Arial" w:hAnsi="Arial" w:cs="Arial"/>
          <w:color w:val="000000"/>
          <w:sz w:val="20"/>
          <w:szCs w:val="20"/>
        </w:rPr>
      </w:pPr>
      <w:r w:rsidRPr="004B18D5">
        <w:rPr>
          <w:rFonts w:ascii="Arial" w:hAnsi="Arial" w:cs="Arial"/>
          <w:color w:val="000000"/>
          <w:sz w:val="20"/>
          <w:szCs w:val="20"/>
        </w:rPr>
        <w:t>I revisori rispondono della veridicità delle loro attestazioni e adempiono ai loro doveri con la diligenza del mandatario. Devono inoltre conservare la riservatezza sui fatti e documenti di cui hanno conoscenza per ragione del loro ufficio.</w:t>
      </w:r>
    </w:p>
    <w:sectPr w:rsidR="004B18D5" w:rsidRPr="004B18D5" w:rsidSect="000E0A9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56439C"/>
    <w:multiLevelType w:val="multilevel"/>
    <w:tmpl w:val="A744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61172B"/>
    <w:rsid w:val="000E0A9E"/>
    <w:rsid w:val="004B18D5"/>
    <w:rsid w:val="006117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E0A9E"/>
  </w:style>
  <w:style w:type="paragraph" w:styleId="Titolo2">
    <w:name w:val="heading 2"/>
    <w:basedOn w:val="Normale"/>
    <w:link w:val="Titolo2Carattere"/>
    <w:uiPriority w:val="9"/>
    <w:qFormat/>
    <w:rsid w:val="0061172B"/>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61172B"/>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61172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61172B"/>
    <w:rPr>
      <w:b/>
      <w:bCs/>
    </w:rPr>
  </w:style>
  <w:style w:type="character" w:styleId="Collegamentoipertestuale">
    <w:name w:val="Hyperlink"/>
    <w:basedOn w:val="Carpredefinitoparagrafo"/>
    <w:uiPriority w:val="99"/>
    <w:semiHidden/>
    <w:unhideWhenUsed/>
    <w:rsid w:val="004B18D5"/>
    <w:rPr>
      <w:color w:val="0000FF"/>
      <w:u w:val="single"/>
    </w:rPr>
  </w:style>
</w:styles>
</file>

<file path=word/webSettings.xml><?xml version="1.0" encoding="utf-8"?>
<w:webSettings xmlns:r="http://schemas.openxmlformats.org/officeDocument/2006/relationships" xmlns:w="http://schemas.openxmlformats.org/wordprocessingml/2006/main">
  <w:divs>
    <w:div w:id="88545236">
      <w:bodyDiv w:val="1"/>
      <w:marLeft w:val="0"/>
      <w:marRight w:val="0"/>
      <w:marTop w:val="0"/>
      <w:marBottom w:val="0"/>
      <w:divBdr>
        <w:top w:val="none" w:sz="0" w:space="0" w:color="auto"/>
        <w:left w:val="none" w:sz="0" w:space="0" w:color="auto"/>
        <w:bottom w:val="none" w:sz="0" w:space="0" w:color="auto"/>
        <w:right w:val="none" w:sz="0" w:space="0" w:color="auto"/>
      </w:divBdr>
      <w:divsChild>
        <w:div w:id="166331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399773">
          <w:blockQuote w:val="1"/>
          <w:marLeft w:val="720"/>
          <w:marRight w:val="720"/>
          <w:marTop w:val="100"/>
          <w:marBottom w:val="100"/>
          <w:divBdr>
            <w:top w:val="none" w:sz="0" w:space="0" w:color="auto"/>
            <w:left w:val="none" w:sz="0" w:space="0" w:color="auto"/>
            <w:bottom w:val="none" w:sz="0" w:space="0" w:color="auto"/>
            <w:right w:val="none" w:sz="0" w:space="0" w:color="auto"/>
          </w:divBdr>
        </w:div>
        <w:div w:id="564340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5203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5056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768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1740</Words>
  <Characters>9922</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2018-05-04T11:26:00Z</dcterms:created>
  <dcterms:modified xsi:type="dcterms:W3CDTF">2018-05-04T11:53:00Z</dcterms:modified>
</cp:coreProperties>
</file>