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532B" w:rsidRPr="00AE296A" w:rsidRDefault="00C5532B" w:rsidP="00C5532B">
      <w:pPr>
        <w:pStyle w:val="NormaleWeb"/>
        <w:shd w:val="clear" w:color="auto" w:fill="FFFFFF"/>
        <w:spacing w:before="0" w:beforeAutospacing="0" w:after="0" w:afterAutospacing="0" w:line="260" w:lineRule="atLeast"/>
        <w:textAlignment w:val="baseline"/>
        <w:rPr>
          <w:rFonts w:ascii="Arial" w:hAnsi="Arial" w:cs="Arial"/>
          <w:color w:val="646464"/>
        </w:rPr>
      </w:pPr>
      <w:r w:rsidRPr="00AE296A">
        <w:rPr>
          <w:rFonts w:ascii="Arial" w:hAnsi="Arial" w:cs="Arial"/>
          <w:color w:val="646464"/>
        </w:rPr>
        <w:t>La </w:t>
      </w:r>
      <w:r w:rsidRPr="00AE296A">
        <w:rPr>
          <w:rStyle w:val="Enfasigrassetto"/>
          <w:rFonts w:ascii="Arial" w:hAnsi="Arial" w:cs="Arial"/>
          <w:color w:val="646464"/>
          <w:bdr w:val="none" w:sz="0" w:space="0" w:color="auto" w:frame="1"/>
        </w:rPr>
        <w:t>Valutazione di Impatto Ambientale</w:t>
      </w:r>
      <w:r w:rsidRPr="00AE296A">
        <w:rPr>
          <w:rFonts w:ascii="Arial" w:hAnsi="Arial" w:cs="Arial"/>
          <w:color w:val="646464"/>
        </w:rPr>
        <w:t xml:space="preserve"> è una procedura che ha </w:t>
      </w:r>
      <w:r w:rsidRPr="006A0D60">
        <w:rPr>
          <w:rFonts w:ascii="Arial" w:hAnsi="Arial" w:cs="Arial"/>
          <w:b/>
          <w:color w:val="646464"/>
        </w:rPr>
        <w:t>lo scopo di individuare, descrivere e valutare, in via preventiva alla realizzazione delle opere</w:t>
      </w:r>
      <w:r w:rsidRPr="00AE296A">
        <w:rPr>
          <w:rFonts w:ascii="Arial" w:hAnsi="Arial" w:cs="Arial"/>
          <w:color w:val="646464"/>
        </w:rPr>
        <w:t xml:space="preserve">, </w:t>
      </w:r>
      <w:r w:rsidRPr="006A0D60">
        <w:rPr>
          <w:rFonts w:ascii="Arial" w:hAnsi="Arial" w:cs="Arial"/>
          <w:color w:val="646464"/>
          <w:u w:val="single"/>
        </w:rPr>
        <w:t xml:space="preserve">gli effetti sull’ambiente, sulla salute e benessere umano </w:t>
      </w:r>
      <w:r w:rsidRPr="006A0D60">
        <w:rPr>
          <w:rFonts w:ascii="Arial" w:hAnsi="Arial" w:cs="Arial"/>
          <w:b/>
          <w:color w:val="646464"/>
        </w:rPr>
        <w:t>di determinati progetti pubblici o privati</w:t>
      </w:r>
      <w:r w:rsidRPr="00AE296A">
        <w:rPr>
          <w:rFonts w:ascii="Arial" w:hAnsi="Arial" w:cs="Arial"/>
          <w:color w:val="646464"/>
        </w:rPr>
        <w:t xml:space="preserve">, nonché di identificare </w:t>
      </w:r>
      <w:r w:rsidRPr="006A0D60">
        <w:rPr>
          <w:rFonts w:ascii="Arial" w:hAnsi="Arial" w:cs="Arial"/>
          <w:color w:val="646464"/>
          <w:u w:val="single"/>
        </w:rPr>
        <w:t>le misure atte a prevenire, eliminare o rendere minimi gli impatti negativi sull’ambiente</w:t>
      </w:r>
      <w:r w:rsidRPr="00AE296A">
        <w:rPr>
          <w:rFonts w:ascii="Arial" w:hAnsi="Arial" w:cs="Arial"/>
          <w:color w:val="646464"/>
        </w:rPr>
        <w:t>, prima che questi si verifichino effettivamente. </w:t>
      </w:r>
    </w:p>
    <w:p w:rsidR="00C5532B" w:rsidRPr="00AE296A" w:rsidRDefault="00C5532B" w:rsidP="00C5532B">
      <w:pPr>
        <w:pStyle w:val="NormaleWeb"/>
        <w:shd w:val="clear" w:color="auto" w:fill="FFFFFF"/>
        <w:spacing w:before="0" w:beforeAutospacing="0" w:after="0" w:afterAutospacing="0" w:line="260" w:lineRule="atLeast"/>
        <w:textAlignment w:val="baseline"/>
        <w:rPr>
          <w:rFonts w:ascii="Arial" w:hAnsi="Arial" w:cs="Arial"/>
          <w:color w:val="646464"/>
        </w:rPr>
      </w:pPr>
      <w:r w:rsidRPr="00AE296A">
        <w:rPr>
          <w:rFonts w:ascii="Arial" w:hAnsi="Arial" w:cs="Arial"/>
          <w:color w:val="646464"/>
        </w:rPr>
        <w:t>I concetti fondamentali alla base della procedura di VIA (già definiti nella Direttiva 85/337/CEEdel Consiglio delle Comunità europee del 27 giugno 1985 ) sono:</w:t>
      </w:r>
      <w:r w:rsidRPr="00AE296A">
        <w:rPr>
          <w:rFonts w:ascii="Arial" w:hAnsi="Arial" w:cs="Arial"/>
          <w:color w:val="646464"/>
        </w:rPr>
        <w:br/>
        <w:t> </w:t>
      </w:r>
      <w:r w:rsidRPr="00AE296A">
        <w:rPr>
          <w:rStyle w:val="Enfasigrassetto"/>
          <w:rFonts w:ascii="Arial" w:hAnsi="Arial" w:cs="Arial"/>
          <w:color w:val="646464"/>
          <w:bdr w:val="none" w:sz="0" w:space="0" w:color="auto" w:frame="1"/>
        </w:rPr>
        <w:t>Prevenzione</w:t>
      </w:r>
      <w:r w:rsidRPr="00AE296A">
        <w:rPr>
          <w:rFonts w:ascii="Arial" w:hAnsi="Arial" w:cs="Arial"/>
          <w:color w:val="646464"/>
        </w:rPr>
        <w:t>: analisi di tutti i possibili impatti derivati dalla realizzazione dell’opera/progetto, al fine non solo di salvaguardare ma   anche di migliorare la qualità dell’ambiente e della vita;</w:t>
      </w:r>
      <w:r w:rsidRPr="00AE296A">
        <w:rPr>
          <w:rFonts w:ascii="Arial" w:hAnsi="Arial" w:cs="Arial"/>
          <w:color w:val="646464"/>
        </w:rPr>
        <w:br/>
        <w:t> </w:t>
      </w:r>
      <w:r w:rsidRPr="00AE296A">
        <w:rPr>
          <w:rStyle w:val="Enfasigrassetto"/>
          <w:rFonts w:ascii="Arial" w:hAnsi="Arial" w:cs="Arial"/>
          <w:color w:val="646464"/>
          <w:bdr w:val="none" w:sz="0" w:space="0" w:color="auto" w:frame="1"/>
        </w:rPr>
        <w:t>Integrazione</w:t>
      </w:r>
      <w:r w:rsidRPr="00AE296A">
        <w:rPr>
          <w:rFonts w:ascii="Arial" w:hAnsi="Arial" w:cs="Arial"/>
          <w:color w:val="646464"/>
        </w:rPr>
        <w:t>: analisi di tutte le componenti ambientali e delle interazioni fra i diversi effetti possibili (effetti cumulativi);</w:t>
      </w:r>
      <w:r w:rsidRPr="00AE296A">
        <w:rPr>
          <w:rFonts w:ascii="Arial" w:hAnsi="Arial" w:cs="Arial"/>
          <w:color w:val="646464"/>
        </w:rPr>
        <w:br/>
        <w:t> </w:t>
      </w:r>
      <w:r w:rsidRPr="00AE296A">
        <w:rPr>
          <w:rStyle w:val="Enfasigrassetto"/>
          <w:rFonts w:ascii="Arial" w:hAnsi="Arial" w:cs="Arial"/>
          <w:color w:val="646464"/>
          <w:bdr w:val="none" w:sz="0" w:space="0" w:color="auto" w:frame="1"/>
        </w:rPr>
        <w:t>Confronto</w:t>
      </w:r>
      <w:r w:rsidRPr="00AE296A">
        <w:rPr>
          <w:rFonts w:ascii="Arial" w:hAnsi="Arial" w:cs="Arial"/>
          <w:color w:val="646464"/>
        </w:rPr>
        <w:t>: dialogo e riscontro tra chi progetta e chi autorizza nelle fasi di raccolta, analisi ed impiego di dati scientifici e tecnici;</w:t>
      </w:r>
    </w:p>
    <w:p w:rsidR="00C5532B" w:rsidRPr="00AE296A" w:rsidRDefault="00C5532B" w:rsidP="00C5532B">
      <w:pPr>
        <w:rPr>
          <w:rFonts w:ascii="Arial" w:hAnsi="Arial" w:cs="Arial"/>
          <w:color w:val="363636"/>
          <w:sz w:val="24"/>
          <w:szCs w:val="24"/>
        </w:rPr>
      </w:pPr>
      <w:r w:rsidRPr="00AE296A">
        <w:rPr>
          <w:rStyle w:val="Enfasigrassetto"/>
          <w:rFonts w:ascii="Arial" w:hAnsi="Arial" w:cs="Arial"/>
          <w:color w:val="646464"/>
          <w:sz w:val="24"/>
          <w:szCs w:val="24"/>
          <w:bdr w:val="none" w:sz="0" w:space="0" w:color="auto" w:frame="1"/>
        </w:rPr>
        <w:t>Partecipazione</w:t>
      </w:r>
      <w:r w:rsidRPr="00AE296A">
        <w:rPr>
          <w:rFonts w:ascii="Arial" w:hAnsi="Arial" w:cs="Arial"/>
          <w:sz w:val="24"/>
          <w:szCs w:val="24"/>
        </w:rPr>
        <w:t>: apertura del processo di valutazione all’attivo contributo dei cittadini in un’ottica di maggiore trasparenza (pubblicazione della domanda di autorizzazione e possibilità di consultazione).</w:t>
      </w:r>
      <w:r w:rsidRPr="00AE296A">
        <w:rPr>
          <w:rFonts w:ascii="Arial" w:hAnsi="Arial" w:cs="Arial"/>
          <w:sz w:val="24"/>
          <w:szCs w:val="24"/>
        </w:rPr>
        <w:br/>
        <w:t xml:space="preserve"> In particolare la valutazione di impatto ambientale (VIA) dei progetti, così come la VAS, è concepita per assicurare che l’attività antropica sia compatibile con le condizioni per uno sviluppo sostenibile, pertanto comporta </w:t>
      </w:r>
      <w:r w:rsidRPr="006A0D60">
        <w:rPr>
          <w:rFonts w:ascii="Arial" w:hAnsi="Arial" w:cs="Arial"/>
          <w:b/>
          <w:sz w:val="24"/>
          <w:szCs w:val="24"/>
        </w:rPr>
        <w:t>la individuazione, la descrizione e la stima degli impatti diretti ed indiretti che un progetto può</w:t>
      </w:r>
      <w:r w:rsidRPr="00AE296A">
        <w:rPr>
          <w:rFonts w:ascii="Arial" w:hAnsi="Arial" w:cs="Arial"/>
          <w:sz w:val="24"/>
          <w:szCs w:val="24"/>
        </w:rPr>
        <w:t xml:space="preserve"> avere su:</w:t>
      </w:r>
      <w:r w:rsidRPr="00AE296A">
        <w:rPr>
          <w:rFonts w:ascii="Arial" w:hAnsi="Arial" w:cs="Arial"/>
          <w:sz w:val="24"/>
          <w:szCs w:val="24"/>
        </w:rPr>
        <w:br/>
        <w:t>– uomo, fauna e flora;</w:t>
      </w:r>
      <w:r w:rsidRPr="00AE296A">
        <w:rPr>
          <w:rFonts w:ascii="Arial" w:hAnsi="Arial" w:cs="Arial"/>
          <w:sz w:val="24"/>
          <w:szCs w:val="24"/>
        </w:rPr>
        <w:br/>
        <w:t>– suolo, acqua, aria e clima;</w:t>
      </w:r>
      <w:r w:rsidRPr="00AE296A">
        <w:rPr>
          <w:rFonts w:ascii="Arial" w:hAnsi="Arial" w:cs="Arial"/>
          <w:sz w:val="24"/>
          <w:szCs w:val="24"/>
        </w:rPr>
        <w:br/>
        <w:t>– beni materiali e patrimonio culturale;</w:t>
      </w:r>
      <w:r w:rsidRPr="00AE296A">
        <w:rPr>
          <w:rFonts w:ascii="Arial" w:hAnsi="Arial" w:cs="Arial"/>
          <w:sz w:val="24"/>
          <w:szCs w:val="24"/>
        </w:rPr>
        <w:br/>
        <w:t>valutando anche l’interazione tra tali fattori, in modo da poter individuare la soluzione progettuale più idonea al perseguimento degli obiettivi di cui al co. 3 dell’art. 4 del D.L.vo n. 152/2006.</w:t>
      </w:r>
    </w:p>
    <w:p w:rsidR="00C5532B" w:rsidRPr="00AE296A" w:rsidRDefault="00C5532B" w:rsidP="00C5532B">
      <w:pPr>
        <w:pStyle w:val="NormaleWeb"/>
        <w:shd w:val="clear" w:color="auto" w:fill="FFFFFF"/>
        <w:spacing w:before="0" w:beforeAutospacing="0" w:after="0" w:afterAutospacing="0" w:line="260" w:lineRule="atLeast"/>
        <w:textAlignment w:val="baseline"/>
        <w:rPr>
          <w:rFonts w:ascii="Arial" w:hAnsi="Arial" w:cs="Arial"/>
          <w:color w:val="646464"/>
        </w:rPr>
      </w:pPr>
      <w:r w:rsidRPr="00AE296A">
        <w:rPr>
          <w:rFonts w:ascii="Arial" w:hAnsi="Arial" w:cs="Arial"/>
          <w:color w:val="646464"/>
        </w:rPr>
        <w:t xml:space="preserve">La valutazione di impatto ambientale, all’interno della quale si colloca la fase di verifica di assoggettabilità alla VIA stessa come prevede l’art. 19 del D.L.vo n. 152/2006, riguarda i </w:t>
      </w:r>
      <w:r w:rsidRPr="006A0D60">
        <w:rPr>
          <w:rFonts w:ascii="Arial" w:hAnsi="Arial" w:cs="Arial"/>
          <w:b/>
          <w:color w:val="646464"/>
        </w:rPr>
        <w:t>progetti definiti dall’art. 5 come “la realizzazione di lavori di costruzione o di altri impianti od opere e di altri interventi sull’ambiente naturale o sul paesaggio, compresi quelli destinati allo sfruttamento delle risorse del suolo</w:t>
      </w:r>
      <w:r w:rsidRPr="00AE296A">
        <w:rPr>
          <w:rFonts w:ascii="Arial" w:hAnsi="Arial" w:cs="Arial"/>
          <w:color w:val="646464"/>
        </w:rPr>
        <w:t>”, quindi nella nozione di progetto rientrano la costruzione e la modifica degli impianti o delle opere interessate riportate negli Allegati II, III e IV alla Parte II del decreto </w:t>
      </w:r>
    </w:p>
    <w:p w:rsidR="00C5532B" w:rsidRPr="00AE296A" w:rsidRDefault="00C5532B" w:rsidP="00C5532B">
      <w:pPr>
        <w:pStyle w:val="NormaleWeb"/>
        <w:shd w:val="clear" w:color="auto" w:fill="FFFFFF"/>
        <w:spacing w:before="0" w:beforeAutospacing="0" w:after="0" w:afterAutospacing="0" w:line="260" w:lineRule="atLeast"/>
        <w:textAlignment w:val="baseline"/>
        <w:rPr>
          <w:rFonts w:ascii="Arial" w:hAnsi="Arial" w:cs="Arial"/>
          <w:color w:val="646464"/>
        </w:rPr>
      </w:pPr>
      <w:r w:rsidRPr="006A0D60">
        <w:rPr>
          <w:rFonts w:ascii="Arial" w:hAnsi="Arial" w:cs="Arial"/>
          <w:color w:val="646464"/>
          <w:u w:val="single"/>
        </w:rPr>
        <w:t>Qualora i progetti risultino destinati esclusivamente alla difesa nazionale è possibile la loro esclusione non solo dalla VIA</w:t>
      </w:r>
      <w:r w:rsidRPr="00AE296A">
        <w:rPr>
          <w:rFonts w:ascii="Arial" w:hAnsi="Arial" w:cs="Arial"/>
          <w:color w:val="646464"/>
        </w:rPr>
        <w:t xml:space="preserve">, ma addirittura “dal campo di applicazione del decreto” e ciò è ammesso se l’applicabilità delle disposizioni del D.L.vo n. 152/2006 può pregiudicare gli scopi della difesa nazionale. A tal fine l’autorità competente in sede statale, quindi </w:t>
      </w:r>
      <w:r w:rsidRPr="006A0D60">
        <w:rPr>
          <w:rFonts w:ascii="Arial" w:hAnsi="Arial" w:cs="Arial"/>
          <w:color w:val="646464"/>
          <w:u w:val="single"/>
        </w:rPr>
        <w:t xml:space="preserve">il Ministero dell’Ambiente e della Tutela del Territorio e del Mare (MATTM) valuta “caso per caso” i progetti interessati </w:t>
      </w:r>
      <w:r w:rsidRPr="00AE296A">
        <w:rPr>
          <w:rFonts w:ascii="Arial" w:hAnsi="Arial" w:cs="Arial"/>
          <w:color w:val="646464"/>
        </w:rPr>
        <w:t>e l’esclusione è stabilita tramite un apposito decreto interministeriale a firma del MATTM e del Ministero della Difesa (co. 10 dell’art. 6 del D.L.vo n. 152/2006).</w:t>
      </w:r>
      <w:r w:rsidRPr="00AE296A">
        <w:rPr>
          <w:rFonts w:ascii="Arial" w:hAnsi="Arial" w:cs="Arial"/>
          <w:color w:val="646464"/>
        </w:rPr>
        <w:br/>
        <w:t> </w:t>
      </w:r>
    </w:p>
    <w:p w:rsidR="00C5532B" w:rsidRPr="00AE296A" w:rsidRDefault="00C5532B" w:rsidP="00C5532B">
      <w:pPr>
        <w:pStyle w:val="NormaleWeb"/>
        <w:shd w:val="clear" w:color="auto" w:fill="FFFFFF"/>
        <w:spacing w:before="0" w:beforeAutospacing="0" w:after="0" w:afterAutospacing="0" w:line="260" w:lineRule="atLeast"/>
        <w:textAlignment w:val="baseline"/>
        <w:rPr>
          <w:rFonts w:ascii="Arial" w:hAnsi="Arial" w:cs="Arial"/>
          <w:color w:val="646464"/>
        </w:rPr>
      </w:pPr>
      <w:r w:rsidRPr="00AE296A">
        <w:rPr>
          <w:rFonts w:ascii="Arial" w:hAnsi="Arial" w:cs="Arial"/>
          <w:color w:val="646464"/>
        </w:rPr>
        <w:t xml:space="preserve">Tuttavia la priorità della difesa non rappresenta l’unica possibilità di esclusione. Infatti, il co. 11 dell’art. 6 </w:t>
      </w:r>
      <w:r w:rsidRPr="006A0D60">
        <w:rPr>
          <w:rFonts w:ascii="Arial" w:hAnsi="Arial" w:cs="Arial"/>
          <w:color w:val="646464"/>
          <w:u w:val="single"/>
        </w:rPr>
        <w:t>prevede l’esclusione</w:t>
      </w:r>
      <w:r w:rsidRPr="00AE296A">
        <w:rPr>
          <w:rFonts w:ascii="Arial" w:hAnsi="Arial" w:cs="Arial"/>
          <w:color w:val="646464"/>
        </w:rPr>
        <w:t xml:space="preserve">, anche in questo caso non solo dalla VIA, ma da tutto il D.L.vo n.152/2006, per </w:t>
      </w:r>
      <w:r w:rsidRPr="006A0D60">
        <w:rPr>
          <w:rFonts w:ascii="Arial" w:hAnsi="Arial" w:cs="Arial"/>
          <w:color w:val="646464"/>
          <w:u w:val="single"/>
        </w:rPr>
        <w:t>gli interventi disposti in via d’urgenza ai sensi dei co. 2 e 5 dell’art. 5 della L. n. 225/1992 (“Istituzione del Servizio nazionale della protezione civile”),</w:t>
      </w:r>
      <w:r w:rsidRPr="00AE296A">
        <w:rPr>
          <w:rFonts w:ascii="Arial" w:hAnsi="Arial" w:cs="Arial"/>
          <w:color w:val="646464"/>
        </w:rPr>
        <w:t xml:space="preserve"> per i quali non risulti possibile svolgere la VIA stessa in quanto finalizzati a “salvaguardare l’incolumità delle persone e di mettere in sicurezza gli immobili da un pericolo imminente o </w:t>
      </w:r>
      <w:r w:rsidRPr="00AE296A">
        <w:rPr>
          <w:rFonts w:ascii="Arial" w:hAnsi="Arial" w:cs="Arial"/>
          <w:color w:val="646464"/>
        </w:rPr>
        <w:lastRenderedPageBreak/>
        <w:t xml:space="preserve">a seguito di calamità”. Lo stesso co. 11 stabilisce le condizioni che devono essere soddisfatte affinché gli interventi disposti in via d’urgenza possano essere esclusi dalla VIA; </w:t>
      </w:r>
      <w:r w:rsidRPr="006A0D60">
        <w:rPr>
          <w:rFonts w:ascii="Arial" w:hAnsi="Arial" w:cs="Arial"/>
          <w:color w:val="646464"/>
          <w:u w:val="single"/>
        </w:rPr>
        <w:t>sostanzialmente l’autorità competente deve esaminare se è comunque possibile una forma valutativa alternativa alla VIA, mettere a disposizione del pubblico l’esito delle valutazioni ambientali eventualmente compiute nonché la motivata decisione di esclusione ed informare la Commissione Europea circa le motivazioni di esclusioni e le valutazioni compiute prima del rilascio delle necessarie autorizzazioni.</w:t>
      </w:r>
      <w:r w:rsidRPr="00AE296A">
        <w:rPr>
          <w:rFonts w:ascii="Arial" w:hAnsi="Arial" w:cs="Arial"/>
          <w:color w:val="646464"/>
        </w:rPr>
        <w:br/>
        <w:t> </w:t>
      </w:r>
    </w:p>
    <w:p w:rsidR="00C5532B" w:rsidRPr="00AE296A" w:rsidRDefault="00C5532B" w:rsidP="00C5532B">
      <w:pPr>
        <w:pStyle w:val="NormaleWeb"/>
        <w:shd w:val="clear" w:color="auto" w:fill="FFFFFF"/>
        <w:spacing w:before="0" w:beforeAutospacing="0" w:after="0" w:afterAutospacing="0" w:line="260" w:lineRule="atLeast"/>
        <w:textAlignment w:val="baseline"/>
        <w:rPr>
          <w:rFonts w:ascii="Arial" w:hAnsi="Arial" w:cs="Arial"/>
          <w:color w:val="646464"/>
        </w:rPr>
      </w:pPr>
      <w:r w:rsidRPr="00AE296A">
        <w:rPr>
          <w:rFonts w:ascii="Arial" w:hAnsi="Arial" w:cs="Arial"/>
          <w:color w:val="646464"/>
        </w:rPr>
        <w:t xml:space="preserve">Relativamente ai progetti soggetti alla valutazione di impatto ambientale, dal punto di vista operativo è </w:t>
      </w:r>
      <w:r w:rsidRPr="006A0D60">
        <w:rPr>
          <w:rFonts w:ascii="Arial" w:hAnsi="Arial" w:cs="Arial"/>
          <w:b/>
          <w:color w:val="646464"/>
        </w:rPr>
        <w:t>opportuno tenere distinte la verifica di assoggettabilità alla VIA dalla VIA vera e propria,</w:t>
      </w:r>
      <w:r w:rsidRPr="00AE296A">
        <w:rPr>
          <w:rFonts w:ascii="Arial" w:hAnsi="Arial" w:cs="Arial"/>
          <w:color w:val="646464"/>
        </w:rPr>
        <w:t xml:space="preserve"> in quanto nel Titolo III della Parte II del D.L.vo n. 152/2006 si rinvengono procedure specifiche per ciascuna di esse.</w:t>
      </w:r>
      <w:r w:rsidRPr="00AE296A">
        <w:rPr>
          <w:rFonts w:ascii="Arial" w:hAnsi="Arial" w:cs="Arial"/>
          <w:color w:val="646464"/>
        </w:rPr>
        <w:br/>
        <w:t> </w:t>
      </w:r>
    </w:p>
    <w:p w:rsidR="00C5532B" w:rsidRPr="006A0D60" w:rsidRDefault="00C5532B" w:rsidP="00C5532B">
      <w:pPr>
        <w:pStyle w:val="Titolo2"/>
        <w:shd w:val="clear" w:color="auto" w:fill="FFFFFF"/>
        <w:spacing w:before="0" w:line="338" w:lineRule="atLeast"/>
        <w:textAlignment w:val="baseline"/>
        <w:rPr>
          <w:rFonts w:ascii="Arial" w:hAnsi="Arial" w:cs="Arial"/>
          <w:bCs w:val="0"/>
          <w:color w:val="363636"/>
          <w:sz w:val="24"/>
          <w:szCs w:val="24"/>
        </w:rPr>
      </w:pPr>
      <w:r w:rsidRPr="006A0D60">
        <w:rPr>
          <w:rFonts w:ascii="Arial" w:hAnsi="Arial" w:cs="Arial"/>
          <w:bCs w:val="0"/>
          <w:color w:val="363636"/>
          <w:sz w:val="24"/>
          <w:szCs w:val="24"/>
        </w:rPr>
        <w:t>La verifica di assoggettabilità alla VIA</w:t>
      </w:r>
    </w:p>
    <w:p w:rsidR="00C5532B" w:rsidRPr="006A0D60" w:rsidRDefault="00C5532B" w:rsidP="00C5532B">
      <w:pPr>
        <w:pStyle w:val="NormaleWeb"/>
        <w:shd w:val="clear" w:color="auto" w:fill="FFFFFF"/>
        <w:spacing w:before="0" w:beforeAutospacing="0" w:after="0" w:afterAutospacing="0" w:line="260" w:lineRule="atLeast"/>
        <w:textAlignment w:val="baseline"/>
        <w:rPr>
          <w:rFonts w:ascii="Arial" w:hAnsi="Arial" w:cs="Arial"/>
          <w:color w:val="646464"/>
          <w:u w:val="single"/>
        </w:rPr>
      </w:pPr>
      <w:r w:rsidRPr="00AE296A">
        <w:rPr>
          <w:rFonts w:ascii="Arial" w:hAnsi="Arial" w:cs="Arial"/>
          <w:color w:val="646464"/>
        </w:rPr>
        <w:t xml:space="preserve">La verifica di assoggettabilità è definita come la procedura che deve essere attivata per “valutare, ove previsto, se progetti possono avere un impatto significativo e negativo sull’ambiente” e devono essere sottoposti alla fase di VIA. </w:t>
      </w:r>
      <w:r w:rsidRPr="006A0D60">
        <w:rPr>
          <w:rFonts w:ascii="Arial" w:hAnsi="Arial" w:cs="Arial"/>
          <w:color w:val="646464"/>
          <w:u w:val="single"/>
        </w:rPr>
        <w:t>Quindi rappresenta una fase propedeutica alla VIA vera e propria. </w:t>
      </w:r>
    </w:p>
    <w:p w:rsidR="00C5532B" w:rsidRPr="00AE296A" w:rsidRDefault="00C5532B" w:rsidP="00C5532B">
      <w:pPr>
        <w:pStyle w:val="NormaleWeb"/>
        <w:shd w:val="clear" w:color="auto" w:fill="FFFFFF"/>
        <w:spacing w:before="0" w:beforeAutospacing="0" w:after="0" w:afterAutospacing="0" w:line="260" w:lineRule="atLeast"/>
        <w:textAlignment w:val="baseline"/>
        <w:rPr>
          <w:rFonts w:ascii="Arial" w:hAnsi="Arial" w:cs="Arial"/>
          <w:color w:val="646464"/>
        </w:rPr>
      </w:pPr>
      <w:r w:rsidRPr="00AE296A">
        <w:rPr>
          <w:rFonts w:ascii="Arial" w:hAnsi="Arial" w:cs="Arial"/>
          <w:color w:val="646464"/>
        </w:rPr>
        <w:t>Secondo quanto stabilito dall’art. 20 del D.L.vo n. 152/2006, la verifica di assoggettabilità alla VIA (nota anche come “screening”) è prevista per: </w:t>
      </w:r>
    </w:p>
    <w:p w:rsidR="00C5532B" w:rsidRPr="00AE296A" w:rsidRDefault="00C5532B" w:rsidP="00C5532B">
      <w:pPr>
        <w:pStyle w:val="NormaleWeb"/>
        <w:shd w:val="clear" w:color="auto" w:fill="FFFFFF"/>
        <w:spacing w:before="0" w:beforeAutospacing="0" w:after="0" w:afterAutospacing="0" w:line="260" w:lineRule="atLeast"/>
        <w:textAlignment w:val="baseline"/>
        <w:rPr>
          <w:rFonts w:ascii="Arial" w:hAnsi="Arial" w:cs="Arial"/>
          <w:color w:val="646464"/>
        </w:rPr>
      </w:pPr>
      <w:r w:rsidRPr="00AE296A">
        <w:rPr>
          <w:rFonts w:ascii="Arial" w:hAnsi="Arial" w:cs="Arial"/>
          <w:color w:val="646464"/>
        </w:rPr>
        <w:t xml:space="preserve">– i progetti elencati nell’Allegato II alla Parte II che servano esclusivamente o essenzialmente </w:t>
      </w:r>
      <w:r w:rsidRPr="003F08E8">
        <w:rPr>
          <w:rFonts w:ascii="Arial" w:hAnsi="Arial" w:cs="Arial"/>
          <w:color w:val="646464"/>
          <w:u w:val="single"/>
        </w:rPr>
        <w:t>per lo sviluppo ed il collaudo di nuovi metodi o prodotti e non siano utilizzati per più di due anni</w:t>
      </w:r>
      <w:r w:rsidRPr="00AE296A">
        <w:rPr>
          <w:rFonts w:ascii="Arial" w:hAnsi="Arial" w:cs="Arial"/>
          <w:color w:val="646464"/>
        </w:rPr>
        <w:t>; </w:t>
      </w:r>
      <w:r w:rsidRPr="00AE296A">
        <w:rPr>
          <w:rFonts w:ascii="Arial" w:hAnsi="Arial" w:cs="Arial"/>
          <w:color w:val="646464"/>
        </w:rPr>
        <w:br/>
        <w:t xml:space="preserve">– </w:t>
      </w:r>
      <w:r w:rsidRPr="003F08E8">
        <w:rPr>
          <w:rFonts w:ascii="Arial" w:hAnsi="Arial" w:cs="Arial"/>
          <w:color w:val="646464"/>
          <w:u w:val="single"/>
        </w:rPr>
        <w:t xml:space="preserve">le modifiche o le estensioni dei progetti </w:t>
      </w:r>
      <w:r w:rsidRPr="00AE296A">
        <w:rPr>
          <w:rFonts w:ascii="Arial" w:hAnsi="Arial" w:cs="Arial"/>
          <w:color w:val="646464"/>
        </w:rPr>
        <w:t>riportati nell’Allegato II la cui realizzazione “potenzialmente può produrre effetti negativi e significativi sull’ambiente”;</w:t>
      </w:r>
      <w:r w:rsidRPr="00AE296A">
        <w:rPr>
          <w:rFonts w:ascii="Arial" w:hAnsi="Arial" w:cs="Arial"/>
          <w:color w:val="646464"/>
        </w:rPr>
        <w:br/>
        <w:t> – i progetti elencati nell’Allegato IV.</w:t>
      </w:r>
      <w:r w:rsidRPr="00AE296A">
        <w:rPr>
          <w:rFonts w:ascii="Arial" w:hAnsi="Arial" w:cs="Arial"/>
          <w:color w:val="646464"/>
        </w:rPr>
        <w:br/>
        <w:t> – i progetti di cui all’Allegato IV ricadenti all’interno di aree naturali protette, le soglie dimensionali, ove previste, sono ridotte del cinquanta per cento.</w:t>
      </w:r>
      <w:r w:rsidRPr="00AE296A">
        <w:rPr>
          <w:rFonts w:ascii="Arial" w:hAnsi="Arial" w:cs="Arial"/>
          <w:color w:val="646464"/>
        </w:rPr>
        <w:br/>
        <w:t> </w:t>
      </w:r>
    </w:p>
    <w:p w:rsidR="00C5532B" w:rsidRPr="00AE296A" w:rsidRDefault="00C5532B" w:rsidP="00C5532B">
      <w:pPr>
        <w:pStyle w:val="NormaleWeb"/>
        <w:shd w:val="clear" w:color="auto" w:fill="FFFFFF"/>
        <w:spacing w:before="0" w:beforeAutospacing="0" w:after="0" w:afterAutospacing="0" w:line="260" w:lineRule="atLeast"/>
        <w:textAlignment w:val="baseline"/>
        <w:rPr>
          <w:rFonts w:ascii="Arial" w:hAnsi="Arial" w:cs="Arial"/>
          <w:color w:val="646464"/>
        </w:rPr>
      </w:pPr>
      <w:r w:rsidRPr="00AE296A">
        <w:rPr>
          <w:rFonts w:ascii="Arial" w:hAnsi="Arial" w:cs="Arial"/>
          <w:color w:val="646464"/>
        </w:rPr>
        <w:t>L’art. 7 del D.L.vo n. 152/2006 stabilisce che la competenza circa i progetti di cui all’Allegato II è del MATTM, mentre i progetti di cui all’Allegato IV sono di competenza delle autorità alle quali le leggi regionali o delle province autonome abbiano affidato compiti di tutela, protezione e valorizzazione ambientale (vedasi co. 6 dell’art. 7), pertanto nel panorama nazionale vi sono situazioni differenti da Regione a Regione con competenze affidate spesso anche ai Comuni.</w:t>
      </w:r>
      <w:r w:rsidRPr="00AE296A">
        <w:rPr>
          <w:rFonts w:ascii="Arial" w:hAnsi="Arial" w:cs="Arial"/>
          <w:color w:val="646464"/>
        </w:rPr>
        <w:br/>
        <w:t> L’Allegato IV e le soglie dimensionali in esso stabilite meritano approfondimenti in quanto oggetto di contenziosi e, soprattutto, di procedure di infrazioni comunitarie, quindi occorre comprendere quale sia stata la sua evoluzione normativa a livello comunitario e nazionale. La Direttiva 85/337/CEE, prima direttiva comunitaria in tema di VIA, (recepita in Italia con la L. n. 349/1986 e completata con strumenti attuativi quali il DPCM 377/88, il DPCM 27.12.1988 ed il DPR 16.4.1996) forniva due elenchi di progetti:</w:t>
      </w:r>
      <w:r w:rsidRPr="00AE296A">
        <w:rPr>
          <w:rFonts w:ascii="Arial" w:hAnsi="Arial" w:cs="Arial"/>
          <w:color w:val="646464"/>
        </w:rPr>
        <w:br/>
        <w:t> – quelli riportati nell’Allegato I della direttiva per i quali era obbligatoria la VIA;</w:t>
      </w:r>
      <w:r w:rsidRPr="00AE296A">
        <w:rPr>
          <w:rFonts w:ascii="Arial" w:hAnsi="Arial" w:cs="Arial"/>
          <w:color w:val="646464"/>
        </w:rPr>
        <w:br/>
        <w:t> – quelli di cui all’Allegato II (privi di soglie) per i quali gli Stati membri avrebbero potuto stabilire l’obbligo della VIA in funzione delle loro caratteristiche specificando “alcuni tipi di progetti da sottoporre ad una valutazione d’impatto o fissare criteri e/o soglie limite” (vedasi paragrafo 2 dell’art. 4 della Direttiva 87/337/CEE testo storico).</w:t>
      </w:r>
      <w:r w:rsidRPr="00AE296A">
        <w:rPr>
          <w:rFonts w:ascii="Arial" w:hAnsi="Arial" w:cs="Arial"/>
          <w:color w:val="646464"/>
        </w:rPr>
        <w:br/>
        <w:t xml:space="preserve"> La Direttiva 85/337/CEE non forniva alcuna indicazione per la fissazione delle soglie, pertanto le soglie stabilite dal D.P.R. 16 aprile 1996 (atto di indirizzo e coordinamento alle Regioni atto di indirizzo e coordinamento relativo alle condizioni, criteri e norme tecniche per l’applicazione della procedura d’impatto ambientale ai progetti inclusi nell’Allegato II alla Direttiva del 85/337/CEE, in attuazione del co. 1 dell’art. 40 della L. n. 146/1994 – </w:t>
      </w:r>
      <w:r w:rsidRPr="00AE296A">
        <w:rPr>
          <w:rFonts w:ascii="Arial" w:hAnsi="Arial" w:cs="Arial"/>
          <w:color w:val="646464"/>
        </w:rPr>
        <w:lastRenderedPageBreak/>
        <w:t>legge comunitaria 1993) erano conformi alle disposizioni comunitarie. Ma con la Direttiva 97/11/CE, le disposizioni di cui alla direttiva madre vennero modificate, per cui all’art. 4 venne previsto che per valutare l’assoggettabilità alla VIA dei progetti di cui all’Allegato II gli Stati membri avrebbero dovuto procedere:</w:t>
      </w:r>
      <w:r w:rsidRPr="00AE296A">
        <w:rPr>
          <w:rFonts w:ascii="Arial" w:hAnsi="Arial" w:cs="Arial"/>
          <w:color w:val="646464"/>
        </w:rPr>
        <w:br/>
        <w:t> </w:t>
      </w:r>
      <w:r w:rsidRPr="00AE296A">
        <w:rPr>
          <w:rFonts w:ascii="Arial" w:hAnsi="Arial" w:cs="Arial"/>
          <w:color w:val="646464"/>
        </w:rPr>
        <w:br/>
        <w:t>– esaminandoli “caso per caso”,</w:t>
      </w:r>
      <w:r w:rsidRPr="00AE296A">
        <w:rPr>
          <w:rFonts w:ascii="Arial" w:hAnsi="Arial" w:cs="Arial"/>
          <w:color w:val="646464"/>
        </w:rPr>
        <w:br/>
        <w:t> </w:t>
      </w:r>
      <w:r w:rsidRPr="00AE296A">
        <w:rPr>
          <w:rFonts w:ascii="Arial" w:hAnsi="Arial" w:cs="Arial"/>
          <w:color w:val="646464"/>
        </w:rPr>
        <w:br/>
        <w:t>– o fissando soglie o criteri tenendo conto dei relativi criteri di selezione riportati nell’Allegato III alla direttiva stessa.</w:t>
      </w:r>
      <w:r w:rsidRPr="00AE296A">
        <w:rPr>
          <w:rFonts w:ascii="Arial" w:hAnsi="Arial" w:cs="Arial"/>
          <w:color w:val="646464"/>
        </w:rPr>
        <w:br/>
        <w:t> </w:t>
      </w:r>
    </w:p>
    <w:p w:rsidR="00C5532B" w:rsidRPr="003F08E8" w:rsidRDefault="00C5532B" w:rsidP="00C5532B">
      <w:pPr>
        <w:pStyle w:val="Titolo2"/>
        <w:shd w:val="clear" w:color="auto" w:fill="FFFFFF"/>
        <w:spacing w:before="0" w:line="338" w:lineRule="atLeast"/>
        <w:textAlignment w:val="baseline"/>
        <w:rPr>
          <w:rFonts w:ascii="Arial" w:hAnsi="Arial" w:cs="Arial"/>
          <w:bCs w:val="0"/>
          <w:color w:val="363636"/>
          <w:sz w:val="24"/>
          <w:szCs w:val="24"/>
        </w:rPr>
      </w:pPr>
      <w:r w:rsidRPr="003F08E8">
        <w:rPr>
          <w:rFonts w:ascii="Arial" w:hAnsi="Arial" w:cs="Arial"/>
          <w:bCs w:val="0"/>
          <w:color w:val="363636"/>
          <w:sz w:val="24"/>
          <w:szCs w:val="24"/>
        </w:rPr>
        <w:t>La valutazione di impatto ambientale vera e propria</w:t>
      </w:r>
    </w:p>
    <w:p w:rsidR="003F08E8" w:rsidRDefault="00C5532B" w:rsidP="00C5532B">
      <w:pPr>
        <w:pStyle w:val="NormaleWeb"/>
        <w:shd w:val="clear" w:color="auto" w:fill="FFFFFF"/>
        <w:spacing w:before="0" w:beforeAutospacing="0" w:after="0" w:afterAutospacing="0" w:line="260" w:lineRule="atLeast"/>
        <w:textAlignment w:val="baseline"/>
        <w:rPr>
          <w:rFonts w:ascii="Arial" w:hAnsi="Arial" w:cs="Arial"/>
          <w:color w:val="646464"/>
        </w:rPr>
      </w:pPr>
      <w:r w:rsidRPr="00AE296A">
        <w:rPr>
          <w:rFonts w:ascii="Arial" w:hAnsi="Arial" w:cs="Arial"/>
          <w:color w:val="646464"/>
        </w:rPr>
        <w:t>In base a quanto stabilito dai co. 6 e 7 dell’art. 6 la VIA è obbligatoriamente prevista per:</w:t>
      </w:r>
      <w:r w:rsidRPr="00AE296A">
        <w:rPr>
          <w:rFonts w:ascii="Arial" w:hAnsi="Arial" w:cs="Arial"/>
          <w:color w:val="646464"/>
        </w:rPr>
        <w:br/>
        <w:t> i progetti di cui agli Allegati II e III alla Parte II del D.L.vo n. 152/2006;</w:t>
      </w:r>
      <w:r w:rsidRPr="00AE296A">
        <w:rPr>
          <w:rFonts w:ascii="Arial" w:hAnsi="Arial" w:cs="Arial"/>
          <w:color w:val="646464"/>
        </w:rPr>
        <w:br/>
        <w:t xml:space="preserve"> i progetti di cui all’Allegato IV, relativi ad opere o interventi di nuova realizzazione, che ricadono, anche parzialmente, all’interno di aree naturali protette come definite </w:t>
      </w:r>
      <w:r w:rsidR="00FD1C5C" w:rsidRPr="00AE296A">
        <w:rPr>
          <w:rFonts w:ascii="Arial" w:hAnsi="Arial" w:cs="Arial"/>
          <w:color w:val="646464"/>
        </w:rPr>
        <w:t>d</w:t>
      </w:r>
      <w:r w:rsidRPr="00AE296A">
        <w:rPr>
          <w:rFonts w:ascii="Arial" w:hAnsi="Arial" w:cs="Arial"/>
          <w:color w:val="646464"/>
        </w:rPr>
        <w:t>alla L. n. 394/1991;</w:t>
      </w:r>
      <w:r w:rsidRPr="00AE296A">
        <w:rPr>
          <w:rFonts w:ascii="Arial" w:hAnsi="Arial" w:cs="Arial"/>
          <w:color w:val="646464"/>
        </w:rPr>
        <w:br/>
        <w:t> </w:t>
      </w:r>
      <w:r w:rsidRPr="003F08E8">
        <w:rPr>
          <w:rFonts w:ascii="Arial" w:hAnsi="Arial" w:cs="Arial"/>
          <w:color w:val="646464"/>
          <w:u w:val="single"/>
        </w:rPr>
        <w:t>per i seguenti progetti qualora la procedura di verifica di assoggettabilità alla VIA abbia dimostrato che “possano produrre impatti significativi e negativi sull’ambiente</w:t>
      </w:r>
      <w:r w:rsidRPr="00AE296A">
        <w:rPr>
          <w:rFonts w:ascii="Arial" w:hAnsi="Arial" w:cs="Arial"/>
          <w:color w:val="646464"/>
        </w:rPr>
        <w:t>”:</w:t>
      </w:r>
      <w:r w:rsidRPr="00AE296A">
        <w:rPr>
          <w:rFonts w:ascii="Arial" w:hAnsi="Arial" w:cs="Arial"/>
          <w:color w:val="646464"/>
        </w:rPr>
        <w:br/>
        <w:t> progetti elencati nell’Allegato II che servono esclusivamente o essenzialmente per lo sviluppo ed il collaudo di nuovi metodi o prodotti e non sono utilizzati per più di due anni;</w:t>
      </w:r>
      <w:r w:rsidRPr="00AE296A">
        <w:rPr>
          <w:rFonts w:ascii="Arial" w:hAnsi="Arial" w:cs="Arial"/>
          <w:color w:val="646464"/>
        </w:rPr>
        <w:br/>
        <w:t> modifiche o estensioni dei progetti elencati nell’Allegato II che possono avere impatti significativi e negativi sull’ambiente;</w:t>
      </w:r>
      <w:r w:rsidRPr="00AE296A">
        <w:rPr>
          <w:rFonts w:ascii="Arial" w:hAnsi="Arial" w:cs="Arial"/>
          <w:color w:val="646464"/>
        </w:rPr>
        <w:br/>
        <w:t> progetti elencati nell’Allegato IV.</w:t>
      </w:r>
      <w:r w:rsidRPr="00AE296A">
        <w:rPr>
          <w:rFonts w:ascii="Arial" w:hAnsi="Arial" w:cs="Arial"/>
          <w:color w:val="646464"/>
        </w:rPr>
        <w:br/>
        <w:t> </w:t>
      </w:r>
    </w:p>
    <w:p w:rsidR="00FD1C5C" w:rsidRPr="00AE296A" w:rsidRDefault="00C5532B" w:rsidP="00C5532B">
      <w:pPr>
        <w:pStyle w:val="NormaleWeb"/>
        <w:shd w:val="clear" w:color="auto" w:fill="FFFFFF"/>
        <w:spacing w:before="0" w:beforeAutospacing="0" w:after="0" w:afterAutospacing="0" w:line="260" w:lineRule="atLeast"/>
        <w:textAlignment w:val="baseline"/>
        <w:rPr>
          <w:rFonts w:ascii="Arial" w:hAnsi="Arial" w:cs="Arial"/>
          <w:color w:val="646464"/>
        </w:rPr>
      </w:pPr>
      <w:r w:rsidRPr="00AE296A">
        <w:rPr>
          <w:rFonts w:ascii="Arial" w:hAnsi="Arial" w:cs="Arial"/>
          <w:color w:val="646464"/>
        </w:rPr>
        <w:t xml:space="preserve">Rispetto allo screening, la VIA prevede </w:t>
      </w:r>
      <w:r w:rsidRPr="003F08E8">
        <w:rPr>
          <w:rFonts w:ascii="Arial" w:hAnsi="Arial" w:cs="Arial"/>
          <w:b/>
          <w:color w:val="646464"/>
        </w:rPr>
        <w:t>un maggior livello di dettaglio delle informazioni che devono essere prodotte all’autorità competente</w:t>
      </w:r>
      <w:r w:rsidRPr="00AE296A">
        <w:rPr>
          <w:rFonts w:ascii="Arial" w:hAnsi="Arial" w:cs="Arial"/>
          <w:color w:val="646464"/>
        </w:rPr>
        <w:t>, tant’è che all’art. 21 del D.L.vo n. 152/2006 viene prevista anche una fase, facoltativa, di consultazione tra il proponente, l’autorità competente ed i soggetti competenti in materia ambientale, finalizzata alla definizione del grado di approfondimento delle informazioni, della metodologia da seguirsi necessaria alla redazione dello studio di impatto ambientale (SIA).</w:t>
      </w:r>
      <w:r w:rsidRPr="00AE296A">
        <w:rPr>
          <w:rFonts w:ascii="Arial" w:hAnsi="Arial" w:cs="Arial"/>
          <w:color w:val="646464"/>
        </w:rPr>
        <w:br/>
        <w:t> </w:t>
      </w:r>
      <w:r w:rsidRPr="003F08E8">
        <w:rPr>
          <w:rFonts w:ascii="Arial" w:hAnsi="Arial" w:cs="Arial"/>
          <w:b/>
          <w:color w:val="646464"/>
        </w:rPr>
        <w:t>Tale fase,</w:t>
      </w:r>
      <w:r w:rsidRPr="00AE296A">
        <w:rPr>
          <w:rFonts w:ascii="Arial" w:hAnsi="Arial" w:cs="Arial"/>
          <w:color w:val="646464"/>
        </w:rPr>
        <w:t xml:space="preserve"> conosciuta anche con il termine di “scoping”, </w:t>
      </w:r>
      <w:r w:rsidRPr="003F08E8">
        <w:rPr>
          <w:rFonts w:ascii="Arial" w:hAnsi="Arial" w:cs="Arial"/>
          <w:b/>
          <w:i/>
          <w:color w:val="646464"/>
        </w:rPr>
        <w:t>viene condotta sulla base del progetto preliminare e dello studio preliminare ambientale, nonché dell’elenco delle autorizzazioni, intese, concessioni, licenze, pareri nulla</w:t>
      </w:r>
      <w:r w:rsidRPr="003F08E8">
        <w:rPr>
          <w:rFonts w:ascii="Arial" w:hAnsi="Arial" w:cs="Arial"/>
          <w:b/>
          <w:color w:val="646464"/>
        </w:rPr>
        <w:t xml:space="preserve"> osta ed assensi necessari per la costruzione e l’esercizio del progetto, da prodursi prioritariamente in formato elettronico.</w:t>
      </w:r>
      <w:r w:rsidRPr="00AE296A">
        <w:rPr>
          <w:rFonts w:ascii="Arial" w:hAnsi="Arial" w:cs="Arial"/>
          <w:color w:val="646464"/>
        </w:rPr>
        <w:t xml:space="preserve"> E’ evidente che per progetti non già sottoposti a verifica di assoggettabilità alla VIA, i documenti previsti devono essere elaborati allo scopo, quindi a prima vista potrebbe risultare un onere aggiuntivo, ma lo scoping presenta vantaggi non trascurabili: il confronto preliminare può prevenire una successiva richiesta di integrazioni od ulteriori approfondimenti ed impegna l’autorità componente a verificare “l’esistenza di eventuali elementi di incompatibilità”, senza però vincolarla alla decisione prevista per la VIA.</w:t>
      </w:r>
      <w:r w:rsidRPr="00AE296A">
        <w:rPr>
          <w:rFonts w:ascii="Arial" w:hAnsi="Arial" w:cs="Arial"/>
          <w:color w:val="646464"/>
        </w:rPr>
        <w:br/>
        <w:t> La fase di consultazione deve concludersi entro 60 giorni con una espressa pronuncia dell’autorità competente sugli aspetti elencati dal co. 2 dell’art. 21.</w:t>
      </w:r>
      <w:r w:rsidRPr="00AE296A">
        <w:rPr>
          <w:rFonts w:ascii="Arial" w:hAnsi="Arial" w:cs="Arial"/>
          <w:color w:val="646464"/>
        </w:rPr>
        <w:br/>
        <w:t> </w:t>
      </w:r>
      <w:r w:rsidRPr="003F08E8">
        <w:rPr>
          <w:rFonts w:ascii="Arial" w:hAnsi="Arial" w:cs="Arial"/>
          <w:b/>
          <w:color w:val="646464"/>
        </w:rPr>
        <w:t>Prima di attivarsi per la presentazione dell’istanza, il proponente deve quindi elaborare lo studio di impatto ambientale (SIA)</w:t>
      </w:r>
      <w:r w:rsidRPr="00AE296A">
        <w:rPr>
          <w:rFonts w:ascii="Arial" w:hAnsi="Arial" w:cs="Arial"/>
          <w:color w:val="646464"/>
        </w:rPr>
        <w:t xml:space="preserve"> che rappresenta il documento principale riguardante gli aspetti ambientali e gli impatti del progetto. Il co. 3 dell’art. 22 del D.L.vo n. 152/2006 prevede un contenuto minimo per il SIA:</w:t>
      </w:r>
      <w:r w:rsidRPr="00AE296A">
        <w:rPr>
          <w:rFonts w:ascii="Arial" w:hAnsi="Arial" w:cs="Arial"/>
          <w:color w:val="646464"/>
        </w:rPr>
        <w:br/>
        <w:t> descrizione del progetto e delle sue caratteristiche, analizzando la zona in cui sarà localizzato;</w:t>
      </w:r>
      <w:r w:rsidRPr="00AE296A">
        <w:rPr>
          <w:rFonts w:ascii="Arial" w:hAnsi="Arial" w:cs="Arial"/>
          <w:color w:val="646464"/>
        </w:rPr>
        <w:br/>
        <w:t> descrizione delle misure previste per evitare, ridurre e possibilmente compensare gli impatti negativi rilevanti;</w:t>
      </w:r>
      <w:r w:rsidRPr="00AE296A">
        <w:rPr>
          <w:rFonts w:ascii="Arial" w:hAnsi="Arial" w:cs="Arial"/>
          <w:color w:val="646464"/>
        </w:rPr>
        <w:br/>
        <w:t xml:space="preserve"> indicazione dei dati necessari all’individuazione e valutazione dei principali impatti </w:t>
      </w:r>
      <w:r w:rsidRPr="00AE296A">
        <w:rPr>
          <w:rFonts w:ascii="Arial" w:hAnsi="Arial" w:cs="Arial"/>
          <w:color w:val="646464"/>
        </w:rPr>
        <w:lastRenderedPageBreak/>
        <w:t>sull’ambiente e sul patrimonio culturale che il progetto può produrre, sia in fase di realizzazione sia in fase di esercizio dell’opera;</w:t>
      </w:r>
      <w:r w:rsidRPr="00AE296A">
        <w:rPr>
          <w:rFonts w:ascii="Arial" w:hAnsi="Arial" w:cs="Arial"/>
          <w:color w:val="646464"/>
        </w:rPr>
        <w:br/>
        <w:t> descrizione sommaria delle principali alternative prese in esame, compresa l’opzione zero, illustrando le motivazioni della scelta progettuale per quanto attiene l’impatto ambientale;</w:t>
      </w:r>
      <w:r w:rsidRPr="00AE296A">
        <w:rPr>
          <w:rFonts w:ascii="Arial" w:hAnsi="Arial" w:cs="Arial"/>
          <w:color w:val="646464"/>
        </w:rPr>
        <w:br/>
        <w:t> piano di monitoraggio degli impatti che saranno prodotti.</w:t>
      </w:r>
      <w:r w:rsidRPr="00AE296A">
        <w:rPr>
          <w:rFonts w:ascii="Arial" w:hAnsi="Arial" w:cs="Arial"/>
          <w:color w:val="646464"/>
        </w:rPr>
        <w:br/>
        <w:t> Indicazioni di maggior dettaglio per la redazione del SIA sono forniti dall’Allegato VII alla Parte II del D.L.vo n. 152/2006, dal quale si desume altresì che il proponente debba effettuare un confronto, sotto il profilo ambientale, delle possibili alternative individuate con il progetto presentato.</w:t>
      </w:r>
      <w:r w:rsidRPr="00AE296A">
        <w:rPr>
          <w:rFonts w:ascii="Arial" w:hAnsi="Arial" w:cs="Arial"/>
          <w:color w:val="646464"/>
        </w:rPr>
        <w:br/>
        <w:t> Tutte le informazioni devono essere riassunte in una sintesi non tecnica per l’informazione del pubblico meno esperto.</w:t>
      </w:r>
      <w:r w:rsidRPr="00AE296A">
        <w:rPr>
          <w:rFonts w:ascii="Arial" w:hAnsi="Arial" w:cs="Arial"/>
          <w:color w:val="646464"/>
        </w:rPr>
        <w:br/>
        <w:t> </w:t>
      </w:r>
      <w:r w:rsidRPr="00AE296A">
        <w:rPr>
          <w:rFonts w:ascii="Arial" w:hAnsi="Arial" w:cs="Arial"/>
          <w:color w:val="646464"/>
        </w:rPr>
        <w:br/>
        <w:t>L’istanza deve essere presentata direttamente all’autorità competente che per i progetti di cui all’Allegato II è individuata nel MATTM, mentre per quelli di cui agli Allegati III e IV la competenza è attribuita secondo le disposizioni delle leggi regionali. La domanda deve essere corredata da:</w:t>
      </w:r>
      <w:r w:rsidRPr="00AE296A">
        <w:rPr>
          <w:rFonts w:ascii="Arial" w:hAnsi="Arial" w:cs="Arial"/>
          <w:color w:val="646464"/>
        </w:rPr>
        <w:br/>
        <w:t> progetto definitivo (ossia il progetto avente un livello di dettaglio analogo a quanto previsto dal co. 4 dell’art. 93 del D.L.vo n. 163/2006</w:t>
      </w:r>
      <w:bookmarkStart w:id="0" w:name="_ftnref2"/>
      <w:r w:rsidR="0015159A" w:rsidRPr="00AE296A">
        <w:rPr>
          <w:rFonts w:ascii="Arial" w:hAnsi="Arial" w:cs="Arial"/>
          <w:color w:val="646464"/>
        </w:rPr>
        <w:fldChar w:fldCharType="begin"/>
      </w:r>
      <w:r w:rsidRPr="00AE296A">
        <w:rPr>
          <w:rFonts w:ascii="Arial" w:hAnsi="Arial" w:cs="Arial"/>
          <w:color w:val="646464"/>
        </w:rPr>
        <w:instrText xml:space="preserve"> HYPERLINK "https://www.tuttoambiente.it/commenti-premium/cose-la-valutazione-impatto-ambientale-via/" \l "_ftn2" </w:instrText>
      </w:r>
      <w:r w:rsidR="0015159A" w:rsidRPr="00AE296A">
        <w:rPr>
          <w:rFonts w:ascii="Arial" w:hAnsi="Arial" w:cs="Arial"/>
          <w:color w:val="646464"/>
        </w:rPr>
        <w:fldChar w:fldCharType="separate"/>
      </w:r>
      <w:r w:rsidRPr="00AE296A">
        <w:rPr>
          <w:rStyle w:val="Collegamentoipertestuale"/>
          <w:rFonts w:ascii="Arial" w:hAnsi="Arial" w:cs="Arial"/>
          <w:color w:val="65973E"/>
          <w:bdr w:val="none" w:sz="0" w:space="0" w:color="auto" w:frame="1"/>
        </w:rPr>
        <w:t>[2]</w:t>
      </w:r>
      <w:r w:rsidR="0015159A" w:rsidRPr="00AE296A">
        <w:rPr>
          <w:rFonts w:ascii="Arial" w:hAnsi="Arial" w:cs="Arial"/>
          <w:color w:val="646464"/>
        </w:rPr>
        <w:fldChar w:fldCharType="end"/>
      </w:r>
      <w:bookmarkEnd w:id="0"/>
      <w:r w:rsidRPr="00AE296A">
        <w:rPr>
          <w:rFonts w:ascii="Arial" w:hAnsi="Arial" w:cs="Arial"/>
          <w:color w:val="646464"/>
        </w:rPr>
        <w:t>);</w:t>
      </w:r>
      <w:r w:rsidRPr="00AE296A">
        <w:rPr>
          <w:rFonts w:ascii="Arial" w:hAnsi="Arial" w:cs="Arial"/>
          <w:color w:val="646464"/>
        </w:rPr>
        <w:br/>
        <w:t> studio di impatto ambientale;</w:t>
      </w:r>
      <w:r w:rsidRPr="00AE296A">
        <w:rPr>
          <w:rFonts w:ascii="Arial" w:hAnsi="Arial" w:cs="Arial"/>
          <w:color w:val="646464"/>
        </w:rPr>
        <w:br/>
        <w:t> sintesi non tecnica;</w:t>
      </w:r>
      <w:r w:rsidRPr="00AE296A">
        <w:rPr>
          <w:rFonts w:ascii="Arial" w:hAnsi="Arial" w:cs="Arial"/>
          <w:color w:val="646464"/>
        </w:rPr>
        <w:br/>
        <w:t> elenco delle autorizzazioni, intese, intese, concessioni, licenze, pareri, nulla osta e assensi comunque denominati, già acquisiti o da acquisire per la costruzione e l’esercizio dell’opera;</w:t>
      </w:r>
      <w:r w:rsidRPr="00AE296A">
        <w:rPr>
          <w:rFonts w:ascii="Arial" w:hAnsi="Arial" w:cs="Arial"/>
          <w:color w:val="646464"/>
        </w:rPr>
        <w:br/>
        <w:t> copia informatizzata degli elaborati, conforme agli originali presentati;</w:t>
      </w:r>
      <w:r w:rsidRPr="00AE296A">
        <w:rPr>
          <w:rFonts w:ascii="Arial" w:hAnsi="Arial" w:cs="Arial"/>
          <w:color w:val="646464"/>
        </w:rPr>
        <w:br/>
        <w:t> copia di un avviso a mezzo stampa (per progetti di competenza statale l’annuncio deve essere pubblicato su un quotidiano a diffusione nazionale e su uno a diffusione regionale, mentre per i progetti di cui agli Allegati III e IV la pubblicazione va effettuata su quotidiani a diffusione regionale o provinciale).</w:t>
      </w:r>
      <w:r w:rsidRPr="00AE296A">
        <w:rPr>
          <w:rFonts w:ascii="Arial" w:hAnsi="Arial" w:cs="Arial"/>
          <w:color w:val="646464"/>
        </w:rPr>
        <w:br/>
        <w:t> </w:t>
      </w:r>
      <w:r w:rsidRPr="00AE296A">
        <w:rPr>
          <w:rFonts w:ascii="Arial" w:hAnsi="Arial" w:cs="Arial"/>
          <w:color w:val="646464"/>
        </w:rPr>
        <w:br/>
        <w:t>Come nel caso della verifica di assoggettabilità alla VIA, anche nella VIA è garantita la riservatezza industriale o commerciale, consentendo di sottrarre all’accesso del pubblico informazioni riservate (co. 4 dell’art. 9 del D.L.vo n. 152/2006).</w:t>
      </w:r>
      <w:r w:rsidRPr="00AE296A">
        <w:rPr>
          <w:rFonts w:ascii="Arial" w:hAnsi="Arial" w:cs="Arial"/>
          <w:color w:val="646464"/>
        </w:rPr>
        <w:br/>
        <w:t> </w:t>
      </w:r>
      <w:r w:rsidRPr="00AE296A">
        <w:rPr>
          <w:rFonts w:ascii="Arial" w:hAnsi="Arial" w:cs="Arial"/>
          <w:color w:val="646464"/>
        </w:rPr>
        <w:br/>
        <w:t>La documentazione deve essere depositata non solo presso l’autorità competente, sul cui sito web deve essere data notizia della presentazione dell’istanza (co. 1 art. 24), ma anche presso gli uffici di regioni, province e comuni eventualmente interessati anche parzialmente dagli impatti, pertanto, a differenza di quanto visto per lo screening, per il quale è sufficiente che la documentazione sia depositata presso gli enti in cui il progetto è localizzato, la VIA garantisce una maggior coinvolgimento dei territori interessati, non solo dal progetto, ma anche dagli impatti conseguenti la sua realizzazione. A tal fine è indispensabile che il proponente stimi con scrupolosità i propri impatti, anche al fine di evitare un nuovo deposito della domanda presso uffici di enti inizialmente trascurati ed eventualmente anche una nuova ripubblicazione con una nuova decorrenza dei termini, visto che il co. 3 dell’art. 24 prevede che la pubblicazione indichi una breve descrizione dei “possibili principali impatti ambientali” del progetto.</w:t>
      </w:r>
      <w:r w:rsidRPr="00AE296A">
        <w:rPr>
          <w:rFonts w:ascii="Arial" w:hAnsi="Arial" w:cs="Arial"/>
          <w:color w:val="646464"/>
        </w:rPr>
        <w:br/>
        <w:t> </w:t>
      </w:r>
      <w:r w:rsidRPr="00AE296A">
        <w:rPr>
          <w:rFonts w:ascii="Arial" w:hAnsi="Arial" w:cs="Arial"/>
          <w:color w:val="646464"/>
        </w:rPr>
        <w:br/>
        <w:t xml:space="preserve">A garanzia che la documentazione presentata sia completa, il legislatore ha previsto una fase finalizzata alla verifica di completezza sia di quanto presentato, sia dell’avvenuto pagamento degli oneri istruttori previsti dall’art. 33 del D.L.vo n. 152/2006. Questa fase deve compiersi entro 30 giorni dalla presentazione della domanda, trascorsi i quali, se non </w:t>
      </w:r>
      <w:r w:rsidRPr="00AE296A">
        <w:rPr>
          <w:rFonts w:ascii="Arial" w:hAnsi="Arial" w:cs="Arial"/>
          <w:color w:val="646464"/>
        </w:rPr>
        <w:lastRenderedPageBreak/>
        <w:t>sono state chieste integrazioni documentali (comportanti l’interruzione dei termini), l’istanza si intende correttamente presentata. Questa prima fase comporta esclusivamente la verifica che alla domanda siano allegati i documenti previsti senza, però, impegnare l’autorità competente ad effettuare una valutazione in merito ai contenuti, cosa che avviene in fase istruttoria. Eventuali integrazioni devono essere presentate entro il termine stabilito dall’autorità competente che non può essere superiore a 30 giorni, prorogabile qualora la documentazione da produrre sia particolarmente complessa. La mancata produzione di quanto richiesto “entro il termine stabilito” va inteso come ritiro dell’istanza. Si è quindi in presenza di una archiviazione ex lege (non prevista per la procedura di verifica di assoggettabilità alla VIA), che non comporta necessariamente una risposta dell’autorità competente, né tantomeno l’avvio delle procedure dell’art. 10-bis della L. n. 241/1990, anche se potrebbe, comunque, risultare opportuna.</w:t>
      </w:r>
      <w:r w:rsidRPr="00AE296A">
        <w:rPr>
          <w:rFonts w:ascii="Arial" w:hAnsi="Arial" w:cs="Arial"/>
          <w:color w:val="646464"/>
        </w:rPr>
        <w:br/>
        <w:t> </w:t>
      </w:r>
      <w:r w:rsidRPr="00AE296A">
        <w:rPr>
          <w:rFonts w:ascii="Arial" w:hAnsi="Arial" w:cs="Arial"/>
          <w:color w:val="646464"/>
        </w:rPr>
        <w:br/>
        <w:t>La partecipazione pubblica è garantita dalla possibilità di visionare il progetto e presentare osservazioni entro 60 giorni dalla presentazione della domanda. A differenza dello screening, la VIA prevede anche forme di partecipazioni più attive del pubblico, in quanto il co. 6 dell’art. 24 del D.L.vo n. 152/2006 dà la possibilità all’autorità competente di effettuare la consultazione tramite una inchiesta pubblica durante la quale i cittadini possono formulare le proprie osservazioni.</w:t>
      </w:r>
      <w:r w:rsidRPr="00AE296A">
        <w:rPr>
          <w:rFonts w:ascii="Arial" w:hAnsi="Arial" w:cs="Arial"/>
          <w:color w:val="646464"/>
        </w:rPr>
        <w:br/>
        <w:t> </w:t>
      </w:r>
      <w:r w:rsidRPr="00AE296A">
        <w:rPr>
          <w:rFonts w:ascii="Arial" w:hAnsi="Arial" w:cs="Arial"/>
          <w:color w:val="646464"/>
        </w:rPr>
        <w:br/>
        <w:t>Il proponente potrebbe essere convocato ad un contraddittorio con i soggetti che hanno presentato pareri od osservazioni, contraddittorio che potrebbe essere richiesto anche dal proponente.</w:t>
      </w:r>
      <w:r w:rsidRPr="00AE296A">
        <w:rPr>
          <w:rFonts w:ascii="Arial" w:hAnsi="Arial" w:cs="Arial"/>
          <w:color w:val="646464"/>
        </w:rPr>
        <w:br/>
        <w:t> </w:t>
      </w:r>
      <w:r w:rsidRPr="00AE296A">
        <w:rPr>
          <w:rFonts w:ascii="Arial" w:hAnsi="Arial" w:cs="Arial"/>
          <w:color w:val="646464"/>
        </w:rPr>
        <w:br/>
        <w:t>Strategicamente, sia l’inchiesta pubblica che il contraddittorio rappresentano una forma di consultazione e confronto moderna e democratica, tipica di una società civile, avente l’obiettivo di far convergere posizioni spesso contrastanti quali sono l’interesse economico e l’opposizione preconcetta, figlia della sindrome di Nimby (“not in my backyard”, non nel mio cortile), al fine di individuare una soluzione il più possibile condivisa e rispettosa dell’ambiente.</w:t>
      </w:r>
      <w:r w:rsidRPr="00AE296A">
        <w:rPr>
          <w:rFonts w:ascii="Arial" w:hAnsi="Arial" w:cs="Arial"/>
          <w:color w:val="646464"/>
        </w:rPr>
        <w:br/>
        <w:t> </w:t>
      </w:r>
      <w:r w:rsidRPr="00AE296A">
        <w:rPr>
          <w:rFonts w:ascii="Arial" w:hAnsi="Arial" w:cs="Arial"/>
          <w:color w:val="646464"/>
        </w:rPr>
        <w:br/>
        <w:t>Documentazione integrativa può essere presentata sia su iniziativa del proponente anche a seguito delle osservazioni presentate (co. 9 dell’art. 24), sia su richiesta dell’autorità competente (co. 3 dell’art. 26); in ogni caso, sia la proposta del richiedente che la richiesta dell’autorità competente, devono avvenire entro 30 giorni dalla scadenza del termine previsto per la presentazione delle osservazioni (quindi entro 90 giorni dalla presentazione dell’istanza). Tale evenienza allunga i tempi istruttori, che possono dilatarsi ulteriormente qualora l’autorità competente ritenga che le modifiche apportate siano sostanziali (in base alla definizione di cui alla lett. l-bis) del co. 1 dell’art. 5) e, quindi, soggette ad un nuovo deposito con le modalità già descritte; conseguentemente i termini per l’adozione del provvedimento di VIA, di norma stabiliti in 150 giorni dalla presentazione dal co. 1 dell’art. 26, possono protrarsi fino a 330 giorni.</w:t>
      </w:r>
      <w:r w:rsidRPr="00AE296A">
        <w:rPr>
          <w:rFonts w:ascii="Arial" w:hAnsi="Arial" w:cs="Arial"/>
          <w:color w:val="646464"/>
        </w:rPr>
        <w:br/>
        <w:t> </w:t>
      </w:r>
      <w:r w:rsidRPr="00AE296A">
        <w:rPr>
          <w:rFonts w:ascii="Arial" w:hAnsi="Arial" w:cs="Arial"/>
          <w:color w:val="646464"/>
        </w:rPr>
        <w:br/>
        <w:t xml:space="preserve">I proponenti devono prestare particolare attenzione alle scadenze fissate per la presentazione della documentazione integrativa stabilite dall’autorità competente, in quanto il co. 3-ter dell’art. 26 prevede che “non si procede all’ulteriore corso della valutazione” qualora non si ottemperi alle richieste. La disposizione non è comunque chiara come quella che prevede il ritiro ex lege dell’istanza in caso di omesso deposito nei termini fissati della documentazione mancante in sede di verifica di completezza (si ricordi il co. 4 dell’art. 23): il fatto che il legislatore nell’art. 26 abbia adottato una formulazione differente (“non ottemperi alle richieste di integrazioni”) potrebbe lasciare aperta la </w:t>
      </w:r>
      <w:r w:rsidRPr="00AE296A">
        <w:rPr>
          <w:rFonts w:ascii="Arial" w:hAnsi="Arial" w:cs="Arial"/>
          <w:color w:val="646464"/>
        </w:rPr>
        <w:lastRenderedPageBreak/>
        <w:t>possibilità che l’autorità competente tenga comunque conto di documentazione fornita con un ritardo minimo, ad esempio dell’ordine di alcuni giorni, proseguendo l’istruttoria.</w:t>
      </w:r>
      <w:r w:rsidRPr="00AE296A">
        <w:rPr>
          <w:rFonts w:ascii="Arial" w:hAnsi="Arial" w:cs="Arial"/>
          <w:color w:val="646464"/>
        </w:rPr>
        <w:br/>
        <w:t> Nel caso di progetti di competenza non statale, qualora l’impatto sia “rilevante” o siano attesi “effetti ambienti negativi e significativi” nel territorio di Regioni confinanti, l’autorità competente deve informare le corrispondenti autorità competenti di tali Regioni (stabilite in base alle loro leggi) ed acquisirne i pareri unitamente a quelle degli enti locali interessati.</w:t>
      </w:r>
      <w:r w:rsidRPr="00AE296A">
        <w:rPr>
          <w:rFonts w:ascii="Arial" w:hAnsi="Arial" w:cs="Arial"/>
          <w:color w:val="646464"/>
        </w:rPr>
        <w:br/>
        <w:t> In base a quanto previsto dall’art. 31, qualora risulti un conflitto tra autorità competenti regionali circa gli impatti ambientali, il presidente del Consiglio dei Ministri dispone che al progetto si applichino le disposizioni previste per progetti statali</w:t>
      </w:r>
    </w:p>
    <w:p w:rsidR="00C5532B" w:rsidRPr="00AE296A" w:rsidRDefault="00C5532B" w:rsidP="00C5532B">
      <w:pPr>
        <w:pStyle w:val="NormaleWeb"/>
        <w:shd w:val="clear" w:color="auto" w:fill="FFFFFF"/>
        <w:spacing w:before="0" w:beforeAutospacing="0" w:after="0" w:afterAutospacing="0" w:line="260" w:lineRule="atLeast"/>
        <w:textAlignment w:val="baseline"/>
        <w:rPr>
          <w:rFonts w:ascii="Arial" w:hAnsi="Arial" w:cs="Arial"/>
          <w:color w:val="646464"/>
        </w:rPr>
      </w:pPr>
      <w:r w:rsidRPr="00AE296A">
        <w:rPr>
          <w:rFonts w:ascii="Arial" w:hAnsi="Arial" w:cs="Arial"/>
          <w:color w:val="646464"/>
        </w:rPr>
        <w:t>In caso di inquinamento transfrontaliero è previsto che lo Stato toccato venga informato tramite apposita notifica in modo che questo possa esprimere, entro 60 giorni, l’interesse a partecipare alla procedura. Il recente D.L. n. 91/2014, convertito con modifiche dalla L. n. 116/2014 ha previsto che sul sito web dell’autorità competente sia data evidenza della notifica. Qualora lo Stato straniero manifesti l’intenzione di partecipare, le autorità pubbliche ed il pubblico transfrontaliero possono inviare rispettivamente pareri ed osservazioni entro 90 giorni dalla dichiarazione di interesse, ossia entro 150 giorni dalla notifica, rendendo di fatto impraticabile il termine di 150 giorni per la conclusione del procedimento di VIA.</w:t>
      </w:r>
      <w:r w:rsidRPr="00AE296A">
        <w:rPr>
          <w:rFonts w:ascii="Arial" w:hAnsi="Arial" w:cs="Arial"/>
          <w:color w:val="646464"/>
        </w:rPr>
        <w:br/>
        <w:t> </w:t>
      </w:r>
      <w:r w:rsidRPr="00AE296A">
        <w:rPr>
          <w:rFonts w:ascii="Arial" w:hAnsi="Arial" w:cs="Arial"/>
          <w:color w:val="646464"/>
        </w:rPr>
        <w:br/>
        <w:t>In caso di inerzia dell’autorità competente, il potere sostitutivo può essere esercitato, su espressa richiesta, dal Consiglio dei Ministri che prima deve diffidare l’autorità competente invitandola a concludere entro 20 giorni e poi, in caso di ulteriore inadempienza, conclude il procedimento entro 60 giorni dalla richiesta stessa. Per i progetti di competenza non statale, il potere sostitutivo spetta al Consiglio dei Ministri fino all’entrata in vigore di specifiche norme delle Regioni o delle Province autonome</w:t>
      </w:r>
      <w:bookmarkStart w:id="1" w:name="_ftnref3"/>
      <w:r w:rsidR="0015159A" w:rsidRPr="00AE296A">
        <w:rPr>
          <w:rFonts w:ascii="Arial" w:hAnsi="Arial" w:cs="Arial"/>
          <w:color w:val="646464"/>
        </w:rPr>
        <w:fldChar w:fldCharType="begin"/>
      </w:r>
      <w:r w:rsidRPr="00AE296A">
        <w:rPr>
          <w:rFonts w:ascii="Arial" w:hAnsi="Arial" w:cs="Arial"/>
          <w:color w:val="646464"/>
        </w:rPr>
        <w:instrText xml:space="preserve"> HYPERLINK "https://www.tuttoambiente.it/commenti-premium/cose-la-valutazione-impatto-ambientale-via/" \l "_ftn3" </w:instrText>
      </w:r>
      <w:r w:rsidR="0015159A" w:rsidRPr="00AE296A">
        <w:rPr>
          <w:rFonts w:ascii="Arial" w:hAnsi="Arial" w:cs="Arial"/>
          <w:color w:val="646464"/>
        </w:rPr>
        <w:fldChar w:fldCharType="separate"/>
      </w:r>
      <w:r w:rsidRPr="00AE296A">
        <w:rPr>
          <w:rStyle w:val="Collegamentoipertestuale"/>
          <w:rFonts w:ascii="Arial" w:hAnsi="Arial" w:cs="Arial"/>
          <w:color w:val="65973E"/>
          <w:bdr w:val="none" w:sz="0" w:space="0" w:color="auto" w:frame="1"/>
        </w:rPr>
        <w:t>[3]</w:t>
      </w:r>
      <w:r w:rsidR="0015159A" w:rsidRPr="00AE296A">
        <w:rPr>
          <w:rFonts w:ascii="Arial" w:hAnsi="Arial" w:cs="Arial"/>
          <w:color w:val="646464"/>
        </w:rPr>
        <w:fldChar w:fldCharType="end"/>
      </w:r>
      <w:bookmarkEnd w:id="1"/>
      <w:r w:rsidRPr="00AE296A">
        <w:rPr>
          <w:rFonts w:ascii="Arial" w:hAnsi="Arial" w:cs="Arial"/>
          <w:color w:val="646464"/>
        </w:rPr>
        <w:t>. Così come previsto per la verifica di assoggettabilità a VIA, rimane possibile fare ricorso contro il silenzio dell’autorità competente.</w:t>
      </w:r>
      <w:r w:rsidRPr="00AE296A">
        <w:rPr>
          <w:rFonts w:ascii="Arial" w:hAnsi="Arial" w:cs="Arial"/>
          <w:color w:val="646464"/>
        </w:rPr>
        <w:br/>
        <w:t> </w:t>
      </w:r>
      <w:r w:rsidRPr="00AE296A">
        <w:rPr>
          <w:rFonts w:ascii="Arial" w:hAnsi="Arial" w:cs="Arial"/>
          <w:color w:val="646464"/>
        </w:rPr>
        <w:br/>
        <w:t>Per quanto attiene l’istruttoria, non è obbligatoriamente prevista la conferenza dei servizi, che tuttavia si ritiene essere il miglior strumento di confronto tra autorità competente, soggetti competenti in materia ambientale e proponente. In mancanza di conferenza dei servizi, l’autorità competente deve acquisire il parere dei soggetti che devono rilasciare autorizzazioni, pareri o altri titoli in materia ambientale, entro i termini stabiliti dal co. 3 dell’art. 25; nel caso di progetti di competenza statale il MATTM deve provvedere all’acquisizione anche del parere delle Regioni interessate. In caso di mancata espressione dei pareri previsti o in caso di dissenso, l’autorità competente “procede, comunque, ai sensi dell’articolo 26” per pervenire alla decisione finale. A tal proposito, risulta particolarmente evidente che l’indizione di una conferenza dei servizi ai sensi della L. n. 241/1990, ritenuta compatibile alle procedure della Parte II del D.L.vo n. 152/2006 in virtù di quanto disposto dall’art. 9, costituirebbe un importante vantaggio per l’autorità competente, soprattutto per la gestione del dissenso, in quanto, in base al co. 1 dell’art. 14-ter della L. n. 241/1990, il dissenso:</w:t>
      </w:r>
      <w:r w:rsidRPr="00AE296A">
        <w:rPr>
          <w:rFonts w:ascii="Arial" w:hAnsi="Arial" w:cs="Arial"/>
          <w:color w:val="646464"/>
        </w:rPr>
        <w:br/>
        <w:t> </w:t>
      </w:r>
      <w:r w:rsidRPr="00AE296A">
        <w:rPr>
          <w:rFonts w:ascii="Arial" w:hAnsi="Arial" w:cs="Arial"/>
          <w:color w:val="646464"/>
        </w:rPr>
        <w:br/>
        <w:t>non potrebbe essere espresso al di fuori della conferenza;</w:t>
      </w:r>
      <w:r w:rsidRPr="00AE296A">
        <w:rPr>
          <w:rFonts w:ascii="Arial" w:hAnsi="Arial" w:cs="Arial"/>
          <w:color w:val="646464"/>
        </w:rPr>
        <w:br/>
        <w:t>dovrebbe essere congruamente motivato e pertinente all’oggetto della conferenza;</w:t>
      </w:r>
      <w:r w:rsidRPr="00AE296A">
        <w:rPr>
          <w:rFonts w:ascii="Arial" w:hAnsi="Arial" w:cs="Arial"/>
          <w:color w:val="646464"/>
        </w:rPr>
        <w:br/>
        <w:t>dovrebbe fornire precise indicazioni delle modifiche progettuali necessarie per ottenere l’assenso.</w:t>
      </w:r>
      <w:r w:rsidRPr="00AE296A">
        <w:rPr>
          <w:rFonts w:ascii="Arial" w:hAnsi="Arial" w:cs="Arial"/>
          <w:color w:val="646464"/>
        </w:rPr>
        <w:br/>
        <w:t>Quindi la conferenza dei servizi verrebbe a svolgere un ruolo di confronto fattivo.</w:t>
      </w:r>
      <w:r w:rsidRPr="00AE296A">
        <w:rPr>
          <w:rFonts w:ascii="Arial" w:hAnsi="Arial" w:cs="Arial"/>
          <w:color w:val="646464"/>
        </w:rPr>
        <w:br/>
        <w:t>Purtroppo non tutte le disposizioni previste dalla L. n. 241/1990 riguardanti la conferenza dei servizi sono applicabili ai procedimenti di VIA. In particolare risulta preclusa, per espressa indicazione del co. 7 dell’art. 14-ter della L. n. 241/1990</w:t>
      </w:r>
      <w:bookmarkStart w:id="2" w:name="_ftnref4"/>
      <w:r w:rsidR="0015159A" w:rsidRPr="00AE296A">
        <w:rPr>
          <w:rFonts w:ascii="Arial" w:hAnsi="Arial" w:cs="Arial"/>
          <w:color w:val="646464"/>
        </w:rPr>
        <w:fldChar w:fldCharType="begin"/>
      </w:r>
      <w:r w:rsidRPr="00AE296A">
        <w:rPr>
          <w:rFonts w:ascii="Arial" w:hAnsi="Arial" w:cs="Arial"/>
          <w:color w:val="646464"/>
        </w:rPr>
        <w:instrText xml:space="preserve"> HYPERLINK "https://www.tuttoambiente.it/commenti-premium/cose-la-valutazione-impatto-ambientale-via/" \l "_ftn4" </w:instrText>
      </w:r>
      <w:r w:rsidR="0015159A" w:rsidRPr="00AE296A">
        <w:rPr>
          <w:rFonts w:ascii="Arial" w:hAnsi="Arial" w:cs="Arial"/>
          <w:color w:val="646464"/>
        </w:rPr>
        <w:fldChar w:fldCharType="separate"/>
      </w:r>
      <w:r w:rsidRPr="00AE296A">
        <w:rPr>
          <w:rStyle w:val="Collegamentoipertestuale"/>
          <w:rFonts w:ascii="Arial" w:hAnsi="Arial" w:cs="Arial"/>
          <w:color w:val="65973E"/>
          <w:bdr w:val="none" w:sz="0" w:space="0" w:color="auto" w:frame="1"/>
        </w:rPr>
        <w:t>[4]</w:t>
      </w:r>
      <w:r w:rsidR="0015159A" w:rsidRPr="00AE296A">
        <w:rPr>
          <w:rFonts w:ascii="Arial" w:hAnsi="Arial" w:cs="Arial"/>
          <w:color w:val="646464"/>
        </w:rPr>
        <w:fldChar w:fldCharType="end"/>
      </w:r>
      <w:bookmarkEnd w:id="2"/>
      <w:r w:rsidRPr="00AE296A">
        <w:rPr>
          <w:rFonts w:ascii="Arial" w:hAnsi="Arial" w:cs="Arial"/>
          <w:color w:val="646464"/>
        </w:rPr>
        <w:t xml:space="preserve">, la possibilità di </w:t>
      </w:r>
      <w:r w:rsidRPr="00AE296A">
        <w:rPr>
          <w:rFonts w:ascii="Arial" w:hAnsi="Arial" w:cs="Arial"/>
          <w:color w:val="646464"/>
        </w:rPr>
        <w:lastRenderedPageBreak/>
        <w:t>considerare acquisto per la VIA (così come per la VAS e l’AIA) l’assenso delle amministrazioni “il cui rappresentante, all’esito dei lavori della conferenza, non abbia espresso definitivamente la volontà dell’amministrazione rappresentata”. Conseguentemente, l’autorità competente che non riesca ad ottenere i previsti pareri neppure in conferenza dei servizi è obbligata comunque a procedere ai sensi dell’art. 26 del D.L.vo n. 152/2006.</w:t>
      </w:r>
      <w:r w:rsidRPr="00AE296A">
        <w:rPr>
          <w:rFonts w:ascii="Arial" w:hAnsi="Arial" w:cs="Arial"/>
          <w:color w:val="646464"/>
        </w:rPr>
        <w:br/>
        <w:t>Qualora si prefiguri l’adozione di un provvedimento negativo, l’autorità competente deve attivare le procedure previste dall’art. 10-bis della L. n. 241/1990 in modo da garantire al proponente di produrre, entro 10 giorni, eventuali osservazioni che possano contenere giustificazioni tali da far ritenere superati gli elementi ostativi.</w:t>
      </w:r>
      <w:r w:rsidRPr="00AE296A">
        <w:rPr>
          <w:rFonts w:ascii="Arial" w:hAnsi="Arial" w:cs="Arial"/>
          <w:color w:val="646464"/>
        </w:rPr>
        <w:br/>
        <w:t>Il provvedimento di VIA, se favorevole, deve contenere prescrizioni riguardanti l’impatto ambientale non solo durante l’esercizio di un opera, ma anche durante la costruzione e la dismissione della stessa (co. 5 dell’art. 26), riportando le misure di monitoraggio degli impatti (co. 1 dell’art. 28) ed è auspicabile che ricordi l’obbligo, prorogabile, di realizzare i progetti entro 5 anni dalla pubblicazione della decisione finale stabilito dal co. 6 dell’art. 26.</w:t>
      </w:r>
      <w:r w:rsidRPr="00AE296A">
        <w:rPr>
          <w:rFonts w:ascii="Arial" w:hAnsi="Arial" w:cs="Arial"/>
          <w:color w:val="646464"/>
        </w:rPr>
        <w:br/>
        <w:t>Il monitoraggio degli impatti è basilare per testare la veridicità delle valutazioni effettuate sia in sede di richiesta che in sede istruttoria e, soprattutto, per dare all’autorità competente il potere di apportare modifiche al provvedimento qualora risultino “impatti negativi ulteriori e diversi” ed addirittura di sospendere l’attività in attesa di individuare le azioni correttive applicabili nel caso in cui “possano derivare gravi ripercussioni negative non preventivamente valutate sulla salute pubblica e sull’ambiente” (co. 1-bis dell’art. 28).</w:t>
      </w:r>
      <w:r w:rsidRPr="00AE296A">
        <w:rPr>
          <w:rFonts w:ascii="Arial" w:hAnsi="Arial" w:cs="Arial"/>
          <w:color w:val="646464"/>
        </w:rPr>
        <w:br/>
        <w:t> </w:t>
      </w:r>
      <w:r w:rsidRPr="00AE296A">
        <w:rPr>
          <w:rFonts w:ascii="Arial" w:hAnsi="Arial" w:cs="Arial"/>
          <w:color w:val="646464"/>
        </w:rPr>
        <w:br/>
        <w:t>Il provvedimento di VIA è vincolante per definizione (lett. o) del co. 1 dell’art. 5 del D.L.vo n. 152/2006) e sostituisce o coordina (vedasi sempre la definizione e il co. 4 dell’art. 26) tutte le autorizzazioni, intese, concessioni, licenze, pareri, nulla osta ed assensi comunque denominati in materia ambientale necessari per la costruzione e l’esercizio dell’opera progettata; nel caso di installazioni soggette a VIA ed AIA l’art. 10 del D.L.vo n. 152/2006 prevede che quando la competenza è statale (installazioni rientranti nell’Allegato XII alla Parte II del decreto) il provvedimento di VIA “fa luogo” dell’AIA, mentre negli altri casi le regioni devono assicurare che il procedimento di AIA sia coordinato nella VIA.</w:t>
      </w:r>
      <w:r w:rsidRPr="00AE296A">
        <w:rPr>
          <w:rFonts w:ascii="Arial" w:hAnsi="Arial" w:cs="Arial"/>
          <w:color w:val="646464"/>
        </w:rPr>
        <w:br/>
      </w:r>
      <w:r w:rsidRPr="00AE296A">
        <w:rPr>
          <w:rFonts w:ascii="Arial" w:hAnsi="Arial" w:cs="Arial"/>
          <w:color w:val="646464"/>
        </w:rPr>
        <w:br/>
        <w:t>Il legislatore non ha ben precisato cosa intendesse con “sostituisce o coordina”, in quanto la sostituzione di un’autorizzazione determinerebbe una nuova forma giuridica di titolo ambientale, mentre un semplice coordinamento implicherebbe un’unica istruttoria per tutti i titoli necessari, ognuno dei quali manterrebbe il suo status. La procedura di VIA, per come è impostata nella normativa nazionale, non può essere intesa come una nuova autorizzazione, in quanto prima di tutto non viene indicata una sua durata e secondariamente nell’art. 29, relativo alle sanzioni, sono fatte salve quelle delle norme vigenti (a differenza dell’AIA per la quale sono individuate sanzioni specifiche).</w:t>
      </w:r>
      <w:r w:rsidRPr="00AE296A">
        <w:rPr>
          <w:rFonts w:ascii="Arial" w:hAnsi="Arial" w:cs="Arial"/>
          <w:color w:val="646464"/>
        </w:rPr>
        <w:br/>
        <w:t> </w:t>
      </w:r>
      <w:r w:rsidRPr="00AE296A">
        <w:rPr>
          <w:rFonts w:ascii="Arial" w:hAnsi="Arial" w:cs="Arial"/>
          <w:color w:val="646464"/>
        </w:rPr>
        <w:br/>
        <w:t>Sempre in merito a quanto disposto dal co. 4 dell’art. 26, va ricordato che per impianti di smaltimento e recupero dei rifiuti soggetti all’autorizzazione ex art. 208 del D.L.vo n. 152/2006 (eventualmente sostituita dall’AIA), lo stesso art. 208 prevede che, se l’impianto è soggetto a VIA, l’istruttoria rimane sospesa fino alla pronuncia di VIA stessa, il che significherebbe che l’autorizzazione ex art. 208 debba essere rilasciata successivamente alla decisione di VIA; l’autorizzazione ex art. 208, invece, in virtù di quanto previsto dal co. 6 di tale articolo, rappresenta sicuramente una forma autorizzativa che “sostituisce ad ogni effetto visti, pareri, autorizzazioni e concessioni i organi regionali, provinciali e comunali” non solo in materia ambientale, innescando un circolo vizioso.</w:t>
      </w:r>
      <w:r w:rsidRPr="00AE296A">
        <w:rPr>
          <w:rFonts w:ascii="Arial" w:hAnsi="Arial" w:cs="Arial"/>
          <w:color w:val="646464"/>
        </w:rPr>
        <w:br/>
        <w:t> </w:t>
      </w:r>
      <w:r w:rsidRPr="00AE296A">
        <w:rPr>
          <w:rFonts w:ascii="Arial" w:hAnsi="Arial" w:cs="Arial"/>
          <w:color w:val="646464"/>
        </w:rPr>
        <w:br/>
        <w:t xml:space="preserve">Qualora si sia in presenza di opere la cui approvazione abbia per legge l’effetto di variante </w:t>
      </w:r>
      <w:r w:rsidRPr="00AE296A">
        <w:rPr>
          <w:rFonts w:ascii="Arial" w:hAnsi="Arial" w:cs="Arial"/>
          <w:color w:val="646464"/>
        </w:rPr>
        <w:lastRenderedPageBreak/>
        <w:t>(uno di questi casi è rappresentato appunto dall’autorizzazione ex art. 208), il co. 12 dell’art. 6 prevede che per i loro progetti si possa espletare esclusivamente la procedura di VIA e non si debba procedere alla VAS, in quanto la procedura di VIA persegue finalità analoghe a quelle della VAS, rispetto alla quale, peraltro, consente di valutare gli impatti ambientali ad un livello di dettaglio sicuramente più accurato rispetto a quello della VAS stessa.</w:t>
      </w:r>
      <w:r w:rsidRPr="00AE296A">
        <w:rPr>
          <w:rFonts w:ascii="Arial" w:hAnsi="Arial" w:cs="Arial"/>
          <w:color w:val="646464"/>
        </w:rPr>
        <w:br/>
        <w:t> </w:t>
      </w:r>
      <w:r w:rsidRPr="00AE296A">
        <w:rPr>
          <w:rFonts w:ascii="Arial" w:hAnsi="Arial" w:cs="Arial"/>
          <w:color w:val="646464"/>
        </w:rPr>
        <w:br/>
        <w:t>In generale, il fatto che si possa essere in presenza di autorizzazioni comprese e coordinate nel procedimento di VIA, comporta che tali autorizzazioni mantengano le scadenze previste dalle disposizioni settoriali, con il conseguente obbligo di rinnovo periodico. A tal proposito è importante ricordare che il co. 8-bis dell’art. 14-ter della L. n. 241/1990 prevede che “I termini di validità di tutti i pareri, autorizzazioni, concessioni, nulla osta o atti di assenso comunque denominati acquisiti nell’ambito della Conferenza di Servizi, decorrono a far data dall’adozione del provvedimento finale”.</w:t>
      </w:r>
      <w:r w:rsidRPr="00AE296A">
        <w:rPr>
          <w:rFonts w:ascii="Arial" w:hAnsi="Arial" w:cs="Arial"/>
          <w:color w:val="646464"/>
        </w:rPr>
        <w:br/>
        <w:t> </w:t>
      </w:r>
      <w:r w:rsidRPr="00AE296A">
        <w:rPr>
          <w:rFonts w:ascii="Arial" w:hAnsi="Arial" w:cs="Arial"/>
          <w:color w:val="646464"/>
        </w:rPr>
        <w:br/>
        <w:t>Così come viene data pubblicità alla presentazione della domanda di VIA, devono essere espletate idonee misure di pubblicità anche per quanto attiene la decisione secondo quanto disposto dall’art. 27: il proponente deve provvedere a far pubblicare un estratto della decisione stessa sulla G.U. per i progetti di competenza statale o sul BUR negli altri casi, mentre l’autorità competente deve pubblicarlo per intero sul proprio sito web.</w:t>
      </w:r>
      <w:r w:rsidRPr="00AE296A">
        <w:rPr>
          <w:rFonts w:ascii="Arial" w:hAnsi="Arial" w:cs="Arial"/>
          <w:color w:val="646464"/>
        </w:rPr>
        <w:br/>
        <w:t> </w:t>
      </w:r>
      <w:r w:rsidRPr="00AE296A">
        <w:rPr>
          <w:rFonts w:ascii="Arial" w:hAnsi="Arial" w:cs="Arial"/>
          <w:color w:val="646464"/>
        </w:rPr>
        <w:br/>
        <w:t>In realtà, il D.L.vo n. 152/2006 non riporta un adempimento che invece è previsto dal co. 10 dell’art. 14-ter della L. n. 241/1990</w:t>
      </w:r>
      <w:bookmarkStart w:id="3" w:name="_ftnref5"/>
      <w:r w:rsidR="0015159A" w:rsidRPr="00AE296A">
        <w:rPr>
          <w:rFonts w:ascii="Arial" w:hAnsi="Arial" w:cs="Arial"/>
          <w:color w:val="646464"/>
        </w:rPr>
        <w:fldChar w:fldCharType="begin"/>
      </w:r>
      <w:r w:rsidRPr="00AE296A">
        <w:rPr>
          <w:rFonts w:ascii="Arial" w:hAnsi="Arial" w:cs="Arial"/>
          <w:color w:val="646464"/>
        </w:rPr>
        <w:instrText xml:space="preserve"> HYPERLINK "https://www.tuttoambiente.it/commenti-premium/cose-la-valutazione-impatto-ambientale-via/" \l "_ftn5" </w:instrText>
      </w:r>
      <w:r w:rsidR="0015159A" w:rsidRPr="00AE296A">
        <w:rPr>
          <w:rFonts w:ascii="Arial" w:hAnsi="Arial" w:cs="Arial"/>
          <w:color w:val="646464"/>
        </w:rPr>
        <w:fldChar w:fldCharType="separate"/>
      </w:r>
      <w:r w:rsidRPr="00AE296A">
        <w:rPr>
          <w:rStyle w:val="Collegamentoipertestuale"/>
          <w:rFonts w:ascii="Arial" w:hAnsi="Arial" w:cs="Arial"/>
          <w:color w:val="65973E"/>
          <w:bdr w:val="none" w:sz="0" w:space="0" w:color="auto" w:frame="1"/>
        </w:rPr>
        <w:t>[5]</w:t>
      </w:r>
      <w:r w:rsidR="0015159A" w:rsidRPr="00AE296A">
        <w:rPr>
          <w:rFonts w:ascii="Arial" w:hAnsi="Arial" w:cs="Arial"/>
          <w:color w:val="646464"/>
        </w:rPr>
        <w:fldChar w:fldCharType="end"/>
      </w:r>
      <w:bookmarkEnd w:id="3"/>
      <w:r w:rsidRPr="00AE296A">
        <w:rPr>
          <w:rFonts w:ascii="Arial" w:hAnsi="Arial" w:cs="Arial"/>
          <w:color w:val="646464"/>
        </w:rPr>
        <w:t>, che obbliga il proponente a far pubblicare un estratto della decisione anche su un quotidiano a diffusione nazionale per progetti di competenza statale ed a diffusione regionale negli altri casi. Tale disposizione, va quindi considerata integrativa di quelle riportate nell’art. 27 del D.L.vo n. 152/2006.</w:t>
      </w:r>
      <w:r w:rsidRPr="00AE296A">
        <w:rPr>
          <w:rFonts w:ascii="Arial" w:hAnsi="Arial" w:cs="Arial"/>
          <w:color w:val="646464"/>
        </w:rPr>
        <w:br/>
        <w:t> </w:t>
      </w:r>
      <w:r w:rsidRPr="00AE296A">
        <w:rPr>
          <w:rFonts w:ascii="Arial" w:hAnsi="Arial" w:cs="Arial"/>
          <w:color w:val="646464"/>
        </w:rPr>
        <w:br/>
        <w:t>Le forme di pubblicità, non si limitano al provvedimento, in quanto l’art. 28 stabilisce che gli esiti del monitoraggio siano pubblicati sui siti web delle autorità competenti, procedenti (nel caso il proponente fosse pubblico) e delle agenzie competenti al controllo.</w:t>
      </w:r>
      <w:r w:rsidRPr="00AE296A">
        <w:rPr>
          <w:rFonts w:ascii="Arial" w:hAnsi="Arial" w:cs="Arial"/>
          <w:color w:val="646464"/>
        </w:rPr>
        <w:br/>
        <w:t> </w:t>
      </w:r>
    </w:p>
    <w:p w:rsidR="00C5532B" w:rsidRPr="00AE296A" w:rsidRDefault="00C5532B" w:rsidP="00C5532B">
      <w:pPr>
        <w:spacing w:after="0" w:line="360" w:lineRule="atLeast"/>
        <w:textAlignment w:val="baseline"/>
        <w:rPr>
          <w:rFonts w:ascii="Arial" w:eastAsia="Times New Roman" w:hAnsi="Arial" w:cs="Arial"/>
          <w:b/>
          <w:bCs/>
          <w:color w:val="000000"/>
          <w:sz w:val="24"/>
          <w:szCs w:val="24"/>
          <w:lang w:eastAsia="it-IT"/>
        </w:rPr>
      </w:pPr>
    </w:p>
    <w:p w:rsidR="00C5532B" w:rsidRPr="00C5532B" w:rsidRDefault="00C5532B" w:rsidP="00C5532B">
      <w:pPr>
        <w:spacing w:after="0" w:line="360" w:lineRule="atLeast"/>
        <w:textAlignment w:val="baseline"/>
        <w:rPr>
          <w:rFonts w:ascii="Arial" w:eastAsia="Times New Roman" w:hAnsi="Arial" w:cs="Arial"/>
          <w:color w:val="000000"/>
          <w:sz w:val="24"/>
          <w:szCs w:val="24"/>
          <w:lang w:eastAsia="it-IT"/>
        </w:rPr>
      </w:pPr>
      <w:r w:rsidRPr="00AE296A">
        <w:rPr>
          <w:rFonts w:ascii="Arial" w:eastAsia="Times New Roman" w:hAnsi="Arial" w:cs="Arial"/>
          <w:b/>
          <w:bCs/>
          <w:color w:val="000000"/>
          <w:sz w:val="24"/>
          <w:szCs w:val="24"/>
          <w:lang w:eastAsia="it-IT"/>
        </w:rPr>
        <w:t>Normativa VAS</w:t>
      </w:r>
      <w:r w:rsidRPr="00C5532B">
        <w:rPr>
          <w:rFonts w:ascii="Arial" w:eastAsia="Times New Roman" w:hAnsi="Arial" w:cs="Arial"/>
          <w:color w:val="000000"/>
          <w:sz w:val="24"/>
          <w:szCs w:val="24"/>
          <w:lang w:eastAsia="it-IT"/>
        </w:rPr>
        <w:br/>
        <w:t>Nella Comunità europea la valutazione degli effetti di determinati piani e programmi sull'ambiente è stata introdotta dalla </w:t>
      </w:r>
      <w:r w:rsidRPr="00AE296A">
        <w:rPr>
          <w:rFonts w:ascii="Arial" w:eastAsia="Times New Roman" w:hAnsi="Arial" w:cs="Arial"/>
          <w:b/>
          <w:bCs/>
          <w:color w:val="000000"/>
          <w:sz w:val="24"/>
          <w:szCs w:val="24"/>
          <w:lang w:eastAsia="it-IT"/>
        </w:rPr>
        <w:t>Direttiva 2001/42/CE</w:t>
      </w:r>
      <w:r w:rsidRPr="00C5532B">
        <w:rPr>
          <w:rFonts w:ascii="Arial" w:eastAsia="Times New Roman" w:hAnsi="Arial" w:cs="Arial"/>
          <w:color w:val="000000"/>
          <w:sz w:val="24"/>
          <w:szCs w:val="24"/>
          <w:lang w:eastAsia="it-IT"/>
        </w:rPr>
        <w:t> del Parlamento europeo e del Consiglio, del 27 giugno 2001.</w:t>
      </w:r>
      <w:r w:rsidRPr="00C5532B">
        <w:rPr>
          <w:rFonts w:ascii="Arial" w:eastAsia="Times New Roman" w:hAnsi="Arial" w:cs="Arial"/>
          <w:color w:val="000000"/>
          <w:sz w:val="24"/>
          <w:szCs w:val="24"/>
          <w:lang w:eastAsia="it-IT"/>
        </w:rPr>
        <w:br/>
        <w:t>Gli stati membri avrebbero dovuto recepire la Direttiva entro il 21 luglio del 2004. L’Italia non ha rispettato tale termine ed ha recepito la Direttiva con la parte seconda del D.lgs. 3 aprile 2006, n. 152 entrata in vigore il 31 luglio 2007. Tale norma è stata sostanzialmente modificata ed integrata dal D.Lgs. 16 gennaio 2008, n. 4, entrato in vigore il 13/02/2008 e nuovamente modificata dal D. Lgs. 29 giugno 2010, n. 128 pubblicato nella Gazz. Uff. 11 agosto 2010, n. 186</w:t>
      </w:r>
      <w:r w:rsidRPr="00AE296A">
        <w:rPr>
          <w:rFonts w:ascii="Arial" w:eastAsia="Times New Roman" w:hAnsi="Arial" w:cs="Arial"/>
          <w:b/>
          <w:bCs/>
          <w:color w:val="000000"/>
          <w:sz w:val="24"/>
          <w:szCs w:val="24"/>
          <w:lang w:eastAsia="it-IT"/>
        </w:rPr>
        <w:t>.</w:t>
      </w:r>
    </w:p>
    <w:p w:rsidR="00C5532B" w:rsidRPr="00C5532B" w:rsidRDefault="00C5532B" w:rsidP="00C5532B">
      <w:pPr>
        <w:spacing w:after="120" w:line="360" w:lineRule="atLeast"/>
        <w:textAlignment w:val="baseline"/>
        <w:rPr>
          <w:rFonts w:ascii="Arial" w:eastAsia="Times New Roman" w:hAnsi="Arial" w:cs="Arial"/>
          <w:color w:val="000000"/>
          <w:sz w:val="24"/>
          <w:szCs w:val="24"/>
          <w:lang w:eastAsia="it-IT"/>
        </w:rPr>
      </w:pPr>
      <w:r w:rsidRPr="00C5532B">
        <w:rPr>
          <w:rFonts w:ascii="Arial" w:eastAsia="Times New Roman" w:hAnsi="Arial" w:cs="Arial"/>
          <w:color w:val="000000"/>
          <w:sz w:val="24"/>
          <w:szCs w:val="24"/>
          <w:lang w:eastAsia="it-IT"/>
        </w:rPr>
        <w:t> </w:t>
      </w:r>
    </w:p>
    <w:p w:rsidR="00C5532B" w:rsidRPr="00C5532B" w:rsidRDefault="00C5532B" w:rsidP="00C5532B">
      <w:pPr>
        <w:spacing w:after="0" w:line="360" w:lineRule="atLeast"/>
        <w:textAlignment w:val="baseline"/>
        <w:rPr>
          <w:rFonts w:ascii="Arial" w:eastAsia="Times New Roman" w:hAnsi="Arial" w:cs="Arial"/>
          <w:color w:val="000000"/>
          <w:sz w:val="24"/>
          <w:szCs w:val="24"/>
          <w:lang w:eastAsia="it-IT"/>
        </w:rPr>
      </w:pPr>
      <w:r w:rsidRPr="00AE296A">
        <w:rPr>
          <w:rFonts w:ascii="Arial" w:eastAsia="Times New Roman" w:hAnsi="Arial" w:cs="Arial"/>
          <w:b/>
          <w:bCs/>
          <w:color w:val="000000"/>
          <w:sz w:val="24"/>
          <w:szCs w:val="24"/>
          <w:lang w:eastAsia="it-IT"/>
        </w:rPr>
        <w:t>Normativa nazionale </w:t>
      </w:r>
      <w:r w:rsidRPr="00C5532B">
        <w:rPr>
          <w:rFonts w:ascii="Arial" w:eastAsia="Times New Roman" w:hAnsi="Arial" w:cs="Arial"/>
          <w:color w:val="000000"/>
          <w:sz w:val="24"/>
          <w:szCs w:val="24"/>
          <w:lang w:eastAsia="it-IT"/>
        </w:rPr>
        <w:br/>
        <w:t xml:space="preserve">La Valutazione Ambientale Strategica (VAS), a livello nazionale, è regolata dalla Parte </w:t>
      </w:r>
      <w:r w:rsidRPr="00C5532B">
        <w:rPr>
          <w:rFonts w:ascii="Arial" w:eastAsia="Times New Roman" w:hAnsi="Arial" w:cs="Arial"/>
          <w:color w:val="000000"/>
          <w:sz w:val="24"/>
          <w:szCs w:val="24"/>
          <w:lang w:eastAsia="it-IT"/>
        </w:rPr>
        <w:lastRenderedPageBreak/>
        <w:t>seconda del D.lgs. 3 aprile 2006, n. 152 così come modificata e integrata dal D.Lgs. 16 gennaio 2008, n. 4 e dal D. Lgs. 29 giugno 2010, n. 128 (di seguito indicata “decreto”).</w:t>
      </w:r>
    </w:p>
    <w:p w:rsidR="00C5532B" w:rsidRPr="00C5532B" w:rsidRDefault="00C5532B" w:rsidP="00C5532B">
      <w:pPr>
        <w:spacing w:after="120" w:line="360" w:lineRule="atLeast"/>
        <w:textAlignment w:val="baseline"/>
        <w:rPr>
          <w:rFonts w:ascii="Arial" w:eastAsia="Times New Roman" w:hAnsi="Arial" w:cs="Arial"/>
          <w:color w:val="000000"/>
          <w:sz w:val="24"/>
          <w:szCs w:val="24"/>
          <w:lang w:eastAsia="it-IT"/>
        </w:rPr>
      </w:pPr>
      <w:r w:rsidRPr="00C5532B">
        <w:rPr>
          <w:rFonts w:ascii="Arial" w:eastAsia="Times New Roman" w:hAnsi="Arial" w:cs="Arial"/>
          <w:color w:val="000000"/>
          <w:sz w:val="24"/>
          <w:szCs w:val="24"/>
          <w:lang w:eastAsia="it-IT"/>
        </w:rPr>
        <w:t> </w:t>
      </w:r>
    </w:p>
    <w:p w:rsidR="00C5532B" w:rsidRPr="00C5532B" w:rsidRDefault="00C5532B" w:rsidP="00C5532B">
      <w:pPr>
        <w:spacing w:after="0" w:line="360" w:lineRule="atLeast"/>
        <w:textAlignment w:val="baseline"/>
        <w:rPr>
          <w:rFonts w:ascii="Arial" w:eastAsia="Times New Roman" w:hAnsi="Arial" w:cs="Arial"/>
          <w:color w:val="000000"/>
          <w:sz w:val="24"/>
          <w:szCs w:val="24"/>
          <w:lang w:eastAsia="it-IT"/>
        </w:rPr>
      </w:pPr>
      <w:r w:rsidRPr="00AE296A">
        <w:rPr>
          <w:rFonts w:ascii="Arial" w:eastAsia="Times New Roman" w:hAnsi="Arial" w:cs="Arial"/>
          <w:b/>
          <w:bCs/>
          <w:color w:val="000000"/>
          <w:sz w:val="24"/>
          <w:szCs w:val="24"/>
          <w:lang w:eastAsia="it-IT"/>
        </w:rPr>
        <w:t>Finalità </w:t>
      </w:r>
      <w:r w:rsidRPr="00C5532B">
        <w:rPr>
          <w:rFonts w:ascii="Arial" w:eastAsia="Times New Roman" w:hAnsi="Arial" w:cs="Arial"/>
          <w:color w:val="000000"/>
          <w:sz w:val="24"/>
          <w:szCs w:val="24"/>
          <w:lang w:eastAsia="it-IT"/>
        </w:rPr>
        <w:br/>
        <w:t>Come stabilito nel decreto la valutazione di piani e programmi che possono avere un impatto significativo sull’ambiente ha la finalità di garantire un elevato livello di protezione dell’ambiente e contribuire all’integrazione di considerazioni ambientali all’atto dell’elaborazione, dell’adozione e approvazione di detti piani e programmi assicurando che siano coerenti e contribuiscano alle condizioni per uno sviluppo sostenibile.</w:t>
      </w:r>
    </w:p>
    <w:p w:rsidR="00C5532B" w:rsidRPr="00C5532B" w:rsidRDefault="00C5532B" w:rsidP="00C5532B">
      <w:pPr>
        <w:spacing w:after="0" w:line="360" w:lineRule="atLeast"/>
        <w:textAlignment w:val="baseline"/>
        <w:rPr>
          <w:rFonts w:ascii="Arial" w:eastAsia="Times New Roman" w:hAnsi="Arial" w:cs="Arial"/>
          <w:color w:val="000000"/>
          <w:sz w:val="24"/>
          <w:szCs w:val="24"/>
          <w:lang w:eastAsia="it-IT"/>
        </w:rPr>
      </w:pPr>
      <w:r w:rsidRPr="00AE296A">
        <w:rPr>
          <w:rFonts w:ascii="Arial" w:eastAsia="Times New Roman" w:hAnsi="Arial" w:cs="Arial"/>
          <w:b/>
          <w:bCs/>
          <w:color w:val="000000"/>
          <w:sz w:val="24"/>
          <w:szCs w:val="24"/>
          <w:lang w:eastAsia="it-IT"/>
        </w:rPr>
        <w:t>Soggetti coinvolti</w:t>
      </w:r>
    </w:p>
    <w:p w:rsidR="00C5532B" w:rsidRPr="00C5532B" w:rsidRDefault="00C5532B" w:rsidP="00C5532B">
      <w:pPr>
        <w:spacing w:after="120" w:line="360" w:lineRule="atLeast"/>
        <w:textAlignment w:val="baseline"/>
        <w:rPr>
          <w:rFonts w:ascii="Arial" w:eastAsia="Times New Roman" w:hAnsi="Arial" w:cs="Arial"/>
          <w:color w:val="000000"/>
          <w:sz w:val="24"/>
          <w:szCs w:val="24"/>
          <w:lang w:eastAsia="it-IT"/>
        </w:rPr>
      </w:pPr>
      <w:r w:rsidRPr="00C5532B">
        <w:rPr>
          <w:rFonts w:ascii="Arial" w:eastAsia="Times New Roman" w:hAnsi="Arial" w:cs="Arial"/>
          <w:color w:val="000000"/>
          <w:sz w:val="24"/>
          <w:szCs w:val="24"/>
          <w:lang w:eastAsia="it-IT"/>
        </w:rPr>
        <w:t>I principali soggetti coinvolti nella procedura di VAS sono:</w:t>
      </w:r>
    </w:p>
    <w:p w:rsidR="00C5532B" w:rsidRPr="00C5532B" w:rsidRDefault="00C5532B" w:rsidP="00C5532B">
      <w:pPr>
        <w:numPr>
          <w:ilvl w:val="0"/>
          <w:numId w:val="6"/>
        </w:numPr>
        <w:spacing w:after="0" w:line="360" w:lineRule="atLeast"/>
        <w:ind w:left="200"/>
        <w:textAlignment w:val="baseline"/>
        <w:rPr>
          <w:rFonts w:ascii="Arial" w:eastAsia="Times New Roman" w:hAnsi="Arial" w:cs="Arial"/>
          <w:color w:val="000000"/>
          <w:sz w:val="24"/>
          <w:szCs w:val="24"/>
          <w:lang w:eastAsia="it-IT"/>
        </w:rPr>
      </w:pPr>
      <w:r w:rsidRPr="00AE296A">
        <w:rPr>
          <w:rFonts w:ascii="Arial" w:eastAsia="Times New Roman" w:hAnsi="Arial" w:cs="Arial"/>
          <w:b/>
          <w:bCs/>
          <w:color w:val="000000"/>
          <w:sz w:val="24"/>
          <w:szCs w:val="24"/>
          <w:lang w:eastAsia="it-IT"/>
        </w:rPr>
        <w:t>l’autorità procedente</w:t>
      </w:r>
      <w:r w:rsidRPr="00C5532B">
        <w:rPr>
          <w:rFonts w:ascii="Arial" w:eastAsia="Times New Roman" w:hAnsi="Arial" w:cs="Arial"/>
          <w:color w:val="000000"/>
          <w:sz w:val="24"/>
          <w:szCs w:val="24"/>
          <w:lang w:eastAsia="it-IT"/>
        </w:rPr>
        <w:t>, la pubblica amministrazione che elabora il piano, programma, ovvero nel caso in cui il soggetto che predispone il piano, programma, il </w:t>
      </w:r>
      <w:r w:rsidRPr="00AE296A">
        <w:rPr>
          <w:rFonts w:ascii="Arial" w:eastAsia="Times New Roman" w:hAnsi="Arial" w:cs="Arial"/>
          <w:b/>
          <w:bCs/>
          <w:color w:val="000000"/>
          <w:sz w:val="24"/>
          <w:szCs w:val="24"/>
          <w:lang w:eastAsia="it-IT"/>
        </w:rPr>
        <w:t>proponente</w:t>
      </w:r>
      <w:r w:rsidRPr="00C5532B">
        <w:rPr>
          <w:rFonts w:ascii="Arial" w:eastAsia="Times New Roman" w:hAnsi="Arial" w:cs="Arial"/>
          <w:color w:val="000000"/>
          <w:sz w:val="24"/>
          <w:szCs w:val="24"/>
          <w:lang w:eastAsia="it-IT"/>
        </w:rPr>
        <w:t>, sia un diverso soggetto pubblico o privato, è la pubblica amministrazione che recepisce, adotta o approva il piano, programma;</w:t>
      </w:r>
    </w:p>
    <w:p w:rsidR="00C5532B" w:rsidRPr="00C5532B" w:rsidRDefault="00C5532B" w:rsidP="00C5532B">
      <w:pPr>
        <w:numPr>
          <w:ilvl w:val="0"/>
          <w:numId w:val="6"/>
        </w:numPr>
        <w:spacing w:after="0" w:line="360" w:lineRule="atLeast"/>
        <w:ind w:left="200"/>
        <w:textAlignment w:val="baseline"/>
        <w:rPr>
          <w:rFonts w:ascii="Arial" w:eastAsia="Times New Roman" w:hAnsi="Arial" w:cs="Arial"/>
          <w:color w:val="000000"/>
          <w:sz w:val="24"/>
          <w:szCs w:val="24"/>
          <w:lang w:eastAsia="it-IT"/>
        </w:rPr>
      </w:pPr>
      <w:r w:rsidRPr="00AE296A">
        <w:rPr>
          <w:rFonts w:ascii="Arial" w:eastAsia="Times New Roman" w:hAnsi="Arial" w:cs="Arial"/>
          <w:b/>
          <w:bCs/>
          <w:color w:val="000000"/>
          <w:sz w:val="24"/>
          <w:szCs w:val="24"/>
          <w:lang w:eastAsia="it-IT"/>
        </w:rPr>
        <w:t>l’autorità competente</w:t>
      </w:r>
      <w:r w:rsidRPr="00C5532B">
        <w:rPr>
          <w:rFonts w:ascii="Arial" w:eastAsia="Times New Roman" w:hAnsi="Arial" w:cs="Arial"/>
          <w:color w:val="000000"/>
          <w:sz w:val="24"/>
          <w:szCs w:val="24"/>
          <w:lang w:eastAsia="it-IT"/>
        </w:rPr>
        <w:t>, la pubblica amministrazione cui compete l’adozione del provvedimento di verifica di assoggettabilità e l’elaborazione del parere motivato; in sede statale autorità competente è il Ministro dell’Ambiente e della Tutela del Territorio e del Mare che esprime il parere motivato di concerto con il Ministro per i beni e le attività culturali;</w:t>
      </w:r>
    </w:p>
    <w:p w:rsidR="00C5532B" w:rsidRPr="00C5532B" w:rsidRDefault="00C5532B" w:rsidP="00C5532B">
      <w:pPr>
        <w:numPr>
          <w:ilvl w:val="0"/>
          <w:numId w:val="6"/>
        </w:numPr>
        <w:spacing w:after="0" w:line="360" w:lineRule="atLeast"/>
        <w:ind w:left="200"/>
        <w:textAlignment w:val="baseline"/>
        <w:rPr>
          <w:rFonts w:ascii="Arial" w:eastAsia="Times New Roman" w:hAnsi="Arial" w:cs="Arial"/>
          <w:color w:val="000000"/>
          <w:sz w:val="24"/>
          <w:szCs w:val="24"/>
          <w:lang w:eastAsia="it-IT"/>
        </w:rPr>
      </w:pPr>
      <w:r w:rsidRPr="00AE296A">
        <w:rPr>
          <w:rFonts w:ascii="Arial" w:eastAsia="Times New Roman" w:hAnsi="Arial" w:cs="Arial"/>
          <w:b/>
          <w:bCs/>
          <w:color w:val="000000"/>
          <w:sz w:val="24"/>
          <w:szCs w:val="24"/>
          <w:lang w:eastAsia="it-IT"/>
        </w:rPr>
        <w:t>la Commissione tecnica di verifica dell’impatto ambientale</w:t>
      </w:r>
      <w:r w:rsidRPr="00C5532B">
        <w:rPr>
          <w:rFonts w:ascii="Arial" w:eastAsia="Times New Roman" w:hAnsi="Arial" w:cs="Arial"/>
          <w:color w:val="000000"/>
          <w:sz w:val="24"/>
          <w:szCs w:val="24"/>
          <w:lang w:eastAsia="it-IT"/>
        </w:rPr>
        <w:t> di cui all’articolo 7 del decreto legge 23 maggio 2008, n. 90, convertito nella legge 14 luglio 2008, n. 123, assicura al Ministero dell’Ambiente e della Tutela del Territorio e del Mare il supporto tecnico-scientifico per l’attuazione di quanto stabilito nel decreto</w:t>
      </w:r>
      <w:r w:rsidRPr="00AE296A">
        <w:rPr>
          <w:rFonts w:ascii="Arial" w:eastAsia="Times New Roman" w:hAnsi="Arial" w:cs="Arial"/>
          <w:b/>
          <w:bCs/>
          <w:color w:val="000000"/>
          <w:sz w:val="24"/>
          <w:szCs w:val="24"/>
          <w:lang w:eastAsia="it-IT"/>
        </w:rPr>
        <w:t>.</w:t>
      </w:r>
    </w:p>
    <w:p w:rsidR="00C5532B" w:rsidRPr="00C5532B" w:rsidRDefault="00C5532B" w:rsidP="00C5532B">
      <w:pPr>
        <w:numPr>
          <w:ilvl w:val="0"/>
          <w:numId w:val="6"/>
        </w:numPr>
        <w:spacing w:after="0" w:line="360" w:lineRule="atLeast"/>
        <w:ind w:left="200"/>
        <w:textAlignment w:val="baseline"/>
        <w:rPr>
          <w:rFonts w:ascii="Arial" w:eastAsia="Times New Roman" w:hAnsi="Arial" w:cs="Arial"/>
          <w:color w:val="000000"/>
          <w:sz w:val="24"/>
          <w:szCs w:val="24"/>
          <w:lang w:eastAsia="it-IT"/>
        </w:rPr>
      </w:pPr>
      <w:r w:rsidRPr="00AE296A">
        <w:rPr>
          <w:rFonts w:ascii="Arial" w:eastAsia="Times New Roman" w:hAnsi="Arial" w:cs="Arial"/>
          <w:b/>
          <w:bCs/>
          <w:color w:val="000000"/>
          <w:sz w:val="24"/>
          <w:szCs w:val="24"/>
          <w:lang w:eastAsia="it-IT"/>
        </w:rPr>
        <w:t>i soggetti competenti in materia ambientale</w:t>
      </w:r>
      <w:r w:rsidRPr="00C5532B">
        <w:rPr>
          <w:rFonts w:ascii="Arial" w:eastAsia="Times New Roman" w:hAnsi="Arial" w:cs="Arial"/>
          <w:color w:val="000000"/>
          <w:sz w:val="24"/>
          <w:szCs w:val="24"/>
          <w:lang w:eastAsia="it-IT"/>
        </w:rPr>
        <w:t>, le pubbliche amministrazioni e gli enti pubblici che, per le loro specifiche competenze o responsabilità in campo ambientale, possono essere interessati agli impatti sull’ambiente dovuti all’attuazione dei piani e programmi.</w:t>
      </w:r>
    </w:p>
    <w:p w:rsidR="00C5532B" w:rsidRPr="00C5532B" w:rsidRDefault="00C5532B" w:rsidP="00C5532B">
      <w:pPr>
        <w:spacing w:after="0" w:line="360" w:lineRule="atLeast"/>
        <w:textAlignment w:val="baseline"/>
        <w:rPr>
          <w:rFonts w:ascii="Arial" w:eastAsia="Times New Roman" w:hAnsi="Arial" w:cs="Arial"/>
          <w:color w:val="000000"/>
          <w:sz w:val="24"/>
          <w:szCs w:val="24"/>
          <w:lang w:eastAsia="it-IT"/>
        </w:rPr>
      </w:pPr>
      <w:r w:rsidRPr="00C5532B">
        <w:rPr>
          <w:rFonts w:ascii="Arial" w:eastAsia="Times New Roman" w:hAnsi="Arial" w:cs="Arial"/>
          <w:color w:val="000000"/>
          <w:sz w:val="24"/>
          <w:szCs w:val="24"/>
          <w:lang w:eastAsia="it-IT"/>
        </w:rPr>
        <w:br/>
        <w:t>Il </w:t>
      </w:r>
      <w:r w:rsidRPr="00AE296A">
        <w:rPr>
          <w:rFonts w:ascii="Arial" w:eastAsia="Times New Roman" w:hAnsi="Arial" w:cs="Arial"/>
          <w:b/>
          <w:bCs/>
          <w:color w:val="000000"/>
          <w:sz w:val="24"/>
          <w:szCs w:val="24"/>
          <w:lang w:eastAsia="it-IT"/>
        </w:rPr>
        <w:t>parere motivato</w:t>
      </w:r>
      <w:r w:rsidRPr="00C5532B">
        <w:rPr>
          <w:rFonts w:ascii="Arial" w:eastAsia="Times New Roman" w:hAnsi="Arial" w:cs="Arial"/>
          <w:color w:val="000000"/>
          <w:sz w:val="24"/>
          <w:szCs w:val="24"/>
          <w:lang w:eastAsia="it-IT"/>
        </w:rPr>
        <w:t> è il provvedimento obbligatorio con eventuali osservazioni e condizioni che conclude la fase di valutazione di VAS, espresso dall’autorità competente sulla base dell’istruttoria svolta e degli esiti delle consultazioni.</w:t>
      </w:r>
    </w:p>
    <w:p w:rsidR="00C5532B" w:rsidRPr="00C5532B" w:rsidRDefault="00C5532B" w:rsidP="00C5532B">
      <w:pPr>
        <w:spacing w:after="0" w:line="360" w:lineRule="atLeast"/>
        <w:textAlignment w:val="baseline"/>
        <w:rPr>
          <w:rFonts w:ascii="Arial" w:eastAsia="Times New Roman" w:hAnsi="Arial" w:cs="Arial"/>
          <w:color w:val="000000"/>
          <w:sz w:val="24"/>
          <w:szCs w:val="24"/>
          <w:lang w:eastAsia="it-IT"/>
        </w:rPr>
      </w:pPr>
      <w:r w:rsidRPr="00C5532B">
        <w:rPr>
          <w:rFonts w:ascii="Arial" w:eastAsia="Times New Roman" w:hAnsi="Arial" w:cs="Arial"/>
          <w:color w:val="000000"/>
          <w:sz w:val="24"/>
          <w:szCs w:val="24"/>
          <w:lang w:eastAsia="it-IT"/>
        </w:rPr>
        <w:br/>
      </w:r>
      <w:r w:rsidRPr="00AE296A">
        <w:rPr>
          <w:rFonts w:ascii="Arial" w:eastAsia="Times New Roman" w:hAnsi="Arial" w:cs="Arial"/>
          <w:b/>
          <w:bCs/>
          <w:color w:val="000000"/>
          <w:sz w:val="24"/>
          <w:szCs w:val="24"/>
          <w:lang w:eastAsia="it-IT"/>
        </w:rPr>
        <w:t>Ambito di applicazione</w:t>
      </w:r>
    </w:p>
    <w:p w:rsidR="00C5532B" w:rsidRPr="00C5532B" w:rsidRDefault="00C5532B" w:rsidP="00C5532B">
      <w:pPr>
        <w:spacing w:after="120" w:line="360" w:lineRule="atLeast"/>
        <w:textAlignment w:val="baseline"/>
        <w:rPr>
          <w:rFonts w:ascii="Arial" w:eastAsia="Times New Roman" w:hAnsi="Arial" w:cs="Arial"/>
          <w:color w:val="000000"/>
          <w:sz w:val="24"/>
          <w:szCs w:val="24"/>
          <w:lang w:eastAsia="it-IT"/>
        </w:rPr>
      </w:pPr>
      <w:r w:rsidRPr="00C5532B">
        <w:rPr>
          <w:rFonts w:ascii="Arial" w:eastAsia="Times New Roman" w:hAnsi="Arial" w:cs="Arial"/>
          <w:color w:val="000000"/>
          <w:sz w:val="24"/>
          <w:szCs w:val="24"/>
          <w:lang w:eastAsia="it-IT"/>
        </w:rPr>
        <w:t>La VAS viene applicata sistematicamente ai piani e programmi che possono avere impatti significativi sull’ambiente e sul patrimonio culturale:</w:t>
      </w:r>
    </w:p>
    <w:p w:rsidR="00C5532B" w:rsidRPr="00C5532B" w:rsidRDefault="00C5532B" w:rsidP="00C5532B">
      <w:pPr>
        <w:numPr>
          <w:ilvl w:val="0"/>
          <w:numId w:val="7"/>
        </w:numPr>
        <w:spacing w:after="120" w:line="360" w:lineRule="atLeast"/>
        <w:ind w:left="200"/>
        <w:textAlignment w:val="baseline"/>
        <w:rPr>
          <w:rFonts w:ascii="Arial" w:eastAsia="Times New Roman" w:hAnsi="Arial" w:cs="Arial"/>
          <w:color w:val="000000"/>
          <w:sz w:val="24"/>
          <w:szCs w:val="24"/>
          <w:lang w:eastAsia="it-IT"/>
        </w:rPr>
      </w:pPr>
      <w:r w:rsidRPr="00C5532B">
        <w:rPr>
          <w:rFonts w:ascii="Arial" w:eastAsia="Times New Roman" w:hAnsi="Arial" w:cs="Arial"/>
          <w:color w:val="000000"/>
          <w:sz w:val="24"/>
          <w:szCs w:val="24"/>
          <w:lang w:eastAsia="it-IT"/>
        </w:rPr>
        <w:t xml:space="preserve">i piani e programmi che sono elaborati per la valutazione e gestione della qualità dell’aria ambiente, per i settori agricolo, forestale, della pesca, energetico, industriale, dei </w:t>
      </w:r>
      <w:r w:rsidRPr="00C5532B">
        <w:rPr>
          <w:rFonts w:ascii="Arial" w:eastAsia="Times New Roman" w:hAnsi="Arial" w:cs="Arial"/>
          <w:color w:val="000000"/>
          <w:sz w:val="24"/>
          <w:szCs w:val="24"/>
          <w:lang w:eastAsia="it-IT"/>
        </w:rPr>
        <w:lastRenderedPageBreak/>
        <w:t>trasporti, della gestione dei rifiuti e delle acque, delle telecomunicazioni, turistico, della pianificazione territoriale o della destinazione dei suoli, e che definiscono il quadro di riferimento per l’approvazione, l’area di localizzazione o comunque la realizzazione dei progetti elencati negli allegati II, III e IV del decreto;</w:t>
      </w:r>
    </w:p>
    <w:p w:rsidR="00C5532B" w:rsidRPr="00C5532B" w:rsidRDefault="00C5532B" w:rsidP="00C5532B">
      <w:pPr>
        <w:numPr>
          <w:ilvl w:val="0"/>
          <w:numId w:val="7"/>
        </w:numPr>
        <w:spacing w:after="120" w:line="360" w:lineRule="atLeast"/>
        <w:ind w:left="200"/>
        <w:textAlignment w:val="baseline"/>
        <w:rPr>
          <w:rFonts w:ascii="Arial" w:eastAsia="Times New Roman" w:hAnsi="Arial" w:cs="Arial"/>
          <w:color w:val="000000"/>
          <w:sz w:val="24"/>
          <w:szCs w:val="24"/>
          <w:lang w:eastAsia="it-IT"/>
        </w:rPr>
      </w:pPr>
      <w:r w:rsidRPr="00C5532B">
        <w:rPr>
          <w:rFonts w:ascii="Arial" w:eastAsia="Times New Roman" w:hAnsi="Arial" w:cs="Arial"/>
          <w:color w:val="000000"/>
          <w:sz w:val="24"/>
          <w:szCs w:val="24"/>
          <w:lang w:eastAsia="it-IT"/>
        </w:rPr>
        <w:t>per i quali, in considerazione dei possibili impatti sulle finalità di conservazione dei siti designati come zone di protezione speciale per la conservazione degli uccelli selvatici e quelli classificati come siti di importanza comunitaria per la protezione degli habitat naturali e della flora e della fauna selvatica, si ritiene necessaria una valutazione d’incidenza ai sensi dell’ articolo 5 del D.P.R. n. 357/1997 e s.m.i.</w:t>
      </w:r>
    </w:p>
    <w:p w:rsidR="00C5532B" w:rsidRPr="00C5532B" w:rsidRDefault="00C5532B" w:rsidP="00C5532B">
      <w:pPr>
        <w:spacing w:after="120" w:line="360" w:lineRule="atLeast"/>
        <w:textAlignment w:val="baseline"/>
        <w:rPr>
          <w:rFonts w:ascii="Arial" w:eastAsia="Times New Roman" w:hAnsi="Arial" w:cs="Arial"/>
          <w:color w:val="000000"/>
          <w:sz w:val="24"/>
          <w:szCs w:val="24"/>
          <w:lang w:eastAsia="it-IT"/>
        </w:rPr>
      </w:pPr>
      <w:r w:rsidRPr="00C5532B">
        <w:rPr>
          <w:rFonts w:ascii="Arial" w:eastAsia="Times New Roman" w:hAnsi="Arial" w:cs="Arial"/>
          <w:color w:val="000000"/>
          <w:sz w:val="24"/>
          <w:szCs w:val="24"/>
          <w:lang w:eastAsia="it-IT"/>
        </w:rPr>
        <w:t>Per i piani e programmi prima descritti che determinano l’uso di piccole aree a livello locale e per le modifiche minori dei piani e programmi prima descritti, la valutazione ambientale è necessaria qualora l’autorità competente valuti che producano impatti significativi sull’ambiente, mediante l’espletamento di una verifica di assoggettabilità e tenuto conto del diverso livello di sensibilità ambientale dell’area oggetto di intervento.</w:t>
      </w:r>
      <w:r w:rsidRPr="00C5532B">
        <w:rPr>
          <w:rFonts w:ascii="Arial" w:eastAsia="Times New Roman" w:hAnsi="Arial" w:cs="Arial"/>
          <w:color w:val="000000"/>
          <w:sz w:val="24"/>
          <w:szCs w:val="24"/>
          <w:lang w:eastAsia="it-IT"/>
        </w:rPr>
        <w:br/>
        <w:t>L’autorità competente valuta mediante l’espletamento di una verifica di assoggettabilità se piani e programmi, diversi da quelli prima descritti, che definiscono il quadro di riferimento per l’autorizzazione dei progetti, producano impatti significativi sull’ambiente.</w:t>
      </w:r>
    </w:p>
    <w:p w:rsidR="00C5532B" w:rsidRPr="00C5532B" w:rsidRDefault="00C5532B" w:rsidP="00C5532B">
      <w:pPr>
        <w:spacing w:after="120" w:line="360" w:lineRule="atLeast"/>
        <w:textAlignment w:val="baseline"/>
        <w:rPr>
          <w:rFonts w:ascii="Arial" w:eastAsia="Times New Roman" w:hAnsi="Arial" w:cs="Arial"/>
          <w:color w:val="000000"/>
          <w:sz w:val="24"/>
          <w:szCs w:val="24"/>
          <w:lang w:eastAsia="it-IT"/>
        </w:rPr>
      </w:pPr>
      <w:r w:rsidRPr="00C5532B">
        <w:rPr>
          <w:rFonts w:ascii="Arial" w:eastAsia="Times New Roman" w:hAnsi="Arial" w:cs="Arial"/>
          <w:color w:val="000000"/>
          <w:sz w:val="24"/>
          <w:szCs w:val="24"/>
          <w:lang w:eastAsia="it-IT"/>
        </w:rPr>
        <w:t> </w:t>
      </w:r>
    </w:p>
    <w:p w:rsidR="00C5532B" w:rsidRPr="00C5532B" w:rsidRDefault="00C5532B" w:rsidP="00C5532B">
      <w:pPr>
        <w:spacing w:after="0" w:line="360" w:lineRule="atLeast"/>
        <w:textAlignment w:val="baseline"/>
        <w:rPr>
          <w:rFonts w:ascii="Arial" w:eastAsia="Times New Roman" w:hAnsi="Arial" w:cs="Arial"/>
          <w:color w:val="000000"/>
          <w:sz w:val="24"/>
          <w:szCs w:val="24"/>
          <w:lang w:eastAsia="it-IT"/>
        </w:rPr>
      </w:pPr>
      <w:r w:rsidRPr="00AE296A">
        <w:rPr>
          <w:rFonts w:ascii="Arial" w:eastAsia="Times New Roman" w:hAnsi="Arial" w:cs="Arial"/>
          <w:b/>
          <w:bCs/>
          <w:color w:val="000000"/>
          <w:sz w:val="24"/>
          <w:szCs w:val="24"/>
          <w:lang w:eastAsia="it-IT"/>
        </w:rPr>
        <w:t>Competenze</w:t>
      </w:r>
    </w:p>
    <w:p w:rsidR="00C5532B" w:rsidRPr="00C5532B" w:rsidRDefault="00C5532B" w:rsidP="00C5532B">
      <w:pPr>
        <w:spacing w:after="120" w:line="360" w:lineRule="atLeast"/>
        <w:textAlignment w:val="baseline"/>
        <w:rPr>
          <w:rFonts w:ascii="Arial" w:eastAsia="Times New Roman" w:hAnsi="Arial" w:cs="Arial"/>
          <w:color w:val="000000"/>
          <w:sz w:val="24"/>
          <w:szCs w:val="24"/>
          <w:lang w:eastAsia="it-IT"/>
        </w:rPr>
      </w:pPr>
      <w:r w:rsidRPr="00C5532B">
        <w:rPr>
          <w:rFonts w:ascii="Arial" w:eastAsia="Times New Roman" w:hAnsi="Arial" w:cs="Arial"/>
          <w:color w:val="000000"/>
          <w:sz w:val="24"/>
          <w:szCs w:val="24"/>
          <w:lang w:eastAsia="it-IT"/>
        </w:rPr>
        <w:t>Per i piani e programmi da assoggettare a VAS:sono sottoposti a VAS in sede statale i piani e programmi la cui approvazione compete ad organi dello Stato;</w:t>
      </w:r>
      <w:r w:rsidRPr="00C5532B">
        <w:rPr>
          <w:rFonts w:ascii="Arial" w:eastAsia="Times New Roman" w:hAnsi="Arial" w:cs="Arial"/>
          <w:color w:val="000000"/>
          <w:sz w:val="24"/>
          <w:szCs w:val="24"/>
          <w:lang w:eastAsia="it-IT"/>
        </w:rPr>
        <w:br/>
        <w:t>sono sottoposti a VAS secondo le disposizioni delle leggi regionali, i piani e programmi la cui approvazione compete alle regioni e province autonome o agli enti locali.</w:t>
      </w:r>
    </w:p>
    <w:p w:rsidR="00C5532B" w:rsidRPr="00C5532B" w:rsidRDefault="00C5532B" w:rsidP="00C5532B">
      <w:pPr>
        <w:spacing w:after="120" w:line="360" w:lineRule="atLeast"/>
        <w:textAlignment w:val="baseline"/>
        <w:rPr>
          <w:rFonts w:ascii="Arial" w:eastAsia="Times New Roman" w:hAnsi="Arial" w:cs="Arial"/>
          <w:color w:val="000000"/>
          <w:sz w:val="24"/>
          <w:szCs w:val="24"/>
          <w:lang w:eastAsia="it-IT"/>
        </w:rPr>
      </w:pPr>
      <w:r w:rsidRPr="00C5532B">
        <w:rPr>
          <w:rFonts w:ascii="Arial" w:eastAsia="Times New Roman" w:hAnsi="Arial" w:cs="Arial"/>
          <w:color w:val="000000"/>
          <w:sz w:val="24"/>
          <w:szCs w:val="24"/>
          <w:lang w:eastAsia="it-IT"/>
        </w:rPr>
        <w:t> </w:t>
      </w:r>
    </w:p>
    <w:p w:rsidR="00C5532B" w:rsidRPr="00C5532B" w:rsidRDefault="00C5532B" w:rsidP="00C5532B">
      <w:pPr>
        <w:spacing w:after="0" w:line="360" w:lineRule="atLeast"/>
        <w:textAlignment w:val="baseline"/>
        <w:rPr>
          <w:rFonts w:ascii="Arial" w:eastAsia="Times New Roman" w:hAnsi="Arial" w:cs="Arial"/>
          <w:color w:val="000000"/>
          <w:sz w:val="24"/>
          <w:szCs w:val="24"/>
          <w:lang w:eastAsia="it-IT"/>
        </w:rPr>
      </w:pPr>
      <w:r w:rsidRPr="00AE296A">
        <w:rPr>
          <w:rFonts w:ascii="Arial" w:eastAsia="Times New Roman" w:hAnsi="Arial" w:cs="Arial"/>
          <w:b/>
          <w:bCs/>
          <w:color w:val="000000"/>
          <w:sz w:val="24"/>
          <w:szCs w:val="24"/>
          <w:lang w:eastAsia="it-IT"/>
        </w:rPr>
        <w:t>Fasi della procedura</w:t>
      </w:r>
    </w:p>
    <w:p w:rsidR="00C5532B" w:rsidRPr="00C5532B" w:rsidRDefault="00C5532B" w:rsidP="00C5532B">
      <w:pPr>
        <w:spacing w:after="120" w:line="360" w:lineRule="atLeast"/>
        <w:textAlignment w:val="baseline"/>
        <w:rPr>
          <w:rFonts w:ascii="Arial" w:eastAsia="Times New Roman" w:hAnsi="Arial" w:cs="Arial"/>
          <w:color w:val="000000"/>
          <w:sz w:val="24"/>
          <w:szCs w:val="24"/>
          <w:lang w:eastAsia="it-IT"/>
        </w:rPr>
      </w:pPr>
      <w:r w:rsidRPr="00C5532B">
        <w:rPr>
          <w:rFonts w:ascii="Arial" w:eastAsia="Times New Roman" w:hAnsi="Arial" w:cs="Arial"/>
          <w:color w:val="000000"/>
          <w:sz w:val="24"/>
          <w:szCs w:val="24"/>
          <w:lang w:eastAsia="it-IT"/>
        </w:rPr>
        <w:t>La VAS è avviata dall’autorità procedente contestualmente al processo di formazione del piano o programma ed è effettuata durante lo svolgimento del processo stesso e quindi anteriormente all’approvazione del piano o programma.</w:t>
      </w:r>
      <w:r w:rsidRPr="00C5532B">
        <w:rPr>
          <w:rFonts w:ascii="Arial" w:eastAsia="Times New Roman" w:hAnsi="Arial" w:cs="Arial"/>
          <w:color w:val="000000"/>
          <w:sz w:val="24"/>
          <w:szCs w:val="24"/>
          <w:lang w:eastAsia="it-IT"/>
        </w:rPr>
        <w:br/>
        <w:t>Le fasi principali della procedura sono:</w:t>
      </w:r>
    </w:p>
    <w:p w:rsidR="00C5532B" w:rsidRPr="00C5532B" w:rsidRDefault="00C5532B" w:rsidP="00C5532B">
      <w:pPr>
        <w:numPr>
          <w:ilvl w:val="0"/>
          <w:numId w:val="8"/>
        </w:numPr>
        <w:spacing w:after="120" w:line="360" w:lineRule="atLeast"/>
        <w:ind w:left="200"/>
        <w:textAlignment w:val="baseline"/>
        <w:rPr>
          <w:rFonts w:ascii="Arial" w:eastAsia="Times New Roman" w:hAnsi="Arial" w:cs="Arial"/>
          <w:color w:val="000000"/>
          <w:sz w:val="24"/>
          <w:szCs w:val="24"/>
          <w:lang w:eastAsia="it-IT"/>
        </w:rPr>
      </w:pPr>
      <w:r w:rsidRPr="00C5532B">
        <w:rPr>
          <w:rFonts w:ascii="Arial" w:eastAsia="Times New Roman" w:hAnsi="Arial" w:cs="Arial"/>
          <w:color w:val="000000"/>
          <w:sz w:val="24"/>
          <w:szCs w:val="24"/>
          <w:lang w:eastAsia="it-IT"/>
        </w:rPr>
        <w:t>lo svolgimento di una verifica di assoggettabilità;</w:t>
      </w:r>
    </w:p>
    <w:p w:rsidR="00C5532B" w:rsidRPr="00C5532B" w:rsidRDefault="00C5532B" w:rsidP="00C5532B">
      <w:pPr>
        <w:numPr>
          <w:ilvl w:val="0"/>
          <w:numId w:val="8"/>
        </w:numPr>
        <w:spacing w:after="120" w:line="360" w:lineRule="atLeast"/>
        <w:ind w:left="200"/>
        <w:textAlignment w:val="baseline"/>
        <w:rPr>
          <w:rFonts w:ascii="Arial" w:eastAsia="Times New Roman" w:hAnsi="Arial" w:cs="Arial"/>
          <w:color w:val="000000"/>
          <w:sz w:val="24"/>
          <w:szCs w:val="24"/>
          <w:lang w:eastAsia="it-IT"/>
        </w:rPr>
      </w:pPr>
      <w:r w:rsidRPr="00C5532B">
        <w:rPr>
          <w:rFonts w:ascii="Arial" w:eastAsia="Times New Roman" w:hAnsi="Arial" w:cs="Arial"/>
          <w:color w:val="000000"/>
          <w:sz w:val="24"/>
          <w:szCs w:val="24"/>
          <w:lang w:eastAsia="it-IT"/>
        </w:rPr>
        <w:t>l’elaborazione del rapporto ambientale;</w:t>
      </w:r>
    </w:p>
    <w:p w:rsidR="00C5532B" w:rsidRPr="00C5532B" w:rsidRDefault="00C5532B" w:rsidP="00C5532B">
      <w:pPr>
        <w:numPr>
          <w:ilvl w:val="0"/>
          <w:numId w:val="8"/>
        </w:numPr>
        <w:spacing w:after="120" w:line="360" w:lineRule="atLeast"/>
        <w:ind w:left="200"/>
        <w:textAlignment w:val="baseline"/>
        <w:rPr>
          <w:rFonts w:ascii="Arial" w:eastAsia="Times New Roman" w:hAnsi="Arial" w:cs="Arial"/>
          <w:color w:val="000000"/>
          <w:sz w:val="24"/>
          <w:szCs w:val="24"/>
          <w:lang w:eastAsia="it-IT"/>
        </w:rPr>
      </w:pPr>
      <w:r w:rsidRPr="00C5532B">
        <w:rPr>
          <w:rFonts w:ascii="Arial" w:eastAsia="Times New Roman" w:hAnsi="Arial" w:cs="Arial"/>
          <w:color w:val="000000"/>
          <w:sz w:val="24"/>
          <w:szCs w:val="24"/>
          <w:lang w:eastAsia="it-IT"/>
        </w:rPr>
        <w:t>lo svolgimento di consultazioni;</w:t>
      </w:r>
    </w:p>
    <w:p w:rsidR="00C5532B" w:rsidRPr="00C5532B" w:rsidRDefault="00C5532B" w:rsidP="00C5532B">
      <w:pPr>
        <w:numPr>
          <w:ilvl w:val="0"/>
          <w:numId w:val="8"/>
        </w:numPr>
        <w:spacing w:after="120" w:line="360" w:lineRule="atLeast"/>
        <w:ind w:left="200"/>
        <w:textAlignment w:val="baseline"/>
        <w:rPr>
          <w:rFonts w:ascii="Arial" w:eastAsia="Times New Roman" w:hAnsi="Arial" w:cs="Arial"/>
          <w:color w:val="000000"/>
          <w:sz w:val="24"/>
          <w:szCs w:val="24"/>
          <w:lang w:eastAsia="it-IT"/>
        </w:rPr>
      </w:pPr>
      <w:r w:rsidRPr="00C5532B">
        <w:rPr>
          <w:rFonts w:ascii="Arial" w:eastAsia="Times New Roman" w:hAnsi="Arial" w:cs="Arial"/>
          <w:color w:val="000000"/>
          <w:sz w:val="24"/>
          <w:szCs w:val="24"/>
          <w:lang w:eastAsia="it-IT"/>
        </w:rPr>
        <w:t>la valutazione del rapporto ambientale e degli esiti delle consultazioni;</w:t>
      </w:r>
    </w:p>
    <w:p w:rsidR="00C5532B" w:rsidRPr="00C5532B" w:rsidRDefault="00C5532B" w:rsidP="00C5532B">
      <w:pPr>
        <w:numPr>
          <w:ilvl w:val="0"/>
          <w:numId w:val="8"/>
        </w:numPr>
        <w:spacing w:after="120" w:line="360" w:lineRule="atLeast"/>
        <w:ind w:left="200"/>
        <w:textAlignment w:val="baseline"/>
        <w:rPr>
          <w:rFonts w:ascii="Arial" w:eastAsia="Times New Roman" w:hAnsi="Arial" w:cs="Arial"/>
          <w:color w:val="000000"/>
          <w:sz w:val="24"/>
          <w:szCs w:val="24"/>
          <w:lang w:eastAsia="it-IT"/>
        </w:rPr>
      </w:pPr>
      <w:r w:rsidRPr="00C5532B">
        <w:rPr>
          <w:rFonts w:ascii="Arial" w:eastAsia="Times New Roman" w:hAnsi="Arial" w:cs="Arial"/>
          <w:color w:val="000000"/>
          <w:sz w:val="24"/>
          <w:szCs w:val="24"/>
          <w:lang w:eastAsia="it-IT"/>
        </w:rPr>
        <w:t>la decisione;</w:t>
      </w:r>
    </w:p>
    <w:p w:rsidR="00C5532B" w:rsidRPr="00C5532B" w:rsidRDefault="00C5532B" w:rsidP="00C5532B">
      <w:pPr>
        <w:numPr>
          <w:ilvl w:val="0"/>
          <w:numId w:val="8"/>
        </w:numPr>
        <w:spacing w:after="120" w:line="360" w:lineRule="atLeast"/>
        <w:ind w:left="200"/>
        <w:textAlignment w:val="baseline"/>
        <w:rPr>
          <w:rFonts w:ascii="Arial" w:eastAsia="Times New Roman" w:hAnsi="Arial" w:cs="Arial"/>
          <w:color w:val="000000"/>
          <w:sz w:val="24"/>
          <w:szCs w:val="24"/>
          <w:lang w:eastAsia="it-IT"/>
        </w:rPr>
      </w:pPr>
      <w:r w:rsidRPr="00C5532B">
        <w:rPr>
          <w:rFonts w:ascii="Arial" w:eastAsia="Times New Roman" w:hAnsi="Arial" w:cs="Arial"/>
          <w:color w:val="000000"/>
          <w:sz w:val="24"/>
          <w:szCs w:val="24"/>
          <w:lang w:eastAsia="it-IT"/>
        </w:rPr>
        <w:t>l’informazione sulla decisione;</w:t>
      </w:r>
    </w:p>
    <w:p w:rsidR="00C5532B" w:rsidRPr="00C5532B" w:rsidRDefault="00C5532B" w:rsidP="00C5532B">
      <w:pPr>
        <w:numPr>
          <w:ilvl w:val="0"/>
          <w:numId w:val="8"/>
        </w:numPr>
        <w:spacing w:after="120" w:line="360" w:lineRule="atLeast"/>
        <w:ind w:left="200"/>
        <w:textAlignment w:val="baseline"/>
        <w:rPr>
          <w:rFonts w:ascii="Arial" w:eastAsia="Times New Roman" w:hAnsi="Arial" w:cs="Arial"/>
          <w:color w:val="000000"/>
          <w:sz w:val="24"/>
          <w:szCs w:val="24"/>
          <w:lang w:eastAsia="it-IT"/>
        </w:rPr>
      </w:pPr>
      <w:r w:rsidRPr="00C5532B">
        <w:rPr>
          <w:rFonts w:ascii="Arial" w:eastAsia="Times New Roman" w:hAnsi="Arial" w:cs="Arial"/>
          <w:color w:val="000000"/>
          <w:sz w:val="24"/>
          <w:szCs w:val="24"/>
          <w:lang w:eastAsia="it-IT"/>
        </w:rPr>
        <w:lastRenderedPageBreak/>
        <w:t>il monitoraggio.</w:t>
      </w:r>
    </w:p>
    <w:p w:rsidR="00C5532B" w:rsidRPr="00C5532B" w:rsidRDefault="00C5532B" w:rsidP="00C5532B">
      <w:pPr>
        <w:spacing w:after="120" w:line="360" w:lineRule="atLeast"/>
        <w:textAlignment w:val="baseline"/>
        <w:rPr>
          <w:rFonts w:ascii="Arial" w:eastAsia="Times New Roman" w:hAnsi="Arial" w:cs="Arial"/>
          <w:color w:val="000000"/>
          <w:sz w:val="24"/>
          <w:szCs w:val="24"/>
          <w:lang w:eastAsia="it-IT"/>
        </w:rPr>
      </w:pPr>
      <w:r w:rsidRPr="00C5532B">
        <w:rPr>
          <w:rFonts w:ascii="Arial" w:eastAsia="Times New Roman" w:hAnsi="Arial" w:cs="Arial"/>
          <w:color w:val="000000"/>
          <w:sz w:val="24"/>
          <w:szCs w:val="24"/>
          <w:lang w:eastAsia="it-IT"/>
        </w:rPr>
        <w:t>Il decreto stabilisce la durata di ciascuna fase della procedura.</w:t>
      </w:r>
    </w:p>
    <w:p w:rsidR="00C5532B" w:rsidRPr="00C5532B" w:rsidRDefault="00C5532B" w:rsidP="00C5532B">
      <w:pPr>
        <w:spacing w:after="120" w:line="360" w:lineRule="atLeast"/>
        <w:textAlignment w:val="baseline"/>
        <w:rPr>
          <w:rFonts w:ascii="Arial" w:eastAsia="Times New Roman" w:hAnsi="Arial" w:cs="Arial"/>
          <w:color w:val="000000"/>
          <w:sz w:val="24"/>
          <w:szCs w:val="24"/>
          <w:lang w:eastAsia="it-IT"/>
        </w:rPr>
      </w:pPr>
      <w:r w:rsidRPr="00C5532B">
        <w:rPr>
          <w:rFonts w:ascii="Arial" w:eastAsia="Times New Roman" w:hAnsi="Arial" w:cs="Arial"/>
          <w:color w:val="000000"/>
          <w:sz w:val="24"/>
          <w:szCs w:val="24"/>
          <w:lang w:eastAsia="it-IT"/>
        </w:rPr>
        <w:t> </w:t>
      </w:r>
    </w:p>
    <w:p w:rsidR="00C5532B" w:rsidRPr="00C5532B" w:rsidRDefault="00C5532B" w:rsidP="00C5532B">
      <w:pPr>
        <w:spacing w:after="0" w:line="360" w:lineRule="atLeast"/>
        <w:textAlignment w:val="baseline"/>
        <w:rPr>
          <w:rFonts w:ascii="Arial" w:eastAsia="Times New Roman" w:hAnsi="Arial" w:cs="Arial"/>
          <w:color w:val="000000"/>
          <w:sz w:val="24"/>
          <w:szCs w:val="24"/>
          <w:lang w:eastAsia="it-IT"/>
        </w:rPr>
      </w:pPr>
      <w:r w:rsidRPr="00AE296A">
        <w:rPr>
          <w:rFonts w:ascii="Arial" w:eastAsia="Times New Roman" w:hAnsi="Arial" w:cs="Arial"/>
          <w:b/>
          <w:bCs/>
          <w:color w:val="000000"/>
          <w:sz w:val="24"/>
          <w:szCs w:val="24"/>
          <w:lang w:eastAsia="it-IT"/>
        </w:rPr>
        <w:t>Verifica di assoggetabilità</w:t>
      </w:r>
    </w:p>
    <w:p w:rsidR="00C5532B" w:rsidRPr="00C5532B" w:rsidRDefault="00C5532B" w:rsidP="00C5532B">
      <w:pPr>
        <w:spacing w:after="120" w:line="360" w:lineRule="atLeast"/>
        <w:textAlignment w:val="baseline"/>
        <w:rPr>
          <w:rFonts w:ascii="Arial" w:eastAsia="Times New Roman" w:hAnsi="Arial" w:cs="Arial"/>
          <w:color w:val="000000"/>
          <w:sz w:val="24"/>
          <w:szCs w:val="24"/>
          <w:lang w:eastAsia="it-IT"/>
        </w:rPr>
      </w:pPr>
      <w:r w:rsidRPr="00C5532B">
        <w:rPr>
          <w:rFonts w:ascii="Arial" w:eastAsia="Times New Roman" w:hAnsi="Arial" w:cs="Arial"/>
          <w:color w:val="000000"/>
          <w:sz w:val="24"/>
          <w:szCs w:val="24"/>
          <w:lang w:eastAsia="it-IT"/>
        </w:rPr>
        <w:br/>
        <w:t>L’autorità procedente trasmette all’autorità competente un rapporto preliminare comprendente una descrizione del piano o programma e le informazioni e i dati necessari alla verifica degli impatti significativi sull’ambiente dell’attuazione del piano o programma, facendo riferimento ai criteri dell’allegato I del decreto.</w:t>
      </w:r>
      <w:r w:rsidRPr="00C5532B">
        <w:rPr>
          <w:rFonts w:ascii="Arial" w:eastAsia="Times New Roman" w:hAnsi="Arial" w:cs="Arial"/>
          <w:color w:val="000000"/>
          <w:sz w:val="24"/>
          <w:szCs w:val="24"/>
          <w:lang w:eastAsia="it-IT"/>
        </w:rPr>
        <w:br/>
        <w:t>L’autorità competente trasmette il rapporto preliminare ai soggetti competenti in materia ambientale, individuati in collaborazione con l’autorità procedente, per acquisirne il parere. Sentita L’autorità procedente, tenuto conto delle osservazioni pervenute, verificato se il piano o programma possa avere impatti significativi sull’ambiente, emette il provvedimento di verifica, assoggettando o escludendo il piano o programma dalla valutazione.</w:t>
      </w:r>
      <w:r w:rsidRPr="00C5532B">
        <w:rPr>
          <w:rFonts w:ascii="Arial" w:eastAsia="Times New Roman" w:hAnsi="Arial" w:cs="Arial"/>
          <w:color w:val="000000"/>
          <w:sz w:val="24"/>
          <w:szCs w:val="24"/>
          <w:lang w:eastAsia="it-IT"/>
        </w:rPr>
        <w:br/>
        <w:t>La verifica di assoggettabilità a VAS ovvero la VAS relative a modifiche a piani e programmi ovvero a strumenti attuativi di piani o programmi già sottoposti positivamente alla verifica di assoggettabilità o alla VAS, si limita ai soli effetti significativi sull’ambiente che non siano stati precedentemente considerati dagli strumenti normativamente sovraordinati.</w:t>
      </w:r>
    </w:p>
    <w:p w:rsidR="00C5532B" w:rsidRPr="00C5532B" w:rsidRDefault="00C5532B" w:rsidP="00C5532B">
      <w:pPr>
        <w:spacing w:after="120" w:line="360" w:lineRule="atLeast"/>
        <w:textAlignment w:val="baseline"/>
        <w:rPr>
          <w:rFonts w:ascii="Arial" w:eastAsia="Times New Roman" w:hAnsi="Arial" w:cs="Arial"/>
          <w:color w:val="000000"/>
          <w:sz w:val="24"/>
          <w:szCs w:val="24"/>
          <w:lang w:eastAsia="it-IT"/>
        </w:rPr>
      </w:pPr>
      <w:r w:rsidRPr="00C5532B">
        <w:rPr>
          <w:rFonts w:ascii="Arial" w:eastAsia="Times New Roman" w:hAnsi="Arial" w:cs="Arial"/>
          <w:color w:val="000000"/>
          <w:sz w:val="24"/>
          <w:szCs w:val="24"/>
          <w:lang w:eastAsia="it-IT"/>
        </w:rPr>
        <w:t> </w:t>
      </w:r>
    </w:p>
    <w:p w:rsidR="00C5532B" w:rsidRPr="00C5532B" w:rsidRDefault="00C5532B" w:rsidP="00C5532B">
      <w:pPr>
        <w:spacing w:after="0" w:line="360" w:lineRule="atLeast"/>
        <w:textAlignment w:val="baseline"/>
        <w:rPr>
          <w:rFonts w:ascii="Arial" w:eastAsia="Times New Roman" w:hAnsi="Arial" w:cs="Arial"/>
          <w:color w:val="000000"/>
          <w:sz w:val="24"/>
          <w:szCs w:val="24"/>
          <w:lang w:eastAsia="it-IT"/>
        </w:rPr>
      </w:pPr>
      <w:r w:rsidRPr="00AE296A">
        <w:rPr>
          <w:rFonts w:ascii="Arial" w:eastAsia="Times New Roman" w:hAnsi="Arial" w:cs="Arial"/>
          <w:b/>
          <w:bCs/>
          <w:color w:val="000000"/>
          <w:sz w:val="24"/>
          <w:szCs w:val="24"/>
          <w:lang w:eastAsia="it-IT"/>
        </w:rPr>
        <w:t>Elaborazione del rapporto ambientale</w:t>
      </w:r>
    </w:p>
    <w:p w:rsidR="00C5532B" w:rsidRPr="00C5532B" w:rsidRDefault="00C5532B" w:rsidP="00C5532B">
      <w:pPr>
        <w:spacing w:after="120" w:line="360" w:lineRule="atLeast"/>
        <w:textAlignment w:val="baseline"/>
        <w:rPr>
          <w:rFonts w:ascii="Arial" w:eastAsia="Times New Roman" w:hAnsi="Arial" w:cs="Arial"/>
          <w:color w:val="000000"/>
          <w:sz w:val="24"/>
          <w:szCs w:val="24"/>
          <w:lang w:eastAsia="it-IT"/>
        </w:rPr>
      </w:pPr>
      <w:r w:rsidRPr="00C5532B">
        <w:rPr>
          <w:rFonts w:ascii="Arial" w:eastAsia="Times New Roman" w:hAnsi="Arial" w:cs="Arial"/>
          <w:color w:val="000000"/>
          <w:sz w:val="24"/>
          <w:szCs w:val="24"/>
          <w:lang w:eastAsia="it-IT"/>
        </w:rPr>
        <w:t>Prima fase (detta fase di scoping)</w:t>
      </w:r>
      <w:r w:rsidRPr="00C5532B">
        <w:rPr>
          <w:rFonts w:ascii="Arial" w:eastAsia="Times New Roman" w:hAnsi="Arial" w:cs="Arial"/>
          <w:color w:val="000000"/>
          <w:sz w:val="24"/>
          <w:szCs w:val="24"/>
          <w:lang w:eastAsia="it-IT"/>
        </w:rPr>
        <w:br/>
        <w:t>Per i piani e programmi da assoggettare a VAS, il proponente e/o l’autorità procedente elabora un rapporto preliminare sui possibili impatti ambientali significativi dell’attuazione del piano o programma ed entra in consultazione con l’autorità competente e con i soggetti competenti in materia ambientale al fine definire la portata ed il livello di dettaglio delle informazioni da includere nel rapporto ambientale.</w:t>
      </w:r>
    </w:p>
    <w:p w:rsidR="00C5532B" w:rsidRPr="00C5532B" w:rsidRDefault="00C5532B" w:rsidP="00C5532B">
      <w:pPr>
        <w:spacing w:after="0" w:line="360" w:lineRule="atLeast"/>
        <w:textAlignment w:val="baseline"/>
        <w:rPr>
          <w:rFonts w:ascii="Arial" w:eastAsia="Times New Roman" w:hAnsi="Arial" w:cs="Arial"/>
          <w:color w:val="000000"/>
          <w:sz w:val="24"/>
          <w:szCs w:val="24"/>
          <w:lang w:eastAsia="it-IT"/>
        </w:rPr>
      </w:pPr>
      <w:r w:rsidRPr="00C5532B">
        <w:rPr>
          <w:rFonts w:ascii="Arial" w:eastAsia="Times New Roman" w:hAnsi="Arial" w:cs="Arial"/>
          <w:color w:val="000000"/>
          <w:sz w:val="24"/>
          <w:szCs w:val="24"/>
          <w:lang w:eastAsia="it-IT"/>
        </w:rPr>
        <w:br/>
      </w:r>
      <w:r w:rsidRPr="00AE296A">
        <w:rPr>
          <w:rFonts w:ascii="Arial" w:eastAsia="Times New Roman" w:hAnsi="Arial" w:cs="Arial"/>
          <w:b/>
          <w:bCs/>
          <w:color w:val="000000"/>
          <w:sz w:val="24"/>
          <w:szCs w:val="24"/>
          <w:lang w:eastAsia="it-IT"/>
        </w:rPr>
        <w:t>Redazione del rapporto ambientale e svolgimento delle consultazioni</w:t>
      </w:r>
    </w:p>
    <w:p w:rsidR="00C5532B" w:rsidRPr="00C5532B" w:rsidRDefault="00C5532B" w:rsidP="00C5532B">
      <w:pPr>
        <w:spacing w:after="120" w:line="360" w:lineRule="atLeast"/>
        <w:textAlignment w:val="baseline"/>
        <w:rPr>
          <w:rFonts w:ascii="Arial" w:eastAsia="Times New Roman" w:hAnsi="Arial" w:cs="Arial"/>
          <w:color w:val="000000"/>
          <w:sz w:val="24"/>
          <w:szCs w:val="24"/>
          <w:lang w:eastAsia="it-IT"/>
        </w:rPr>
      </w:pPr>
      <w:r w:rsidRPr="00C5532B">
        <w:rPr>
          <w:rFonts w:ascii="Arial" w:eastAsia="Times New Roman" w:hAnsi="Arial" w:cs="Arial"/>
          <w:color w:val="000000"/>
          <w:sz w:val="24"/>
          <w:szCs w:val="24"/>
          <w:lang w:eastAsia="it-IT"/>
        </w:rPr>
        <w:t>Il rapporto ambientale, la cui redazione spetta al proponente o all’autorità procedente, costituisce parte integrante del piano o programma e ne accompagna l’intero processo di elaborazione ed approvazione.</w:t>
      </w:r>
      <w:r w:rsidRPr="00C5532B">
        <w:rPr>
          <w:rFonts w:ascii="Arial" w:eastAsia="Times New Roman" w:hAnsi="Arial" w:cs="Arial"/>
          <w:color w:val="000000"/>
          <w:sz w:val="24"/>
          <w:szCs w:val="24"/>
          <w:lang w:eastAsia="it-IT"/>
        </w:rPr>
        <w:br/>
        <w:t>Nel rapporto ambientale devono essere individuati, descritti e valutati gli impatti significativi che l’attuazione del piano o programma potrebbe avere sull’ambiente e sul patrimonio culturale, nonché le ragionevoli alternative che possono adottarsi in considerazione degli obiettivi e dell’ambito di applicazioneterritoriale del piano o programma. Le informazioni da fornire nel rapporto ambientale sono indicate nell’allegato VI del decreto.</w:t>
      </w:r>
      <w:r w:rsidRPr="00C5532B">
        <w:rPr>
          <w:rFonts w:ascii="Arial" w:eastAsia="Times New Roman" w:hAnsi="Arial" w:cs="Arial"/>
          <w:color w:val="000000"/>
          <w:sz w:val="24"/>
          <w:szCs w:val="24"/>
          <w:lang w:eastAsia="it-IT"/>
        </w:rPr>
        <w:br/>
      </w:r>
      <w:r w:rsidRPr="00C5532B">
        <w:rPr>
          <w:rFonts w:ascii="Arial" w:eastAsia="Times New Roman" w:hAnsi="Arial" w:cs="Arial"/>
          <w:color w:val="000000"/>
          <w:sz w:val="24"/>
          <w:szCs w:val="24"/>
          <w:lang w:eastAsia="it-IT"/>
        </w:rPr>
        <w:lastRenderedPageBreak/>
        <w:t>Il Rapporto ambientale dà atto della consultazione della fase di scoping ed evidenzia come sono stati presi in considerazione i contributi pervenuti.</w:t>
      </w:r>
      <w:r w:rsidRPr="00C5532B">
        <w:rPr>
          <w:rFonts w:ascii="Arial" w:eastAsia="Times New Roman" w:hAnsi="Arial" w:cs="Arial"/>
          <w:color w:val="000000"/>
          <w:sz w:val="24"/>
          <w:szCs w:val="24"/>
          <w:lang w:eastAsia="it-IT"/>
        </w:rPr>
        <w:br/>
        <w:t>La proposta di piano o programma, con il rapporto ambientale ed una sintesi non tecnica dello stesso, sono comunicati all’autorità competente e messi a disposizione dei soggetti competenti in materia ambientale e del pubblico interessato affinché abbiano l’opportunità di presentare le proprie osservazioni, anche fornendo nuovi o ulteriori elementi conoscitivi e valutativi.</w:t>
      </w:r>
    </w:p>
    <w:p w:rsidR="00C5532B" w:rsidRPr="00C5532B" w:rsidRDefault="00C5532B" w:rsidP="00C5532B">
      <w:pPr>
        <w:spacing w:after="120" w:line="360" w:lineRule="atLeast"/>
        <w:textAlignment w:val="baseline"/>
        <w:rPr>
          <w:rFonts w:ascii="Arial" w:eastAsia="Times New Roman" w:hAnsi="Arial" w:cs="Arial"/>
          <w:color w:val="000000"/>
          <w:sz w:val="24"/>
          <w:szCs w:val="24"/>
          <w:lang w:eastAsia="it-IT"/>
        </w:rPr>
      </w:pPr>
      <w:r w:rsidRPr="00C5532B">
        <w:rPr>
          <w:rFonts w:ascii="Arial" w:eastAsia="Times New Roman" w:hAnsi="Arial" w:cs="Arial"/>
          <w:color w:val="000000"/>
          <w:sz w:val="24"/>
          <w:szCs w:val="24"/>
          <w:lang w:eastAsia="it-IT"/>
        </w:rPr>
        <w:t> </w:t>
      </w:r>
    </w:p>
    <w:p w:rsidR="00C5532B" w:rsidRPr="00C5532B" w:rsidRDefault="00C5532B" w:rsidP="00C5532B">
      <w:pPr>
        <w:spacing w:after="0" w:line="360" w:lineRule="atLeast"/>
        <w:textAlignment w:val="baseline"/>
        <w:rPr>
          <w:rFonts w:ascii="Arial" w:eastAsia="Times New Roman" w:hAnsi="Arial" w:cs="Arial"/>
          <w:color w:val="000000"/>
          <w:sz w:val="24"/>
          <w:szCs w:val="24"/>
          <w:lang w:eastAsia="it-IT"/>
        </w:rPr>
      </w:pPr>
      <w:r w:rsidRPr="00AE296A">
        <w:rPr>
          <w:rFonts w:ascii="Arial" w:eastAsia="Times New Roman" w:hAnsi="Arial" w:cs="Arial"/>
          <w:b/>
          <w:bCs/>
          <w:color w:val="000000"/>
          <w:sz w:val="24"/>
          <w:szCs w:val="24"/>
          <w:lang w:eastAsia="it-IT"/>
        </w:rPr>
        <w:t>Valutazione del Rapporto Ambientale e degli esiti della consultazione</w:t>
      </w:r>
    </w:p>
    <w:p w:rsidR="00C5532B" w:rsidRPr="00C5532B" w:rsidRDefault="00C5532B" w:rsidP="00C5532B">
      <w:pPr>
        <w:spacing w:after="120" w:line="360" w:lineRule="atLeast"/>
        <w:textAlignment w:val="baseline"/>
        <w:rPr>
          <w:rFonts w:ascii="Arial" w:eastAsia="Times New Roman" w:hAnsi="Arial" w:cs="Arial"/>
          <w:color w:val="000000"/>
          <w:sz w:val="24"/>
          <w:szCs w:val="24"/>
          <w:lang w:eastAsia="it-IT"/>
        </w:rPr>
      </w:pPr>
      <w:r w:rsidRPr="00C5532B">
        <w:rPr>
          <w:rFonts w:ascii="Arial" w:eastAsia="Times New Roman" w:hAnsi="Arial" w:cs="Arial"/>
          <w:color w:val="000000"/>
          <w:sz w:val="24"/>
          <w:szCs w:val="24"/>
          <w:lang w:eastAsia="it-IT"/>
        </w:rPr>
        <w:t>L’autorità competente, in collaborazione con l’autorità procedente, svolge le attività tecnico-istruttorie, acquisisce e valuta tutta la documentazione presentata, nonché le osservazioni, obiezioni e suggerimenti presentati durante la consultazione, ed esprime il proprio parere motivato</w:t>
      </w:r>
      <w:r w:rsidRPr="00C5532B">
        <w:rPr>
          <w:rFonts w:ascii="Arial" w:eastAsia="Times New Roman" w:hAnsi="Arial" w:cs="Arial"/>
          <w:color w:val="000000"/>
          <w:sz w:val="24"/>
          <w:szCs w:val="24"/>
          <w:lang w:eastAsia="it-IT"/>
        </w:rPr>
        <w:br/>
        <w:t>L’autorità procedente, in collaborazione con l’autorità competente, provvede, prima della presentazione del piano o programma per l’approvazione e tenendo conto delle risultanze del parere motivato e dei risultati delle consultazioni transfrontaliere, alle opportune revisioni del piano o programma.</w:t>
      </w:r>
    </w:p>
    <w:p w:rsidR="00C5532B" w:rsidRPr="00C5532B" w:rsidRDefault="00C5532B" w:rsidP="00C5532B">
      <w:pPr>
        <w:spacing w:after="120" w:line="360" w:lineRule="atLeast"/>
        <w:textAlignment w:val="baseline"/>
        <w:rPr>
          <w:rFonts w:ascii="Arial" w:eastAsia="Times New Roman" w:hAnsi="Arial" w:cs="Arial"/>
          <w:color w:val="000000"/>
          <w:sz w:val="24"/>
          <w:szCs w:val="24"/>
          <w:lang w:eastAsia="it-IT"/>
        </w:rPr>
      </w:pPr>
      <w:r w:rsidRPr="00C5532B">
        <w:rPr>
          <w:rFonts w:ascii="Arial" w:eastAsia="Times New Roman" w:hAnsi="Arial" w:cs="Arial"/>
          <w:color w:val="000000"/>
          <w:sz w:val="24"/>
          <w:szCs w:val="24"/>
          <w:lang w:eastAsia="it-IT"/>
        </w:rPr>
        <w:t> </w:t>
      </w:r>
    </w:p>
    <w:p w:rsidR="00C5532B" w:rsidRPr="00C5532B" w:rsidRDefault="00C5532B" w:rsidP="00C5532B">
      <w:pPr>
        <w:spacing w:after="0" w:line="360" w:lineRule="atLeast"/>
        <w:textAlignment w:val="baseline"/>
        <w:rPr>
          <w:rFonts w:ascii="Arial" w:eastAsia="Times New Roman" w:hAnsi="Arial" w:cs="Arial"/>
          <w:color w:val="000000"/>
          <w:sz w:val="24"/>
          <w:szCs w:val="24"/>
          <w:lang w:eastAsia="it-IT"/>
        </w:rPr>
      </w:pPr>
      <w:r w:rsidRPr="00AE296A">
        <w:rPr>
          <w:rFonts w:ascii="Arial" w:eastAsia="Times New Roman" w:hAnsi="Arial" w:cs="Arial"/>
          <w:b/>
          <w:bCs/>
          <w:color w:val="000000"/>
          <w:sz w:val="24"/>
          <w:szCs w:val="24"/>
          <w:lang w:eastAsia="it-IT"/>
        </w:rPr>
        <w:t>Decisione e informazione sulla decisione</w:t>
      </w:r>
    </w:p>
    <w:p w:rsidR="00C5532B" w:rsidRPr="00C5532B" w:rsidRDefault="00C5532B" w:rsidP="00C5532B">
      <w:pPr>
        <w:spacing w:after="120" w:line="360" w:lineRule="atLeast"/>
        <w:textAlignment w:val="baseline"/>
        <w:rPr>
          <w:rFonts w:ascii="Arial" w:eastAsia="Times New Roman" w:hAnsi="Arial" w:cs="Arial"/>
          <w:color w:val="000000"/>
          <w:sz w:val="24"/>
          <w:szCs w:val="24"/>
          <w:lang w:eastAsia="it-IT"/>
        </w:rPr>
      </w:pPr>
      <w:r w:rsidRPr="00C5532B">
        <w:rPr>
          <w:rFonts w:ascii="Arial" w:eastAsia="Times New Roman" w:hAnsi="Arial" w:cs="Arial"/>
          <w:color w:val="000000"/>
          <w:sz w:val="24"/>
          <w:szCs w:val="24"/>
          <w:lang w:eastAsia="it-IT"/>
        </w:rPr>
        <w:t>Il piano o programma ed il rapporto ambientale, insieme con il parere motivato e la documentazione acquisita nell’ambito della consultazione, sono trasmessi all’organo competente all’adozione o approvazione del piano o programma.</w:t>
      </w:r>
      <w:r w:rsidRPr="00C5532B">
        <w:rPr>
          <w:rFonts w:ascii="Arial" w:eastAsia="Times New Roman" w:hAnsi="Arial" w:cs="Arial"/>
          <w:color w:val="000000"/>
          <w:sz w:val="24"/>
          <w:szCs w:val="24"/>
          <w:lang w:eastAsia="it-IT"/>
        </w:rPr>
        <w:br/>
        <w:t>La decisione finale è pubblicata sulla Gazzetta Ufficiale o sul Bollettino Ufficiale della Regione con l’indicazione della sede ove si può prendere visione del piano o programma adottato e di tutta la documentazione oggetto dell’istruttoria.</w:t>
      </w:r>
      <w:r w:rsidRPr="00C5532B">
        <w:rPr>
          <w:rFonts w:ascii="Arial" w:eastAsia="Times New Roman" w:hAnsi="Arial" w:cs="Arial"/>
          <w:color w:val="000000"/>
          <w:sz w:val="24"/>
          <w:szCs w:val="24"/>
          <w:lang w:eastAsia="it-IT"/>
        </w:rPr>
        <w:br/>
        <w:t>Sono rese pubbliche sui siti web delle autorità interessate:</w:t>
      </w:r>
    </w:p>
    <w:p w:rsidR="00C5532B" w:rsidRPr="00C5532B" w:rsidRDefault="00C5532B" w:rsidP="00C5532B">
      <w:pPr>
        <w:numPr>
          <w:ilvl w:val="0"/>
          <w:numId w:val="9"/>
        </w:numPr>
        <w:spacing w:after="0" w:line="360" w:lineRule="atLeast"/>
        <w:ind w:left="200"/>
        <w:textAlignment w:val="baseline"/>
        <w:rPr>
          <w:rFonts w:ascii="Arial" w:eastAsia="Times New Roman" w:hAnsi="Arial" w:cs="Arial"/>
          <w:color w:val="000000"/>
          <w:sz w:val="24"/>
          <w:szCs w:val="24"/>
          <w:lang w:eastAsia="it-IT"/>
        </w:rPr>
      </w:pPr>
      <w:r w:rsidRPr="00C5532B">
        <w:rPr>
          <w:rFonts w:ascii="Arial" w:eastAsia="Times New Roman" w:hAnsi="Arial" w:cs="Arial"/>
          <w:color w:val="000000"/>
          <w:sz w:val="24"/>
          <w:szCs w:val="24"/>
          <w:lang w:eastAsia="it-IT"/>
        </w:rPr>
        <w:t>il parere motivato espresso dall’autorità competente;</w:t>
      </w:r>
    </w:p>
    <w:p w:rsidR="00C5532B" w:rsidRPr="00C5532B" w:rsidRDefault="00C5532B" w:rsidP="00C5532B">
      <w:pPr>
        <w:numPr>
          <w:ilvl w:val="0"/>
          <w:numId w:val="9"/>
        </w:numPr>
        <w:spacing w:after="0" w:line="360" w:lineRule="atLeast"/>
        <w:ind w:left="200"/>
        <w:textAlignment w:val="baseline"/>
        <w:rPr>
          <w:rFonts w:ascii="Arial" w:eastAsia="Times New Roman" w:hAnsi="Arial" w:cs="Arial"/>
          <w:color w:val="000000"/>
          <w:sz w:val="24"/>
          <w:szCs w:val="24"/>
          <w:lang w:eastAsia="it-IT"/>
        </w:rPr>
      </w:pPr>
      <w:r w:rsidRPr="00C5532B">
        <w:rPr>
          <w:rFonts w:ascii="Arial" w:eastAsia="Times New Roman" w:hAnsi="Arial" w:cs="Arial"/>
          <w:color w:val="000000"/>
          <w:sz w:val="24"/>
          <w:szCs w:val="24"/>
          <w:lang w:eastAsia="it-IT"/>
        </w:rPr>
        <w:t>una dichiarazione di sintesi in cui si illustra in che modo le considerazioni ambientali sono state integrate nel piano o programma , come si è tenuto conto del rapporto ambientale e degli esiti delle consultazioni, le ragioni per le quali è stato scelto il piano o programma adottato alla luce delle alternative possibili individuate;</w:t>
      </w:r>
    </w:p>
    <w:p w:rsidR="00C5532B" w:rsidRPr="00C5532B" w:rsidRDefault="00C5532B" w:rsidP="00C5532B">
      <w:pPr>
        <w:numPr>
          <w:ilvl w:val="0"/>
          <w:numId w:val="9"/>
        </w:numPr>
        <w:spacing w:after="0" w:line="360" w:lineRule="atLeast"/>
        <w:ind w:left="200"/>
        <w:textAlignment w:val="baseline"/>
        <w:rPr>
          <w:rFonts w:ascii="Arial" w:eastAsia="Times New Roman" w:hAnsi="Arial" w:cs="Arial"/>
          <w:color w:val="000000"/>
          <w:sz w:val="24"/>
          <w:szCs w:val="24"/>
          <w:lang w:eastAsia="it-IT"/>
        </w:rPr>
      </w:pPr>
      <w:r w:rsidRPr="00C5532B">
        <w:rPr>
          <w:rFonts w:ascii="Arial" w:eastAsia="Times New Roman" w:hAnsi="Arial" w:cs="Arial"/>
          <w:color w:val="000000"/>
          <w:sz w:val="24"/>
          <w:szCs w:val="24"/>
          <w:lang w:eastAsia="it-IT"/>
        </w:rPr>
        <w:t>le misure adottate in merito al monitoraggio.</w:t>
      </w:r>
    </w:p>
    <w:p w:rsidR="00C5532B" w:rsidRPr="00C5532B" w:rsidRDefault="00C5532B" w:rsidP="00C5532B">
      <w:pPr>
        <w:spacing w:after="0" w:line="360" w:lineRule="atLeast"/>
        <w:textAlignment w:val="baseline"/>
        <w:rPr>
          <w:rFonts w:ascii="Arial" w:eastAsia="Times New Roman" w:hAnsi="Arial" w:cs="Arial"/>
          <w:color w:val="000000"/>
          <w:sz w:val="24"/>
          <w:szCs w:val="24"/>
          <w:lang w:eastAsia="it-IT"/>
        </w:rPr>
      </w:pPr>
      <w:r w:rsidRPr="00AE296A">
        <w:rPr>
          <w:rFonts w:ascii="Arial" w:eastAsia="Times New Roman" w:hAnsi="Arial" w:cs="Arial"/>
          <w:b/>
          <w:bCs/>
          <w:color w:val="000000"/>
          <w:sz w:val="24"/>
          <w:szCs w:val="24"/>
          <w:lang w:eastAsia="it-IT"/>
        </w:rPr>
        <w:t>Monitoraggio</w:t>
      </w:r>
    </w:p>
    <w:p w:rsidR="00C5532B" w:rsidRPr="00C5532B" w:rsidRDefault="00C5532B" w:rsidP="00C5532B">
      <w:pPr>
        <w:spacing w:after="120" w:line="360" w:lineRule="atLeast"/>
        <w:textAlignment w:val="baseline"/>
        <w:rPr>
          <w:rFonts w:ascii="Arial" w:eastAsia="Times New Roman" w:hAnsi="Arial" w:cs="Arial"/>
          <w:color w:val="000000"/>
          <w:sz w:val="24"/>
          <w:szCs w:val="24"/>
          <w:lang w:eastAsia="it-IT"/>
        </w:rPr>
      </w:pPr>
      <w:r w:rsidRPr="00C5532B">
        <w:rPr>
          <w:rFonts w:ascii="Arial" w:eastAsia="Times New Roman" w:hAnsi="Arial" w:cs="Arial"/>
          <w:color w:val="000000"/>
          <w:sz w:val="24"/>
          <w:szCs w:val="24"/>
          <w:lang w:eastAsia="it-IT"/>
        </w:rPr>
        <w:t>Il monitoraggio assicura il controllo sugli impatti significativi sull’ambiente derivanti dall’attuazione dei piani e programmi approvati e la verifica dell raggiungimento degli obiettivi di sostenibilità prefissati, così da individuare tempestivamente gli impatti negativi imprevisti ed adottare le opportune misure correttive.</w:t>
      </w:r>
      <w:r w:rsidRPr="00C5532B">
        <w:rPr>
          <w:rFonts w:ascii="Arial" w:eastAsia="Times New Roman" w:hAnsi="Arial" w:cs="Arial"/>
          <w:color w:val="000000"/>
          <w:sz w:val="24"/>
          <w:szCs w:val="24"/>
          <w:lang w:eastAsia="it-IT"/>
        </w:rPr>
        <w:br/>
        <w:t xml:space="preserve">Il monitoraggio è effettuato dall’Autorità procedente in collaborazione con l’Autorità </w:t>
      </w:r>
      <w:r w:rsidRPr="00C5532B">
        <w:rPr>
          <w:rFonts w:ascii="Arial" w:eastAsia="Times New Roman" w:hAnsi="Arial" w:cs="Arial"/>
          <w:color w:val="000000"/>
          <w:sz w:val="24"/>
          <w:szCs w:val="24"/>
          <w:lang w:eastAsia="it-IT"/>
        </w:rPr>
        <w:lastRenderedPageBreak/>
        <w:t>competente anche avvalendosi del sistema delle Agenzie ambientali e dell’Istituto Superiore per la Protezione e la Ricerca Ambientale.</w:t>
      </w:r>
      <w:r w:rsidRPr="00C5532B">
        <w:rPr>
          <w:rFonts w:ascii="Arial" w:eastAsia="Times New Roman" w:hAnsi="Arial" w:cs="Arial"/>
          <w:color w:val="000000"/>
          <w:sz w:val="24"/>
          <w:szCs w:val="24"/>
          <w:lang w:eastAsia="it-IT"/>
        </w:rPr>
        <w:br/>
        <w:t>Il piano o programma individua le responsabilità e le risorse necessarie per la realizzazione e gestione del monitoraggio.</w:t>
      </w:r>
    </w:p>
    <w:p w:rsidR="00C5532B" w:rsidRPr="00C5532B" w:rsidRDefault="00C5532B" w:rsidP="00C5532B">
      <w:pPr>
        <w:spacing w:after="120" w:line="360" w:lineRule="atLeast"/>
        <w:textAlignment w:val="baseline"/>
        <w:rPr>
          <w:rFonts w:ascii="Arial" w:eastAsia="Times New Roman" w:hAnsi="Arial" w:cs="Arial"/>
          <w:color w:val="000000"/>
          <w:sz w:val="24"/>
          <w:szCs w:val="24"/>
          <w:lang w:eastAsia="it-IT"/>
        </w:rPr>
      </w:pPr>
      <w:r w:rsidRPr="00C5532B">
        <w:rPr>
          <w:rFonts w:ascii="Arial" w:eastAsia="Times New Roman" w:hAnsi="Arial" w:cs="Arial"/>
          <w:color w:val="000000"/>
          <w:sz w:val="24"/>
          <w:szCs w:val="24"/>
          <w:lang w:eastAsia="it-IT"/>
        </w:rPr>
        <w:t> </w:t>
      </w:r>
    </w:p>
    <w:p w:rsidR="00C5532B" w:rsidRPr="00C5532B" w:rsidRDefault="00C5532B" w:rsidP="00C5532B">
      <w:pPr>
        <w:shd w:val="clear" w:color="auto" w:fill="FFFFFF"/>
        <w:spacing w:after="0" w:line="250" w:lineRule="atLeast"/>
        <w:textAlignment w:val="baseline"/>
        <w:outlineLvl w:val="2"/>
        <w:rPr>
          <w:rFonts w:ascii="Arial" w:eastAsia="Times New Roman" w:hAnsi="Arial" w:cs="Arial"/>
          <w:b/>
          <w:bCs/>
          <w:color w:val="000000"/>
          <w:sz w:val="24"/>
          <w:szCs w:val="24"/>
          <w:lang w:eastAsia="it-IT"/>
        </w:rPr>
      </w:pPr>
      <w:r w:rsidRPr="00AE296A">
        <w:rPr>
          <w:rFonts w:ascii="Arial" w:eastAsia="Times New Roman" w:hAnsi="Arial" w:cs="Arial"/>
          <w:b/>
          <w:bCs/>
          <w:color w:val="000000"/>
          <w:sz w:val="24"/>
          <w:szCs w:val="24"/>
          <w:lang w:eastAsia="it-IT"/>
        </w:rPr>
        <w:t>Normativa, linee guida e modulistica per la VAS delle Regioni e Province Autonome</w:t>
      </w:r>
    </w:p>
    <w:p w:rsidR="00C5532B" w:rsidRPr="00C5532B" w:rsidRDefault="00C5532B" w:rsidP="00C5532B">
      <w:pPr>
        <w:shd w:val="clear" w:color="auto" w:fill="FFFFFF"/>
        <w:spacing w:after="0" w:line="240" w:lineRule="auto"/>
        <w:textAlignment w:val="baseline"/>
        <w:rPr>
          <w:rFonts w:ascii="Arial" w:eastAsia="Times New Roman" w:hAnsi="Arial" w:cs="Arial"/>
          <w:color w:val="000000"/>
          <w:sz w:val="24"/>
          <w:szCs w:val="24"/>
          <w:lang w:eastAsia="it-IT"/>
        </w:rPr>
      </w:pPr>
      <w:r w:rsidRPr="00AE296A">
        <w:rPr>
          <w:rFonts w:ascii="Arial" w:eastAsia="Times New Roman" w:hAnsi="Arial" w:cs="Arial"/>
          <w:b/>
          <w:bCs/>
          <w:color w:val="000000"/>
          <w:sz w:val="24"/>
          <w:szCs w:val="24"/>
          <w:lang w:eastAsia="it-IT"/>
        </w:rPr>
        <w:t>Normativa regionale</w:t>
      </w:r>
    </w:p>
    <w:p w:rsidR="00C5532B" w:rsidRPr="00C5532B" w:rsidRDefault="00C5532B" w:rsidP="00C5532B">
      <w:pPr>
        <w:spacing w:after="120" w:line="360" w:lineRule="atLeast"/>
        <w:textAlignment w:val="baseline"/>
        <w:rPr>
          <w:rFonts w:ascii="Arial" w:eastAsia="Times New Roman" w:hAnsi="Arial" w:cs="Arial"/>
          <w:color w:val="000000"/>
          <w:sz w:val="24"/>
          <w:szCs w:val="24"/>
          <w:lang w:eastAsia="it-IT"/>
        </w:rPr>
      </w:pPr>
      <w:r w:rsidRPr="00C5532B">
        <w:rPr>
          <w:rFonts w:ascii="Arial" w:eastAsia="Times New Roman" w:hAnsi="Arial" w:cs="Arial"/>
          <w:color w:val="000000"/>
          <w:sz w:val="24"/>
          <w:szCs w:val="24"/>
          <w:lang w:eastAsia="it-IT"/>
        </w:rPr>
        <w:t>Le regioni hanno emanato disposizioni normative concernenti l’esercizio della VAS secondo quanto stabilito nella Direttiva VAS e nel D.lgs 152/06 e s.m.i.</w:t>
      </w:r>
    </w:p>
    <w:p w:rsidR="00C5532B" w:rsidRPr="00C5532B" w:rsidRDefault="00C5532B" w:rsidP="00C5532B">
      <w:pPr>
        <w:spacing w:after="120" w:line="360" w:lineRule="atLeast"/>
        <w:textAlignment w:val="baseline"/>
        <w:rPr>
          <w:rFonts w:ascii="Arial" w:eastAsia="Times New Roman" w:hAnsi="Arial" w:cs="Arial"/>
          <w:color w:val="000000"/>
          <w:sz w:val="24"/>
          <w:szCs w:val="24"/>
          <w:lang w:eastAsia="it-IT"/>
        </w:rPr>
      </w:pPr>
      <w:r w:rsidRPr="00C5532B">
        <w:rPr>
          <w:rFonts w:ascii="Arial" w:eastAsia="Times New Roman" w:hAnsi="Arial" w:cs="Arial"/>
          <w:color w:val="000000"/>
          <w:sz w:val="24"/>
          <w:szCs w:val="24"/>
          <w:lang w:eastAsia="it-IT"/>
        </w:rPr>
        <w:t>Alcune regioni hanno emanato normative organiche sulla VAS; altre regioni hanno disciplinato:</w:t>
      </w:r>
    </w:p>
    <w:p w:rsidR="00C5532B" w:rsidRPr="00C5532B" w:rsidRDefault="00C5532B" w:rsidP="00C5532B">
      <w:pPr>
        <w:numPr>
          <w:ilvl w:val="0"/>
          <w:numId w:val="10"/>
        </w:numPr>
        <w:spacing w:after="0" w:line="360" w:lineRule="atLeast"/>
        <w:ind w:left="200"/>
        <w:textAlignment w:val="baseline"/>
        <w:rPr>
          <w:rFonts w:ascii="Arial" w:eastAsia="Times New Roman" w:hAnsi="Arial" w:cs="Arial"/>
          <w:color w:val="000000"/>
          <w:sz w:val="24"/>
          <w:szCs w:val="24"/>
          <w:lang w:eastAsia="it-IT"/>
        </w:rPr>
      </w:pPr>
      <w:r w:rsidRPr="00C5532B">
        <w:rPr>
          <w:rFonts w:ascii="Arial" w:eastAsia="Times New Roman" w:hAnsi="Arial" w:cs="Arial"/>
          <w:color w:val="000000"/>
          <w:sz w:val="24"/>
          <w:szCs w:val="24"/>
          <w:lang w:eastAsia="it-IT"/>
        </w:rPr>
        <w:t>le proprie competenze e quelle degli altri enti locali;</w:t>
      </w:r>
    </w:p>
    <w:p w:rsidR="00C5532B" w:rsidRPr="00C5532B" w:rsidRDefault="00C5532B" w:rsidP="00C5532B">
      <w:pPr>
        <w:numPr>
          <w:ilvl w:val="0"/>
          <w:numId w:val="10"/>
        </w:numPr>
        <w:spacing w:after="0" w:line="360" w:lineRule="atLeast"/>
        <w:ind w:left="200"/>
        <w:textAlignment w:val="baseline"/>
        <w:rPr>
          <w:rFonts w:ascii="Arial" w:eastAsia="Times New Roman" w:hAnsi="Arial" w:cs="Arial"/>
          <w:color w:val="000000"/>
          <w:sz w:val="24"/>
          <w:szCs w:val="24"/>
          <w:lang w:eastAsia="it-IT"/>
        </w:rPr>
      </w:pPr>
      <w:r w:rsidRPr="00C5532B">
        <w:rPr>
          <w:rFonts w:ascii="Arial" w:eastAsia="Times New Roman" w:hAnsi="Arial" w:cs="Arial"/>
          <w:color w:val="000000"/>
          <w:sz w:val="24"/>
          <w:szCs w:val="24"/>
          <w:lang w:eastAsia="it-IT"/>
        </w:rPr>
        <w:t>i criteri per individuare gli enti locali territoriali interessati ed i soggetti competenti in materia ambientale;</w:t>
      </w:r>
    </w:p>
    <w:p w:rsidR="00C5532B" w:rsidRPr="00C5532B" w:rsidRDefault="00C5532B" w:rsidP="00C5532B">
      <w:pPr>
        <w:numPr>
          <w:ilvl w:val="0"/>
          <w:numId w:val="10"/>
        </w:numPr>
        <w:spacing w:after="0" w:line="360" w:lineRule="atLeast"/>
        <w:ind w:left="200"/>
        <w:textAlignment w:val="baseline"/>
        <w:rPr>
          <w:rFonts w:ascii="Arial" w:eastAsia="Times New Roman" w:hAnsi="Arial" w:cs="Arial"/>
          <w:color w:val="000000"/>
          <w:sz w:val="24"/>
          <w:szCs w:val="24"/>
          <w:lang w:eastAsia="it-IT"/>
        </w:rPr>
      </w:pPr>
      <w:r w:rsidRPr="00C5532B">
        <w:rPr>
          <w:rFonts w:ascii="Arial" w:eastAsia="Times New Roman" w:hAnsi="Arial" w:cs="Arial"/>
          <w:color w:val="000000"/>
          <w:sz w:val="24"/>
          <w:szCs w:val="24"/>
          <w:lang w:eastAsia="it-IT"/>
        </w:rPr>
        <w:t>eventuali ulteriori modalità, rispetto a quelle indicate nel decreto, per l’individuazione di piani e programmi da sottoporre a VAS;</w:t>
      </w:r>
    </w:p>
    <w:p w:rsidR="00C5532B" w:rsidRPr="00C5532B" w:rsidRDefault="00C5532B" w:rsidP="00C5532B">
      <w:pPr>
        <w:numPr>
          <w:ilvl w:val="0"/>
          <w:numId w:val="10"/>
        </w:numPr>
        <w:spacing w:after="0" w:line="360" w:lineRule="atLeast"/>
        <w:ind w:left="200"/>
        <w:textAlignment w:val="baseline"/>
        <w:rPr>
          <w:rFonts w:ascii="Arial" w:eastAsia="Times New Roman" w:hAnsi="Arial" w:cs="Arial"/>
          <w:color w:val="000000"/>
          <w:sz w:val="24"/>
          <w:szCs w:val="24"/>
          <w:lang w:eastAsia="it-IT"/>
        </w:rPr>
      </w:pPr>
      <w:r w:rsidRPr="00C5532B">
        <w:rPr>
          <w:rFonts w:ascii="Arial" w:eastAsia="Times New Roman" w:hAnsi="Arial" w:cs="Arial"/>
          <w:color w:val="000000"/>
          <w:sz w:val="24"/>
          <w:szCs w:val="24"/>
          <w:lang w:eastAsia="it-IT"/>
        </w:rPr>
        <w:t>le modalità di partecipazione al processo di VAS, delle regioni e province autonome confinanti.</w:t>
      </w:r>
    </w:p>
    <w:p w:rsidR="00C5532B" w:rsidRPr="00C5532B" w:rsidRDefault="00C5532B" w:rsidP="00C5532B">
      <w:pPr>
        <w:spacing w:after="120" w:line="360" w:lineRule="atLeast"/>
        <w:textAlignment w:val="baseline"/>
        <w:rPr>
          <w:rFonts w:ascii="Arial" w:eastAsia="Times New Roman" w:hAnsi="Arial" w:cs="Arial"/>
          <w:color w:val="000000"/>
          <w:sz w:val="24"/>
          <w:szCs w:val="24"/>
          <w:lang w:eastAsia="it-IT"/>
        </w:rPr>
      </w:pPr>
      <w:r w:rsidRPr="00C5532B">
        <w:rPr>
          <w:rFonts w:ascii="Arial" w:eastAsia="Times New Roman" w:hAnsi="Arial" w:cs="Arial"/>
          <w:color w:val="000000"/>
          <w:sz w:val="24"/>
          <w:szCs w:val="24"/>
          <w:lang w:eastAsia="it-IT"/>
        </w:rPr>
        <w:t>secondo quanto indicato nel D.lgs 152/06 e s.m.i.</w:t>
      </w:r>
    </w:p>
    <w:p w:rsidR="00C5532B" w:rsidRPr="003F08E8" w:rsidRDefault="00C5532B">
      <w:pPr>
        <w:rPr>
          <w:rFonts w:ascii="Arial" w:hAnsi="Arial" w:cs="Arial"/>
          <w:b/>
          <w:sz w:val="24"/>
          <w:szCs w:val="24"/>
        </w:rPr>
      </w:pPr>
    </w:p>
    <w:p w:rsidR="00C5532B" w:rsidRPr="003F08E8" w:rsidRDefault="00C5532B">
      <w:pPr>
        <w:rPr>
          <w:rFonts w:ascii="Arial" w:hAnsi="Arial" w:cs="Arial"/>
          <w:b/>
          <w:sz w:val="24"/>
          <w:szCs w:val="24"/>
        </w:rPr>
      </w:pPr>
      <w:r w:rsidRPr="003F08E8">
        <w:rPr>
          <w:rFonts w:ascii="Arial" w:hAnsi="Arial" w:cs="Arial"/>
          <w:b/>
          <w:sz w:val="24"/>
          <w:szCs w:val="24"/>
        </w:rPr>
        <w:t>Autorizzazione integrata ambientale</w:t>
      </w:r>
    </w:p>
    <w:p w:rsidR="00A26B75" w:rsidRPr="00AE296A" w:rsidRDefault="00C5532B">
      <w:pPr>
        <w:rPr>
          <w:rFonts w:ascii="Arial" w:hAnsi="Arial" w:cs="Arial"/>
          <w:sz w:val="24"/>
          <w:szCs w:val="24"/>
        </w:rPr>
      </w:pPr>
      <w:r w:rsidRPr="00AE296A">
        <w:rPr>
          <w:rFonts w:ascii="Arial" w:hAnsi="Arial" w:cs="Arial"/>
          <w:sz w:val="24"/>
          <w:szCs w:val="24"/>
        </w:rPr>
        <w:t xml:space="preserve">L’autorizzazione integrata ambientale L'autorizzazione integrata ambientale (AIA), disciplinata dal titolo III-bis (artt. da 29-bis a 29-quattuordecies) 1 del Codice ambientale, ha per oggetto – ai sensi dell’art. 4, comma 4, lettera c), del D.Lgs. 152/2006 - la “prevenzione e la riduzione integrate dell'inquinamento proveniente dalle attività di cui all'allegato VIII e prevede misure intese a evitare, ove possibile, o a ridurre le emissioni nell'aria, nell'acqua e nel suolo, comprese le misure relative ai rifiuti, per conseguire un livello elevato di protezione dell'ambiente salve le disposizioni sulla valutazione di impatto ambientale”. Ai sensi dell’art. 6, comma 13, l'AIA è necessaria per i progetti di cui all'allegato VIII alla parte seconda del Codice nonché per le successive modifiche sostanziali. Ai sensi dell’art. 7, commi 4-bis e 4-ter, sono sottoposti ad AIA in sede statale i progetti relativi alle attività di cui all'allegato XII e loro modifiche sostanziali, mentre sono sottoposti ad AIA secondo le disposizioni delle leggi regionali e provinciali i progetti di cui all'allegato VIII che non risultano ricompresi anche nell'allegato XII al decreto e loro modifiche sostanziali. Si fa notare che il campo di applicazione della disciplina relativa all’AIA è piuttosto limitato in termini numerici: sia perché l’allegato VIII riguarda solo alcune tipologie di attività industriali, sia perché vi sono ulteriori limitazioni relative alla capacità produttiva che deve essere superiore alle soglie indicate dall’allegato stesso. Dai dati trasmessi dal Ministero dell'ambiente2 il numero degli impianti assoggettati ad AIA è di </w:t>
      </w:r>
      <w:r w:rsidRPr="00AE296A">
        <w:rPr>
          <w:rFonts w:ascii="Arial" w:hAnsi="Arial" w:cs="Arial"/>
          <w:sz w:val="24"/>
          <w:szCs w:val="24"/>
        </w:rPr>
        <w:lastRenderedPageBreak/>
        <w:t xml:space="preserve">poco inferiore alle 6.000 unità, pari a circa l’1,3% del numero di imprese del settore industriale3 . In sede statale, ai sensi del successivo comma 5, l'autorità competente è il Ministro dell'ambiente e della tutela del territorio e del mare. Il comma 16 dell’articolo 6 elenca i seguenti principi generali di cui l'autorità competente deve tener conto, nel determinare le condizioni per l'AIA, fermo restando il rispetto delle norme di qualità ambientale: a) devono essere prese le opportune misure di prevenzione dell'inquinamento, applicando in particolare le migliori tecniche disponibili; b) non si devono verificare fenomeni di inquinamento significativi; 1 Tali disposizioni sono state inserite all’interno del D.Lgs. 152/2006 (Codice dell’ambiente), dal D.Lgs. 128/2010 (c.d. terzo correttivo ambientale), che ha provveduto a trasporre le disposizioni originariamente contenute nel D.Lgs. 59/2005 con cui erano state attuate in maniera integrale le disposizioni della direttiva 96/61/CE (c.d. direttiva IPPC). La direttiva è stata successivamente sostituita dalla direttiva 2008/1/CE e dalla direttiva 2010/75/UE. 2 Relazione sullo stato di attuazione delle disposizioni di cui all’articolo 5, commi 18 e 19, del decreto legislativo 18 febbraio 2005, n. 59, in materia di prevenzione e riduzione integrata dell’inquinamento (Doc. XXVII, n. 29), trasmessa alla Presidenza della Camera l'11 marzo 2011 (www.camera.it/_dati/leg16/lavori/documentiparlamentari/indiceetesti/027/029_RS/intero_com.pdf). 3 Il numero delle imprese attive nel 2009 nel settore “Industria in senso stretto” è di circa 453.000 unità (www.istat.it/it/files/2011/06/Report.pdf?title=Struttura+e+dimensione+delle+imprese+- +01%2Fgiu%2F2011+-+Testo+integrale.pdf). c) deve essere evitata la produzione di rifiuti, a norma della quarta parte del decreto; in caso contrario i rifiuti sono recuperati o, ove ciò sia tecnicamente ed economicamente impossibile, sono eliminati evitandone e riducendone l'impatto sull'ambiente, secondo le disposizioni della medesima quarta parte del decreto; d) l'energia deve essere utilizzata in modo efficace ed efficiente; e) devono essere prese le misure necessarie per prevenire gli incidenti e limitarne le conseguenze; f) deve essere evitato qualsiasi rischio di inquinamento al momento della cessazione definitiva delle attività e il sito stesso deve essere ripristinato ai sensi della normativa vigente in materia di bonifiche e ripristino ambientale. L’art. 29-septies dispone, inoltre, che se, a seguito di una valutazione dell'autorità competente, che tenga conto di tutte le emissioni coinvolte, risulta necessario applicare ad impianti, localizzati in una determinata area, misure più rigorose di quelle ottenibili con le migliori tecniche disponibili, al fine di assicurare in tale area il rispetto delle norme di qualità ambientale, l'autorità competente può prescrivere nelle autorizzazioni integrate ambientali misure supplementari particolari più rigorose, fatte salve le altre misure che possono essere adottate per rispettare le norme di qualità ambientale. Relativamente al rinnovo e al riesame dell’AIA, si ricorda che, ai sensi dell’art. 29-octies, l'autorità competente rinnova ogni cinque anni l’AIA, mentre il riesame è effettuato dalla medesima autorità, anche su proposta delle amministrazioni competenti in materia ambientale, comunque quando: a) l'inquinamento provocato dall'impianto è tale da rendere necessaria la revisione dei valori limite di emissione fissati nell'autorizzazione o l'inserimento in quest'ultima di nuovi valori limite; b) le migliori tecniche disponibili hanno subito modifiche sostanziali, che consentono una notevole riduzione delle emissioni senza imporre costi eccessivi; c) la sicurezza di esercizio del processo o dell'attività richiede l'impiego di altre tecniche; d) nuove disposizioni legislative </w:t>
      </w:r>
      <w:r w:rsidRPr="00AE296A">
        <w:rPr>
          <w:rFonts w:ascii="Arial" w:hAnsi="Arial" w:cs="Arial"/>
          <w:sz w:val="24"/>
          <w:szCs w:val="24"/>
        </w:rPr>
        <w:lastRenderedPageBreak/>
        <w:t>comunitarie o nazionali lo esigono. Il comma 5 dell’art. 29-octies dispone altresì che in caso di rinnovo o di riesame dell'autorizzazione, l'autorità competente può consentire deroghe temporanee ai requisiti ivi fissati, se un piano di ammodernamento da essa approvato assicura il rispetto di detti requisiti entro un termine di sei mesi, e se il progetto determina una riduzione dell'inquinamento. L’art. 29-decies disciplina invece il controllo del rispetto delle condizioni dell'AIA, affidandone (al comma 3) la competenza all’Istituto superiore per la protezione e la ricerca ambientale - ISPRA (anche avvalendosi delle agenzie regionali e provinciali territorialmente competenti), per impianti di competenza statale, o alle agenzie regionali e provinciali per la protezione dell'ambiente (ARPA-APPA), negli altri casi. Il comma 4 dispone altresì che l'autorità competente può disporre ispezioni straordinarie sugli impianti autorizzati. Il comma 8 prevede la pubblicità dei risultati del controllo delle emissioni, richiesti dalle condizioni dell'AIA e in possesso dell'autorità competente. Ai sensi del comma 9, in caso di inosservanza delle prescrizioni autorizzatorie, o di esercizio in assenza di autorizzazione, l'autorità competente procede secondo la gravità delle infrazioni: a) alla diffida, assegnando un termine entro il quale devono essere eliminate le irregolarità; b) alla diffida e contestuale sospensione dell'attività autorizzata per un tempo determinato, ove si manifestino situazioni di pericolo per l'ambiente; c) alla revoca dell'AIA e alla chiusura dell'impianto, in caso di mancato adeguamento alle prescrizioni imposte con la diffida e in caso di reiterate violazioni che determinino situazioni di pericolo e di danno per l'ambiente. Il comma 10 dispone altresì che in caso di inosservanza delle prescrizioni autorizzatorie, l'autorità competente, ove si manifestino situazioni di pericolo o di danno per la salute, ne dà comunicazione al sindaco ai fini dell'assunzione delle eventuali misure ai sensi dell'art. 217 del R.D. 1265/1934. Si ricorda che ai sensi degli art. 216 e 217 del R.D. 1265/1934, il sindaco è titolare di un generale potere di vigilanza sulle industrie insalubri e pericolose che può anche concretarsi nella prescrizione di accorgimenti relativi allo svolgimento dell'attività, volti a prevenire, a tutela dell'igiene e della salute pubblica, situazioni di inquinamento.</w:t>
      </w:r>
    </w:p>
    <w:p w:rsidR="00FD1C5C" w:rsidRPr="00AE296A" w:rsidRDefault="00FD1C5C">
      <w:pPr>
        <w:rPr>
          <w:rFonts w:ascii="Arial" w:hAnsi="Arial" w:cs="Arial"/>
          <w:sz w:val="24"/>
          <w:szCs w:val="24"/>
        </w:rPr>
      </w:pPr>
      <w:r w:rsidRPr="00AE296A">
        <w:rPr>
          <w:rFonts w:ascii="Arial" w:hAnsi="Arial" w:cs="Arial"/>
          <w:sz w:val="24"/>
          <w:szCs w:val="24"/>
        </w:rPr>
        <w:t>INQUINAMENTO DELLE ACQUE</w:t>
      </w:r>
    </w:p>
    <w:p w:rsidR="00FD1C5C" w:rsidRPr="00AE296A" w:rsidRDefault="00FD1C5C">
      <w:pPr>
        <w:rPr>
          <w:rFonts w:ascii="Arial" w:hAnsi="Arial" w:cs="Arial"/>
          <w:sz w:val="24"/>
          <w:szCs w:val="24"/>
        </w:rPr>
      </w:pPr>
      <w:r w:rsidRPr="00AE296A">
        <w:rPr>
          <w:rFonts w:ascii="Arial" w:hAnsi="Arial" w:cs="Arial"/>
          <w:sz w:val="24"/>
          <w:szCs w:val="24"/>
        </w:rPr>
        <w:t>La disciplina è prevista dal dlgs 152/06 che la affronta nella Parte III, suddividendo la problematica in 3 aree:</w:t>
      </w:r>
    </w:p>
    <w:p w:rsidR="00FD1C5C" w:rsidRPr="00AE296A" w:rsidRDefault="00FD1C5C" w:rsidP="00FD1C5C">
      <w:pPr>
        <w:pStyle w:val="Paragrafoelenco"/>
        <w:numPr>
          <w:ilvl w:val="0"/>
          <w:numId w:val="11"/>
        </w:numPr>
        <w:rPr>
          <w:rFonts w:ascii="Arial" w:hAnsi="Arial" w:cs="Arial"/>
          <w:sz w:val="24"/>
          <w:szCs w:val="24"/>
        </w:rPr>
      </w:pPr>
      <w:r w:rsidRPr="00AE296A">
        <w:rPr>
          <w:rFonts w:ascii="Arial" w:hAnsi="Arial" w:cs="Arial"/>
          <w:sz w:val="24"/>
          <w:szCs w:val="24"/>
        </w:rPr>
        <w:t>difesa del suolo  (art 53 ss)</w:t>
      </w:r>
    </w:p>
    <w:p w:rsidR="00FD1C5C" w:rsidRPr="00AE296A" w:rsidRDefault="00FD1C5C" w:rsidP="00FD1C5C">
      <w:pPr>
        <w:pStyle w:val="Paragrafoelenco"/>
        <w:numPr>
          <w:ilvl w:val="0"/>
          <w:numId w:val="11"/>
        </w:numPr>
        <w:rPr>
          <w:rFonts w:ascii="Arial" w:hAnsi="Arial" w:cs="Arial"/>
          <w:sz w:val="24"/>
          <w:szCs w:val="24"/>
        </w:rPr>
      </w:pPr>
      <w:r w:rsidRPr="00AE296A">
        <w:rPr>
          <w:rFonts w:ascii="Arial" w:hAnsi="Arial" w:cs="Arial"/>
          <w:sz w:val="24"/>
          <w:szCs w:val="24"/>
        </w:rPr>
        <w:t>tutela delle acque (art 73 ss)</w:t>
      </w:r>
    </w:p>
    <w:p w:rsidR="00FD1C5C" w:rsidRPr="00AE296A" w:rsidRDefault="00FD1C5C" w:rsidP="00FD1C5C">
      <w:pPr>
        <w:pStyle w:val="Paragrafoelenco"/>
        <w:numPr>
          <w:ilvl w:val="0"/>
          <w:numId w:val="11"/>
        </w:numPr>
        <w:rPr>
          <w:rFonts w:ascii="Arial" w:hAnsi="Arial" w:cs="Arial"/>
          <w:sz w:val="24"/>
          <w:szCs w:val="24"/>
        </w:rPr>
      </w:pPr>
      <w:r w:rsidRPr="00AE296A">
        <w:rPr>
          <w:rFonts w:ascii="Arial" w:hAnsi="Arial" w:cs="Arial"/>
          <w:sz w:val="24"/>
          <w:szCs w:val="24"/>
        </w:rPr>
        <w:t>gestione delle risorse idriche (art 141 ss)</w:t>
      </w:r>
    </w:p>
    <w:p w:rsidR="00FD1C5C" w:rsidRPr="00AE296A" w:rsidRDefault="00FD1C5C" w:rsidP="00FD1C5C">
      <w:pPr>
        <w:pStyle w:val="NormaleWeb"/>
        <w:shd w:val="clear" w:color="auto" w:fill="F5FDFE"/>
        <w:rPr>
          <w:rFonts w:ascii="Arial" w:hAnsi="Arial" w:cs="Arial"/>
        </w:rPr>
      </w:pPr>
      <w:r w:rsidRPr="00AE296A">
        <w:rPr>
          <w:rFonts w:ascii="Arial" w:hAnsi="Arial" w:cs="Arial"/>
        </w:rPr>
        <w:t>la dsciplina in materia di tutela dall’inquinamento delle acque tende a :</w:t>
      </w:r>
    </w:p>
    <w:p w:rsidR="00FD1C5C" w:rsidRPr="00AE296A" w:rsidRDefault="00FD1C5C" w:rsidP="00FD1C5C">
      <w:pPr>
        <w:pStyle w:val="NormaleWeb"/>
        <w:shd w:val="clear" w:color="auto" w:fill="F5FDFE"/>
        <w:rPr>
          <w:rFonts w:ascii="Arial" w:hAnsi="Arial" w:cs="Arial"/>
          <w:color w:val="000000"/>
        </w:rPr>
      </w:pPr>
      <w:r w:rsidRPr="00AE296A">
        <w:rPr>
          <w:rFonts w:ascii="Arial" w:hAnsi="Arial" w:cs="Arial"/>
          <w:color w:val="000000"/>
        </w:rPr>
        <w:t>a) prevenire e ridurre l'inquinamento e attuare il risanamento dei corpi idrici inquinati;</w:t>
      </w:r>
      <w:r w:rsidRPr="00AE296A">
        <w:rPr>
          <w:rFonts w:ascii="Arial" w:hAnsi="Arial" w:cs="Arial"/>
          <w:color w:val="000000"/>
        </w:rPr>
        <w:br/>
        <w:t>b) conseguire il miglioramento dello stato delle acque ed adeguate protezioni di quelle destinate a particolari usi;</w:t>
      </w:r>
      <w:r w:rsidRPr="00AE296A">
        <w:rPr>
          <w:rFonts w:ascii="Arial" w:hAnsi="Arial" w:cs="Arial"/>
          <w:color w:val="000000"/>
        </w:rPr>
        <w:br/>
        <w:t>c) perseguire usi sostenibili e durevoli delle risorse idriche, con priorità per quelle potabili;</w:t>
      </w:r>
      <w:r w:rsidRPr="00AE296A">
        <w:rPr>
          <w:rFonts w:ascii="Arial" w:hAnsi="Arial" w:cs="Arial"/>
          <w:color w:val="000000"/>
        </w:rPr>
        <w:br/>
        <w:t>d) mantenere la capacità naturale di autodepurazione dei corpi idrici, nonché la capacità di sostenere comunità animali e vegetali ampie e ben diversificate;</w:t>
      </w:r>
      <w:r w:rsidRPr="00AE296A">
        <w:rPr>
          <w:rFonts w:ascii="Arial" w:hAnsi="Arial" w:cs="Arial"/>
          <w:color w:val="000000"/>
        </w:rPr>
        <w:br/>
        <w:t>e) mitigare gli effetti delle inondazioni e della siccità</w:t>
      </w:r>
    </w:p>
    <w:p w:rsidR="00FD1C5C" w:rsidRPr="00AE296A" w:rsidRDefault="00FD1C5C" w:rsidP="00FD1C5C">
      <w:pPr>
        <w:pStyle w:val="NormaleWeb"/>
        <w:shd w:val="clear" w:color="auto" w:fill="F5FDFE"/>
        <w:rPr>
          <w:rFonts w:ascii="Arial" w:hAnsi="Arial" w:cs="Arial"/>
          <w:color w:val="000000"/>
        </w:rPr>
      </w:pPr>
      <w:r w:rsidRPr="00AE296A">
        <w:rPr>
          <w:rFonts w:ascii="Arial" w:hAnsi="Arial" w:cs="Arial"/>
          <w:color w:val="000000"/>
        </w:rPr>
        <w:lastRenderedPageBreak/>
        <w:t>f) impedire un ulteriore deterioramento, proteggere e migliorare lo stato degli ecosistemi acquatici, degli ecosistemi terrestri e delle zone umide direttamente dipendenti dagli ecosistemi acquatici sotto il profilo del fabbisogno idrico.</w:t>
      </w:r>
    </w:p>
    <w:p w:rsidR="00DE4CC7" w:rsidRPr="00AE296A" w:rsidRDefault="00DE4CC7" w:rsidP="00DE4CC7">
      <w:pPr>
        <w:pStyle w:val="NormaleWeb"/>
        <w:rPr>
          <w:rFonts w:ascii="Arial" w:hAnsi="Arial" w:cs="Arial"/>
          <w:color w:val="000000"/>
        </w:rPr>
      </w:pPr>
      <w:r w:rsidRPr="00AE296A">
        <w:rPr>
          <w:rFonts w:ascii="Arial" w:hAnsi="Arial" w:cs="Arial"/>
          <w:color w:val="000000"/>
        </w:rPr>
        <w:t>Sono conferite alle regioni e agli enti locali tutte le funzioni amministrative in materia di :</w:t>
      </w:r>
    </w:p>
    <w:p w:rsidR="00DE4CC7" w:rsidRPr="00AE296A" w:rsidRDefault="00DE4CC7" w:rsidP="00DE4CC7">
      <w:pPr>
        <w:pStyle w:val="NormaleWeb"/>
        <w:rPr>
          <w:rFonts w:ascii="Arial" w:hAnsi="Arial" w:cs="Arial"/>
          <w:color w:val="000000"/>
        </w:rPr>
      </w:pPr>
      <w:r w:rsidRPr="00AE296A">
        <w:rPr>
          <w:rFonts w:ascii="Arial" w:hAnsi="Arial" w:cs="Arial"/>
          <w:color w:val="000000"/>
        </w:rPr>
        <w:t>a) la tenuta e l'aggiornamento dell'elenco delle acque dolci superficiali;</w:t>
      </w:r>
      <w:r w:rsidRPr="00AE296A">
        <w:rPr>
          <w:rFonts w:ascii="Arial" w:hAnsi="Arial" w:cs="Arial"/>
          <w:color w:val="000000"/>
        </w:rPr>
        <w:br/>
        <w:t>b) la tenuta e l'aggiornamento dell'elenco delle acque destinate alla molluschicoltura;</w:t>
      </w:r>
      <w:r w:rsidRPr="00AE296A">
        <w:rPr>
          <w:rFonts w:ascii="Arial" w:hAnsi="Arial" w:cs="Arial"/>
          <w:color w:val="000000"/>
        </w:rPr>
        <w:br/>
        <w:t>c) il monitoraggio sulla produzione, sull'impiego, sulla diffusione, sulla persistenza nell'ambiente e sull'effetto sulla salute umana delle sostanze ammesse alla produzione di preparati per lavare;</w:t>
      </w:r>
      <w:r w:rsidRPr="00AE296A">
        <w:rPr>
          <w:rFonts w:ascii="Arial" w:hAnsi="Arial" w:cs="Arial"/>
          <w:color w:val="000000"/>
        </w:rPr>
        <w:br/>
        <w:t>d) il monitoraggio sullo stato di eutrofizzazione delle acque interne e costiere.</w:t>
      </w:r>
    </w:p>
    <w:p w:rsidR="00DE4CC7" w:rsidRPr="00AE296A" w:rsidRDefault="00DE4CC7" w:rsidP="00DE4CC7">
      <w:pPr>
        <w:pStyle w:val="NormaleWeb"/>
        <w:rPr>
          <w:rFonts w:ascii="Arial" w:hAnsi="Arial" w:cs="Arial"/>
          <w:color w:val="000000"/>
        </w:rPr>
      </w:pPr>
      <w:r w:rsidRPr="00AE296A">
        <w:rPr>
          <w:rFonts w:ascii="Arial" w:hAnsi="Arial" w:cs="Arial"/>
          <w:color w:val="000000"/>
        </w:rPr>
        <w:t>Con riferimento alle funzioni e ai compiti spettanti alle regioni e agli enti locali, in caso di accertata inattività che comporti inadempimento agli obblighi derivanti dall'appartenenza alla Unione europea o pericolo di grave pregiudizio agli interessi nazionali, il Presidente del Consiglio dei Ministri, su proposta del Ministro competente per materia, assegna all'ente inadempiente un congruo termine per provvedere. Decorso inutilmente tale termine, il Consiglio dei Ministri, sentito il soggetto inadempiente, nomina un commissario che provvede in via sostitutiva. In casi di assoluta urgenza, il Consiglio dei Ministri può adottare il provvedimento di nomina del commissario, su proposta del Presidente del Consiglio dei Ministri, di concerto con il Ministro competente. Il provvedimento in tal modo adottato ha immediata esecuzione ed è immediatamente comunicato rispettivamente alla Conferenza permanente per i rapporti tra lo Stato, le regioni e le province autonome di Trento e di Bolzano, e alla Conferenza Stato-Città e autonomie locali allargata ai rappresentanti delle comunità montane, che ne possono chiedere il riesame</w:t>
      </w:r>
    </w:p>
    <w:p w:rsidR="004258BF" w:rsidRPr="00AE296A" w:rsidRDefault="004258BF" w:rsidP="00DE4CC7">
      <w:pPr>
        <w:pStyle w:val="NormaleWeb"/>
        <w:rPr>
          <w:rFonts w:ascii="Arial" w:hAnsi="Arial" w:cs="Arial"/>
          <w:color w:val="000000"/>
          <w:shd w:val="clear" w:color="auto" w:fill="F5FDFE"/>
        </w:rPr>
      </w:pPr>
      <w:r w:rsidRPr="00AE296A">
        <w:rPr>
          <w:rFonts w:ascii="Arial" w:hAnsi="Arial" w:cs="Arial"/>
          <w:color w:val="000000"/>
        </w:rPr>
        <w:t xml:space="preserve">Importanza per competenza del comune è la normativa in materia di scarichi che sono definiti dal TU come  </w:t>
      </w:r>
      <w:r w:rsidRPr="00AE296A">
        <w:rPr>
          <w:rFonts w:ascii="Arial" w:hAnsi="Arial" w:cs="Arial"/>
          <w:color w:val="000000"/>
          <w:shd w:val="clear" w:color="auto" w:fill="F5FDFE"/>
        </w:rPr>
        <w:t xml:space="preserve">scarico collettamento che collega senza soluzione di continuità il ciclo di produzione del refluo con il corpo ricettore in acque superficiali, sul suolo, nel sottosuolo e in rete fognaria, indipendentemente dalla loro natura inquinante, anche sottoposte a preventivo trattamento di depurazione. </w:t>
      </w:r>
    </w:p>
    <w:p w:rsidR="004258BF" w:rsidRPr="00AE296A" w:rsidRDefault="004258BF" w:rsidP="00DE4CC7">
      <w:pPr>
        <w:pStyle w:val="NormaleWeb"/>
        <w:rPr>
          <w:rFonts w:ascii="Arial" w:hAnsi="Arial" w:cs="Arial"/>
        </w:rPr>
      </w:pPr>
      <w:r w:rsidRPr="00AE296A">
        <w:rPr>
          <w:rFonts w:ascii="Arial" w:hAnsi="Arial" w:cs="Arial"/>
        </w:rPr>
        <w:t>Per le diverse tipologie di acque reflue, la norma individua criteri tecnici e possibili recapiti o ricettori:</w:t>
      </w:r>
    </w:p>
    <w:p w:rsidR="004258BF" w:rsidRPr="00AE296A" w:rsidRDefault="004258BF" w:rsidP="00DE4CC7">
      <w:pPr>
        <w:pStyle w:val="NormaleWeb"/>
        <w:rPr>
          <w:rFonts w:ascii="Arial" w:hAnsi="Arial" w:cs="Arial"/>
        </w:rPr>
      </w:pPr>
      <w:r w:rsidRPr="00AE296A">
        <w:rPr>
          <w:rFonts w:ascii="Arial" w:hAnsi="Arial" w:cs="Arial"/>
        </w:rPr>
        <w:t xml:space="preserve"> - la fognatura: cioè le reti fognarie al servizio degli agglomerati; </w:t>
      </w:r>
    </w:p>
    <w:p w:rsidR="004258BF" w:rsidRPr="00AE296A" w:rsidRDefault="004258BF" w:rsidP="00DE4CC7">
      <w:pPr>
        <w:pStyle w:val="NormaleWeb"/>
        <w:rPr>
          <w:rFonts w:ascii="Arial" w:hAnsi="Arial" w:cs="Arial"/>
        </w:rPr>
      </w:pPr>
      <w:r w:rsidRPr="00AE296A">
        <w:rPr>
          <w:rFonts w:ascii="Arial" w:hAnsi="Arial" w:cs="Arial"/>
        </w:rPr>
        <w:t>- le acque superficiali: cioè quelle presenti sulla superficie terreste quali i fossati stradali, i cavi e i canali, i torrenti, i corpi idrici artificiali, i fiumi, i laghi e il mare;</w:t>
      </w:r>
    </w:p>
    <w:p w:rsidR="004258BF" w:rsidRPr="00AE296A" w:rsidRDefault="004258BF" w:rsidP="00DE4CC7">
      <w:pPr>
        <w:pStyle w:val="NormaleWeb"/>
        <w:rPr>
          <w:rFonts w:ascii="Arial" w:hAnsi="Arial" w:cs="Arial"/>
        </w:rPr>
      </w:pPr>
      <w:r w:rsidRPr="00AE296A">
        <w:rPr>
          <w:rFonts w:ascii="Arial" w:hAnsi="Arial" w:cs="Arial"/>
        </w:rPr>
        <w:t xml:space="preserve"> - il suolo o gli strati superficiali del sottosuolo : cioè la superficie terrestre incolta, agricola o urbana;</w:t>
      </w:r>
    </w:p>
    <w:p w:rsidR="004258BF" w:rsidRPr="00AE296A" w:rsidRDefault="004258BF" w:rsidP="00DE4CC7">
      <w:pPr>
        <w:pStyle w:val="NormaleWeb"/>
        <w:rPr>
          <w:rFonts w:ascii="Arial" w:hAnsi="Arial" w:cs="Arial"/>
        </w:rPr>
      </w:pPr>
      <w:r w:rsidRPr="00AE296A">
        <w:rPr>
          <w:rFonts w:ascii="Arial" w:hAnsi="Arial" w:cs="Arial"/>
        </w:rPr>
        <w:t xml:space="preserve"> - le acque sotterranee e sottosuolo: cioè le falde idriche sotterranee o lo strato insaturo del sottosuolo.</w:t>
      </w:r>
      <w:r w:rsidR="003907F0" w:rsidRPr="00AE296A">
        <w:rPr>
          <w:rFonts w:ascii="Arial" w:hAnsi="Arial" w:cs="Arial"/>
        </w:rPr>
        <w:t>e un anno prima della scadenza ne deve esser chiesto il rinnovo anche se le regioni possono prevedere il rinnovo tacito-</w:t>
      </w:r>
    </w:p>
    <w:p w:rsidR="003907F0" w:rsidRPr="00AE296A" w:rsidRDefault="003907F0" w:rsidP="00DE4CC7">
      <w:pPr>
        <w:pStyle w:val="NormaleWeb"/>
        <w:rPr>
          <w:rFonts w:ascii="Arial" w:hAnsi="Arial" w:cs="Arial"/>
          <w:color w:val="000000"/>
          <w:shd w:val="clear" w:color="auto" w:fill="F5FDFE"/>
        </w:rPr>
      </w:pPr>
      <w:r w:rsidRPr="00AE296A">
        <w:rPr>
          <w:rFonts w:ascii="Arial" w:hAnsi="Arial" w:cs="Arial"/>
        </w:rPr>
        <w:t xml:space="preserve">  Il principio generale è quello che impone l’autorizzazione per tutti gli scarichi con la sola deroga degli scarichi delle acque reflue domestiche in rete fognarie, sempre ammesse. L’autorizzazioen ha validità di 4 anni</w:t>
      </w:r>
    </w:p>
    <w:p w:rsidR="004258BF" w:rsidRPr="00AE296A" w:rsidRDefault="004258BF" w:rsidP="00DE4CC7">
      <w:pPr>
        <w:pStyle w:val="NormaleWeb"/>
        <w:rPr>
          <w:rFonts w:ascii="Arial" w:hAnsi="Arial" w:cs="Arial"/>
          <w:color w:val="000000"/>
          <w:shd w:val="clear" w:color="auto" w:fill="F5FDFE"/>
        </w:rPr>
      </w:pPr>
      <w:r w:rsidRPr="00AE296A">
        <w:rPr>
          <w:rFonts w:ascii="Arial" w:hAnsi="Arial" w:cs="Arial"/>
          <w:color w:val="000000"/>
          <w:shd w:val="clear" w:color="auto" w:fill="F5FDFE"/>
        </w:rPr>
        <w:lastRenderedPageBreak/>
        <w:t>Esiste un c generale per cui tutti gli scarichi devono esser disicplinati rispettando gli obiettivi di qualità dei corpi idrici e devono comunque rispettare i valori limite di emissione previsti dal decreto.</w:t>
      </w:r>
    </w:p>
    <w:p w:rsidR="004258BF" w:rsidRPr="00AE296A" w:rsidRDefault="004258BF" w:rsidP="00DE4CC7">
      <w:pPr>
        <w:pStyle w:val="NormaleWeb"/>
        <w:rPr>
          <w:rFonts w:ascii="Arial" w:hAnsi="Arial" w:cs="Arial"/>
          <w:color w:val="000000"/>
          <w:shd w:val="clear" w:color="auto" w:fill="F5FDFE"/>
        </w:rPr>
      </w:pPr>
      <w:r w:rsidRPr="00AE296A">
        <w:rPr>
          <w:rFonts w:ascii="Arial" w:hAnsi="Arial" w:cs="Arial"/>
          <w:color w:val="000000"/>
          <w:shd w:val="clear" w:color="auto" w:fill="F5FDFE"/>
        </w:rPr>
        <w:t>Esiste un divieto generale di scarico sul suolo e negli strati suuperfixiali del sottosuolo anche se la normativa prevde delle deroghe. Nel caso di inottemperanza  sarà revocata l’autorizzazione allo scarico.</w:t>
      </w:r>
    </w:p>
    <w:p w:rsidR="004258BF" w:rsidRPr="00AE296A" w:rsidRDefault="004258BF" w:rsidP="00DE4CC7">
      <w:pPr>
        <w:pStyle w:val="NormaleWeb"/>
        <w:rPr>
          <w:rFonts w:ascii="Arial" w:hAnsi="Arial" w:cs="Arial"/>
          <w:color w:val="000000"/>
        </w:rPr>
      </w:pPr>
      <w:r w:rsidRPr="00AE296A">
        <w:rPr>
          <w:rFonts w:ascii="Arial" w:hAnsi="Arial" w:cs="Arial"/>
          <w:color w:val="000000"/>
          <w:shd w:val="clear" w:color="auto" w:fill="F5FDFE"/>
        </w:rPr>
        <w:t xml:space="preserve">E’ consentito lo scarico in mare , nel rispetto delle regole previste dal TU (l’autorizzazione è subordinata alla presentazione di un piano di monitoraggio volto a verificare l’assenza di problematiche per le acque o ecosistemi acquatici.     </w:t>
      </w:r>
    </w:p>
    <w:p w:rsidR="00955272" w:rsidRDefault="003907F0" w:rsidP="00FD1C5C">
      <w:pPr>
        <w:pStyle w:val="NormaleWeb"/>
        <w:shd w:val="clear" w:color="auto" w:fill="F5FDFE"/>
        <w:rPr>
          <w:rFonts w:ascii="Arial" w:hAnsi="Arial" w:cs="Arial"/>
          <w:color w:val="000000"/>
        </w:rPr>
      </w:pPr>
      <w:r w:rsidRPr="00AE296A">
        <w:rPr>
          <w:rFonts w:ascii="Arial" w:hAnsi="Arial" w:cs="Arial"/>
          <w:color w:val="000000"/>
        </w:rPr>
        <w:t>La Pa deve prevedere una serie di controlli preventivi e successivi  da eseguire con cadenza periodica. Ogni gestorendi servizio idrico deve aver un servizio di controllo disciplinato in convenzione. Se a seguito dei controlli emergono comportamenti non osservanti la disciplina in materia, la PA adotta misure repressive  oltre a quelle sanzionatorie previste dal TU</w:t>
      </w:r>
      <w:r w:rsidR="008C1FA6" w:rsidRPr="00AE296A">
        <w:rPr>
          <w:rFonts w:ascii="Arial" w:hAnsi="Arial" w:cs="Arial"/>
          <w:color w:val="000000"/>
        </w:rPr>
        <w:t xml:space="preserve"> (art 133 e 134 e 136 )</w:t>
      </w:r>
      <w:r w:rsidRPr="00AE296A">
        <w:rPr>
          <w:rFonts w:ascii="Arial" w:hAnsi="Arial" w:cs="Arial"/>
          <w:color w:val="000000"/>
        </w:rPr>
        <w:t>. Queste misure andranno dalla diffida (con cui viene fissato un termine per ottemperare), diffida e contestuale sospensione dell’autorizzazione</w:t>
      </w:r>
      <w:r w:rsidR="008C1FA6" w:rsidRPr="00AE296A">
        <w:rPr>
          <w:rFonts w:ascii="Arial" w:hAnsi="Arial" w:cs="Arial"/>
          <w:color w:val="000000"/>
        </w:rPr>
        <w:t xml:space="preserve"> ( in caso di pericolo per la salute pubblica e per l’ambiente), revoca dell’autorizzazione (in caso di non adeguamento alla diffida o reiterate violazioni che determinan situazioni di pericolo per la collettività)  .</w:t>
      </w:r>
      <w:r w:rsidRPr="00AE296A">
        <w:rPr>
          <w:rFonts w:ascii="Arial" w:hAnsi="Arial" w:cs="Arial"/>
          <w:color w:val="000000"/>
        </w:rPr>
        <w:t xml:space="preserve">  </w:t>
      </w:r>
    </w:p>
    <w:p w:rsidR="00955272" w:rsidRDefault="00955272" w:rsidP="00FD1C5C">
      <w:pPr>
        <w:pStyle w:val="NormaleWeb"/>
        <w:shd w:val="clear" w:color="auto" w:fill="F5FDFE"/>
        <w:rPr>
          <w:rFonts w:ascii="Arial" w:hAnsi="Arial" w:cs="Arial"/>
          <w:color w:val="000000"/>
        </w:rPr>
      </w:pPr>
      <w:r>
        <w:rPr>
          <w:rFonts w:ascii="Arial" w:hAnsi="Arial" w:cs="Arial"/>
          <w:color w:val="000000"/>
        </w:rPr>
        <w:t>LA GESTIONE DEI RIFIUTI</w:t>
      </w:r>
    </w:p>
    <w:p w:rsidR="00955272" w:rsidRDefault="00955272" w:rsidP="00FD1C5C">
      <w:pPr>
        <w:pStyle w:val="NormaleWeb"/>
        <w:shd w:val="clear" w:color="auto" w:fill="F5FDFE"/>
        <w:rPr>
          <w:rFonts w:ascii="Arial" w:hAnsi="Arial" w:cs="Arial"/>
          <w:color w:val="000000"/>
        </w:rPr>
      </w:pPr>
      <w:r>
        <w:rPr>
          <w:rFonts w:ascii="Arial" w:hAnsi="Arial" w:cs="Arial"/>
          <w:color w:val="000000"/>
        </w:rPr>
        <w:t>La gestione dei rifiuti deve esser ispirata ai principi di precauzione, prevenzione,sostenibilità, proporzionalità, responsabilità e cooperazione di tutti i soggetti che sono coinvolti dalla produzione, distribuzione,consumo e uso dei beni che producono rifiuti.</w:t>
      </w:r>
    </w:p>
    <w:p w:rsidR="00955272" w:rsidRDefault="00955272" w:rsidP="00FD1C5C">
      <w:pPr>
        <w:pStyle w:val="NormaleWeb"/>
        <w:shd w:val="clear" w:color="auto" w:fill="F5FDFE"/>
        <w:rPr>
          <w:rFonts w:ascii="Tahoma" w:hAnsi="Tahoma" w:cs="Tahoma"/>
          <w:color w:val="000000"/>
          <w:shd w:val="clear" w:color="auto" w:fill="F5FDFE"/>
        </w:rPr>
      </w:pPr>
      <w:r>
        <w:rPr>
          <w:rFonts w:ascii="Arial" w:hAnsi="Arial" w:cs="Arial"/>
          <w:color w:val="000000"/>
        </w:rPr>
        <w:t xml:space="preserve">L’art 183 TU definisce </w:t>
      </w:r>
      <w:r>
        <w:rPr>
          <w:rFonts w:ascii="Tahoma" w:hAnsi="Tahoma" w:cs="Tahoma"/>
          <w:color w:val="000000"/>
          <w:shd w:val="clear" w:color="auto" w:fill="F5FDFE"/>
        </w:rPr>
        <w:t>“rifiuto”: qualsiasi sostanza od oggetto di cui il detentore si disfi o abbia l’intenzione o abbia l'obbligo di disfarsi.</w:t>
      </w:r>
    </w:p>
    <w:p w:rsidR="00955272" w:rsidRDefault="00955272" w:rsidP="00FD1C5C">
      <w:pPr>
        <w:pStyle w:val="NormaleWeb"/>
        <w:shd w:val="clear" w:color="auto" w:fill="F5FDFE"/>
        <w:rPr>
          <w:rFonts w:ascii="Tahoma" w:hAnsi="Tahoma" w:cs="Tahoma"/>
          <w:color w:val="000000"/>
          <w:shd w:val="clear" w:color="auto" w:fill="F5FDFE"/>
        </w:rPr>
      </w:pPr>
      <w:r>
        <w:rPr>
          <w:rFonts w:ascii="Tahoma" w:hAnsi="Tahoma" w:cs="Tahoma"/>
          <w:color w:val="000000"/>
          <w:shd w:val="clear" w:color="auto" w:fill="F5FDFE"/>
        </w:rPr>
        <w:t>“sottoprodotto”: qualsiasi sostanza od oggetto che soddisfa le condizioni di cui all’articolo 184-bis, comma 1:</w:t>
      </w:r>
    </w:p>
    <w:p w:rsidR="00955272" w:rsidRDefault="003907F0" w:rsidP="00955272">
      <w:pPr>
        <w:pStyle w:val="NormaleWeb"/>
        <w:shd w:val="clear" w:color="auto" w:fill="F5FDFE"/>
        <w:spacing w:before="0" w:beforeAutospacing="0" w:after="0" w:afterAutospacing="0"/>
        <w:rPr>
          <w:rFonts w:ascii="Tahoma" w:hAnsi="Tahoma" w:cs="Tahoma"/>
          <w:color w:val="000000"/>
        </w:rPr>
      </w:pPr>
      <w:r w:rsidRPr="00AE296A">
        <w:rPr>
          <w:rFonts w:ascii="Arial" w:hAnsi="Arial" w:cs="Arial"/>
          <w:color w:val="000000"/>
        </w:rPr>
        <w:t xml:space="preserve"> </w:t>
      </w:r>
      <w:r w:rsidR="00955272">
        <w:rPr>
          <w:rFonts w:ascii="Tahoma" w:hAnsi="Tahoma" w:cs="Tahoma"/>
          <w:color w:val="000000"/>
        </w:rPr>
        <w:t>a) la sostanza o l’oggetto è originato da un processo di produzione, di cui costituisce parte integrante, e il cui scopo primario non è la produzione di tale sostanza od oggetto;</w:t>
      </w:r>
    </w:p>
    <w:p w:rsidR="00955272" w:rsidRDefault="00955272" w:rsidP="00955272">
      <w:pPr>
        <w:pStyle w:val="NormaleWeb"/>
        <w:shd w:val="clear" w:color="auto" w:fill="F5FDFE"/>
        <w:spacing w:before="0" w:beforeAutospacing="0" w:after="0" w:afterAutospacing="0"/>
        <w:rPr>
          <w:rFonts w:ascii="Tahoma" w:hAnsi="Tahoma" w:cs="Tahoma"/>
          <w:color w:val="000000"/>
        </w:rPr>
      </w:pPr>
      <w:r>
        <w:rPr>
          <w:rFonts w:ascii="Tahoma" w:hAnsi="Tahoma" w:cs="Tahoma"/>
          <w:color w:val="000000"/>
        </w:rPr>
        <w:t>b) è certo che la sostanza o l’oggetto sarà utilizzato, nel corso dello stesso o di un successivo processo di produzione o di utilizzazione, da parte del produttore o di terzi;</w:t>
      </w:r>
    </w:p>
    <w:p w:rsidR="00955272" w:rsidRDefault="00955272" w:rsidP="00955272">
      <w:pPr>
        <w:pStyle w:val="NormaleWeb"/>
        <w:shd w:val="clear" w:color="auto" w:fill="F5FDFE"/>
        <w:spacing w:before="0" w:beforeAutospacing="0" w:after="0" w:afterAutospacing="0"/>
        <w:rPr>
          <w:rFonts w:ascii="Tahoma" w:hAnsi="Tahoma" w:cs="Tahoma"/>
          <w:color w:val="000000"/>
        </w:rPr>
      </w:pPr>
      <w:r>
        <w:rPr>
          <w:rFonts w:ascii="Tahoma" w:hAnsi="Tahoma" w:cs="Tahoma"/>
          <w:color w:val="000000"/>
        </w:rPr>
        <w:t>c) la sostanza o l’oggetto può essere utilizzato direttamente senza alcun ulteriore trattamento diverso dalla normale pratica industriale;</w:t>
      </w:r>
    </w:p>
    <w:p w:rsidR="00955272" w:rsidRDefault="00955272" w:rsidP="00955272">
      <w:pPr>
        <w:pStyle w:val="NormaleWeb"/>
        <w:shd w:val="clear" w:color="auto" w:fill="F5FDFE"/>
        <w:spacing w:before="0" w:beforeAutospacing="0" w:after="0" w:afterAutospacing="0"/>
        <w:rPr>
          <w:rFonts w:ascii="Tahoma" w:hAnsi="Tahoma" w:cs="Tahoma"/>
          <w:color w:val="000000"/>
        </w:rPr>
      </w:pPr>
      <w:r>
        <w:rPr>
          <w:rFonts w:ascii="Tahoma" w:hAnsi="Tahoma" w:cs="Tahoma"/>
          <w:color w:val="000000"/>
        </w:rPr>
        <w:t>d) l’ulteriore utilizzo è legale, ossia la sostanza o l’oggetto soddisfa, per l’utilizzo specifico, tutti i requisiti pertinenti riguardanti i prodotti e la protezione della salute e dell’ambiente e non porterà a impatti complessivi negativi sull’ambiente o la salute umana.</w:t>
      </w:r>
    </w:p>
    <w:p w:rsidR="00955272" w:rsidRDefault="00955272" w:rsidP="00955272">
      <w:pPr>
        <w:pStyle w:val="NormaleWeb"/>
        <w:shd w:val="clear" w:color="auto" w:fill="F5FDFE"/>
        <w:rPr>
          <w:rFonts w:ascii="Tahoma" w:hAnsi="Tahoma" w:cs="Tahoma"/>
          <w:color w:val="000000"/>
        </w:rPr>
      </w:pPr>
      <w:r>
        <w:rPr>
          <w:rFonts w:ascii="Tahoma" w:hAnsi="Tahoma" w:cs="Tahoma"/>
          <w:color w:val="000000"/>
        </w:rPr>
        <w:t>Un rifiuto cessa di essere tale, quando è stato sottoposto a un’operazione di recupero, incluso il riciclaggio e la preparazione per il riutilizzo, e soddisfi i criteri specifici, da adottare nel rispetto delle seguenti condizioni:</w:t>
      </w:r>
    </w:p>
    <w:p w:rsidR="00955272" w:rsidRDefault="00955272" w:rsidP="00955272">
      <w:pPr>
        <w:pStyle w:val="NormaleWeb"/>
        <w:shd w:val="clear" w:color="auto" w:fill="F5FDFE"/>
        <w:spacing w:before="0" w:beforeAutospacing="0" w:after="0" w:afterAutospacing="0"/>
        <w:rPr>
          <w:rFonts w:ascii="Tahoma" w:hAnsi="Tahoma" w:cs="Tahoma"/>
          <w:color w:val="000000"/>
        </w:rPr>
      </w:pPr>
      <w:r>
        <w:rPr>
          <w:rFonts w:ascii="Tahoma" w:hAnsi="Tahoma" w:cs="Tahoma"/>
          <w:color w:val="000000"/>
        </w:rPr>
        <w:t>a) la sostanza o l’oggetto è comunemente utilizzato per scopi specifici;</w:t>
      </w:r>
    </w:p>
    <w:p w:rsidR="00955272" w:rsidRDefault="00955272" w:rsidP="00955272">
      <w:pPr>
        <w:pStyle w:val="NormaleWeb"/>
        <w:shd w:val="clear" w:color="auto" w:fill="F5FDFE"/>
        <w:spacing w:before="0" w:beforeAutospacing="0" w:after="0" w:afterAutospacing="0"/>
        <w:rPr>
          <w:rFonts w:ascii="Tahoma" w:hAnsi="Tahoma" w:cs="Tahoma"/>
          <w:color w:val="000000"/>
        </w:rPr>
      </w:pPr>
      <w:r>
        <w:rPr>
          <w:rFonts w:ascii="Tahoma" w:hAnsi="Tahoma" w:cs="Tahoma"/>
          <w:color w:val="000000"/>
        </w:rPr>
        <w:lastRenderedPageBreak/>
        <w:t>b) esiste un mercato o una domanda per tale sostanza od oggetto;</w:t>
      </w:r>
    </w:p>
    <w:p w:rsidR="00955272" w:rsidRDefault="00955272" w:rsidP="00955272">
      <w:pPr>
        <w:pStyle w:val="NormaleWeb"/>
        <w:shd w:val="clear" w:color="auto" w:fill="F5FDFE"/>
        <w:spacing w:before="0" w:beforeAutospacing="0" w:after="0" w:afterAutospacing="0"/>
        <w:rPr>
          <w:rFonts w:ascii="Tahoma" w:hAnsi="Tahoma" w:cs="Tahoma"/>
          <w:color w:val="000000"/>
        </w:rPr>
      </w:pPr>
      <w:r>
        <w:rPr>
          <w:rFonts w:ascii="Tahoma" w:hAnsi="Tahoma" w:cs="Tahoma"/>
          <w:color w:val="000000"/>
        </w:rPr>
        <w:t>c) la sostanza o l’oggetto soddisfa i requisiti tecnici per gli scopi specifici e rispetta la normativa e gli standard esistenti applicabili ai prodotti;</w:t>
      </w:r>
    </w:p>
    <w:p w:rsidR="00955272" w:rsidRDefault="00955272" w:rsidP="00955272">
      <w:pPr>
        <w:pStyle w:val="NormaleWeb"/>
        <w:shd w:val="clear" w:color="auto" w:fill="F5FDFE"/>
        <w:spacing w:before="0" w:beforeAutospacing="0" w:after="0" w:afterAutospacing="0"/>
        <w:rPr>
          <w:rFonts w:ascii="Tahoma" w:hAnsi="Tahoma" w:cs="Tahoma"/>
          <w:color w:val="000000"/>
        </w:rPr>
      </w:pPr>
      <w:r>
        <w:rPr>
          <w:rFonts w:ascii="Tahoma" w:hAnsi="Tahoma" w:cs="Tahoma"/>
          <w:color w:val="000000"/>
        </w:rPr>
        <w:t>d) l’utilizzo della sostanza o dell’oggetto non porterà a impatti complessivi negativi sull’ambiente o sulla salute umana.</w:t>
      </w:r>
    </w:p>
    <w:p w:rsidR="00DE4CC7" w:rsidRDefault="00955272" w:rsidP="00FD1C5C">
      <w:pPr>
        <w:pStyle w:val="NormaleWeb"/>
        <w:shd w:val="clear" w:color="auto" w:fill="F5FDFE"/>
        <w:rPr>
          <w:rFonts w:ascii="Arial" w:hAnsi="Arial" w:cs="Arial"/>
          <w:color w:val="000000"/>
        </w:rPr>
      </w:pPr>
      <w:r>
        <w:rPr>
          <w:rFonts w:ascii="Arial" w:hAnsi="Arial" w:cs="Arial"/>
          <w:color w:val="000000"/>
        </w:rPr>
        <w:t>I rifiuti sono classificati in base alla loro origine (rifiuti urbani e rifiuti speciali) o in base alla loro pericolosità (pericolosi e non pericolosi)</w:t>
      </w:r>
    </w:p>
    <w:p w:rsidR="00955272" w:rsidRDefault="00955272" w:rsidP="00955272">
      <w:pPr>
        <w:pStyle w:val="NormaleWeb"/>
        <w:shd w:val="clear" w:color="auto" w:fill="FFFFFF"/>
        <w:spacing w:before="0" w:beforeAutospacing="0" w:afterAutospacing="0" w:line="200" w:lineRule="atLeast"/>
        <w:jc w:val="both"/>
        <w:rPr>
          <w:rFonts w:ascii="Helvetica" w:hAnsi="Helvetica" w:cs="Helvetica"/>
          <w:color w:val="4A4A4A"/>
          <w:sz w:val="16"/>
          <w:szCs w:val="16"/>
        </w:rPr>
      </w:pPr>
      <w:r>
        <w:rPr>
          <w:rFonts w:ascii="Helvetica" w:hAnsi="Helvetica" w:cs="Helvetica"/>
          <w:color w:val="4A4A4A"/>
          <w:sz w:val="16"/>
          <w:szCs w:val="16"/>
        </w:rPr>
        <w:t>art. </w:t>
      </w:r>
      <w:hyperlink r:id="rId5" w:tgtFrame="_blank" w:history="1">
        <w:r>
          <w:rPr>
            <w:rStyle w:val="Collegamentoipertestuale"/>
            <w:rFonts w:ascii="Helvetica" w:hAnsi="Helvetica" w:cs="Helvetica"/>
            <w:color w:val="0099FF"/>
            <w:sz w:val="16"/>
            <w:szCs w:val="16"/>
          </w:rPr>
          <w:t>184 del D.Lgs 52/2006</w:t>
        </w:r>
      </w:hyperlink>
      <w:r>
        <w:rPr>
          <w:rFonts w:ascii="Helvetica" w:hAnsi="Helvetica" w:cs="Helvetica"/>
          <w:color w:val="4A4A4A"/>
          <w:sz w:val="16"/>
          <w:szCs w:val="16"/>
        </w:rPr>
        <w:t> che classifica i rifiuti distinguendoli nelle due macro aree</w:t>
      </w:r>
      <w:r>
        <w:rPr>
          <w:rStyle w:val="Enfasigrassetto"/>
          <w:rFonts w:ascii="Helvetica" w:hAnsi="Helvetica" w:cs="Helvetica"/>
          <w:color w:val="4A4A4A"/>
          <w:sz w:val="16"/>
          <w:szCs w:val="16"/>
        </w:rPr>
        <w:t> rifiuti urbani</w:t>
      </w:r>
      <w:r>
        <w:rPr>
          <w:rFonts w:ascii="Helvetica" w:hAnsi="Helvetica" w:cs="Helvetica"/>
          <w:color w:val="4A4A4A"/>
          <w:sz w:val="16"/>
          <w:szCs w:val="16"/>
        </w:rPr>
        <w:t> e </w:t>
      </w:r>
      <w:r>
        <w:rPr>
          <w:rStyle w:val="Enfasigrassetto"/>
          <w:rFonts w:ascii="Helvetica" w:hAnsi="Helvetica" w:cs="Helvetica"/>
          <w:color w:val="4A4A4A"/>
          <w:sz w:val="16"/>
          <w:szCs w:val="16"/>
        </w:rPr>
        <w:t>rifiuti speciali</w:t>
      </w:r>
      <w:r>
        <w:rPr>
          <w:rFonts w:ascii="Helvetica" w:hAnsi="Helvetica" w:cs="Helvetica"/>
          <w:color w:val="4A4A4A"/>
          <w:sz w:val="16"/>
          <w:szCs w:val="16"/>
        </w:rPr>
        <w:t>. </w:t>
      </w:r>
    </w:p>
    <w:p w:rsidR="00955272" w:rsidRDefault="00955272" w:rsidP="00955272">
      <w:pPr>
        <w:pStyle w:val="NormaleWeb"/>
        <w:shd w:val="clear" w:color="auto" w:fill="FFFFFF"/>
        <w:spacing w:before="0" w:beforeAutospacing="0" w:afterAutospacing="0" w:line="200" w:lineRule="atLeast"/>
        <w:jc w:val="both"/>
        <w:rPr>
          <w:rFonts w:ascii="Helvetica" w:hAnsi="Helvetica" w:cs="Helvetica"/>
          <w:color w:val="4A4A4A"/>
          <w:sz w:val="16"/>
          <w:szCs w:val="16"/>
        </w:rPr>
      </w:pPr>
      <w:r>
        <w:rPr>
          <w:rFonts w:ascii="Helvetica" w:hAnsi="Helvetica" w:cs="Helvetica"/>
          <w:color w:val="4A4A4A"/>
          <w:sz w:val="16"/>
          <w:szCs w:val="16"/>
        </w:rPr>
        <w:t>I </w:t>
      </w:r>
      <w:r>
        <w:rPr>
          <w:rStyle w:val="Enfasigrassetto"/>
          <w:rFonts w:ascii="Helvetica" w:hAnsi="Helvetica" w:cs="Helvetica"/>
          <w:color w:val="4A4A4A"/>
          <w:sz w:val="16"/>
          <w:szCs w:val="16"/>
        </w:rPr>
        <w:t>RIFIUTI URBANI</w:t>
      </w:r>
      <w:r>
        <w:rPr>
          <w:rFonts w:ascii="Helvetica" w:hAnsi="Helvetica" w:cs="Helvetica"/>
          <w:color w:val="4A4A4A"/>
          <w:sz w:val="16"/>
          <w:szCs w:val="16"/>
        </w:rPr>
        <w:t> (art. 184, comma 2 del D.Lgs 152/2006) sono:</w:t>
      </w:r>
    </w:p>
    <w:p w:rsidR="00955272" w:rsidRDefault="00955272" w:rsidP="00955272">
      <w:pPr>
        <w:numPr>
          <w:ilvl w:val="0"/>
          <w:numId w:val="12"/>
        </w:numPr>
        <w:shd w:val="clear" w:color="auto" w:fill="FFFFFF"/>
        <w:spacing w:before="100" w:beforeAutospacing="1" w:after="100" w:afterAutospacing="1" w:line="200" w:lineRule="atLeast"/>
        <w:ind w:left="250"/>
        <w:jc w:val="both"/>
        <w:rPr>
          <w:rFonts w:ascii="Helvetica" w:hAnsi="Helvetica" w:cs="Helvetica"/>
          <w:color w:val="333333"/>
          <w:sz w:val="16"/>
          <w:szCs w:val="16"/>
        </w:rPr>
      </w:pPr>
      <w:r>
        <w:rPr>
          <w:rFonts w:ascii="Helvetica" w:hAnsi="Helvetica" w:cs="Helvetica"/>
          <w:color w:val="333333"/>
          <w:sz w:val="16"/>
          <w:szCs w:val="16"/>
        </w:rPr>
        <w:t>i rifiuti domestici, anche ingombranti, provenienti da locali e luoghi adibiti a civile abitazione;</w:t>
      </w:r>
    </w:p>
    <w:p w:rsidR="00955272" w:rsidRDefault="00955272" w:rsidP="00955272">
      <w:pPr>
        <w:numPr>
          <w:ilvl w:val="0"/>
          <w:numId w:val="12"/>
        </w:numPr>
        <w:shd w:val="clear" w:color="auto" w:fill="FFFFFF"/>
        <w:spacing w:before="100" w:beforeAutospacing="1" w:after="100" w:afterAutospacing="1" w:line="200" w:lineRule="atLeast"/>
        <w:ind w:left="250"/>
        <w:jc w:val="both"/>
        <w:rPr>
          <w:rFonts w:ascii="Helvetica" w:hAnsi="Helvetica" w:cs="Helvetica"/>
          <w:color w:val="333333"/>
          <w:sz w:val="16"/>
          <w:szCs w:val="16"/>
        </w:rPr>
      </w:pPr>
      <w:r>
        <w:rPr>
          <w:rFonts w:ascii="Helvetica" w:hAnsi="Helvetica" w:cs="Helvetica"/>
          <w:color w:val="333333"/>
          <w:sz w:val="16"/>
          <w:szCs w:val="16"/>
        </w:rPr>
        <w:t>i rifiuti non pericolosi provenienti da locali e luoghi adibiti ad usi diversi da quelli di cui al punto 1), assimilati ai rifiuti urbani per quantità e qualità; l'assimilazione è disposta dal Comune in base a criteri fissati in sede statale;</w:t>
      </w:r>
    </w:p>
    <w:p w:rsidR="00955272" w:rsidRDefault="00955272" w:rsidP="00955272">
      <w:pPr>
        <w:numPr>
          <w:ilvl w:val="0"/>
          <w:numId w:val="12"/>
        </w:numPr>
        <w:shd w:val="clear" w:color="auto" w:fill="FFFFFF"/>
        <w:spacing w:before="100" w:beforeAutospacing="1" w:after="100" w:afterAutospacing="1" w:line="200" w:lineRule="atLeast"/>
        <w:ind w:left="250"/>
        <w:jc w:val="both"/>
        <w:rPr>
          <w:rFonts w:ascii="Helvetica" w:hAnsi="Helvetica" w:cs="Helvetica"/>
          <w:color w:val="333333"/>
          <w:sz w:val="16"/>
          <w:szCs w:val="16"/>
        </w:rPr>
      </w:pPr>
      <w:r>
        <w:rPr>
          <w:rFonts w:ascii="Helvetica" w:hAnsi="Helvetica" w:cs="Helvetica"/>
          <w:color w:val="333333"/>
          <w:sz w:val="16"/>
          <w:szCs w:val="16"/>
        </w:rPr>
        <w:t>i rifiuti provenienti dallo spazzamento delle strade;</w:t>
      </w:r>
    </w:p>
    <w:p w:rsidR="00955272" w:rsidRDefault="00955272" w:rsidP="00955272">
      <w:pPr>
        <w:numPr>
          <w:ilvl w:val="0"/>
          <w:numId w:val="12"/>
        </w:numPr>
        <w:shd w:val="clear" w:color="auto" w:fill="FFFFFF"/>
        <w:spacing w:before="100" w:beforeAutospacing="1" w:after="100" w:afterAutospacing="1" w:line="200" w:lineRule="atLeast"/>
        <w:ind w:left="250"/>
        <w:jc w:val="both"/>
        <w:rPr>
          <w:rFonts w:ascii="Helvetica" w:hAnsi="Helvetica" w:cs="Helvetica"/>
          <w:color w:val="333333"/>
          <w:sz w:val="16"/>
          <w:szCs w:val="16"/>
        </w:rPr>
      </w:pPr>
      <w:r>
        <w:rPr>
          <w:rFonts w:ascii="Helvetica" w:hAnsi="Helvetica" w:cs="Helvetica"/>
          <w:color w:val="333333"/>
          <w:sz w:val="16"/>
          <w:szCs w:val="16"/>
        </w:rPr>
        <w:t>i rifiuti di qualunque natura o provenienza, giacente sulle strade ed aree pubbliche o sulle strade ed aree private comunque soggette ad uso pubblico o sulle spiagge marittime e lacuali e sulle rive dei corsi d'acqua;</w:t>
      </w:r>
    </w:p>
    <w:p w:rsidR="00955272" w:rsidRDefault="00955272" w:rsidP="00955272">
      <w:pPr>
        <w:numPr>
          <w:ilvl w:val="0"/>
          <w:numId w:val="12"/>
        </w:numPr>
        <w:shd w:val="clear" w:color="auto" w:fill="FFFFFF"/>
        <w:spacing w:before="100" w:beforeAutospacing="1" w:after="100" w:afterAutospacing="1" w:line="200" w:lineRule="atLeast"/>
        <w:ind w:left="250"/>
        <w:jc w:val="both"/>
        <w:rPr>
          <w:rFonts w:ascii="Helvetica" w:hAnsi="Helvetica" w:cs="Helvetica"/>
          <w:color w:val="333333"/>
          <w:sz w:val="16"/>
          <w:szCs w:val="16"/>
        </w:rPr>
      </w:pPr>
      <w:r>
        <w:rPr>
          <w:rFonts w:ascii="Helvetica" w:hAnsi="Helvetica" w:cs="Helvetica"/>
          <w:color w:val="333333"/>
          <w:sz w:val="16"/>
          <w:szCs w:val="16"/>
        </w:rPr>
        <w:t>i rifiuti vegetali provenienti da aree verdi, quali giardini, parchi ed aree cimiteriali; </w:t>
      </w:r>
    </w:p>
    <w:p w:rsidR="00955272" w:rsidRDefault="00955272" w:rsidP="00955272">
      <w:pPr>
        <w:numPr>
          <w:ilvl w:val="0"/>
          <w:numId w:val="12"/>
        </w:numPr>
        <w:shd w:val="clear" w:color="auto" w:fill="FFFFFF"/>
        <w:spacing w:before="100" w:beforeAutospacing="1" w:after="100" w:afterAutospacing="1" w:line="200" w:lineRule="atLeast"/>
        <w:ind w:left="250"/>
        <w:jc w:val="both"/>
        <w:rPr>
          <w:rFonts w:ascii="Helvetica" w:hAnsi="Helvetica" w:cs="Helvetica"/>
          <w:color w:val="333333"/>
          <w:sz w:val="16"/>
          <w:szCs w:val="16"/>
        </w:rPr>
      </w:pPr>
      <w:r>
        <w:rPr>
          <w:rFonts w:ascii="Helvetica" w:hAnsi="Helvetica" w:cs="Helvetica"/>
          <w:color w:val="333333"/>
          <w:sz w:val="16"/>
          <w:szCs w:val="16"/>
        </w:rPr>
        <w:t>i rifiuti da esumazioni ed estumulazioni, nonché gli altri rifiuti provenienti da attività cimiteriale diversi da quelli di cui al punto 2),3)e 5).</w:t>
      </w:r>
    </w:p>
    <w:p w:rsidR="00955272" w:rsidRDefault="00955272" w:rsidP="00955272">
      <w:pPr>
        <w:pStyle w:val="NormaleWeb"/>
        <w:shd w:val="clear" w:color="auto" w:fill="FFFFFF"/>
        <w:spacing w:before="0" w:beforeAutospacing="0" w:afterAutospacing="0" w:line="200" w:lineRule="atLeast"/>
        <w:jc w:val="both"/>
        <w:rPr>
          <w:rFonts w:ascii="Helvetica" w:hAnsi="Helvetica" w:cs="Helvetica"/>
          <w:color w:val="4A4A4A"/>
          <w:sz w:val="16"/>
          <w:szCs w:val="16"/>
        </w:rPr>
      </w:pPr>
      <w:r>
        <w:rPr>
          <w:rFonts w:ascii="Helvetica" w:hAnsi="Helvetica" w:cs="Helvetica"/>
          <w:color w:val="4A4A4A"/>
          <w:sz w:val="16"/>
          <w:szCs w:val="16"/>
        </w:rPr>
        <w:t>I </w:t>
      </w:r>
      <w:r>
        <w:rPr>
          <w:rStyle w:val="Enfasigrassetto"/>
          <w:rFonts w:ascii="Helvetica" w:hAnsi="Helvetica" w:cs="Helvetica"/>
          <w:color w:val="4A4A4A"/>
          <w:sz w:val="16"/>
          <w:szCs w:val="16"/>
        </w:rPr>
        <w:t>RIFIUTI SPECIALI</w:t>
      </w:r>
      <w:r>
        <w:rPr>
          <w:rFonts w:ascii="Helvetica" w:hAnsi="Helvetica" w:cs="Helvetica"/>
          <w:color w:val="4A4A4A"/>
          <w:sz w:val="16"/>
          <w:szCs w:val="16"/>
        </w:rPr>
        <w:t> (art. 184, comma 3 del D.Lgs 152/2006) sono:</w:t>
      </w:r>
    </w:p>
    <w:p w:rsidR="00955272" w:rsidRDefault="00955272" w:rsidP="00955272">
      <w:pPr>
        <w:numPr>
          <w:ilvl w:val="0"/>
          <w:numId w:val="13"/>
        </w:numPr>
        <w:shd w:val="clear" w:color="auto" w:fill="FFFFFF"/>
        <w:spacing w:before="100" w:beforeAutospacing="1" w:after="100" w:afterAutospacing="1" w:line="200" w:lineRule="atLeast"/>
        <w:ind w:left="250"/>
        <w:jc w:val="both"/>
        <w:rPr>
          <w:rFonts w:ascii="Helvetica" w:hAnsi="Helvetica" w:cs="Helvetica"/>
          <w:color w:val="333333"/>
          <w:sz w:val="16"/>
          <w:szCs w:val="16"/>
        </w:rPr>
      </w:pPr>
      <w:r>
        <w:rPr>
          <w:rFonts w:ascii="Helvetica" w:hAnsi="Helvetica" w:cs="Helvetica"/>
          <w:color w:val="333333"/>
          <w:sz w:val="16"/>
          <w:szCs w:val="16"/>
        </w:rPr>
        <w:t>i rifiuti da attività agricole e agro-industriali;</w:t>
      </w:r>
    </w:p>
    <w:p w:rsidR="00955272" w:rsidRDefault="00955272" w:rsidP="00955272">
      <w:pPr>
        <w:numPr>
          <w:ilvl w:val="0"/>
          <w:numId w:val="13"/>
        </w:numPr>
        <w:shd w:val="clear" w:color="auto" w:fill="FFFFFF"/>
        <w:spacing w:before="100" w:beforeAutospacing="1" w:after="100" w:afterAutospacing="1" w:line="200" w:lineRule="atLeast"/>
        <w:ind w:left="250"/>
        <w:jc w:val="both"/>
        <w:rPr>
          <w:rFonts w:ascii="Helvetica" w:hAnsi="Helvetica" w:cs="Helvetica"/>
          <w:color w:val="333333"/>
          <w:sz w:val="16"/>
          <w:szCs w:val="16"/>
        </w:rPr>
      </w:pPr>
      <w:r>
        <w:rPr>
          <w:rFonts w:ascii="Helvetica" w:hAnsi="Helvetica" w:cs="Helvetica"/>
          <w:color w:val="333333"/>
          <w:sz w:val="16"/>
          <w:szCs w:val="16"/>
        </w:rPr>
        <w:t>i rifiuti derivanti dalle attività di demolizione, costruzione, nonché i rifiuti pericolosi che derivano dalle attività di scavo, fermo restando che le terre e rocce da scavo non sono rifiuti ove ricorrano determinate condizioni (dettagliatamente stabilite dall'art. 186);</w:t>
      </w:r>
    </w:p>
    <w:p w:rsidR="00955272" w:rsidRDefault="00955272" w:rsidP="00955272">
      <w:pPr>
        <w:numPr>
          <w:ilvl w:val="0"/>
          <w:numId w:val="13"/>
        </w:numPr>
        <w:shd w:val="clear" w:color="auto" w:fill="FFFFFF"/>
        <w:spacing w:before="100" w:beforeAutospacing="1" w:after="100" w:afterAutospacing="1" w:line="200" w:lineRule="atLeast"/>
        <w:ind w:left="250"/>
        <w:jc w:val="both"/>
        <w:rPr>
          <w:rFonts w:ascii="Helvetica" w:hAnsi="Helvetica" w:cs="Helvetica"/>
          <w:color w:val="333333"/>
          <w:sz w:val="16"/>
          <w:szCs w:val="16"/>
        </w:rPr>
      </w:pPr>
      <w:r>
        <w:rPr>
          <w:rFonts w:ascii="Helvetica" w:hAnsi="Helvetica" w:cs="Helvetica"/>
          <w:color w:val="333333"/>
          <w:sz w:val="16"/>
          <w:szCs w:val="16"/>
        </w:rPr>
        <w:t>i rifiuti da lavorazioni industriali;</w:t>
      </w:r>
    </w:p>
    <w:p w:rsidR="00955272" w:rsidRDefault="00955272" w:rsidP="00955272">
      <w:pPr>
        <w:numPr>
          <w:ilvl w:val="0"/>
          <w:numId w:val="13"/>
        </w:numPr>
        <w:shd w:val="clear" w:color="auto" w:fill="FFFFFF"/>
        <w:spacing w:before="100" w:beforeAutospacing="1" w:after="100" w:afterAutospacing="1" w:line="200" w:lineRule="atLeast"/>
        <w:ind w:left="250"/>
        <w:jc w:val="both"/>
        <w:rPr>
          <w:rFonts w:ascii="Helvetica" w:hAnsi="Helvetica" w:cs="Helvetica"/>
          <w:color w:val="333333"/>
          <w:sz w:val="16"/>
          <w:szCs w:val="16"/>
        </w:rPr>
      </w:pPr>
      <w:r>
        <w:rPr>
          <w:rFonts w:ascii="Helvetica" w:hAnsi="Helvetica" w:cs="Helvetica"/>
          <w:color w:val="333333"/>
          <w:sz w:val="16"/>
          <w:szCs w:val="16"/>
        </w:rPr>
        <w:t>i rifiuti da lavorazioni artigianali;</w:t>
      </w:r>
    </w:p>
    <w:p w:rsidR="00955272" w:rsidRDefault="00955272" w:rsidP="00955272">
      <w:pPr>
        <w:numPr>
          <w:ilvl w:val="0"/>
          <w:numId w:val="13"/>
        </w:numPr>
        <w:shd w:val="clear" w:color="auto" w:fill="FFFFFF"/>
        <w:spacing w:before="100" w:beforeAutospacing="1" w:after="100" w:afterAutospacing="1" w:line="200" w:lineRule="atLeast"/>
        <w:ind w:left="250"/>
        <w:jc w:val="both"/>
        <w:rPr>
          <w:rFonts w:ascii="Helvetica" w:hAnsi="Helvetica" w:cs="Helvetica"/>
          <w:color w:val="333333"/>
          <w:sz w:val="16"/>
          <w:szCs w:val="16"/>
        </w:rPr>
      </w:pPr>
      <w:r>
        <w:rPr>
          <w:rFonts w:ascii="Helvetica" w:hAnsi="Helvetica" w:cs="Helvetica"/>
          <w:color w:val="333333"/>
          <w:sz w:val="16"/>
          <w:szCs w:val="16"/>
        </w:rPr>
        <w:t>i rifiuti da attività commerciali;</w:t>
      </w:r>
    </w:p>
    <w:p w:rsidR="00955272" w:rsidRDefault="00955272" w:rsidP="00955272">
      <w:pPr>
        <w:numPr>
          <w:ilvl w:val="0"/>
          <w:numId w:val="13"/>
        </w:numPr>
        <w:shd w:val="clear" w:color="auto" w:fill="FFFFFF"/>
        <w:spacing w:before="100" w:beforeAutospacing="1" w:after="100" w:afterAutospacing="1" w:line="200" w:lineRule="atLeast"/>
        <w:ind w:left="250"/>
        <w:jc w:val="both"/>
        <w:rPr>
          <w:rFonts w:ascii="Helvetica" w:hAnsi="Helvetica" w:cs="Helvetica"/>
          <w:color w:val="333333"/>
          <w:sz w:val="16"/>
          <w:szCs w:val="16"/>
        </w:rPr>
      </w:pPr>
      <w:r>
        <w:rPr>
          <w:rFonts w:ascii="Helvetica" w:hAnsi="Helvetica" w:cs="Helvetica"/>
          <w:color w:val="333333"/>
          <w:sz w:val="16"/>
          <w:szCs w:val="16"/>
        </w:rPr>
        <w:t>i rifiuti da attività di servizio;</w:t>
      </w:r>
    </w:p>
    <w:p w:rsidR="00955272" w:rsidRDefault="00955272" w:rsidP="00955272">
      <w:pPr>
        <w:numPr>
          <w:ilvl w:val="0"/>
          <w:numId w:val="13"/>
        </w:numPr>
        <w:shd w:val="clear" w:color="auto" w:fill="FFFFFF"/>
        <w:spacing w:before="100" w:beforeAutospacing="1" w:after="100" w:afterAutospacing="1" w:line="200" w:lineRule="atLeast"/>
        <w:ind w:left="250"/>
        <w:jc w:val="both"/>
        <w:rPr>
          <w:rFonts w:ascii="Helvetica" w:hAnsi="Helvetica" w:cs="Helvetica"/>
          <w:color w:val="333333"/>
          <w:sz w:val="16"/>
          <w:szCs w:val="16"/>
        </w:rPr>
      </w:pPr>
      <w:r>
        <w:rPr>
          <w:rFonts w:ascii="Helvetica" w:hAnsi="Helvetica" w:cs="Helvetica"/>
          <w:color w:val="333333"/>
          <w:sz w:val="16"/>
          <w:szCs w:val="16"/>
        </w:rPr>
        <w:t>i rifiuti derivanti da attività di recupero e smaltimento di rifiuti, da potabilizzazione ed altri trattamenti delle acque, da depurazione delle acque reflue e delle emissioni in atmosfera;</w:t>
      </w:r>
    </w:p>
    <w:p w:rsidR="00955272" w:rsidRDefault="00955272" w:rsidP="00955272">
      <w:pPr>
        <w:numPr>
          <w:ilvl w:val="0"/>
          <w:numId w:val="13"/>
        </w:numPr>
        <w:shd w:val="clear" w:color="auto" w:fill="FFFFFF"/>
        <w:spacing w:before="100" w:beforeAutospacing="1" w:after="100" w:afterAutospacing="1" w:line="200" w:lineRule="atLeast"/>
        <w:ind w:left="250"/>
        <w:jc w:val="both"/>
        <w:rPr>
          <w:rFonts w:ascii="Helvetica" w:hAnsi="Helvetica" w:cs="Helvetica"/>
          <w:color w:val="333333"/>
          <w:sz w:val="16"/>
          <w:szCs w:val="16"/>
        </w:rPr>
      </w:pPr>
      <w:r>
        <w:rPr>
          <w:rFonts w:ascii="Helvetica" w:hAnsi="Helvetica" w:cs="Helvetica"/>
          <w:color w:val="333333"/>
          <w:sz w:val="16"/>
          <w:szCs w:val="16"/>
        </w:rPr>
        <w:t>i rifiuti derivanti da attività sanitarie;</w:t>
      </w:r>
    </w:p>
    <w:p w:rsidR="00955272" w:rsidRDefault="00955272" w:rsidP="00955272">
      <w:pPr>
        <w:numPr>
          <w:ilvl w:val="0"/>
          <w:numId w:val="13"/>
        </w:numPr>
        <w:shd w:val="clear" w:color="auto" w:fill="FFFFFF"/>
        <w:spacing w:before="100" w:beforeAutospacing="1" w:after="100" w:afterAutospacing="1" w:line="200" w:lineRule="atLeast"/>
        <w:ind w:left="250"/>
        <w:jc w:val="both"/>
        <w:rPr>
          <w:rFonts w:ascii="Helvetica" w:hAnsi="Helvetica" w:cs="Helvetica"/>
          <w:color w:val="333333"/>
          <w:sz w:val="16"/>
          <w:szCs w:val="16"/>
        </w:rPr>
      </w:pPr>
      <w:r>
        <w:rPr>
          <w:rFonts w:ascii="Helvetica" w:hAnsi="Helvetica" w:cs="Helvetica"/>
          <w:color w:val="333333"/>
          <w:sz w:val="16"/>
          <w:szCs w:val="16"/>
        </w:rPr>
        <w:t>i macchinari e le apparecchiature deteriorati ed obsoleti;</w:t>
      </w:r>
    </w:p>
    <w:p w:rsidR="00955272" w:rsidRDefault="00955272" w:rsidP="00955272">
      <w:pPr>
        <w:numPr>
          <w:ilvl w:val="0"/>
          <w:numId w:val="13"/>
        </w:numPr>
        <w:shd w:val="clear" w:color="auto" w:fill="FFFFFF"/>
        <w:spacing w:before="100" w:beforeAutospacing="1" w:after="100" w:afterAutospacing="1" w:line="200" w:lineRule="atLeast"/>
        <w:ind w:left="250"/>
        <w:jc w:val="both"/>
        <w:rPr>
          <w:rFonts w:ascii="Helvetica" w:hAnsi="Helvetica" w:cs="Helvetica"/>
          <w:color w:val="333333"/>
          <w:sz w:val="16"/>
          <w:szCs w:val="16"/>
        </w:rPr>
      </w:pPr>
      <w:r>
        <w:rPr>
          <w:rFonts w:ascii="Helvetica" w:hAnsi="Helvetica" w:cs="Helvetica"/>
          <w:color w:val="333333"/>
          <w:sz w:val="16"/>
          <w:szCs w:val="16"/>
        </w:rPr>
        <w:t>i veicoli a motore, rimorchi e simili fuori uso e le loro parti;</w:t>
      </w:r>
    </w:p>
    <w:p w:rsidR="00955272" w:rsidRDefault="00955272" w:rsidP="00955272">
      <w:pPr>
        <w:numPr>
          <w:ilvl w:val="0"/>
          <w:numId w:val="13"/>
        </w:numPr>
        <w:shd w:val="clear" w:color="auto" w:fill="FFFFFF"/>
        <w:spacing w:before="100" w:beforeAutospacing="1" w:after="100" w:afterAutospacing="1" w:line="200" w:lineRule="atLeast"/>
        <w:ind w:left="250"/>
        <w:jc w:val="both"/>
        <w:rPr>
          <w:rFonts w:ascii="Helvetica" w:hAnsi="Helvetica" w:cs="Helvetica"/>
          <w:color w:val="333333"/>
          <w:sz w:val="16"/>
          <w:szCs w:val="16"/>
        </w:rPr>
      </w:pPr>
      <w:r>
        <w:rPr>
          <w:rFonts w:ascii="Helvetica" w:hAnsi="Helvetica" w:cs="Helvetica"/>
          <w:color w:val="333333"/>
          <w:sz w:val="16"/>
          <w:szCs w:val="16"/>
        </w:rPr>
        <w:t>il combustibile derivato da rifiuti (CDR);</w:t>
      </w:r>
    </w:p>
    <w:p w:rsidR="00955272" w:rsidRDefault="00955272" w:rsidP="00955272">
      <w:pPr>
        <w:numPr>
          <w:ilvl w:val="0"/>
          <w:numId w:val="13"/>
        </w:numPr>
        <w:shd w:val="clear" w:color="auto" w:fill="FFFFFF"/>
        <w:spacing w:before="100" w:beforeAutospacing="1" w:after="100" w:afterAutospacing="1" w:line="200" w:lineRule="atLeast"/>
        <w:ind w:left="250"/>
        <w:jc w:val="both"/>
        <w:rPr>
          <w:rFonts w:ascii="Helvetica" w:hAnsi="Helvetica" w:cs="Helvetica"/>
          <w:color w:val="333333"/>
          <w:sz w:val="16"/>
          <w:szCs w:val="16"/>
        </w:rPr>
      </w:pPr>
      <w:r>
        <w:rPr>
          <w:rFonts w:ascii="Helvetica" w:hAnsi="Helvetica" w:cs="Helvetica"/>
          <w:color w:val="333333"/>
          <w:sz w:val="16"/>
          <w:szCs w:val="16"/>
        </w:rPr>
        <w:t>i rifiuti derivanti dalle attività di selezione meccanica dei rifiuti solidi urbani.</w:t>
      </w:r>
    </w:p>
    <w:p w:rsidR="00955272" w:rsidRDefault="00955272" w:rsidP="00955272">
      <w:pPr>
        <w:pStyle w:val="NormaleWeb"/>
        <w:shd w:val="clear" w:color="auto" w:fill="FFFFFF"/>
        <w:spacing w:before="0" w:beforeAutospacing="0" w:afterAutospacing="0" w:line="200" w:lineRule="atLeast"/>
        <w:jc w:val="both"/>
        <w:rPr>
          <w:rFonts w:ascii="Helvetica" w:hAnsi="Helvetica" w:cs="Helvetica"/>
          <w:color w:val="4A4A4A"/>
          <w:sz w:val="16"/>
          <w:szCs w:val="16"/>
        </w:rPr>
      </w:pPr>
      <w:r>
        <w:rPr>
          <w:rStyle w:val="Enfasigrassetto"/>
          <w:rFonts w:ascii="Helvetica" w:hAnsi="Helvetica" w:cs="Helvetica"/>
          <w:color w:val="4A4A4A"/>
          <w:sz w:val="16"/>
          <w:szCs w:val="16"/>
        </w:rPr>
        <w:t>RIFIUTI ASSIMILATI AI RIFIUTI URBANI</w:t>
      </w:r>
    </w:p>
    <w:p w:rsidR="00955272" w:rsidRDefault="00955272" w:rsidP="00955272">
      <w:pPr>
        <w:pStyle w:val="NormaleWeb"/>
        <w:shd w:val="clear" w:color="auto" w:fill="FFFFFF"/>
        <w:spacing w:before="0" w:beforeAutospacing="0" w:afterAutospacing="0" w:line="200" w:lineRule="atLeast"/>
        <w:jc w:val="both"/>
        <w:rPr>
          <w:rFonts w:ascii="Helvetica" w:hAnsi="Helvetica" w:cs="Helvetica"/>
          <w:color w:val="4A4A4A"/>
          <w:sz w:val="16"/>
          <w:szCs w:val="16"/>
        </w:rPr>
      </w:pPr>
      <w:r>
        <w:rPr>
          <w:rFonts w:ascii="Helvetica" w:hAnsi="Helvetica" w:cs="Helvetica"/>
          <w:color w:val="4A4A4A"/>
          <w:sz w:val="16"/>
          <w:szCs w:val="16"/>
        </w:rPr>
        <w:t>Nella categoria dei rifiuti urbani sono inclusi anche i </w:t>
      </w:r>
      <w:r>
        <w:rPr>
          <w:rStyle w:val="Enfasigrassetto"/>
          <w:rFonts w:ascii="Helvetica" w:hAnsi="Helvetica" w:cs="Helvetica"/>
          <w:color w:val="4A4A4A"/>
          <w:sz w:val="16"/>
          <w:szCs w:val="16"/>
        </w:rPr>
        <w:t>rifiuti ad essi assimilati</w:t>
      </w:r>
      <w:r>
        <w:rPr>
          <w:rFonts w:ascii="Helvetica" w:hAnsi="Helvetica" w:cs="Helvetica"/>
          <w:color w:val="4A4A4A"/>
          <w:sz w:val="16"/>
          <w:szCs w:val="16"/>
        </w:rPr>
        <w:t> così come disciplinato o dai Comuni e/o dallo Stato.</w:t>
      </w:r>
    </w:p>
    <w:p w:rsidR="00955272" w:rsidRDefault="00955272" w:rsidP="00017F2E">
      <w:pPr>
        <w:pStyle w:val="NormaleWeb"/>
        <w:shd w:val="clear" w:color="auto" w:fill="FFFFFF"/>
        <w:spacing w:before="0" w:beforeAutospacing="0" w:afterAutospacing="0" w:line="200" w:lineRule="atLeast"/>
        <w:rPr>
          <w:rFonts w:ascii="Helvetica" w:hAnsi="Helvetica" w:cs="Helvetica"/>
          <w:color w:val="4A4A4A"/>
          <w:sz w:val="16"/>
          <w:szCs w:val="16"/>
        </w:rPr>
      </w:pPr>
      <w:r>
        <w:rPr>
          <w:rStyle w:val="Enfasigrassetto"/>
          <w:rFonts w:ascii="Helvetica" w:hAnsi="Helvetica" w:cs="Helvetica"/>
          <w:color w:val="4A4A4A"/>
          <w:sz w:val="16"/>
          <w:szCs w:val="16"/>
        </w:rPr>
        <w:t>Comuni</w:t>
      </w:r>
    </w:p>
    <w:p w:rsidR="00955272" w:rsidRDefault="00955272" w:rsidP="00955272">
      <w:pPr>
        <w:pStyle w:val="NormaleWeb"/>
        <w:shd w:val="clear" w:color="auto" w:fill="FFFFFF"/>
        <w:spacing w:before="0" w:beforeAutospacing="0" w:afterAutospacing="0" w:line="200" w:lineRule="atLeast"/>
        <w:jc w:val="both"/>
        <w:rPr>
          <w:rFonts w:ascii="Helvetica" w:hAnsi="Helvetica" w:cs="Helvetica"/>
          <w:color w:val="4A4A4A"/>
          <w:sz w:val="16"/>
          <w:szCs w:val="16"/>
        </w:rPr>
      </w:pPr>
      <w:r>
        <w:rPr>
          <w:rFonts w:ascii="Helvetica" w:hAnsi="Helvetica" w:cs="Helvetica"/>
          <w:color w:val="4A4A4A"/>
          <w:sz w:val="16"/>
          <w:szCs w:val="16"/>
        </w:rPr>
        <w:t>Secondo l'art. 198 del D.Lgs 152/2006 i </w:t>
      </w:r>
      <w:r>
        <w:rPr>
          <w:rStyle w:val="Enfasigrassetto"/>
          <w:rFonts w:ascii="Helvetica" w:hAnsi="Helvetica" w:cs="Helvetica"/>
          <w:color w:val="4A4A4A"/>
          <w:sz w:val="16"/>
          <w:szCs w:val="16"/>
        </w:rPr>
        <w:t>Comuni concorrono a disciplinare la gestione dei rifiuti urbani con appositi regolamenti</w:t>
      </w:r>
      <w:r>
        <w:rPr>
          <w:rFonts w:ascii="Helvetica" w:hAnsi="Helvetica" w:cs="Helvetica"/>
          <w:color w:val="4A4A4A"/>
          <w:sz w:val="16"/>
          <w:szCs w:val="16"/>
        </w:rPr>
        <w:t> che, nel rispetto dei principi di trasparenza, efficienza, efficacia ed economicità e in coerenza con i piani d'ambito ai sensi dell'articolo 201, comma 3, stabiliscono in particolare l'assimilazione, per qualità e quantità, </w:t>
      </w:r>
      <w:r>
        <w:rPr>
          <w:rStyle w:val="Enfasigrassetto"/>
          <w:rFonts w:ascii="Helvetica" w:hAnsi="Helvetica" w:cs="Helvetica"/>
          <w:color w:val="4A4A4A"/>
          <w:sz w:val="16"/>
          <w:szCs w:val="16"/>
        </w:rPr>
        <w:t>dei rifiuti speciali non pericolosi ai rifiuti urbani</w:t>
      </w:r>
      <w:r>
        <w:rPr>
          <w:rFonts w:ascii="Helvetica" w:hAnsi="Helvetica" w:cs="Helvetica"/>
          <w:color w:val="4A4A4A"/>
          <w:sz w:val="16"/>
          <w:szCs w:val="16"/>
        </w:rPr>
        <w:t>, secondo i criteri di cui all'articolo 195, comma 2, lettera e), ferme restando le definizioni di cui all'articolo 184, comma 2, lettere c) e d).</w:t>
      </w:r>
      <w:r w:rsidR="00017F2E">
        <w:rPr>
          <w:rFonts w:ascii="Helvetica" w:hAnsi="Helvetica" w:cs="Helvetica"/>
          <w:color w:val="4A4A4A"/>
          <w:sz w:val="16"/>
          <w:szCs w:val="16"/>
        </w:rPr>
        <w:t xml:space="preserve"> il regolamento disciplina:</w:t>
      </w:r>
    </w:p>
    <w:p w:rsidR="00017F2E" w:rsidRDefault="00017F2E" w:rsidP="00017F2E">
      <w:pPr>
        <w:pStyle w:val="NormaleWeb"/>
        <w:shd w:val="clear" w:color="auto" w:fill="FFFFFF"/>
        <w:spacing w:before="0" w:beforeAutospacing="0" w:afterAutospacing="0" w:line="200" w:lineRule="atLeast"/>
        <w:rPr>
          <w:rFonts w:ascii="Helvetica" w:hAnsi="Helvetica" w:cs="Helvetica"/>
          <w:color w:val="4A4A4A"/>
          <w:sz w:val="16"/>
          <w:szCs w:val="16"/>
        </w:rPr>
      </w:pPr>
      <w:r>
        <w:rPr>
          <w:rFonts w:ascii="Tahoma" w:hAnsi="Tahoma" w:cs="Tahoma"/>
          <w:color w:val="000000"/>
          <w:shd w:val="clear" w:color="auto" w:fill="F5FDFE"/>
        </w:rPr>
        <w:t>a) le misure per assicurare la tutela igienico-sanitaria in tutte le fasi della gestione dei rifiuti rbani;</w:t>
      </w:r>
      <w:r>
        <w:rPr>
          <w:rFonts w:ascii="Tahoma" w:hAnsi="Tahoma" w:cs="Tahoma"/>
          <w:color w:val="000000"/>
        </w:rPr>
        <w:br/>
      </w:r>
      <w:r>
        <w:rPr>
          <w:rFonts w:ascii="Tahoma" w:hAnsi="Tahoma" w:cs="Tahoma"/>
          <w:color w:val="000000"/>
          <w:shd w:val="clear" w:color="auto" w:fill="F5FDFE"/>
        </w:rPr>
        <w:t>b) le modalità del servizio di raccolta e trasporto dei rifiuti urbani;</w:t>
      </w:r>
      <w:r>
        <w:rPr>
          <w:rFonts w:ascii="Tahoma" w:hAnsi="Tahoma" w:cs="Tahoma"/>
          <w:color w:val="000000"/>
        </w:rPr>
        <w:br/>
      </w:r>
      <w:r>
        <w:rPr>
          <w:rFonts w:ascii="Tahoma" w:hAnsi="Tahoma" w:cs="Tahoma"/>
          <w:color w:val="000000"/>
          <w:shd w:val="clear" w:color="auto" w:fill="F5FDFE"/>
        </w:rPr>
        <w:t>c) le modalità del conferimento, della raccolta differenziata e del trasporto dei rifiuti urbani ed assimilati al fine di garantire una distinta gestione delle diverse frazioni di rifiuti e promuovere il recupero degli stessi;</w:t>
      </w:r>
      <w:r>
        <w:rPr>
          <w:rFonts w:ascii="Tahoma" w:hAnsi="Tahoma" w:cs="Tahoma"/>
          <w:color w:val="000000"/>
        </w:rPr>
        <w:br/>
      </w:r>
      <w:r>
        <w:rPr>
          <w:rFonts w:ascii="Tahoma" w:hAnsi="Tahoma" w:cs="Tahoma"/>
          <w:color w:val="000000"/>
          <w:shd w:val="clear" w:color="auto" w:fill="F5FDFE"/>
        </w:rPr>
        <w:t xml:space="preserve">d) le norme atte a garantire una distinta ed adeguata gestione dei rifiuti urbani pericolosi e dei rifiuti da esumazione ed estumulazione </w:t>
      </w:r>
      <w:r>
        <w:rPr>
          <w:rFonts w:ascii="Tahoma" w:hAnsi="Tahoma" w:cs="Tahoma"/>
          <w:color w:val="000000"/>
        </w:rPr>
        <w:br/>
      </w:r>
      <w:r>
        <w:rPr>
          <w:rFonts w:ascii="Tahoma" w:hAnsi="Tahoma" w:cs="Tahoma"/>
          <w:color w:val="000000"/>
          <w:shd w:val="clear" w:color="auto" w:fill="F5FDFE"/>
        </w:rPr>
        <w:t>e) le misure necessarie ad ottimizzare le forme di conferimento, raccolta e trasporto dei rifiuti primari di imballaggio in sinergia con altre frazioni merceologiche, fissando standard minimi da rispettare;</w:t>
      </w:r>
      <w:r>
        <w:rPr>
          <w:rFonts w:ascii="Tahoma" w:hAnsi="Tahoma" w:cs="Tahoma"/>
          <w:color w:val="000000"/>
        </w:rPr>
        <w:br/>
      </w:r>
      <w:r>
        <w:rPr>
          <w:rFonts w:ascii="Tahoma" w:hAnsi="Tahoma" w:cs="Tahoma"/>
          <w:color w:val="000000"/>
          <w:shd w:val="clear" w:color="auto" w:fill="F5FDFE"/>
        </w:rPr>
        <w:lastRenderedPageBreak/>
        <w:t>f) le modalità di esecuzione della pesata dei rifiuti urbani prima di inviarli al recupero e allo smaltimento;</w:t>
      </w:r>
      <w:r>
        <w:rPr>
          <w:rFonts w:ascii="Tahoma" w:hAnsi="Tahoma" w:cs="Tahoma"/>
          <w:color w:val="000000"/>
        </w:rPr>
        <w:br/>
      </w:r>
      <w:r>
        <w:rPr>
          <w:rFonts w:ascii="Tahoma" w:hAnsi="Tahoma" w:cs="Tahoma"/>
          <w:color w:val="000000"/>
          <w:shd w:val="clear" w:color="auto" w:fill="F5FDFE"/>
        </w:rPr>
        <w:t xml:space="preserve">g) l'assimilazione, per qualità e quantità, dei rifiuti speciali non pericolosi ai rifiuti urbani, </w:t>
      </w:r>
    </w:p>
    <w:p w:rsidR="00955272" w:rsidRDefault="00955272" w:rsidP="00017F2E">
      <w:pPr>
        <w:pStyle w:val="NormaleWeb"/>
        <w:shd w:val="clear" w:color="auto" w:fill="FFFFFF"/>
        <w:spacing w:before="0" w:beforeAutospacing="0" w:afterAutospacing="0" w:line="200" w:lineRule="atLeast"/>
        <w:jc w:val="both"/>
        <w:rPr>
          <w:rFonts w:ascii="Helvetica" w:hAnsi="Helvetica" w:cs="Helvetica"/>
          <w:color w:val="4A4A4A"/>
          <w:sz w:val="16"/>
          <w:szCs w:val="16"/>
        </w:rPr>
      </w:pPr>
      <w:r>
        <w:rPr>
          <w:rStyle w:val="Enfasigrassetto"/>
          <w:rFonts w:ascii="Helvetica" w:hAnsi="Helvetica" w:cs="Helvetica"/>
          <w:color w:val="4A4A4A"/>
          <w:sz w:val="16"/>
          <w:szCs w:val="16"/>
        </w:rPr>
        <w:t>Stato</w:t>
      </w:r>
    </w:p>
    <w:p w:rsidR="00955272" w:rsidRDefault="00955272" w:rsidP="00955272">
      <w:pPr>
        <w:pStyle w:val="NormaleWeb"/>
        <w:shd w:val="clear" w:color="auto" w:fill="FFFFFF"/>
        <w:spacing w:before="0" w:beforeAutospacing="0" w:afterAutospacing="0" w:line="200" w:lineRule="atLeast"/>
        <w:jc w:val="both"/>
        <w:rPr>
          <w:rFonts w:ascii="Helvetica" w:hAnsi="Helvetica" w:cs="Helvetica"/>
          <w:color w:val="4A4A4A"/>
          <w:sz w:val="16"/>
          <w:szCs w:val="16"/>
        </w:rPr>
      </w:pPr>
      <w:r>
        <w:rPr>
          <w:rFonts w:ascii="Helvetica" w:hAnsi="Helvetica" w:cs="Helvetica"/>
          <w:color w:val="4A4A4A"/>
          <w:sz w:val="16"/>
          <w:szCs w:val="16"/>
        </w:rPr>
        <w:t>Secondo invece l'art. 195 del D.Lgs 152/2006 sono </w:t>
      </w:r>
      <w:r>
        <w:rPr>
          <w:rStyle w:val="Enfasigrassetto"/>
          <w:rFonts w:ascii="Helvetica" w:hAnsi="Helvetica" w:cs="Helvetica"/>
          <w:color w:val="4A4A4A"/>
          <w:sz w:val="16"/>
          <w:szCs w:val="16"/>
        </w:rPr>
        <w:t>inoltre di competenza dello Stato</w:t>
      </w:r>
      <w:r>
        <w:rPr>
          <w:rFonts w:ascii="Helvetica" w:hAnsi="Helvetica" w:cs="Helvetica"/>
          <w:color w:val="4A4A4A"/>
          <w:sz w:val="16"/>
          <w:szCs w:val="16"/>
        </w:rPr>
        <w:t> la determinazione dei criteri qualitativi e quali-quantitativi per </w:t>
      </w:r>
      <w:r>
        <w:rPr>
          <w:rStyle w:val="Enfasigrassetto"/>
          <w:rFonts w:ascii="Helvetica" w:hAnsi="Helvetica" w:cs="Helvetica"/>
          <w:color w:val="4A4A4A"/>
          <w:sz w:val="16"/>
          <w:szCs w:val="16"/>
        </w:rPr>
        <w:t>l'assimilazione</w:t>
      </w:r>
      <w:r>
        <w:rPr>
          <w:rFonts w:ascii="Helvetica" w:hAnsi="Helvetica" w:cs="Helvetica"/>
          <w:color w:val="4A4A4A"/>
          <w:sz w:val="16"/>
          <w:szCs w:val="16"/>
        </w:rPr>
        <w:t>, ai fini della raccolta e dello smaltimento,</w:t>
      </w:r>
      <w:r>
        <w:rPr>
          <w:rStyle w:val="Enfasigrassetto"/>
          <w:rFonts w:ascii="Helvetica" w:hAnsi="Helvetica" w:cs="Helvetica"/>
          <w:color w:val="4A4A4A"/>
          <w:sz w:val="16"/>
          <w:szCs w:val="16"/>
        </w:rPr>
        <w:t> dei rifiuti speciali ai rifiuti urbani</w:t>
      </w:r>
      <w:r>
        <w:rPr>
          <w:rFonts w:ascii="Helvetica" w:hAnsi="Helvetica" w:cs="Helvetica"/>
          <w:color w:val="4A4A4A"/>
          <w:sz w:val="16"/>
          <w:szCs w:val="16"/>
        </w:rPr>
        <w:t>, derivanti da </w:t>
      </w:r>
      <w:r>
        <w:rPr>
          <w:rStyle w:val="Enfasigrassetto"/>
          <w:rFonts w:ascii="Helvetica" w:hAnsi="Helvetica" w:cs="Helvetica"/>
          <w:color w:val="4A4A4A"/>
          <w:sz w:val="16"/>
          <w:szCs w:val="16"/>
        </w:rPr>
        <w:t>enti e imprese</w:t>
      </w:r>
      <w:r>
        <w:rPr>
          <w:rFonts w:ascii="Helvetica" w:hAnsi="Helvetica" w:cs="Helvetica"/>
          <w:color w:val="4A4A4A"/>
          <w:sz w:val="16"/>
          <w:szCs w:val="16"/>
        </w:rPr>
        <w:t> esercitate su aree con superficie non superiore ai 150 metri quadri nei comuni con popolazione residente</w:t>
      </w:r>
      <w:r>
        <w:rPr>
          <w:rStyle w:val="Enfasigrassetto"/>
          <w:rFonts w:ascii="Helvetica" w:hAnsi="Helvetica" w:cs="Helvetica"/>
          <w:color w:val="4A4A4A"/>
          <w:sz w:val="16"/>
          <w:szCs w:val="16"/>
        </w:rPr>
        <w:t> inferiore a 10.000 abitanti</w:t>
      </w:r>
      <w:r>
        <w:rPr>
          <w:rFonts w:ascii="Helvetica" w:hAnsi="Helvetica" w:cs="Helvetica"/>
          <w:color w:val="4A4A4A"/>
          <w:sz w:val="16"/>
          <w:szCs w:val="16"/>
        </w:rPr>
        <w:t>, o superficie non superiore a 250 metri quadri nei comuni con popolazioni residente </w:t>
      </w:r>
      <w:r>
        <w:rPr>
          <w:rStyle w:val="Enfasigrassetto"/>
          <w:rFonts w:ascii="Helvetica" w:hAnsi="Helvetica" w:cs="Helvetica"/>
          <w:color w:val="4A4A4A"/>
          <w:sz w:val="16"/>
          <w:szCs w:val="16"/>
        </w:rPr>
        <w:t>superiore a 10.000 abitanti</w:t>
      </w:r>
      <w:r>
        <w:rPr>
          <w:rFonts w:ascii="Helvetica" w:hAnsi="Helvetica" w:cs="Helvetica"/>
          <w:color w:val="4A4A4A"/>
          <w:sz w:val="16"/>
          <w:szCs w:val="16"/>
        </w:rPr>
        <w:t>.</w:t>
      </w:r>
    </w:p>
    <w:p w:rsidR="00955272" w:rsidRDefault="00955272" w:rsidP="00955272">
      <w:pPr>
        <w:pStyle w:val="NormaleWeb"/>
        <w:shd w:val="clear" w:color="auto" w:fill="FFFFFF"/>
        <w:spacing w:before="0" w:beforeAutospacing="0" w:afterAutospacing="0" w:line="200" w:lineRule="atLeast"/>
        <w:jc w:val="both"/>
        <w:rPr>
          <w:rFonts w:ascii="Helvetica" w:hAnsi="Helvetica" w:cs="Helvetica"/>
          <w:color w:val="4A4A4A"/>
          <w:sz w:val="16"/>
          <w:szCs w:val="16"/>
        </w:rPr>
      </w:pPr>
      <w:r>
        <w:rPr>
          <w:rStyle w:val="Enfasigrassetto"/>
          <w:rFonts w:ascii="Helvetica" w:hAnsi="Helvetica" w:cs="Helvetica"/>
          <w:color w:val="4A4A4A"/>
          <w:sz w:val="16"/>
          <w:szCs w:val="16"/>
        </w:rPr>
        <w:t>Non possono</w:t>
      </w:r>
      <w:r>
        <w:rPr>
          <w:rFonts w:ascii="Helvetica" w:hAnsi="Helvetica" w:cs="Helvetica"/>
          <w:color w:val="4A4A4A"/>
          <w:sz w:val="16"/>
          <w:szCs w:val="16"/>
        </w:rPr>
        <w:t> essere di norma assimilati ai rifiuti urbani i rifiuti che si formano nelle aree produttive, compresi i magazzini di materie prime e di prodotti finiti, salvo i rifiuti prodotti negli uffici, nelle mense, negli spacci, nei bar e nei locali al servizio dei lavoratori o cumunque aperti al pubblico.</w:t>
      </w:r>
    </w:p>
    <w:p w:rsidR="00955272" w:rsidRDefault="00955272" w:rsidP="00955272">
      <w:pPr>
        <w:pStyle w:val="NormaleWeb"/>
        <w:shd w:val="clear" w:color="auto" w:fill="FFFFFF"/>
        <w:spacing w:before="0" w:beforeAutospacing="0" w:afterAutospacing="0" w:line="200" w:lineRule="atLeast"/>
        <w:jc w:val="both"/>
        <w:rPr>
          <w:rFonts w:ascii="Helvetica" w:hAnsi="Helvetica" w:cs="Helvetica"/>
          <w:color w:val="4A4A4A"/>
          <w:sz w:val="16"/>
          <w:szCs w:val="16"/>
        </w:rPr>
      </w:pPr>
      <w:r>
        <w:rPr>
          <w:rFonts w:ascii="Helvetica" w:hAnsi="Helvetica" w:cs="Helvetica"/>
          <w:color w:val="4A4A4A"/>
          <w:sz w:val="16"/>
          <w:szCs w:val="16"/>
        </w:rPr>
        <w:t>La corretta individuazione della classificazione dei </w:t>
      </w:r>
      <w:r>
        <w:rPr>
          <w:rStyle w:val="Enfasigrassetto"/>
          <w:rFonts w:ascii="Helvetica" w:hAnsi="Helvetica" w:cs="Helvetica"/>
          <w:color w:val="4A4A4A"/>
          <w:sz w:val="16"/>
          <w:szCs w:val="16"/>
        </w:rPr>
        <w:t>rifiuti urbani</w:t>
      </w:r>
      <w:r>
        <w:rPr>
          <w:rFonts w:ascii="Helvetica" w:hAnsi="Helvetica" w:cs="Helvetica"/>
          <w:color w:val="4A4A4A"/>
          <w:sz w:val="16"/>
          <w:szCs w:val="16"/>
        </w:rPr>
        <w:t> e dei </w:t>
      </w:r>
      <w:r>
        <w:rPr>
          <w:rStyle w:val="Enfasigrassetto"/>
          <w:rFonts w:ascii="Helvetica" w:hAnsi="Helvetica" w:cs="Helvetica"/>
          <w:color w:val="4A4A4A"/>
          <w:sz w:val="16"/>
          <w:szCs w:val="16"/>
        </w:rPr>
        <w:t>rifiuti speciali</w:t>
      </w:r>
      <w:r>
        <w:rPr>
          <w:rFonts w:ascii="Helvetica" w:hAnsi="Helvetica" w:cs="Helvetica"/>
          <w:color w:val="4A4A4A"/>
          <w:sz w:val="16"/>
          <w:szCs w:val="16"/>
        </w:rPr>
        <w:t> ha rilevanza per i </w:t>
      </w:r>
      <w:r>
        <w:rPr>
          <w:rStyle w:val="Enfasigrassetto"/>
          <w:rFonts w:ascii="Helvetica" w:hAnsi="Helvetica" w:cs="Helvetica"/>
          <w:color w:val="4A4A4A"/>
          <w:sz w:val="16"/>
          <w:szCs w:val="16"/>
        </w:rPr>
        <w:t>diversi effetti</w:t>
      </w:r>
      <w:r>
        <w:rPr>
          <w:rFonts w:ascii="Helvetica" w:hAnsi="Helvetica" w:cs="Helvetica"/>
          <w:color w:val="4A4A4A"/>
          <w:sz w:val="16"/>
          <w:szCs w:val="16"/>
        </w:rPr>
        <w:t>:</w:t>
      </w:r>
    </w:p>
    <w:p w:rsidR="00955272" w:rsidRDefault="00955272" w:rsidP="00955272">
      <w:pPr>
        <w:numPr>
          <w:ilvl w:val="0"/>
          <w:numId w:val="14"/>
        </w:numPr>
        <w:shd w:val="clear" w:color="auto" w:fill="FFFFFF"/>
        <w:spacing w:before="100" w:beforeAutospacing="1" w:after="100" w:afterAutospacing="1" w:line="360" w:lineRule="atLeast"/>
        <w:ind w:left="250"/>
        <w:jc w:val="both"/>
        <w:rPr>
          <w:rFonts w:ascii="Helvetica" w:hAnsi="Helvetica" w:cs="Helvetica"/>
          <w:color w:val="333333"/>
          <w:sz w:val="16"/>
          <w:szCs w:val="16"/>
        </w:rPr>
      </w:pPr>
      <w:r>
        <w:rPr>
          <w:rFonts w:ascii="Helvetica" w:hAnsi="Helvetica" w:cs="Helvetica"/>
          <w:color w:val="333333"/>
          <w:sz w:val="16"/>
          <w:szCs w:val="16"/>
        </w:rPr>
        <w:t>sui regimi autorizzatori ed abilitativi in genere;</w:t>
      </w:r>
    </w:p>
    <w:p w:rsidR="00955272" w:rsidRDefault="00955272" w:rsidP="00955272">
      <w:pPr>
        <w:numPr>
          <w:ilvl w:val="0"/>
          <w:numId w:val="14"/>
        </w:numPr>
        <w:shd w:val="clear" w:color="auto" w:fill="FFFFFF"/>
        <w:spacing w:before="100" w:beforeAutospacing="1" w:after="100" w:afterAutospacing="1" w:line="360" w:lineRule="atLeast"/>
        <w:ind w:left="250"/>
        <w:jc w:val="both"/>
        <w:rPr>
          <w:rFonts w:ascii="Helvetica" w:hAnsi="Helvetica" w:cs="Helvetica"/>
          <w:color w:val="333333"/>
          <w:sz w:val="16"/>
          <w:szCs w:val="16"/>
        </w:rPr>
      </w:pPr>
      <w:r>
        <w:rPr>
          <w:rFonts w:ascii="Helvetica" w:hAnsi="Helvetica" w:cs="Helvetica"/>
          <w:color w:val="333333"/>
          <w:sz w:val="16"/>
          <w:szCs w:val="16"/>
        </w:rPr>
        <w:t>sugli obbligi di registrazione e comunicazione annuale;</w:t>
      </w:r>
    </w:p>
    <w:p w:rsidR="00955272" w:rsidRDefault="00955272" w:rsidP="00955272">
      <w:pPr>
        <w:numPr>
          <w:ilvl w:val="0"/>
          <w:numId w:val="14"/>
        </w:numPr>
        <w:shd w:val="clear" w:color="auto" w:fill="FFFFFF"/>
        <w:spacing w:before="100" w:beforeAutospacing="1" w:after="100" w:afterAutospacing="1" w:line="360" w:lineRule="atLeast"/>
        <w:ind w:left="250"/>
        <w:jc w:val="both"/>
        <w:rPr>
          <w:rFonts w:ascii="Helvetica" w:hAnsi="Helvetica" w:cs="Helvetica"/>
          <w:color w:val="333333"/>
          <w:sz w:val="16"/>
          <w:szCs w:val="16"/>
        </w:rPr>
      </w:pPr>
      <w:r>
        <w:rPr>
          <w:rFonts w:ascii="Helvetica" w:hAnsi="Helvetica" w:cs="Helvetica"/>
          <w:color w:val="333333"/>
          <w:sz w:val="16"/>
          <w:szCs w:val="16"/>
        </w:rPr>
        <w:t>sull'individuazione del soggetto che ha il compito di provvedere al loro smaltimento.</w:t>
      </w:r>
    </w:p>
    <w:p w:rsidR="00955272" w:rsidRDefault="00955272" w:rsidP="00955272">
      <w:pPr>
        <w:pStyle w:val="NormaleWeb"/>
        <w:shd w:val="clear" w:color="auto" w:fill="FFFFFF"/>
        <w:spacing w:before="0" w:beforeAutospacing="0" w:afterAutospacing="0" w:line="200" w:lineRule="atLeast"/>
        <w:jc w:val="both"/>
        <w:rPr>
          <w:rFonts w:ascii="Helvetica" w:hAnsi="Helvetica" w:cs="Helvetica"/>
          <w:color w:val="4A4A4A"/>
          <w:sz w:val="16"/>
          <w:szCs w:val="16"/>
        </w:rPr>
      </w:pPr>
      <w:r>
        <w:rPr>
          <w:rFonts w:ascii="Helvetica" w:hAnsi="Helvetica" w:cs="Helvetica"/>
          <w:color w:val="4A4A4A"/>
          <w:sz w:val="16"/>
          <w:szCs w:val="16"/>
        </w:rPr>
        <w:t>Infine si ricorda che per una corretta classificazione delle diverse tipologie di rifiuti è necessario prendere in considerazione anche</w:t>
      </w:r>
      <w:r>
        <w:rPr>
          <w:rStyle w:val="Enfasigrassetto"/>
          <w:rFonts w:ascii="Helvetica" w:hAnsi="Helvetica" w:cs="Helvetica"/>
          <w:color w:val="4A4A4A"/>
          <w:sz w:val="16"/>
          <w:szCs w:val="16"/>
        </w:rPr>
        <w:t> l'elenco europeo dei rifiuti</w:t>
      </w:r>
      <w:r>
        <w:rPr>
          <w:rFonts w:ascii="Helvetica" w:hAnsi="Helvetica" w:cs="Helvetica"/>
          <w:color w:val="4A4A4A"/>
          <w:sz w:val="16"/>
          <w:szCs w:val="16"/>
        </w:rPr>
        <w:t> - cosiddetto CER - di cui alla Decisione della Commissione 2000/532/CE del 3 maggio 2000riprodotto nell'Allegato D alla Parte Quarta del D.Lgs n.152/2006.</w:t>
      </w:r>
    </w:p>
    <w:p w:rsidR="00017F2E" w:rsidRDefault="00017F2E" w:rsidP="00955272">
      <w:pPr>
        <w:pStyle w:val="NormaleWeb"/>
        <w:shd w:val="clear" w:color="auto" w:fill="FFFFFF"/>
        <w:spacing w:before="0" w:beforeAutospacing="0" w:afterAutospacing="0" w:line="200" w:lineRule="atLeast"/>
        <w:jc w:val="both"/>
        <w:rPr>
          <w:rFonts w:ascii="Helvetica" w:hAnsi="Helvetica" w:cs="Helvetica"/>
          <w:color w:val="4A4A4A"/>
          <w:sz w:val="16"/>
          <w:szCs w:val="16"/>
        </w:rPr>
      </w:pPr>
      <w:r>
        <w:rPr>
          <w:rFonts w:ascii="Tahoma" w:hAnsi="Tahoma" w:cs="Tahoma"/>
          <w:color w:val="000000"/>
          <w:shd w:val="clear" w:color="auto" w:fill="F5FDFE"/>
        </w:rPr>
        <w:t>Alle province competono in linea generale le funzioni amministrative concernenti la programmazione ed organizzazione del recupero e dello smaltimento dei rifiuti a livello provinciale, da esercitarsi con le risorse umane, strumentali e finanziarie disponibili a legislazione vigente</w:t>
      </w:r>
    </w:p>
    <w:p w:rsidR="00955272" w:rsidRDefault="00017F2E" w:rsidP="00FD1C5C">
      <w:pPr>
        <w:pStyle w:val="NormaleWeb"/>
        <w:shd w:val="clear" w:color="auto" w:fill="F5FDFE"/>
        <w:rPr>
          <w:rFonts w:ascii="Tahoma" w:hAnsi="Tahoma" w:cs="Tahoma"/>
          <w:color w:val="000000"/>
          <w:shd w:val="clear" w:color="auto" w:fill="F5FDFE"/>
        </w:rPr>
      </w:pPr>
      <w:r>
        <w:rPr>
          <w:rFonts w:ascii="Tahoma" w:hAnsi="Tahoma" w:cs="Tahoma"/>
          <w:color w:val="000000"/>
          <w:shd w:val="clear" w:color="auto" w:fill="F5FDFE"/>
        </w:rPr>
        <w:t>I comuni sono altresì tenuti ad esprimere il proprio parere in ordine all'approvazione dei progetti di bonifica dei siti inquinati rilasciata dalle regioni.</w:t>
      </w:r>
    </w:p>
    <w:p w:rsidR="00017F2E" w:rsidRDefault="00017F2E" w:rsidP="00017F2E">
      <w:pPr>
        <w:pStyle w:val="NormaleWeb"/>
        <w:rPr>
          <w:rFonts w:ascii="Tahoma" w:hAnsi="Tahoma" w:cs="Tahoma"/>
          <w:color w:val="000000"/>
          <w:sz w:val="20"/>
          <w:szCs w:val="20"/>
        </w:rPr>
      </w:pPr>
      <w:r>
        <w:rPr>
          <w:rFonts w:ascii="Tahoma" w:hAnsi="Tahoma" w:cs="Tahoma"/>
          <w:color w:val="000000"/>
          <w:sz w:val="20"/>
          <w:szCs w:val="20"/>
        </w:rPr>
        <w:t>Qualora si verifichino situazioni di eccezionale ed urgente necessità di tutela della salute pubblica e dell'ambiente, e non si possa altrimenti provvedere, il Presidente della Giunta regionale o il Presidente della provincia ovvero il Sindaco possono emettere, nell'ambito delle rispettive competenze, ordinanze contingibili ed urgenti per consentire il ricorso temporaneo a speciali forme di gestione dei rifiuti, anche in deroga alle disposizioni vigenti, nel rispetto, comunque, delle disposizioni contenute nelle direttive dell’Unione europea, garantendo un elevato livello di tutela della salute e dell'ambiente. Dette ordinanze sono comunicate al Presidente del Consiglio dei Ministri, al Ministro dell'ambiente e della tutela del territorio e del mare, al Ministro della salute, al Ministro delle attività produttive, al Presidente della regione e all'ente di governo dell'ambito di cui all'articolo 201 entro tre giorni dall'emissione ed hanno efficacia per un periodo non superiore a sei mesi. Entro centoventi giorni dall'adozione delle ordinanze, il Presidente della Giunta regionale promuove ed adotta le iniziative necessarie per garantire la raccolta differenziata, il riutilizzo, il riciclaggio e lo smaltimento dei rifiuti. In caso di inutile decorso del termine e di accertata inattività, il Ministro dell'ambiente e della tutela del territorio e del mare diffida il Presidente della Giunta regionale a provvedere entro sessanta giorni e, in caso di protrazione dell'inerzia, può adottare in via sostitutiva tutte le iniziative necessarie ai predetti fini.</w:t>
      </w:r>
    </w:p>
    <w:p w:rsidR="000E7DAC" w:rsidRDefault="000E7DAC" w:rsidP="000E7DAC">
      <w:pPr>
        <w:pStyle w:val="NormaleWeb"/>
        <w:rPr>
          <w:rFonts w:ascii="Tahoma" w:hAnsi="Tahoma" w:cs="Tahoma"/>
          <w:color w:val="000000"/>
          <w:sz w:val="20"/>
          <w:szCs w:val="20"/>
        </w:rPr>
      </w:pPr>
      <w:r>
        <w:rPr>
          <w:rFonts w:ascii="Tahoma" w:hAnsi="Tahoma" w:cs="Tahoma"/>
          <w:color w:val="000000"/>
          <w:sz w:val="20"/>
          <w:szCs w:val="20"/>
        </w:rPr>
        <w:t>Per quanto riguarda l'abbandono e il deposito incontrollati di rifiuti sul suolo e nel suolo sono vietati. È altresì vietata l'immissione di rifiuti di qualsiasi genere, allo stato solido o liquido, nelle acque superficiali e sotterranee. Fatta salva l'applicazione della sanzioni di cui agli articoli 255 e 256, chiunque viola tale divieto è tenuto a procedere alla rimozione, all'avvio a recupero o allo smaltimento dei rifiuti ed al ripristino dello stato dei luoghi in solido con il proprietario e con i titolari di diritti reali o personali di godimento sull'area, ai quali tale violazione sia imputabile a titolo di dolo o colpa, in base agli accertamenti effettuati, in contraddittorio con i soggetti interessati, dai soggetti preposti al controllo. Il Sindaco dispone con ordinanza le operazioni a tal fine necessarie ed il termine entro cui provvedere, decorso il quale procede all'esecuzione in danno dei soggetti obbligati ed al recupero delle somme anticipate.</w:t>
      </w:r>
    </w:p>
    <w:p w:rsidR="000E7DAC" w:rsidRDefault="000E7DAC" w:rsidP="000E7DAC">
      <w:pPr>
        <w:pStyle w:val="NormaleWeb"/>
        <w:rPr>
          <w:rFonts w:ascii="Tahoma" w:hAnsi="Tahoma" w:cs="Tahoma"/>
          <w:color w:val="000000"/>
          <w:sz w:val="20"/>
          <w:szCs w:val="20"/>
        </w:rPr>
      </w:pPr>
      <w:r>
        <w:rPr>
          <w:rFonts w:ascii="Tahoma" w:hAnsi="Tahoma" w:cs="Tahoma"/>
          <w:color w:val="000000"/>
          <w:sz w:val="20"/>
          <w:szCs w:val="20"/>
        </w:rPr>
        <w:lastRenderedPageBreak/>
        <w:t>Qualora la responsabilità del fatto illecito sia imputabile ad amministratori o rappresentanti di persona giuridica, sono tenuti in solido la persona giuridica ed i soggetti che siano subentrati nei diritti della persona stessa</w:t>
      </w:r>
    </w:p>
    <w:p w:rsidR="00752BFE" w:rsidRDefault="000E7DAC" w:rsidP="00752BFE">
      <w:pPr>
        <w:pStyle w:val="NormaleWeb"/>
        <w:rPr>
          <w:rFonts w:ascii="Tahoma" w:hAnsi="Tahoma" w:cs="Tahoma"/>
          <w:color w:val="000000"/>
          <w:sz w:val="20"/>
          <w:szCs w:val="20"/>
        </w:rPr>
      </w:pPr>
      <w:r>
        <w:rPr>
          <w:rFonts w:ascii="Tahoma" w:hAnsi="Tahoma" w:cs="Tahoma"/>
          <w:color w:val="000000"/>
          <w:shd w:val="clear" w:color="auto" w:fill="F5FDFE"/>
        </w:rPr>
        <w:t xml:space="preserve">Per smaltimento il legislatore intende qualsiasi operazione diversa dal recupero anche quando l’operazione ha come conseguenza secondaria il recupero di sostanze o di energia. L’Allegato B alla parte IV del presente decreto riporta un elenco non esaustivo delle operazioni di smaltimento; lo smaltimento è soggetto all’autorizzazione unica per i nuovi impianti di smaltimento e recupero rifiuti </w:t>
      </w:r>
      <w:r w:rsidR="00983E7C">
        <w:rPr>
          <w:rFonts w:ascii="Tahoma" w:hAnsi="Tahoma" w:cs="Tahoma"/>
          <w:color w:val="000000"/>
          <w:shd w:val="clear" w:color="auto" w:fill="F5FDFE"/>
        </w:rPr>
        <w:t xml:space="preserve">. </w:t>
      </w:r>
      <w:r>
        <w:rPr>
          <w:rFonts w:ascii="Tahoma" w:hAnsi="Tahoma" w:cs="Tahoma"/>
          <w:color w:val="000000"/>
          <w:sz w:val="20"/>
          <w:szCs w:val="20"/>
        </w:rPr>
        <w:t xml:space="preserve"> </w:t>
      </w:r>
      <w:r w:rsidR="00983E7C">
        <w:rPr>
          <w:rFonts w:ascii="Tahoma" w:hAnsi="Tahoma" w:cs="Tahoma"/>
          <w:color w:val="000000"/>
          <w:shd w:val="clear" w:color="auto" w:fill="F5FDFE"/>
        </w:rPr>
        <w:t>Le autorità competenti realizzano, altresì, entro il 2015 la raccolta differenziata almeno per la carta, metalli, plastica e vetro, e ove possibile, per il legno</w:t>
      </w:r>
      <w:r w:rsidR="00752BFE">
        <w:rPr>
          <w:rFonts w:ascii="Tahoma" w:hAnsi="Tahoma" w:cs="Tahoma"/>
          <w:color w:val="000000"/>
          <w:shd w:val="clear" w:color="auto" w:fill="F5FDFE"/>
        </w:rPr>
        <w:t xml:space="preserve">. </w:t>
      </w:r>
      <w:r w:rsidR="00752BFE">
        <w:rPr>
          <w:rFonts w:ascii="Tahoma" w:hAnsi="Tahoma" w:cs="Tahoma"/>
          <w:color w:val="000000"/>
          <w:sz w:val="20"/>
          <w:szCs w:val="20"/>
        </w:rPr>
        <w:t>Lo smaltimento dei rifiuti è effettuato in condizioni di sicurezza e costituisce la fase residuale della gestione dei rifiuti, previa verifica, da parte della competente autorità, della impossibilità tecnica ed economica di esperire le operazioni di recupero di cui all'articolo 181. A tal fine, la predetta verifica concerne la disponibilità di tecniche sviluppate su una scala che ne consenta l'applicazione in condizioni economicamente e tecnicamente valide nell'ambito del pertinente comparto industriale, prendendo in considerazione i costi e i vantaggi, indipendentemente dal fatto che siano o meno applicate o prodotte in ambito nazionale, purché vi si possa accedere a condizioni ragionevoli. I rifiuti da avviare allo smaltimento finale devono essere il più possibile ridotti sia in massa che in volume, potenziando la prevenzione e le attività di riutilizzo, di riciclaggio e di recupero e prevedendo, ove possibile, la priorità per quei rifiuti non recuperabili generati nell’ambito di attività di riciclaggio o di recupero. I nuovi impianti di smaltimento sono soggetti all’autorizzazione unica di smaltimento e recupero rifiuti secndo la disciplina prvista dall’art 208 TU. Tale autorizzazione ha durata pari a 10 anni ed è rinnovabile entro 180 g dalla sua scadenza previo domanda alla regione.</w:t>
      </w:r>
    </w:p>
    <w:p w:rsidR="00983E7C" w:rsidRDefault="00983E7C" w:rsidP="00017F2E">
      <w:pPr>
        <w:pStyle w:val="NormaleWeb"/>
        <w:rPr>
          <w:color w:val="000000"/>
          <w:sz w:val="27"/>
          <w:szCs w:val="27"/>
        </w:rPr>
      </w:pPr>
      <w:r>
        <w:rPr>
          <w:color w:val="000000"/>
          <w:sz w:val="27"/>
          <w:szCs w:val="27"/>
        </w:rPr>
        <w:t>I comuni hanno comptenze in ordine gestione, raccolta e trasporto dei rifiuti urbani e rifiuti assimilati. Ogni comune deve aver un proprio regolamento che disciplina la materia.</w:t>
      </w:r>
    </w:p>
    <w:p w:rsidR="00983E7C" w:rsidRDefault="00983E7C" w:rsidP="00017F2E">
      <w:pPr>
        <w:pStyle w:val="NormaleWeb"/>
        <w:rPr>
          <w:color w:val="000000"/>
          <w:sz w:val="27"/>
          <w:szCs w:val="27"/>
        </w:rPr>
      </w:pPr>
      <w:r>
        <w:rPr>
          <w:color w:val="000000"/>
          <w:sz w:val="27"/>
          <w:szCs w:val="27"/>
        </w:rPr>
        <w:t>Altra funzione è quella di esprimere il parere sull’approvazione dei progetti di bonificadei siti inquinati rilasciata dalla regione.( con possibilità di rimozione del Sindaco  e degli amministratori locali  per grave inottemperanza a tale funzione art 142 . 1 bis tuel). Rimangono ferme le competenza del Sindaco in materia di ordinanze contingibili e urgenti già precedentemente definite.</w:t>
      </w:r>
    </w:p>
    <w:p w:rsidR="00752BFE" w:rsidRDefault="00752BFE" w:rsidP="00017F2E">
      <w:pPr>
        <w:pStyle w:val="NormaleWeb"/>
        <w:rPr>
          <w:rFonts w:ascii="Tahoma" w:hAnsi="Tahoma" w:cs="Tahoma"/>
          <w:color w:val="000000"/>
          <w:shd w:val="clear" w:color="auto" w:fill="F5FDFE"/>
        </w:rPr>
      </w:pPr>
      <w:r>
        <w:rPr>
          <w:color w:val="000000"/>
          <w:sz w:val="27"/>
          <w:szCs w:val="27"/>
        </w:rPr>
        <w:t>I</w:t>
      </w:r>
      <w:r w:rsidRPr="00752BFE">
        <w:rPr>
          <w:rFonts w:ascii="Tahoma" w:hAnsi="Tahoma" w:cs="Tahoma"/>
          <w:color w:val="000000"/>
          <w:shd w:val="clear" w:color="auto" w:fill="F5FDFE"/>
        </w:rPr>
        <w:t xml:space="preserve"> </w:t>
      </w:r>
      <w:r>
        <w:rPr>
          <w:rFonts w:ascii="Tahoma" w:hAnsi="Tahoma" w:cs="Tahoma"/>
          <w:color w:val="000000"/>
          <w:shd w:val="clear" w:color="auto" w:fill="F5FDFE"/>
        </w:rPr>
        <w:t>inquinamento atmosferico: ogni modificazione dell'aria atmosferica, dovuta all'introduzione nella stessa di una o di più sostanze in quantità e con caratteristiche tali da ledere o da costituire un pericolo per la salute umana o per la qualità dell'ambiente oppure tali da ledere i beni materiali o compromettere gli usi legittimi dell'ambiente. La disciplina è suddivisa in 3 parti:</w:t>
      </w:r>
    </w:p>
    <w:p w:rsidR="00752BFE" w:rsidRDefault="00752BFE" w:rsidP="00017F2E">
      <w:pPr>
        <w:pStyle w:val="NormaleWeb"/>
        <w:rPr>
          <w:rFonts w:ascii="Tahoma" w:hAnsi="Tahoma" w:cs="Tahoma"/>
          <w:color w:val="000000"/>
          <w:shd w:val="clear" w:color="auto" w:fill="F5FDFE"/>
        </w:rPr>
      </w:pPr>
      <w:r>
        <w:rPr>
          <w:rFonts w:ascii="Tahoma" w:hAnsi="Tahoma" w:cs="Tahoma"/>
          <w:color w:val="000000"/>
          <w:shd w:val="clear" w:color="auto" w:fill="F5FDFE"/>
        </w:rPr>
        <w:t>-prevenzione e limitazione emissioni di impianti in attività (267 e ss)</w:t>
      </w:r>
    </w:p>
    <w:p w:rsidR="00752BFE" w:rsidRDefault="00752BFE" w:rsidP="00017F2E">
      <w:pPr>
        <w:pStyle w:val="NormaleWeb"/>
        <w:rPr>
          <w:rFonts w:ascii="Tahoma" w:hAnsi="Tahoma" w:cs="Tahoma"/>
          <w:color w:val="000000"/>
          <w:shd w:val="clear" w:color="auto" w:fill="F5FDFE"/>
        </w:rPr>
      </w:pPr>
      <w:r>
        <w:rPr>
          <w:rFonts w:ascii="Tahoma" w:hAnsi="Tahoma" w:cs="Tahoma"/>
          <w:color w:val="000000"/>
          <w:shd w:val="clear" w:color="auto" w:fill="F5FDFE"/>
        </w:rPr>
        <w:t>-impianti termici civili (282 ss)</w:t>
      </w:r>
    </w:p>
    <w:p w:rsidR="00CE0F51" w:rsidRDefault="00752BFE" w:rsidP="00017F2E">
      <w:pPr>
        <w:pStyle w:val="NormaleWeb"/>
        <w:rPr>
          <w:rFonts w:ascii="Tahoma" w:hAnsi="Tahoma" w:cs="Tahoma"/>
          <w:color w:val="000000"/>
          <w:shd w:val="clear" w:color="auto" w:fill="F5FDFE"/>
        </w:rPr>
      </w:pPr>
      <w:r>
        <w:rPr>
          <w:rFonts w:ascii="Tahoma" w:hAnsi="Tahoma" w:cs="Tahoma"/>
          <w:color w:val="000000"/>
          <w:shd w:val="clear" w:color="auto" w:fill="F5FDFE"/>
        </w:rPr>
        <w:t>-combustibili (291 ss)</w:t>
      </w:r>
    </w:p>
    <w:p w:rsidR="00CE0F51" w:rsidRDefault="00CE0F51" w:rsidP="00017F2E">
      <w:pPr>
        <w:pStyle w:val="NormaleWeb"/>
        <w:rPr>
          <w:rFonts w:ascii="Tahoma" w:hAnsi="Tahoma" w:cs="Tahoma"/>
          <w:color w:val="000000"/>
          <w:shd w:val="clear" w:color="auto" w:fill="F5FDFE"/>
        </w:rPr>
      </w:pPr>
      <w:r>
        <w:rPr>
          <w:rFonts w:ascii="Tahoma" w:hAnsi="Tahoma" w:cs="Tahoma"/>
          <w:color w:val="000000"/>
          <w:shd w:val="clear" w:color="auto" w:fill="F5FDFE"/>
        </w:rPr>
        <w:t>In caso di emergenza conessi all’inquinamento atmosferico, il Sindaco può modificare gli orari degli esercizi commerciali, dei pubblici esercizi e dei servizi pubblici.</w:t>
      </w:r>
    </w:p>
    <w:p w:rsidR="000E7DAC" w:rsidRDefault="00CE0F51" w:rsidP="00017F2E">
      <w:pPr>
        <w:pStyle w:val="NormaleWeb"/>
        <w:rPr>
          <w:rFonts w:ascii="Tahoma" w:hAnsi="Tahoma" w:cs="Tahoma"/>
          <w:color w:val="000000"/>
          <w:shd w:val="clear" w:color="auto" w:fill="F5FDFE"/>
        </w:rPr>
      </w:pPr>
      <w:r>
        <w:rPr>
          <w:rFonts w:ascii="Tahoma" w:hAnsi="Tahoma" w:cs="Tahoma"/>
          <w:color w:val="000000"/>
          <w:shd w:val="clear" w:color="auto" w:fill="F5FDFE"/>
        </w:rPr>
        <w:t xml:space="preserve">Ai fini della prevenzione e della limitazione dell'inquinamento atmosferico, il TU prevede  prescrizioni,  metodi di campionamento e di analisi delle emissioni ed i criteri per la </w:t>
      </w:r>
      <w:r>
        <w:rPr>
          <w:rFonts w:ascii="Tahoma" w:hAnsi="Tahoma" w:cs="Tahoma"/>
          <w:color w:val="000000"/>
          <w:shd w:val="clear" w:color="auto" w:fill="F5FDFE"/>
        </w:rPr>
        <w:lastRenderedPageBreak/>
        <w:t xml:space="preserve">valutazione della conformità dei valori misurati ai valori limite; tale disciplina  si applica agli impianti, inclusi gli impianti termici civili, ed alle attività che producono emissioni in atmosfera e stabilisce i valori di emissione . ttutti gli stabilimenti che producono emissioni devono richiedere una autorizzazione. L'autorizzazione è rilasciata con riferimento allo stabilimento. I singoli impianti e le singole attività presenti nello stabilimento non sono oggetto di distinte autorizzazioni. </w:t>
      </w:r>
    </w:p>
    <w:p w:rsidR="00CE0F51" w:rsidRDefault="00CE0F51" w:rsidP="00017F2E">
      <w:pPr>
        <w:pStyle w:val="NormaleWeb"/>
        <w:rPr>
          <w:rFonts w:ascii="Tahoma" w:hAnsi="Tahoma" w:cs="Tahoma"/>
          <w:color w:val="000000"/>
          <w:shd w:val="clear" w:color="auto" w:fill="F5FDFE"/>
        </w:rPr>
      </w:pPr>
      <w:r>
        <w:rPr>
          <w:rFonts w:ascii="Tahoma" w:hAnsi="Tahoma" w:cs="Tahoma"/>
          <w:color w:val="000000"/>
          <w:shd w:val="clear" w:color="auto" w:fill="F5FDFE"/>
        </w:rPr>
        <w:t>Per il rilascio dell'autorizzazione all'installazione di stabilimenti nuovi, l'autorità competente indice, entro trenta giorni dalla ricezione della richiesta, una conferenza di servizi, nel corso della quale si procede anche, in via istruttoria, ad un contestuale esame degli interessi coinvolti in altri procedimenti amministrativi. L'autorizzazione rilasciata ai sensi del presente articolo ha una durata di quindici anni. La domanda di rinnovo deve essere presentata almeno un anno prima della scadenza. Nelle more dell'adozione del provvedimento sulla domanda di rinnovo dell'autorizzazione rilasciata, l'esercizio dell'impianto può continuare anche dopo la scadenza dell'autorizzazione in caso di mancata pronuncia in termini del Ministro dell'ambiente e della tutela del territorio e del mare a cui sia stato richiesto di provvedere </w:t>
      </w:r>
    </w:p>
    <w:p w:rsidR="00114061" w:rsidRDefault="00114061" w:rsidP="00017F2E">
      <w:pPr>
        <w:pStyle w:val="NormaleWeb"/>
        <w:rPr>
          <w:color w:val="000000"/>
          <w:sz w:val="27"/>
          <w:szCs w:val="27"/>
        </w:rPr>
      </w:pPr>
      <w:r>
        <w:rPr>
          <w:color w:val="000000"/>
          <w:sz w:val="27"/>
          <w:szCs w:val="27"/>
        </w:rPr>
        <w:t>L’inquinamento del traffico veicolare urbano è disciplinato dal CDS, il quale prevede la disciplina in ordine alla caratteristiche costruttive e funzionali dei veicoli nuovi e già in circolazione.(art 71-79 cds). Il sindaco per risolvere l’emergenza smog può prevedere limitazioni alla circolazione . importantissimi sonoi piani del traffico della viabilità urbana : devono esser orsservati i limiti previsti dal dlgs 155/10, che disciplina inoltre le soglie dall’allarme.</w:t>
      </w:r>
    </w:p>
    <w:p w:rsidR="00114061" w:rsidRDefault="00114061" w:rsidP="00017F2E">
      <w:pPr>
        <w:pStyle w:val="NormaleWeb"/>
        <w:rPr>
          <w:color w:val="000000"/>
          <w:sz w:val="27"/>
          <w:szCs w:val="27"/>
        </w:rPr>
      </w:pPr>
      <w:r>
        <w:rPr>
          <w:color w:val="000000"/>
          <w:sz w:val="27"/>
          <w:szCs w:val="27"/>
        </w:rPr>
        <w:t>INQUINAMENTO ACUSTICO</w:t>
      </w:r>
    </w:p>
    <w:p w:rsidR="00017F2E" w:rsidRDefault="00114061" w:rsidP="00A71295">
      <w:pPr>
        <w:pStyle w:val="NormaleWeb"/>
        <w:rPr>
          <w:color w:val="000000"/>
          <w:sz w:val="27"/>
          <w:szCs w:val="27"/>
        </w:rPr>
      </w:pPr>
      <w:r>
        <w:rPr>
          <w:color w:val="000000"/>
          <w:sz w:val="27"/>
          <w:szCs w:val="27"/>
        </w:rPr>
        <w:t>la legge 447 del 1995</w:t>
      </w:r>
      <w:r w:rsidR="00A71295">
        <w:rPr>
          <w:color w:val="000000"/>
          <w:sz w:val="27"/>
          <w:szCs w:val="27"/>
        </w:rPr>
        <w:t xml:space="preserve"> e il dlgs 194/2005 </w:t>
      </w:r>
      <w:r>
        <w:rPr>
          <w:color w:val="000000"/>
          <w:sz w:val="27"/>
          <w:szCs w:val="27"/>
        </w:rPr>
        <w:t xml:space="preserve"> disciplina la materia dell’inquinamento acustico</w:t>
      </w:r>
      <w:r w:rsidR="00A71295">
        <w:rPr>
          <w:color w:val="000000"/>
          <w:sz w:val="27"/>
          <w:szCs w:val="27"/>
        </w:rPr>
        <w:t xml:space="preserve">  attraverso una mappatura e piani di azione volti ad evitare o ridurre il rumore.</w:t>
      </w:r>
    </w:p>
    <w:p w:rsidR="00A71295" w:rsidRPr="00AE296A" w:rsidRDefault="00A71295" w:rsidP="00A71295">
      <w:pPr>
        <w:pStyle w:val="NormaleWeb"/>
        <w:rPr>
          <w:rFonts w:ascii="Arial" w:hAnsi="Arial" w:cs="Arial"/>
          <w:color w:val="000000"/>
        </w:rPr>
      </w:pPr>
      <w:r>
        <w:rPr>
          <w:color w:val="000000"/>
          <w:sz w:val="27"/>
          <w:szCs w:val="27"/>
        </w:rPr>
        <w:t xml:space="preserve">Spetta ai comuni l’approvazione del piano di risanamento acustico, laddove si verifica il superamento del livello di attenzione, che contiene gli interventi prioritari da realizzare in caso di urgenza. Rimangono fermi i poteri del Sindaco di emanare ordinnze contingibili e urgenti ai fini di contenere o combattere le emissioni sonore. Il terriotorio comunale è suddiviso in classi di destinazione d’uso  (6 classi ai sensi del DPCM 14 novembre 1997)   </w:t>
      </w:r>
    </w:p>
    <w:p w:rsidR="00FD1C5C" w:rsidRPr="00AE296A" w:rsidRDefault="00FD1C5C" w:rsidP="00FD1C5C">
      <w:pPr>
        <w:ind w:left="60"/>
        <w:rPr>
          <w:rFonts w:ascii="Arial" w:hAnsi="Arial" w:cs="Arial"/>
          <w:sz w:val="24"/>
          <w:szCs w:val="24"/>
        </w:rPr>
      </w:pPr>
    </w:p>
    <w:sectPr w:rsidR="00FD1C5C" w:rsidRPr="00AE296A" w:rsidSect="00A26B75">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B73F5B"/>
    <w:multiLevelType w:val="multilevel"/>
    <w:tmpl w:val="6EDA3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5CF13B3"/>
    <w:multiLevelType w:val="hybridMultilevel"/>
    <w:tmpl w:val="D6E2496A"/>
    <w:lvl w:ilvl="0" w:tplc="04100001">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2">
    <w:nsid w:val="08862B05"/>
    <w:multiLevelType w:val="multilevel"/>
    <w:tmpl w:val="141260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C333FAC"/>
    <w:multiLevelType w:val="multilevel"/>
    <w:tmpl w:val="F8D0020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nsid w:val="119A68A6"/>
    <w:multiLevelType w:val="multilevel"/>
    <w:tmpl w:val="F7FAC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212D6FFF"/>
    <w:multiLevelType w:val="multilevel"/>
    <w:tmpl w:val="9418E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22DA35DA"/>
    <w:multiLevelType w:val="multilevel"/>
    <w:tmpl w:val="3368A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6170CE0"/>
    <w:multiLevelType w:val="multilevel"/>
    <w:tmpl w:val="CC741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E9706C8"/>
    <w:multiLevelType w:val="multilevel"/>
    <w:tmpl w:val="A5E85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5A20850"/>
    <w:multiLevelType w:val="multilevel"/>
    <w:tmpl w:val="07D03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4F4D0A9A"/>
    <w:multiLevelType w:val="multilevel"/>
    <w:tmpl w:val="DBBA0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59F97F7F"/>
    <w:multiLevelType w:val="multilevel"/>
    <w:tmpl w:val="1FEAB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5D1D7042"/>
    <w:multiLevelType w:val="multilevel"/>
    <w:tmpl w:val="EAFEA04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nsid w:val="7BBB17D1"/>
    <w:multiLevelType w:val="multilevel"/>
    <w:tmpl w:val="BF0E1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0"/>
  </w:num>
  <w:num w:numId="3">
    <w:abstractNumId w:val="2"/>
  </w:num>
  <w:num w:numId="4">
    <w:abstractNumId w:val="8"/>
  </w:num>
  <w:num w:numId="5">
    <w:abstractNumId w:val="6"/>
  </w:num>
  <w:num w:numId="6">
    <w:abstractNumId w:val="4"/>
  </w:num>
  <w:num w:numId="7">
    <w:abstractNumId w:val="5"/>
  </w:num>
  <w:num w:numId="8">
    <w:abstractNumId w:val="11"/>
  </w:num>
  <w:num w:numId="9">
    <w:abstractNumId w:val="10"/>
  </w:num>
  <w:num w:numId="10">
    <w:abstractNumId w:val="9"/>
  </w:num>
  <w:num w:numId="11">
    <w:abstractNumId w:val="1"/>
  </w:num>
  <w:num w:numId="12">
    <w:abstractNumId w:val="3"/>
  </w:num>
  <w:num w:numId="13">
    <w:abstractNumId w:val="12"/>
  </w:num>
  <w:num w:numId="14">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defaultTabStop w:val="708"/>
  <w:hyphenationZone w:val="283"/>
  <w:characterSpacingControl w:val="doNotCompress"/>
  <w:compat/>
  <w:rsids>
    <w:rsidRoot w:val="00C5532B"/>
    <w:rsid w:val="00017F2E"/>
    <w:rsid w:val="000D1951"/>
    <w:rsid w:val="000E7DAC"/>
    <w:rsid w:val="00114061"/>
    <w:rsid w:val="0015159A"/>
    <w:rsid w:val="001E0424"/>
    <w:rsid w:val="003907F0"/>
    <w:rsid w:val="003F08E8"/>
    <w:rsid w:val="004258BF"/>
    <w:rsid w:val="006A0D60"/>
    <w:rsid w:val="00752BFE"/>
    <w:rsid w:val="008C1FA6"/>
    <w:rsid w:val="00921765"/>
    <w:rsid w:val="00955272"/>
    <w:rsid w:val="00983E7C"/>
    <w:rsid w:val="00A26B75"/>
    <w:rsid w:val="00A71295"/>
    <w:rsid w:val="00AE296A"/>
    <w:rsid w:val="00C5532B"/>
    <w:rsid w:val="00CE0F51"/>
    <w:rsid w:val="00DE4CC7"/>
    <w:rsid w:val="00FD1C5C"/>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A26B75"/>
  </w:style>
  <w:style w:type="paragraph" w:styleId="Titolo2">
    <w:name w:val="heading 2"/>
    <w:basedOn w:val="Normale"/>
    <w:next w:val="Normale"/>
    <w:link w:val="Titolo2Carattere"/>
    <w:uiPriority w:val="9"/>
    <w:semiHidden/>
    <w:unhideWhenUsed/>
    <w:qFormat/>
    <w:rsid w:val="00C5532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link w:val="Titolo3Carattere"/>
    <w:uiPriority w:val="9"/>
    <w:qFormat/>
    <w:rsid w:val="00C5532B"/>
    <w:pPr>
      <w:spacing w:before="100" w:beforeAutospacing="1" w:after="100" w:afterAutospacing="1" w:line="240" w:lineRule="auto"/>
      <w:outlineLvl w:val="2"/>
    </w:pPr>
    <w:rPr>
      <w:rFonts w:ascii="Times New Roman" w:eastAsia="Times New Roman" w:hAnsi="Times New Roman" w:cs="Times New Roman"/>
      <w:b/>
      <w:bCs/>
      <w:sz w:val="27"/>
      <w:szCs w:val="27"/>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basedOn w:val="Carpredefinitoparagrafo"/>
    <w:link w:val="Titolo3"/>
    <w:uiPriority w:val="9"/>
    <w:rsid w:val="00C5532B"/>
    <w:rPr>
      <w:rFonts w:ascii="Times New Roman" w:eastAsia="Times New Roman" w:hAnsi="Times New Roman" w:cs="Times New Roman"/>
      <w:b/>
      <w:bCs/>
      <w:sz w:val="27"/>
      <w:szCs w:val="27"/>
      <w:lang w:eastAsia="it-IT"/>
    </w:rPr>
  </w:style>
  <w:style w:type="paragraph" w:styleId="NormaleWeb">
    <w:name w:val="Normal (Web)"/>
    <w:basedOn w:val="Normale"/>
    <w:uiPriority w:val="99"/>
    <w:unhideWhenUsed/>
    <w:rsid w:val="00C5532B"/>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C5532B"/>
    <w:rPr>
      <w:b/>
      <w:bCs/>
    </w:rPr>
  </w:style>
  <w:style w:type="character" w:styleId="Enfasicorsivo">
    <w:name w:val="Emphasis"/>
    <w:basedOn w:val="Carpredefinitoparagrafo"/>
    <w:uiPriority w:val="20"/>
    <w:qFormat/>
    <w:rsid w:val="00C5532B"/>
    <w:rPr>
      <w:i/>
      <w:iCs/>
    </w:rPr>
  </w:style>
  <w:style w:type="character" w:customStyle="1" w:styleId="Titolo2Carattere">
    <w:name w:val="Titolo 2 Carattere"/>
    <w:basedOn w:val="Carpredefinitoparagrafo"/>
    <w:link w:val="Titolo2"/>
    <w:uiPriority w:val="9"/>
    <w:semiHidden/>
    <w:rsid w:val="00C5532B"/>
    <w:rPr>
      <w:rFonts w:asciiTheme="majorHAnsi" w:eastAsiaTheme="majorEastAsia" w:hAnsiTheme="majorHAnsi" w:cstheme="majorBidi"/>
      <w:b/>
      <w:bCs/>
      <w:color w:val="4F81BD" w:themeColor="accent1"/>
      <w:sz w:val="26"/>
      <w:szCs w:val="26"/>
    </w:rPr>
  </w:style>
  <w:style w:type="character" w:styleId="Collegamentoipertestuale">
    <w:name w:val="Hyperlink"/>
    <w:basedOn w:val="Carpredefinitoparagrafo"/>
    <w:uiPriority w:val="99"/>
    <w:semiHidden/>
    <w:unhideWhenUsed/>
    <w:rsid w:val="00C5532B"/>
    <w:rPr>
      <w:color w:val="0000FF"/>
      <w:u w:val="single"/>
    </w:rPr>
  </w:style>
  <w:style w:type="paragraph" w:styleId="Testofumetto">
    <w:name w:val="Balloon Text"/>
    <w:basedOn w:val="Normale"/>
    <w:link w:val="TestofumettoCarattere"/>
    <w:uiPriority w:val="99"/>
    <w:semiHidden/>
    <w:unhideWhenUsed/>
    <w:rsid w:val="00C5532B"/>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5532B"/>
    <w:rPr>
      <w:rFonts w:ascii="Tahoma" w:hAnsi="Tahoma" w:cs="Tahoma"/>
      <w:sz w:val="16"/>
      <w:szCs w:val="16"/>
    </w:rPr>
  </w:style>
  <w:style w:type="paragraph" w:styleId="Paragrafoelenco">
    <w:name w:val="List Paragraph"/>
    <w:basedOn w:val="Normale"/>
    <w:uiPriority w:val="34"/>
    <w:qFormat/>
    <w:rsid w:val="00FD1C5C"/>
    <w:pPr>
      <w:ind w:left="720"/>
      <w:contextualSpacing/>
    </w:pPr>
  </w:style>
</w:styles>
</file>

<file path=word/webSettings.xml><?xml version="1.0" encoding="utf-8"?>
<w:webSettings xmlns:r="http://schemas.openxmlformats.org/officeDocument/2006/relationships" xmlns:w="http://schemas.openxmlformats.org/wordprocessingml/2006/main">
  <w:divs>
    <w:div w:id="115948199">
      <w:bodyDiv w:val="1"/>
      <w:marLeft w:val="0"/>
      <w:marRight w:val="0"/>
      <w:marTop w:val="0"/>
      <w:marBottom w:val="0"/>
      <w:divBdr>
        <w:top w:val="none" w:sz="0" w:space="0" w:color="auto"/>
        <w:left w:val="none" w:sz="0" w:space="0" w:color="auto"/>
        <w:bottom w:val="none" w:sz="0" w:space="0" w:color="auto"/>
        <w:right w:val="none" w:sz="0" w:space="0" w:color="auto"/>
      </w:divBdr>
    </w:div>
    <w:div w:id="121777753">
      <w:bodyDiv w:val="1"/>
      <w:marLeft w:val="0"/>
      <w:marRight w:val="0"/>
      <w:marTop w:val="0"/>
      <w:marBottom w:val="0"/>
      <w:divBdr>
        <w:top w:val="none" w:sz="0" w:space="0" w:color="auto"/>
        <w:left w:val="none" w:sz="0" w:space="0" w:color="auto"/>
        <w:bottom w:val="none" w:sz="0" w:space="0" w:color="auto"/>
        <w:right w:val="none" w:sz="0" w:space="0" w:color="auto"/>
      </w:divBdr>
    </w:div>
    <w:div w:id="234557145">
      <w:bodyDiv w:val="1"/>
      <w:marLeft w:val="0"/>
      <w:marRight w:val="0"/>
      <w:marTop w:val="0"/>
      <w:marBottom w:val="0"/>
      <w:divBdr>
        <w:top w:val="none" w:sz="0" w:space="0" w:color="auto"/>
        <w:left w:val="none" w:sz="0" w:space="0" w:color="auto"/>
        <w:bottom w:val="none" w:sz="0" w:space="0" w:color="auto"/>
        <w:right w:val="none" w:sz="0" w:space="0" w:color="auto"/>
      </w:divBdr>
    </w:div>
    <w:div w:id="299696853">
      <w:bodyDiv w:val="1"/>
      <w:marLeft w:val="0"/>
      <w:marRight w:val="0"/>
      <w:marTop w:val="0"/>
      <w:marBottom w:val="0"/>
      <w:divBdr>
        <w:top w:val="none" w:sz="0" w:space="0" w:color="auto"/>
        <w:left w:val="none" w:sz="0" w:space="0" w:color="auto"/>
        <w:bottom w:val="none" w:sz="0" w:space="0" w:color="auto"/>
        <w:right w:val="none" w:sz="0" w:space="0" w:color="auto"/>
      </w:divBdr>
    </w:div>
    <w:div w:id="583144194">
      <w:bodyDiv w:val="1"/>
      <w:marLeft w:val="0"/>
      <w:marRight w:val="0"/>
      <w:marTop w:val="0"/>
      <w:marBottom w:val="0"/>
      <w:divBdr>
        <w:top w:val="none" w:sz="0" w:space="0" w:color="auto"/>
        <w:left w:val="none" w:sz="0" w:space="0" w:color="auto"/>
        <w:bottom w:val="none" w:sz="0" w:space="0" w:color="auto"/>
        <w:right w:val="none" w:sz="0" w:space="0" w:color="auto"/>
      </w:divBdr>
      <w:divsChild>
        <w:div w:id="10113785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19995168">
      <w:bodyDiv w:val="1"/>
      <w:marLeft w:val="0"/>
      <w:marRight w:val="0"/>
      <w:marTop w:val="0"/>
      <w:marBottom w:val="0"/>
      <w:divBdr>
        <w:top w:val="none" w:sz="0" w:space="0" w:color="auto"/>
        <w:left w:val="none" w:sz="0" w:space="0" w:color="auto"/>
        <w:bottom w:val="none" w:sz="0" w:space="0" w:color="auto"/>
        <w:right w:val="none" w:sz="0" w:space="0" w:color="auto"/>
      </w:divBdr>
    </w:div>
    <w:div w:id="638269376">
      <w:bodyDiv w:val="1"/>
      <w:marLeft w:val="0"/>
      <w:marRight w:val="0"/>
      <w:marTop w:val="0"/>
      <w:marBottom w:val="0"/>
      <w:divBdr>
        <w:top w:val="none" w:sz="0" w:space="0" w:color="auto"/>
        <w:left w:val="none" w:sz="0" w:space="0" w:color="auto"/>
        <w:bottom w:val="none" w:sz="0" w:space="0" w:color="auto"/>
        <w:right w:val="none" w:sz="0" w:space="0" w:color="auto"/>
      </w:divBdr>
      <w:divsChild>
        <w:div w:id="2688525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22020702">
      <w:bodyDiv w:val="1"/>
      <w:marLeft w:val="0"/>
      <w:marRight w:val="0"/>
      <w:marTop w:val="0"/>
      <w:marBottom w:val="0"/>
      <w:divBdr>
        <w:top w:val="none" w:sz="0" w:space="0" w:color="auto"/>
        <w:left w:val="none" w:sz="0" w:space="0" w:color="auto"/>
        <w:bottom w:val="none" w:sz="0" w:space="0" w:color="auto"/>
        <w:right w:val="none" w:sz="0" w:space="0" w:color="auto"/>
      </w:divBdr>
    </w:div>
    <w:div w:id="726876749">
      <w:bodyDiv w:val="1"/>
      <w:marLeft w:val="0"/>
      <w:marRight w:val="0"/>
      <w:marTop w:val="0"/>
      <w:marBottom w:val="0"/>
      <w:divBdr>
        <w:top w:val="none" w:sz="0" w:space="0" w:color="auto"/>
        <w:left w:val="none" w:sz="0" w:space="0" w:color="auto"/>
        <w:bottom w:val="none" w:sz="0" w:space="0" w:color="auto"/>
        <w:right w:val="none" w:sz="0" w:space="0" w:color="auto"/>
      </w:divBdr>
      <w:divsChild>
        <w:div w:id="834536063">
          <w:marLeft w:val="0"/>
          <w:marRight w:val="0"/>
          <w:marTop w:val="0"/>
          <w:marBottom w:val="0"/>
          <w:divBdr>
            <w:top w:val="none" w:sz="0" w:space="0" w:color="auto"/>
            <w:left w:val="none" w:sz="0" w:space="0" w:color="auto"/>
            <w:bottom w:val="none" w:sz="0" w:space="0" w:color="auto"/>
            <w:right w:val="none" w:sz="0" w:space="0" w:color="auto"/>
          </w:divBdr>
        </w:div>
        <w:div w:id="1013529109">
          <w:marLeft w:val="0"/>
          <w:marRight w:val="0"/>
          <w:marTop w:val="0"/>
          <w:marBottom w:val="0"/>
          <w:divBdr>
            <w:top w:val="none" w:sz="0" w:space="0" w:color="auto"/>
            <w:left w:val="none" w:sz="0" w:space="0" w:color="auto"/>
            <w:bottom w:val="none" w:sz="0" w:space="0" w:color="auto"/>
            <w:right w:val="none" w:sz="0" w:space="0" w:color="auto"/>
          </w:divBdr>
        </w:div>
        <w:div w:id="989944529">
          <w:marLeft w:val="0"/>
          <w:marRight w:val="0"/>
          <w:marTop w:val="0"/>
          <w:marBottom w:val="0"/>
          <w:divBdr>
            <w:top w:val="none" w:sz="0" w:space="0" w:color="auto"/>
            <w:left w:val="none" w:sz="0" w:space="0" w:color="auto"/>
            <w:bottom w:val="none" w:sz="0" w:space="0" w:color="auto"/>
            <w:right w:val="none" w:sz="0" w:space="0" w:color="auto"/>
          </w:divBdr>
        </w:div>
      </w:divsChild>
    </w:div>
    <w:div w:id="812598003">
      <w:bodyDiv w:val="1"/>
      <w:marLeft w:val="0"/>
      <w:marRight w:val="0"/>
      <w:marTop w:val="0"/>
      <w:marBottom w:val="0"/>
      <w:divBdr>
        <w:top w:val="none" w:sz="0" w:space="0" w:color="auto"/>
        <w:left w:val="none" w:sz="0" w:space="0" w:color="auto"/>
        <w:bottom w:val="none" w:sz="0" w:space="0" w:color="auto"/>
        <w:right w:val="none" w:sz="0" w:space="0" w:color="auto"/>
      </w:divBdr>
      <w:divsChild>
        <w:div w:id="13763437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2555687">
      <w:bodyDiv w:val="1"/>
      <w:marLeft w:val="0"/>
      <w:marRight w:val="0"/>
      <w:marTop w:val="0"/>
      <w:marBottom w:val="0"/>
      <w:divBdr>
        <w:top w:val="none" w:sz="0" w:space="0" w:color="auto"/>
        <w:left w:val="none" w:sz="0" w:space="0" w:color="auto"/>
        <w:bottom w:val="none" w:sz="0" w:space="0" w:color="auto"/>
        <w:right w:val="none" w:sz="0" w:space="0" w:color="auto"/>
      </w:divBdr>
    </w:div>
    <w:div w:id="1475367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camera.it/parlam/leggi/deleghe/06152dl3.htm"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185</TotalTime>
  <Pages>1</Pages>
  <Words>10631</Words>
  <Characters>60603</Characters>
  <Application>Microsoft Office Word</Application>
  <DocSecurity>0</DocSecurity>
  <Lines>505</Lines>
  <Paragraphs>142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71092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9</cp:revision>
  <dcterms:created xsi:type="dcterms:W3CDTF">2019-04-24T11:49:00Z</dcterms:created>
  <dcterms:modified xsi:type="dcterms:W3CDTF">2019-04-29T19:50:00Z</dcterms:modified>
</cp:coreProperties>
</file>