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5386" w:rsidRPr="005C66DC" w:rsidRDefault="006F5386" w:rsidP="00945B05">
      <w:pPr>
        <w:spacing w:line="240" w:lineRule="auto"/>
        <w:rPr>
          <w:rFonts w:ascii="Arial" w:hAnsi="Arial" w:cs="Arial"/>
        </w:rPr>
      </w:pPr>
    </w:p>
    <w:p w:rsidR="00945B05" w:rsidRPr="005C66DC" w:rsidRDefault="00945B05" w:rsidP="00945B05">
      <w:pPr>
        <w:spacing w:line="240" w:lineRule="auto"/>
        <w:rPr>
          <w:rFonts w:ascii="Arial" w:hAnsi="Arial" w:cs="Arial"/>
        </w:rPr>
      </w:pPr>
    </w:p>
    <w:p w:rsidR="00945B05" w:rsidRPr="005C66DC" w:rsidRDefault="00945B05" w:rsidP="00945B05">
      <w:pPr>
        <w:spacing w:line="240" w:lineRule="auto"/>
        <w:rPr>
          <w:rFonts w:ascii="Arial" w:hAnsi="Arial" w:cs="Arial"/>
        </w:rPr>
      </w:pPr>
    </w:p>
    <w:p w:rsidR="00945B05" w:rsidRPr="005C66DC" w:rsidRDefault="00945B05" w:rsidP="00945B05">
      <w:pPr>
        <w:spacing w:line="240" w:lineRule="auto"/>
        <w:rPr>
          <w:rFonts w:ascii="Arial" w:hAnsi="Arial" w:cs="Arial"/>
        </w:rPr>
      </w:pPr>
    </w:p>
    <w:p w:rsidR="00945B05" w:rsidRPr="005C66DC" w:rsidRDefault="00945B05" w:rsidP="00945B05">
      <w:pPr>
        <w:spacing w:line="240" w:lineRule="auto"/>
        <w:rPr>
          <w:rFonts w:ascii="Arial" w:hAnsi="Arial" w:cs="Arial"/>
        </w:rPr>
      </w:pPr>
    </w:p>
    <w:p w:rsidR="00945B05" w:rsidRPr="005C66DC" w:rsidRDefault="00945B05" w:rsidP="00945B05">
      <w:pPr>
        <w:spacing w:line="240" w:lineRule="auto"/>
        <w:rPr>
          <w:rFonts w:ascii="Arial" w:hAnsi="Arial" w:cs="Arial"/>
        </w:rPr>
      </w:pPr>
    </w:p>
    <w:p w:rsidR="00945B05" w:rsidRPr="005C66DC" w:rsidRDefault="00945B05" w:rsidP="00945B05">
      <w:pPr>
        <w:spacing w:line="240" w:lineRule="auto"/>
        <w:rPr>
          <w:rFonts w:ascii="Arial" w:hAnsi="Arial" w:cs="Arial"/>
        </w:rPr>
      </w:pPr>
    </w:p>
    <w:p w:rsidR="00945B05" w:rsidRPr="005C66DC" w:rsidRDefault="00945B05" w:rsidP="00945B05">
      <w:pPr>
        <w:spacing w:line="240" w:lineRule="auto"/>
        <w:rPr>
          <w:rFonts w:ascii="Arial" w:hAnsi="Arial" w:cs="Arial"/>
        </w:rPr>
      </w:pPr>
    </w:p>
    <w:p w:rsidR="00945B05" w:rsidRPr="005C66DC" w:rsidRDefault="00945B05" w:rsidP="00945B05">
      <w:pPr>
        <w:spacing w:line="240" w:lineRule="auto"/>
        <w:rPr>
          <w:rFonts w:ascii="Arial" w:hAnsi="Arial" w:cs="Arial"/>
        </w:rPr>
      </w:pPr>
    </w:p>
    <w:p w:rsidR="00945B05" w:rsidRPr="005C66DC" w:rsidRDefault="00945B05" w:rsidP="00945B05">
      <w:pPr>
        <w:spacing w:line="240" w:lineRule="auto"/>
        <w:rPr>
          <w:rFonts w:ascii="Arial" w:hAnsi="Arial" w:cs="Arial"/>
        </w:rPr>
      </w:pPr>
    </w:p>
    <w:p w:rsidR="00945B05" w:rsidRPr="00770AB7" w:rsidRDefault="00945B05" w:rsidP="00945B05">
      <w:pPr>
        <w:spacing w:line="240" w:lineRule="auto"/>
        <w:jc w:val="center"/>
        <w:rPr>
          <w:rFonts w:ascii="AcmeFont" w:hAnsi="AcmeFont" w:cs="Arial"/>
          <w:sz w:val="96"/>
          <w:szCs w:val="96"/>
        </w:rPr>
      </w:pPr>
      <w:bookmarkStart w:id="0" w:name="_inizio"/>
      <w:r w:rsidRPr="00770AB7">
        <w:rPr>
          <w:rFonts w:ascii="AcmeFont" w:hAnsi="AcmeFont" w:cs="Arial"/>
          <w:b/>
          <w:bCs/>
          <w:color w:val="000000"/>
          <w:sz w:val="96"/>
          <w:szCs w:val="96"/>
          <w:shd w:val="clear" w:color="auto" w:fill="F5FDFE"/>
        </w:rPr>
        <w:t>Decreto legislativo 18 aprile 2016, n. 50</w:t>
      </w:r>
      <w:bookmarkEnd w:id="0"/>
      <w:r w:rsidRPr="00770AB7">
        <w:rPr>
          <w:rFonts w:ascii="AcmeFont" w:hAnsi="AcmeFont" w:cs="Arial"/>
          <w:b/>
          <w:bCs/>
          <w:strike/>
          <w:color w:val="000000"/>
          <w:sz w:val="96"/>
          <w:szCs w:val="96"/>
          <w:shd w:val="clear" w:color="auto" w:fill="F5FDFE"/>
        </w:rPr>
        <w:br/>
      </w:r>
      <w:r w:rsidRPr="00770AB7">
        <w:rPr>
          <w:rFonts w:ascii="AcmeFont" w:hAnsi="AcmeFont" w:cs="Arial"/>
          <w:b/>
          <w:bCs/>
          <w:color w:val="000000"/>
          <w:sz w:val="96"/>
          <w:szCs w:val="96"/>
          <w:shd w:val="clear" w:color="auto" w:fill="F5FDFE"/>
        </w:rPr>
        <w:t>Codice dei contratti pubblici</w:t>
      </w:r>
    </w:p>
    <w:p w:rsidR="00945B05" w:rsidRPr="005C66DC" w:rsidRDefault="00945B05" w:rsidP="00945B05">
      <w:pPr>
        <w:spacing w:line="240" w:lineRule="auto"/>
        <w:rPr>
          <w:rFonts w:ascii="Arial" w:hAnsi="Arial" w:cs="Arial"/>
        </w:rPr>
      </w:pPr>
    </w:p>
    <w:p w:rsidR="00945B05" w:rsidRPr="005C66DC" w:rsidRDefault="00945B05" w:rsidP="00945B05">
      <w:pPr>
        <w:spacing w:line="240" w:lineRule="auto"/>
        <w:rPr>
          <w:rFonts w:ascii="Arial" w:hAnsi="Arial" w:cs="Arial"/>
        </w:rPr>
      </w:pPr>
    </w:p>
    <w:p w:rsidR="00945B05" w:rsidRPr="005C66DC" w:rsidRDefault="00945B05" w:rsidP="00945B05">
      <w:pPr>
        <w:spacing w:line="240" w:lineRule="auto"/>
        <w:rPr>
          <w:rFonts w:ascii="Arial" w:hAnsi="Arial" w:cs="Arial"/>
        </w:rPr>
      </w:pPr>
    </w:p>
    <w:p w:rsidR="00945B05" w:rsidRPr="005C66DC" w:rsidRDefault="00945B05" w:rsidP="00945B05">
      <w:pPr>
        <w:spacing w:line="240" w:lineRule="auto"/>
        <w:rPr>
          <w:rFonts w:ascii="Arial" w:hAnsi="Arial" w:cs="Arial"/>
        </w:rPr>
      </w:pPr>
    </w:p>
    <w:p w:rsidR="00945B05" w:rsidRPr="005C66DC" w:rsidRDefault="00945B05" w:rsidP="00945B05">
      <w:pPr>
        <w:spacing w:line="240" w:lineRule="auto"/>
        <w:rPr>
          <w:rFonts w:ascii="Arial" w:hAnsi="Arial" w:cs="Arial"/>
        </w:rPr>
      </w:pPr>
    </w:p>
    <w:p w:rsidR="00945B05" w:rsidRPr="005C66DC" w:rsidRDefault="00945B05" w:rsidP="00945B05">
      <w:pPr>
        <w:spacing w:line="240" w:lineRule="auto"/>
        <w:rPr>
          <w:rFonts w:ascii="Arial" w:hAnsi="Arial" w:cs="Arial"/>
        </w:rPr>
      </w:pPr>
    </w:p>
    <w:p w:rsidR="00945B05" w:rsidRPr="005C66DC" w:rsidRDefault="00945B05" w:rsidP="00945B05">
      <w:pPr>
        <w:spacing w:line="240" w:lineRule="auto"/>
        <w:rPr>
          <w:rFonts w:ascii="Arial" w:hAnsi="Arial" w:cs="Arial"/>
        </w:rPr>
      </w:pPr>
    </w:p>
    <w:p w:rsidR="00945B05" w:rsidRPr="005C66DC" w:rsidRDefault="00945B05" w:rsidP="00945B05">
      <w:pPr>
        <w:spacing w:line="240" w:lineRule="auto"/>
        <w:rPr>
          <w:rFonts w:ascii="Arial" w:hAnsi="Arial" w:cs="Arial"/>
        </w:rPr>
      </w:pPr>
    </w:p>
    <w:p w:rsidR="00945B05" w:rsidRPr="005C66DC" w:rsidRDefault="00945B05" w:rsidP="00945B05">
      <w:pPr>
        <w:spacing w:line="240" w:lineRule="auto"/>
        <w:rPr>
          <w:rFonts w:ascii="Arial" w:hAnsi="Arial" w:cs="Arial"/>
        </w:rPr>
      </w:pPr>
    </w:p>
    <w:p w:rsidR="00945B05" w:rsidRPr="005C66DC" w:rsidRDefault="00945B05" w:rsidP="00945B05">
      <w:pPr>
        <w:spacing w:line="240" w:lineRule="auto"/>
        <w:rPr>
          <w:rFonts w:ascii="Arial" w:hAnsi="Arial" w:cs="Arial"/>
        </w:rPr>
      </w:pPr>
    </w:p>
    <w:p w:rsidR="00945B05" w:rsidRPr="005C66DC" w:rsidRDefault="00945B05" w:rsidP="00945B05">
      <w:pPr>
        <w:spacing w:line="240" w:lineRule="auto"/>
        <w:rPr>
          <w:rFonts w:ascii="Arial" w:hAnsi="Arial" w:cs="Arial"/>
        </w:rPr>
      </w:pPr>
    </w:p>
    <w:p w:rsidR="00945B05" w:rsidRPr="005C66DC" w:rsidRDefault="00945B05" w:rsidP="00945B05">
      <w:pPr>
        <w:spacing w:line="240" w:lineRule="auto"/>
        <w:rPr>
          <w:rFonts w:ascii="Arial" w:hAnsi="Arial" w:cs="Arial"/>
        </w:rPr>
      </w:pPr>
    </w:p>
    <w:p w:rsidR="006F5386" w:rsidRPr="005C66DC" w:rsidRDefault="006F5386" w:rsidP="00945B05">
      <w:pPr>
        <w:spacing w:line="240" w:lineRule="auto"/>
        <w:rPr>
          <w:rFonts w:ascii="Arial" w:hAnsi="Arial" w:cs="Arial"/>
        </w:rPr>
      </w:pPr>
      <w:r w:rsidRPr="005C66DC">
        <w:rPr>
          <w:rFonts w:ascii="Arial" w:hAnsi="Arial" w:cs="Arial"/>
        </w:rPr>
        <w:t>PRINCIPI GENERALI DELL’ATTIVITA’ CONTRATTUALE</w:t>
      </w:r>
    </w:p>
    <w:p w:rsidR="006F5386" w:rsidRPr="005C66DC" w:rsidRDefault="006F5386" w:rsidP="00945B05">
      <w:pPr>
        <w:spacing w:line="240" w:lineRule="auto"/>
        <w:rPr>
          <w:rFonts w:ascii="Arial" w:hAnsi="Arial" w:cs="Arial"/>
        </w:rPr>
      </w:pPr>
      <w:r w:rsidRPr="005C66DC">
        <w:rPr>
          <w:rFonts w:ascii="Arial" w:hAnsi="Arial" w:cs="Arial"/>
        </w:rPr>
        <w:t xml:space="preserve">Le tre direttive a cui ci siamo uniformati mediante il nuovo codice degli </w:t>
      </w:r>
      <w:proofErr w:type="spellStart"/>
      <w:r w:rsidRPr="005C66DC">
        <w:rPr>
          <w:rFonts w:ascii="Arial" w:hAnsi="Arial" w:cs="Arial"/>
        </w:rPr>
        <w:t>appallti</w:t>
      </w:r>
      <w:proofErr w:type="spellEnd"/>
      <w:r w:rsidRPr="005C66DC">
        <w:rPr>
          <w:rFonts w:ascii="Arial" w:hAnsi="Arial" w:cs="Arial"/>
        </w:rPr>
        <w:t>, rinvengono la loro base giuridica nei principi della UE di libera circolazione delle merci, di libertà di stabilimento e di libera circolazione dei servizi</w:t>
      </w:r>
      <w:r w:rsidR="00770AB7">
        <w:rPr>
          <w:rFonts w:ascii="Arial" w:hAnsi="Arial" w:cs="Arial"/>
        </w:rPr>
        <w:t>;</w:t>
      </w:r>
      <w:r w:rsidRPr="005C66DC">
        <w:rPr>
          <w:rFonts w:ascii="Arial" w:hAnsi="Arial" w:cs="Arial"/>
        </w:rPr>
        <w:t xml:space="preserve">questi principi rivestono una fondamentale importanza anche se il nuovo codice non ne fa espressa </w:t>
      </w:r>
      <w:proofErr w:type="spellStart"/>
      <w:r w:rsidRPr="005C66DC">
        <w:rPr>
          <w:rFonts w:ascii="Arial" w:hAnsi="Arial" w:cs="Arial"/>
        </w:rPr>
        <w:t>menzione.E</w:t>
      </w:r>
      <w:proofErr w:type="spellEnd"/>
      <w:r w:rsidRPr="005C66DC">
        <w:rPr>
          <w:rFonts w:ascii="Arial" w:hAnsi="Arial" w:cs="Arial"/>
        </w:rPr>
        <w:t xml:space="preserve">’ da questi principi che la </w:t>
      </w:r>
      <w:proofErr w:type="spellStart"/>
      <w:r w:rsidRPr="005C66DC">
        <w:rPr>
          <w:rFonts w:ascii="Arial" w:hAnsi="Arial" w:cs="Arial"/>
        </w:rPr>
        <w:t>la</w:t>
      </w:r>
      <w:proofErr w:type="spellEnd"/>
      <w:r w:rsidRPr="005C66DC">
        <w:rPr>
          <w:rFonts w:ascii="Arial" w:hAnsi="Arial" w:cs="Arial"/>
        </w:rPr>
        <w:t xml:space="preserve"> direttiva 2014/24/UE fa derivare quelli di parità di trattamento</w:t>
      </w:r>
      <w:r w:rsidR="000B1CA5" w:rsidRPr="005C66DC">
        <w:rPr>
          <w:rFonts w:ascii="Arial" w:hAnsi="Arial" w:cs="Arial"/>
        </w:rPr>
        <w:t>, di non discriminazione , di mutuo riconoscimento, di proporzionalità e di trasparenza attorno ai quali si sviluppa tutta la disciplina.</w:t>
      </w:r>
    </w:p>
    <w:p w:rsidR="000B1CA5" w:rsidRPr="005C66DC" w:rsidRDefault="000B1CA5" w:rsidP="00945B05">
      <w:pPr>
        <w:spacing w:line="240" w:lineRule="auto"/>
        <w:rPr>
          <w:rFonts w:ascii="Arial" w:hAnsi="Arial" w:cs="Arial"/>
        </w:rPr>
      </w:pPr>
      <w:r w:rsidRPr="005C66DC">
        <w:rPr>
          <w:rFonts w:ascii="Arial" w:hAnsi="Arial" w:cs="Arial"/>
        </w:rPr>
        <w:t xml:space="preserve">E ‘ opinione comune che la concorrenza rimanga uno dei principi fondanti la disciplina europea dei contratti pubblici, sebbene non sia l’unico principio ispiratore. Il nuovo codice però non si pare con un0enunciazione dei principi ispiratori come era nel vecchio e per trovare tali principi occorre guardare l’art. 30che introduce un gruppo di principi espressamente riferiti sia all’affidamento che all’esecuzione; entrambe le fasi infatti devono garantire la qualità delle prestazioni e devono svolgersi nel rispetto dei principi di economicità,efficacia,tempestività e correttezza, principi riferibili a tutta l’attività </w:t>
      </w:r>
      <w:proofErr w:type="spellStart"/>
      <w:r w:rsidRPr="005C66DC">
        <w:rPr>
          <w:rFonts w:ascii="Arial" w:hAnsi="Arial" w:cs="Arial"/>
        </w:rPr>
        <w:t>amministrativa.il</w:t>
      </w:r>
      <w:proofErr w:type="spellEnd"/>
      <w:r w:rsidRPr="005C66DC">
        <w:rPr>
          <w:rFonts w:ascii="Arial" w:hAnsi="Arial" w:cs="Arial"/>
        </w:rPr>
        <w:t xml:space="preserve"> principio di economicità ( cioè il contenimento dei costi e dei tempi procedurali)può esser subordinato</w:t>
      </w:r>
      <w:r w:rsidR="00770AB7">
        <w:rPr>
          <w:rFonts w:ascii="Arial" w:hAnsi="Arial" w:cs="Arial"/>
        </w:rPr>
        <w:t xml:space="preserve"> </w:t>
      </w:r>
      <w:r w:rsidRPr="005C66DC">
        <w:rPr>
          <w:rFonts w:ascii="Arial" w:hAnsi="Arial" w:cs="Arial"/>
        </w:rPr>
        <w:t>a esigenze sociali, alla tutela della salute, dell’ambiente, del patrimonio culturale</w:t>
      </w:r>
      <w:r w:rsidR="00770AB7">
        <w:rPr>
          <w:rFonts w:ascii="Arial" w:hAnsi="Arial" w:cs="Arial"/>
        </w:rPr>
        <w:t xml:space="preserve"> </w:t>
      </w:r>
      <w:r w:rsidRPr="005C66DC">
        <w:rPr>
          <w:rFonts w:ascii="Arial" w:hAnsi="Arial" w:cs="Arial"/>
        </w:rPr>
        <w:t>e all’efficienza energetica.</w:t>
      </w:r>
    </w:p>
    <w:p w:rsidR="00C12677" w:rsidRPr="005C66DC" w:rsidRDefault="000B1CA5" w:rsidP="00945B05">
      <w:pPr>
        <w:spacing w:line="240" w:lineRule="auto"/>
        <w:rPr>
          <w:rFonts w:ascii="Arial" w:hAnsi="Arial" w:cs="Arial"/>
        </w:rPr>
      </w:pPr>
      <w:r w:rsidRPr="005C66DC">
        <w:rPr>
          <w:rFonts w:ascii="Arial" w:hAnsi="Arial" w:cs="Arial"/>
        </w:rPr>
        <w:t xml:space="preserve">L’art 30 </w:t>
      </w:r>
      <w:r w:rsidR="00C12677" w:rsidRPr="005C66DC">
        <w:rPr>
          <w:rFonts w:ascii="Arial" w:hAnsi="Arial" w:cs="Arial"/>
        </w:rPr>
        <w:t>reca un second</w:t>
      </w:r>
      <w:r w:rsidR="00507C60" w:rsidRPr="005C66DC">
        <w:rPr>
          <w:rFonts w:ascii="Arial" w:hAnsi="Arial" w:cs="Arial"/>
        </w:rPr>
        <w:t>o</w:t>
      </w:r>
      <w:r w:rsidR="00C12677" w:rsidRPr="005C66DC">
        <w:rPr>
          <w:rFonts w:ascii="Arial" w:hAnsi="Arial" w:cs="Arial"/>
        </w:rPr>
        <w:t xml:space="preserve"> gruppo di principi riferiti solo alla fase dell’affidamento: p. di libera concorrenza, non discriminazione, trasparenza, proporzionalità</w:t>
      </w:r>
      <w:r w:rsidR="00507C60" w:rsidRPr="005C66DC">
        <w:rPr>
          <w:rFonts w:ascii="Arial" w:hAnsi="Arial" w:cs="Arial"/>
        </w:rPr>
        <w:t xml:space="preserve"> </w:t>
      </w:r>
      <w:r w:rsidR="00C12677" w:rsidRPr="005C66DC">
        <w:rPr>
          <w:rFonts w:ascii="Arial" w:hAnsi="Arial" w:cs="Arial"/>
        </w:rPr>
        <w:t>e di pubblicità, stabilendo inoltre che i criteri di partecipazione alle gare devono esser tali da non escludere le microimprese , le piccole e medie imprese.</w:t>
      </w:r>
    </w:p>
    <w:p w:rsidR="00C12677" w:rsidRPr="005C66DC" w:rsidRDefault="00C12677" w:rsidP="00945B05">
      <w:pPr>
        <w:spacing w:line="240" w:lineRule="auto"/>
        <w:rPr>
          <w:rFonts w:ascii="Arial" w:hAnsi="Arial" w:cs="Arial"/>
        </w:rPr>
      </w:pPr>
      <w:r w:rsidRPr="005C66DC">
        <w:rPr>
          <w:rFonts w:ascii="Arial" w:hAnsi="Arial" w:cs="Arial"/>
        </w:rPr>
        <w:t>Esiste poi un terzo gruppo di principi attinenti solo alla fase dell’esecuzione</w:t>
      </w:r>
      <w:r w:rsidR="00507C60" w:rsidRPr="005C66DC">
        <w:rPr>
          <w:rFonts w:ascii="Arial" w:hAnsi="Arial" w:cs="Arial"/>
        </w:rPr>
        <w:t xml:space="preserve"> </w:t>
      </w:r>
      <w:r w:rsidRPr="005C66DC">
        <w:rPr>
          <w:rFonts w:ascii="Arial" w:hAnsi="Arial" w:cs="Arial"/>
        </w:rPr>
        <w:t>prevedendo che gli op</w:t>
      </w:r>
      <w:r w:rsidR="00507C60" w:rsidRPr="005C66DC">
        <w:rPr>
          <w:rFonts w:ascii="Arial" w:hAnsi="Arial" w:cs="Arial"/>
        </w:rPr>
        <w:t>e</w:t>
      </w:r>
      <w:r w:rsidRPr="005C66DC">
        <w:rPr>
          <w:rFonts w:ascii="Arial" w:hAnsi="Arial" w:cs="Arial"/>
        </w:rPr>
        <w:t>ratori economici devono rispettare gli obblighi in materia ambientale, sociale e del lavoro stabiliti dalla normativa europea e nazionale, dai contratti collettivo disposizioni internazionali.</w:t>
      </w:r>
    </w:p>
    <w:p w:rsidR="000B1CA5" w:rsidRPr="005C66DC" w:rsidRDefault="00C12677" w:rsidP="00945B05">
      <w:pPr>
        <w:spacing w:line="240" w:lineRule="auto"/>
        <w:rPr>
          <w:rFonts w:ascii="Arial" w:hAnsi="Arial" w:cs="Arial"/>
        </w:rPr>
      </w:pPr>
      <w:r w:rsidRPr="005C66DC">
        <w:rPr>
          <w:rFonts w:ascii="Arial" w:hAnsi="Arial" w:cs="Arial"/>
        </w:rPr>
        <w:t>L’art 30 conti</w:t>
      </w:r>
      <w:r w:rsidR="00507C60" w:rsidRPr="005C66DC">
        <w:rPr>
          <w:rFonts w:ascii="Arial" w:hAnsi="Arial" w:cs="Arial"/>
        </w:rPr>
        <w:t>e</w:t>
      </w:r>
      <w:r w:rsidRPr="005C66DC">
        <w:rPr>
          <w:rFonts w:ascii="Arial" w:hAnsi="Arial" w:cs="Arial"/>
        </w:rPr>
        <w:t>ne inoltre una clausola sulla disciplina residuale stabilendo che per quanto non espressamente previsto dal codice, alle procedure di affidamento e altre attività amministrative in materia di contratti pubblici si applicano le disposizioni della legge 241/90, mentre per la stipulazione del contratto e la fase dell’esecuzione si applicano le disposizioni del codice civile.</w:t>
      </w:r>
    </w:p>
    <w:p w:rsidR="00C12677" w:rsidRPr="005C66DC" w:rsidRDefault="00C12677" w:rsidP="00945B05">
      <w:pPr>
        <w:spacing w:line="240" w:lineRule="auto"/>
        <w:rPr>
          <w:rFonts w:ascii="Arial" w:hAnsi="Arial" w:cs="Arial"/>
        </w:rPr>
      </w:pPr>
      <w:r w:rsidRPr="005C66DC">
        <w:rPr>
          <w:rFonts w:ascii="Arial" w:hAnsi="Arial" w:cs="Arial"/>
        </w:rPr>
        <w:t>L’art 29 riporta il principio di trasparenza, funzionale a diversi obiettivi tra cui spicca la garanzia del diritto di stabilimento di cui art 49 TFUE, insieme all’obiettivo di promuovere la partecipazione del maggior numero di operatori alle gare</w:t>
      </w:r>
      <w:r w:rsidR="00507C60" w:rsidRPr="005C66DC">
        <w:rPr>
          <w:rFonts w:ascii="Arial" w:hAnsi="Arial" w:cs="Arial"/>
        </w:rPr>
        <w:t xml:space="preserve"> </w:t>
      </w:r>
      <w:r w:rsidRPr="005C66DC">
        <w:rPr>
          <w:rFonts w:ascii="Arial" w:hAnsi="Arial" w:cs="Arial"/>
        </w:rPr>
        <w:t>e quello di produrre un effetto deterrente nel confronti del fenomeno corruttivo.</w:t>
      </w:r>
    </w:p>
    <w:p w:rsidR="00C12677" w:rsidRPr="005C66DC" w:rsidRDefault="00C12677" w:rsidP="00945B05">
      <w:pPr>
        <w:spacing w:line="240" w:lineRule="auto"/>
        <w:rPr>
          <w:rFonts w:ascii="Arial" w:hAnsi="Arial" w:cs="Arial"/>
        </w:rPr>
      </w:pPr>
      <w:r w:rsidRPr="005C66DC">
        <w:rPr>
          <w:rFonts w:ascii="Arial" w:hAnsi="Arial" w:cs="Arial"/>
        </w:rPr>
        <w:t>Si stabilisce che tutti gli atti delle amministrazioni aggiudicatrici e degli enti aggiudicatori relativi alla programmazione di lavori, servizi e forniture , nonché alle procedure per l’</w:t>
      </w:r>
      <w:r w:rsidR="00507C60" w:rsidRPr="005C66DC">
        <w:rPr>
          <w:rFonts w:ascii="Arial" w:hAnsi="Arial" w:cs="Arial"/>
        </w:rPr>
        <w:t>a</w:t>
      </w:r>
      <w:r w:rsidRPr="005C66DC">
        <w:rPr>
          <w:rFonts w:ascii="Arial" w:hAnsi="Arial" w:cs="Arial"/>
        </w:rPr>
        <w:t>ffidamento ei contratti pubblici</w:t>
      </w:r>
      <w:r w:rsidR="00445673" w:rsidRPr="005C66DC">
        <w:rPr>
          <w:rFonts w:ascii="Arial" w:hAnsi="Arial" w:cs="Arial"/>
        </w:rPr>
        <w:t xml:space="preserve"> non riservati o secretati devono esser pubblicati e aggiornati sul profilo del committente nella sezione Amministrazione Trasparente. Si prevede inoltre che sono pubblicati nei due g successivi dalla data di adozione, il provvedimento che determina le esclusioni dalla procedura di affidamento</w:t>
      </w:r>
      <w:r w:rsidR="00507C60" w:rsidRPr="005C66DC">
        <w:rPr>
          <w:rFonts w:ascii="Arial" w:hAnsi="Arial" w:cs="Arial"/>
        </w:rPr>
        <w:t xml:space="preserve"> </w:t>
      </w:r>
      <w:r w:rsidR="00445673" w:rsidRPr="005C66DC">
        <w:rPr>
          <w:rFonts w:ascii="Arial" w:hAnsi="Arial" w:cs="Arial"/>
        </w:rPr>
        <w:t>e le ammissioni all’esito delle valutazioni dei requisiti soggettivi,economico-fina</w:t>
      </w:r>
      <w:r w:rsidR="00507C60" w:rsidRPr="005C66DC">
        <w:rPr>
          <w:rFonts w:ascii="Arial" w:hAnsi="Arial" w:cs="Arial"/>
        </w:rPr>
        <w:t>n</w:t>
      </w:r>
      <w:r w:rsidR="00445673" w:rsidRPr="005C66DC">
        <w:rPr>
          <w:rFonts w:ascii="Arial" w:hAnsi="Arial" w:cs="Arial"/>
        </w:rPr>
        <w:t xml:space="preserve">ziari e tecnico-professionale. Devono esser inoltre pubblicati le composizioni delle commissioni giudicatrici e i </w:t>
      </w:r>
      <w:proofErr w:type="spellStart"/>
      <w:r w:rsidR="00445673" w:rsidRPr="005C66DC">
        <w:rPr>
          <w:rFonts w:ascii="Arial" w:hAnsi="Arial" w:cs="Arial"/>
        </w:rPr>
        <w:t>curricula</w:t>
      </w:r>
      <w:proofErr w:type="spellEnd"/>
      <w:r w:rsidR="00445673" w:rsidRPr="005C66DC">
        <w:rPr>
          <w:rFonts w:ascii="Arial" w:hAnsi="Arial" w:cs="Arial"/>
        </w:rPr>
        <w:t xml:space="preserve"> dei suoi componenti.</w:t>
      </w:r>
    </w:p>
    <w:p w:rsidR="006F5386" w:rsidRPr="005C66DC" w:rsidRDefault="00445673" w:rsidP="00945B05">
      <w:pPr>
        <w:spacing w:line="240" w:lineRule="auto"/>
        <w:rPr>
          <w:rFonts w:ascii="Arial" w:hAnsi="Arial" w:cs="Arial"/>
        </w:rPr>
      </w:pPr>
      <w:r w:rsidRPr="005C66DC">
        <w:rPr>
          <w:rFonts w:ascii="Arial" w:hAnsi="Arial" w:cs="Arial"/>
        </w:rPr>
        <w:t xml:space="preserve">Nell’ottica di massima diffusione delle informazioni la documentazione deve esser pubblicata sul sito del Ministero infrastrutture e trasporti e sulla piattaforma digitale </w:t>
      </w:r>
      <w:proofErr w:type="spellStart"/>
      <w:r w:rsidRPr="005C66DC">
        <w:rPr>
          <w:rFonts w:ascii="Arial" w:hAnsi="Arial" w:cs="Arial"/>
        </w:rPr>
        <w:t>isitutita</w:t>
      </w:r>
      <w:proofErr w:type="spellEnd"/>
      <w:r w:rsidRPr="005C66DC">
        <w:rPr>
          <w:rFonts w:ascii="Arial" w:hAnsi="Arial" w:cs="Arial"/>
        </w:rPr>
        <w:t xml:space="preserve"> presso ANAC.</w:t>
      </w:r>
    </w:p>
    <w:p w:rsidR="00445673" w:rsidRPr="005C66DC" w:rsidRDefault="00445673" w:rsidP="00945B05">
      <w:pPr>
        <w:spacing w:line="240" w:lineRule="auto"/>
        <w:rPr>
          <w:rFonts w:ascii="Arial" w:hAnsi="Arial" w:cs="Arial"/>
        </w:rPr>
      </w:pPr>
      <w:r w:rsidRPr="005C66DC">
        <w:rPr>
          <w:rFonts w:ascii="Arial" w:hAnsi="Arial" w:cs="Arial"/>
        </w:rPr>
        <w:t>APPALTI</w:t>
      </w:r>
    </w:p>
    <w:p w:rsidR="00941479" w:rsidRPr="005C66DC" w:rsidRDefault="00941479" w:rsidP="00945B05">
      <w:pPr>
        <w:spacing w:line="240" w:lineRule="auto"/>
        <w:rPr>
          <w:rFonts w:ascii="Arial" w:hAnsi="Arial" w:cs="Arial"/>
          <w:color w:val="000000"/>
          <w:shd w:val="clear" w:color="auto" w:fill="F5FDFE"/>
        </w:rPr>
      </w:pPr>
      <w:r w:rsidRPr="005C66DC">
        <w:rPr>
          <w:rFonts w:ascii="Arial" w:hAnsi="Arial" w:cs="Arial"/>
        </w:rPr>
        <w:t xml:space="preserve">La definizione di appalti la troviamo nell’art 3 </w:t>
      </w:r>
      <w:r w:rsidRPr="005C66DC">
        <w:rPr>
          <w:rFonts w:ascii="Arial" w:hAnsi="Arial" w:cs="Arial"/>
          <w:color w:val="000000"/>
          <w:shd w:val="clear" w:color="auto" w:fill="F5FDFE"/>
        </w:rPr>
        <w:t>«appalti pubblici», i contratti a titolo oneroso, stipulati per iscritto tra una o più stazioni appaltanti e uno o più operatori economici, aventi per oggetto l'esecuzione di lavori, la fornitura di prodotti e la prestazione di servizi; esistono tre tipi di appalto:</w:t>
      </w:r>
    </w:p>
    <w:p w:rsidR="00941479" w:rsidRPr="005C66DC" w:rsidRDefault="00941479" w:rsidP="00945B05">
      <w:pPr>
        <w:pStyle w:val="Paragrafoelenco"/>
        <w:numPr>
          <w:ilvl w:val="0"/>
          <w:numId w:val="1"/>
        </w:numPr>
        <w:spacing w:line="240" w:lineRule="auto"/>
        <w:rPr>
          <w:rFonts w:ascii="Arial" w:hAnsi="Arial" w:cs="Arial"/>
        </w:rPr>
      </w:pPr>
      <w:r w:rsidRPr="005C66DC">
        <w:rPr>
          <w:rFonts w:ascii="Arial" w:hAnsi="Arial" w:cs="Arial"/>
        </w:rPr>
        <w:lastRenderedPageBreak/>
        <w:t>Di lavori</w:t>
      </w:r>
      <w:r w:rsidRPr="005C66DC">
        <w:rPr>
          <w:rFonts w:ascii="Arial" w:hAnsi="Arial" w:cs="Arial"/>
        </w:rPr>
        <w:sym w:font="Wingdings" w:char="F0E0"/>
      </w:r>
      <w:r w:rsidRPr="005C66DC">
        <w:rPr>
          <w:rFonts w:ascii="Arial" w:hAnsi="Arial" w:cs="Arial"/>
        </w:rPr>
        <w:t xml:space="preserve"> si concretizza nell’esecuzione dei lavori relativi ad una delle attività di cui all’allegato I del codice, nell’esecuzione di un’opera o nella progettazione esecutiva ed esecuzione della medesima ovvero nella realizzazione con qualsiasi mezzo di un’opera corrispondente alle esigenze specificate dall’amministrazione aggiudicatrice o ente aggiudicatore che esercita un’influenza determinante sul tipo o sulla progettazione dell’opera</w:t>
      </w:r>
    </w:p>
    <w:p w:rsidR="00941479" w:rsidRPr="005C66DC" w:rsidRDefault="00941479" w:rsidP="00945B05">
      <w:pPr>
        <w:pStyle w:val="Paragrafoelenco"/>
        <w:numPr>
          <w:ilvl w:val="0"/>
          <w:numId w:val="1"/>
        </w:numPr>
        <w:spacing w:line="240" w:lineRule="auto"/>
        <w:rPr>
          <w:rFonts w:ascii="Arial" w:hAnsi="Arial" w:cs="Arial"/>
        </w:rPr>
      </w:pPr>
      <w:r w:rsidRPr="005C66DC">
        <w:rPr>
          <w:rFonts w:ascii="Arial" w:hAnsi="Arial" w:cs="Arial"/>
        </w:rPr>
        <w:t>Di servizi ha per oggetto la prestazione di servizi altri da quelli di cui alla lettera II dell’art 3</w:t>
      </w:r>
    </w:p>
    <w:p w:rsidR="00941479" w:rsidRPr="005C66DC" w:rsidRDefault="00941479" w:rsidP="00945B05">
      <w:pPr>
        <w:pStyle w:val="Paragrafoelenco"/>
        <w:numPr>
          <w:ilvl w:val="0"/>
          <w:numId w:val="1"/>
        </w:numPr>
        <w:spacing w:line="240" w:lineRule="auto"/>
        <w:rPr>
          <w:rFonts w:ascii="Arial" w:hAnsi="Arial" w:cs="Arial"/>
        </w:rPr>
      </w:pPr>
      <w:r w:rsidRPr="005C66DC">
        <w:rPr>
          <w:rFonts w:ascii="Arial" w:hAnsi="Arial" w:cs="Arial"/>
        </w:rPr>
        <w:t xml:space="preserve">Di forniture ha ad oggetto l’acquisto, la locazione finanziaria, la locazione o l’acquisto a riscatto, con o senza opzione per l’acquisto di prodotti </w:t>
      </w:r>
    </w:p>
    <w:p w:rsidR="00941479" w:rsidRPr="005C66DC" w:rsidRDefault="00941479" w:rsidP="00945B05">
      <w:pPr>
        <w:pStyle w:val="Paragrafoelenco"/>
        <w:numPr>
          <w:ilvl w:val="0"/>
          <w:numId w:val="1"/>
        </w:numPr>
        <w:spacing w:line="240" w:lineRule="auto"/>
        <w:rPr>
          <w:rFonts w:ascii="Arial" w:hAnsi="Arial" w:cs="Arial"/>
        </w:rPr>
      </w:pPr>
      <w:r w:rsidRPr="005C66DC">
        <w:rPr>
          <w:rFonts w:ascii="Arial" w:hAnsi="Arial" w:cs="Arial"/>
          <w:color w:val="000000"/>
          <w:shd w:val="clear" w:color="auto" w:fill="F5FDFE"/>
        </w:rPr>
        <w:t>nel caso di contratti misti, che consistono in parte in servizi, e in parte in altri servizi, oppure in contratti misti comprendenti in parte servizi e in parte forniture, l'oggetto principale è determinato in base al valore stimato più elevato tra quelli dei rispettivi servizi o forniture. L’operatore economico che concorre alla procedura di affidamento di un contratto misto deve possedere i requisiti di qualificazione e capacità prescritti dal presente codice per ciascuna prestazione di lavori, servizi, forniture prevista dal contratto.</w:t>
      </w:r>
    </w:p>
    <w:p w:rsidR="006F5386" w:rsidRPr="005C66DC" w:rsidRDefault="00445673" w:rsidP="00945B05">
      <w:pPr>
        <w:spacing w:line="240" w:lineRule="auto"/>
        <w:rPr>
          <w:rFonts w:ascii="Arial" w:hAnsi="Arial" w:cs="Arial"/>
        </w:rPr>
      </w:pPr>
      <w:r w:rsidRPr="005C66DC">
        <w:rPr>
          <w:rFonts w:ascii="Arial" w:hAnsi="Arial" w:cs="Arial"/>
        </w:rPr>
        <w:t xml:space="preserve">Gli appalti pubblici possono riguardare settori ordinari o speciali: </w:t>
      </w:r>
      <w:r w:rsidRPr="005C66DC">
        <w:rPr>
          <w:rFonts w:ascii="Arial" w:hAnsi="Arial" w:cs="Arial"/>
          <w:color w:val="000000"/>
          <w:shd w:val="clear" w:color="auto" w:fill="F5FDFE"/>
        </w:rPr>
        <w:t>«settori ordinari», i settori dei contratti pubblici, diversi da quelli relativi a gas, energia termica, elettricità, acqua, trasporti, servizi postali, sfruttamento di area geografica, , in cui operano le amministrazioni aggiudicatrici; </w:t>
      </w:r>
      <w:r w:rsidRPr="005C66DC">
        <w:rPr>
          <w:rFonts w:ascii="Arial" w:hAnsi="Arial" w:cs="Arial"/>
          <w:color w:val="000000"/>
        </w:rPr>
        <w:br/>
      </w:r>
      <w:r w:rsidRPr="005C66DC">
        <w:rPr>
          <w:rFonts w:ascii="Arial" w:hAnsi="Arial" w:cs="Arial"/>
          <w:color w:val="000000"/>
          <w:shd w:val="clear" w:color="auto" w:fill="F5FDFE"/>
        </w:rPr>
        <w:t xml:space="preserve"> «settori speciali» i settori dei contratti pubblici relativi a gas, energia termica, elettricità, acqua, trasporti, servizi postali, sfruttamento di area geografica, </w:t>
      </w:r>
    </w:p>
    <w:p w:rsidR="00C12084" w:rsidRPr="005C66DC" w:rsidRDefault="00941479" w:rsidP="00945B05">
      <w:pPr>
        <w:spacing w:line="240" w:lineRule="auto"/>
        <w:rPr>
          <w:rFonts w:ascii="Arial" w:hAnsi="Arial" w:cs="Arial"/>
        </w:rPr>
      </w:pPr>
      <w:r w:rsidRPr="005C66DC">
        <w:rPr>
          <w:rFonts w:ascii="Arial" w:hAnsi="Arial" w:cs="Arial"/>
        </w:rPr>
        <w:t xml:space="preserve">Il codice prevede l’affidamento dei lavori e dei servizi anche mediante concessione </w:t>
      </w:r>
      <w:r w:rsidR="00C12084" w:rsidRPr="005C66DC">
        <w:rPr>
          <w:rFonts w:ascii="Arial" w:hAnsi="Arial" w:cs="Arial"/>
        </w:rPr>
        <w:t xml:space="preserve">, forma contrattuale autonoma dall’appalto pubblico. </w:t>
      </w:r>
    </w:p>
    <w:p w:rsidR="00941479" w:rsidRPr="005C66DC" w:rsidRDefault="00C12084" w:rsidP="00945B05">
      <w:pPr>
        <w:spacing w:line="240" w:lineRule="auto"/>
        <w:rPr>
          <w:rFonts w:ascii="Arial" w:hAnsi="Arial" w:cs="Arial"/>
        </w:rPr>
      </w:pPr>
      <w:r w:rsidRPr="005C66DC">
        <w:rPr>
          <w:rFonts w:ascii="Arial" w:hAnsi="Arial" w:cs="Arial"/>
        </w:rPr>
        <w:t>-</w:t>
      </w:r>
      <w:r w:rsidRPr="005C66DC">
        <w:rPr>
          <w:rFonts w:ascii="Arial" w:hAnsi="Arial" w:cs="Arial"/>
          <w:color w:val="000000"/>
          <w:shd w:val="clear" w:color="auto" w:fill="F5FDFE"/>
        </w:rPr>
        <w:t>«concessione di lavori», un contratto a titolo oneroso stipulato per iscritto in virtù del quale una o più stazioni appaltanti affidano l'esecuzione di lavori ovvero la progettazione esecutiva e l’esecuzione, ovvero la progettazione definitiva, la progettazione esecutiva e l’esecuzione di lavori ad uno o più operatori economici riconoscendo a titolo di corrispettivo unicamente il diritto di gestire le opere oggetto del contratto o tale diritto accompagnato da un prezzo, con assunzione in capo al concessionario del rischio operativo legato alla gestione delle opere; </w:t>
      </w:r>
      <w:r w:rsidRPr="005C66DC">
        <w:rPr>
          <w:rFonts w:ascii="Arial" w:hAnsi="Arial" w:cs="Arial"/>
          <w:color w:val="000000"/>
        </w:rPr>
        <w:br/>
      </w:r>
      <w:r w:rsidRPr="005C66DC">
        <w:rPr>
          <w:rFonts w:ascii="Arial" w:hAnsi="Arial" w:cs="Arial"/>
          <w:color w:val="000000"/>
          <w:shd w:val="clear" w:color="auto" w:fill="F5FDFE"/>
        </w:rPr>
        <w:t xml:space="preserve">-«concessione di servizi», un contratto a titolo oneroso stipulato per iscritto in virtù del quale una o più stazioni appaltanti affidano a uno o più operatori economici la fornitura e la gestione di servizi diversi dall'esecuzione di lavori di cui alla lettera </w:t>
      </w:r>
      <w:proofErr w:type="spellStart"/>
      <w:r w:rsidRPr="005C66DC">
        <w:rPr>
          <w:rFonts w:ascii="Arial" w:hAnsi="Arial" w:cs="Arial"/>
          <w:color w:val="000000"/>
          <w:shd w:val="clear" w:color="auto" w:fill="F5FDFE"/>
        </w:rPr>
        <w:t>ll</w:t>
      </w:r>
      <w:proofErr w:type="spellEnd"/>
      <w:r w:rsidRPr="005C66DC">
        <w:rPr>
          <w:rFonts w:ascii="Arial" w:hAnsi="Arial" w:cs="Arial"/>
          <w:color w:val="000000"/>
          <w:shd w:val="clear" w:color="auto" w:fill="F5FDFE"/>
        </w:rPr>
        <w:t>) riconoscendo a titolo di corrispettivo unicamente il diritto di gestire i servizi oggetto del contratto o tale diritto accompagnato da un prezzo, con assunzione in capo al concessionario del rischio operativo legato alla gestione dei servizi;</w:t>
      </w:r>
    </w:p>
    <w:p w:rsidR="005647DA" w:rsidRPr="005C66DC" w:rsidRDefault="005647DA" w:rsidP="00945B05">
      <w:pPr>
        <w:pStyle w:val="NormaleWeb"/>
        <w:shd w:val="clear" w:color="auto" w:fill="F5FDFE"/>
        <w:rPr>
          <w:rFonts w:ascii="Arial" w:hAnsi="Arial" w:cs="Arial"/>
          <w:sz w:val="22"/>
          <w:szCs w:val="22"/>
        </w:rPr>
      </w:pPr>
      <w:r w:rsidRPr="005C66DC">
        <w:rPr>
          <w:rFonts w:ascii="Arial" w:hAnsi="Arial" w:cs="Arial"/>
          <w:sz w:val="22"/>
          <w:szCs w:val="22"/>
        </w:rPr>
        <w:t xml:space="preserve">FASI DELLE PROCEDURE </w:t>
      </w:r>
      <w:proofErr w:type="spellStart"/>
      <w:r w:rsidRPr="005C66DC">
        <w:rPr>
          <w:rFonts w:ascii="Arial" w:hAnsi="Arial" w:cs="Arial"/>
          <w:sz w:val="22"/>
          <w:szCs w:val="22"/>
        </w:rPr>
        <w:t>DI</w:t>
      </w:r>
      <w:proofErr w:type="spellEnd"/>
      <w:r w:rsidRPr="005C66DC">
        <w:rPr>
          <w:rFonts w:ascii="Arial" w:hAnsi="Arial" w:cs="Arial"/>
          <w:sz w:val="22"/>
          <w:szCs w:val="22"/>
        </w:rPr>
        <w:t xml:space="preserve"> AFFIDAMENTO</w:t>
      </w:r>
    </w:p>
    <w:p w:rsidR="002648B4" w:rsidRPr="005C66DC" w:rsidRDefault="002648B4" w:rsidP="00945B05">
      <w:pPr>
        <w:pStyle w:val="NormaleWeb"/>
        <w:shd w:val="clear" w:color="auto" w:fill="F5FDFE"/>
        <w:rPr>
          <w:rFonts w:ascii="Arial" w:hAnsi="Arial" w:cs="Arial"/>
          <w:color w:val="000000"/>
          <w:sz w:val="22"/>
          <w:szCs w:val="22"/>
        </w:rPr>
      </w:pPr>
      <w:r w:rsidRPr="005C66DC">
        <w:rPr>
          <w:rFonts w:ascii="Arial" w:hAnsi="Arial" w:cs="Arial"/>
          <w:sz w:val="22"/>
          <w:szCs w:val="22"/>
        </w:rPr>
        <w:t xml:space="preserve">ART 32 </w:t>
      </w:r>
      <w:r w:rsidRPr="005C66DC">
        <w:rPr>
          <w:rFonts w:ascii="Arial" w:hAnsi="Arial" w:cs="Arial"/>
          <w:color w:val="000000"/>
          <w:sz w:val="22"/>
          <w:szCs w:val="22"/>
        </w:rPr>
        <w:t>1. Le procedure di affidamento dei contratti pubblici hanno luogo nel rispetto degli atti di programmazione delle stazioni appaltanti</w:t>
      </w:r>
      <w:r w:rsidRPr="005C66DC">
        <w:rPr>
          <w:rFonts w:ascii="Arial" w:hAnsi="Arial" w:cs="Arial"/>
          <w:color w:val="000000"/>
          <w:sz w:val="22"/>
          <w:szCs w:val="22"/>
          <w:shd w:val="clear" w:color="auto" w:fill="F5FDFE"/>
        </w:rPr>
        <w:t xml:space="preserve">. Prima dell’avvio delle procedure di affidamento dei contratti pubblici, le stazioni appaltanti, in conformità ai propri ordinamenti, decretano o determinano di contrarre, individuando gli elementi essenziali del contratto e i criteri di selezione degli operatori economici e delle offerte. </w:t>
      </w:r>
      <w:r w:rsidRPr="00126BDB">
        <w:rPr>
          <w:rFonts w:ascii="Arial" w:hAnsi="Arial" w:cs="Arial"/>
          <w:b/>
          <w:color w:val="000000"/>
          <w:sz w:val="22"/>
          <w:szCs w:val="22"/>
          <w:shd w:val="clear" w:color="auto" w:fill="F5FDFE"/>
        </w:rPr>
        <w:t>Nella procedura di cui art 36.2 a, la stazione appaltante può procedere ad affidamento diretto tramite determina a contrarre, o atto equivalente, che contenga, in modo semplificato, l’oggetto dell’affidamento, l’importo, il fornitore, le ragioni della scelta del fornitore, il possesso da parte sua dei requisiti di carattere generale, nonché il possesso dei requisiti tecnico-professionali, ove richiesti</w:t>
      </w:r>
      <w:r w:rsidRPr="005C66DC">
        <w:rPr>
          <w:rFonts w:ascii="Arial" w:hAnsi="Arial" w:cs="Arial"/>
          <w:color w:val="000000"/>
          <w:sz w:val="22"/>
          <w:szCs w:val="22"/>
          <w:shd w:val="clear" w:color="auto" w:fill="F5FDFE"/>
        </w:rPr>
        <w:t>.</w:t>
      </w:r>
      <w:r w:rsidRPr="005C66DC">
        <w:rPr>
          <w:rFonts w:ascii="Arial" w:hAnsi="Arial" w:cs="Arial"/>
          <w:color w:val="000000"/>
          <w:sz w:val="22"/>
          <w:szCs w:val="22"/>
        </w:rPr>
        <w:t xml:space="preserve">. La selezione dei partecipanti e delle offerte avviene mediante uno dei sistemi e secondo i criteri previsti dal presente codice.. </w:t>
      </w:r>
      <w:r w:rsidRPr="00126BDB">
        <w:rPr>
          <w:rFonts w:ascii="Arial" w:hAnsi="Arial" w:cs="Arial"/>
          <w:color w:val="000000"/>
          <w:sz w:val="22"/>
          <w:szCs w:val="22"/>
          <w:u w:val="single"/>
        </w:rPr>
        <w:t>Ciascun concorrente non può presentare più di un’offerta. L’offerta è vincolante per il periodo indicato nel bando o nell’invito e, in caso di mancata indicazione, per centottanta giorni dalla scadenza del termine per la sua presentazione.</w:t>
      </w:r>
      <w:r w:rsidRPr="005C66DC">
        <w:rPr>
          <w:rFonts w:ascii="Arial" w:hAnsi="Arial" w:cs="Arial"/>
          <w:color w:val="000000"/>
          <w:sz w:val="22"/>
          <w:szCs w:val="22"/>
        </w:rPr>
        <w:t xml:space="preserve"> La stazione appaltante può chiedere agli offerenti il differimento di detto termine. </w:t>
      </w:r>
      <w:r w:rsidRPr="00126BDB">
        <w:rPr>
          <w:rFonts w:ascii="Arial" w:hAnsi="Arial" w:cs="Arial"/>
          <w:color w:val="000000"/>
          <w:sz w:val="22"/>
          <w:szCs w:val="22"/>
          <w:u w:val="single"/>
        </w:rPr>
        <w:t>La stazione appaltante, previa verifica della proposta di aggiudicazione provvede all’aggiudicazione</w:t>
      </w:r>
      <w:r w:rsidRPr="005C66DC">
        <w:rPr>
          <w:rFonts w:ascii="Arial" w:hAnsi="Arial" w:cs="Arial"/>
          <w:color w:val="000000"/>
          <w:sz w:val="22"/>
          <w:szCs w:val="22"/>
        </w:rPr>
        <w:t xml:space="preserve">. L’aggiudicazione non equivale ad accettazione dell’offerta. L’offerta dell’aggiudicatario è irrevocabile fino al termine stabilito nel </w:t>
      </w:r>
      <w:r w:rsidRPr="005C66DC">
        <w:rPr>
          <w:rFonts w:ascii="Arial" w:hAnsi="Arial" w:cs="Arial"/>
          <w:color w:val="000000"/>
          <w:sz w:val="22"/>
          <w:szCs w:val="22"/>
        </w:rPr>
        <w:lastRenderedPageBreak/>
        <w:t xml:space="preserve">codice. </w:t>
      </w:r>
      <w:r w:rsidRPr="00126BDB">
        <w:rPr>
          <w:rFonts w:ascii="Arial" w:hAnsi="Arial" w:cs="Arial"/>
          <w:color w:val="000000"/>
          <w:sz w:val="22"/>
          <w:szCs w:val="22"/>
          <w:u w:val="single"/>
        </w:rPr>
        <w:t>L’aggiudicazione diventa efficace dopo la verifica del possesso dei prescritti requisiti.</w:t>
      </w:r>
      <w:r w:rsidRPr="005C66DC">
        <w:rPr>
          <w:rFonts w:ascii="Arial" w:hAnsi="Arial" w:cs="Arial"/>
          <w:color w:val="000000"/>
          <w:sz w:val="22"/>
          <w:szCs w:val="22"/>
        </w:rPr>
        <w:t xml:space="preserve"> Divenuta efficace l’aggiudicazione, e fatto salvo l’esercizio dei poteri di autotutela nei casi consentiti dalle norme vigenti</w:t>
      </w:r>
      <w:r w:rsidRPr="00126BDB">
        <w:rPr>
          <w:rFonts w:ascii="Arial" w:hAnsi="Arial" w:cs="Arial"/>
          <w:b/>
          <w:color w:val="000000"/>
          <w:sz w:val="22"/>
          <w:szCs w:val="22"/>
        </w:rPr>
        <w:t>, la stipulazione del contratto di appalto o di concessione ha luogo entro i successivi sessanta giorni</w:t>
      </w:r>
      <w:r w:rsidRPr="005C66DC">
        <w:rPr>
          <w:rFonts w:ascii="Arial" w:hAnsi="Arial" w:cs="Arial"/>
          <w:color w:val="000000"/>
          <w:sz w:val="22"/>
          <w:szCs w:val="22"/>
        </w:rPr>
        <w:t xml:space="preserve">, salvo diverso termine previsto nel bando o nell’invito ad offrire, ovvero l’ipotesi di differimento espressamente concordata con l’aggiudicatario. </w:t>
      </w:r>
      <w:r w:rsidRPr="00126BDB">
        <w:rPr>
          <w:rFonts w:ascii="Arial" w:hAnsi="Arial" w:cs="Arial"/>
          <w:color w:val="000000"/>
          <w:sz w:val="22"/>
          <w:szCs w:val="22"/>
          <w:u w:val="single"/>
        </w:rPr>
        <w:t>Se la stipulazione del contratto non avviene nel termine fissato, l’aggiudicatario può, mediante atto notificato alla stazione appaltante, sciogliersi da ogni vincolo o recedere dal contratto. All’aggiudicatario non spetta alcun indennizzo, salvo il rimborso delle spese contrattuali documentate</w:t>
      </w:r>
      <w:r w:rsidRPr="005C66DC">
        <w:rPr>
          <w:rFonts w:ascii="Arial" w:hAnsi="Arial" w:cs="Arial"/>
          <w:color w:val="000000"/>
          <w:sz w:val="22"/>
          <w:szCs w:val="22"/>
        </w:rPr>
        <w:t xml:space="preserve">. </w:t>
      </w:r>
      <w:r w:rsidRPr="00126BDB">
        <w:rPr>
          <w:rFonts w:ascii="Arial" w:hAnsi="Arial" w:cs="Arial"/>
          <w:b/>
          <w:color w:val="000000"/>
          <w:sz w:val="22"/>
          <w:szCs w:val="22"/>
        </w:rPr>
        <w:t>Nel caso di lavori, se è intervenuta la consegna dei lavori in via di urgenza e nel caso di servizi e forniture, se si è dato avvio all'esecuzione del contratto in via d'urgenza, l’aggiudicatario ha diritto al rimborso delle spese sostenute per l’esecuzione dei lavori ordinati dal direttore dei lavori, ivi comprese quelle per opere provvisionali. Nel caso di servizi e forniture, se si è dato avvio all'esecuzione del contratto in via d'urgenza, l'aggiudicatario ha diritto al rimborso delle spese sostenute per le prestazioni espletate su ordine del direttore dell'esecuzione.</w:t>
      </w:r>
      <w:r w:rsidRPr="005C66DC">
        <w:rPr>
          <w:rFonts w:ascii="Arial" w:hAnsi="Arial" w:cs="Arial"/>
          <w:color w:val="000000"/>
          <w:sz w:val="22"/>
          <w:szCs w:val="22"/>
        </w:rPr>
        <w:t xml:space="preserve"> L’esecuzione d’urgenza di cui al presente comma è ammessa esclusivamente nelle ipotesi di eventi oggettivamente imprevedibili, per ovviare a situazioni di pericolo per persone, animali o cose, ovvero per l’igiene e la salute pubblica, ovvero per il patrimonio storico, artistico, culturale ovvero nei casi in cui la mancata esecuzione immediata della prestazione dedotta nella gara determinerebbe un grave danno all'interesse pubblico che è destinata a soddisfare, ivi compresa la perdita di finanziamenti comunitari. Il contratto non può comunque essere stipulato prima di trentacinque giorni dall'invio dell'ultima delle comunicazioni del</w:t>
      </w:r>
      <w:r w:rsidR="00152D01" w:rsidRPr="005C66DC">
        <w:rPr>
          <w:rFonts w:ascii="Arial" w:hAnsi="Arial" w:cs="Arial"/>
          <w:color w:val="000000"/>
          <w:sz w:val="22"/>
          <w:szCs w:val="22"/>
        </w:rPr>
        <w:t>l’aggiudicazione</w:t>
      </w:r>
      <w:r w:rsidRPr="005C66DC">
        <w:rPr>
          <w:rFonts w:ascii="Arial" w:hAnsi="Arial" w:cs="Arial"/>
          <w:color w:val="000000"/>
          <w:sz w:val="22"/>
          <w:szCs w:val="22"/>
        </w:rPr>
        <w:t xml:space="preserve"> Il </w:t>
      </w:r>
      <w:r w:rsidRPr="00126BDB">
        <w:rPr>
          <w:rFonts w:ascii="Arial" w:hAnsi="Arial" w:cs="Arial"/>
          <w:b/>
          <w:color w:val="000000"/>
          <w:sz w:val="22"/>
          <w:szCs w:val="22"/>
        </w:rPr>
        <w:t xml:space="preserve">termine dilatorio </w:t>
      </w:r>
      <w:r w:rsidR="00152D01" w:rsidRPr="00126BDB">
        <w:rPr>
          <w:rFonts w:ascii="Arial" w:hAnsi="Arial" w:cs="Arial"/>
          <w:b/>
          <w:color w:val="000000"/>
          <w:sz w:val="22"/>
          <w:szCs w:val="22"/>
        </w:rPr>
        <w:t xml:space="preserve">(stand </w:t>
      </w:r>
      <w:proofErr w:type="spellStart"/>
      <w:r w:rsidR="00152D01" w:rsidRPr="00126BDB">
        <w:rPr>
          <w:rFonts w:ascii="Arial" w:hAnsi="Arial" w:cs="Arial"/>
          <w:b/>
          <w:color w:val="000000"/>
          <w:sz w:val="22"/>
          <w:szCs w:val="22"/>
        </w:rPr>
        <w:t>still</w:t>
      </w:r>
      <w:proofErr w:type="spellEnd"/>
      <w:r w:rsidR="00152D01" w:rsidRPr="00126BDB">
        <w:rPr>
          <w:rFonts w:ascii="Arial" w:hAnsi="Arial" w:cs="Arial"/>
          <w:b/>
          <w:color w:val="000000"/>
          <w:sz w:val="22"/>
          <w:szCs w:val="22"/>
        </w:rPr>
        <w:t xml:space="preserve">) </w:t>
      </w:r>
      <w:r w:rsidRPr="00126BDB">
        <w:rPr>
          <w:rFonts w:ascii="Arial" w:hAnsi="Arial" w:cs="Arial"/>
          <w:b/>
          <w:color w:val="000000"/>
          <w:sz w:val="22"/>
          <w:szCs w:val="22"/>
        </w:rPr>
        <w:t>non si applica nei seguenti casi</w:t>
      </w:r>
      <w:r w:rsidRPr="005C66DC">
        <w:rPr>
          <w:rFonts w:ascii="Arial" w:hAnsi="Arial" w:cs="Arial"/>
          <w:color w:val="000000"/>
          <w:sz w:val="22"/>
          <w:szCs w:val="22"/>
        </w:rPr>
        <w:t>:</w:t>
      </w:r>
    </w:p>
    <w:p w:rsidR="00152D01" w:rsidRPr="005C66DC" w:rsidRDefault="002648B4" w:rsidP="00945B05">
      <w:pPr>
        <w:pStyle w:val="NormaleWeb"/>
        <w:shd w:val="clear" w:color="auto" w:fill="F5FDFE"/>
        <w:rPr>
          <w:rFonts w:ascii="Arial" w:hAnsi="Arial" w:cs="Arial"/>
          <w:color w:val="000000"/>
          <w:sz w:val="22"/>
          <w:szCs w:val="22"/>
        </w:rPr>
      </w:pPr>
      <w:r w:rsidRPr="005C66DC">
        <w:rPr>
          <w:rFonts w:ascii="Arial" w:hAnsi="Arial" w:cs="Arial"/>
          <w:color w:val="000000"/>
          <w:sz w:val="22"/>
          <w:szCs w:val="22"/>
        </w:rPr>
        <w:t>a) se</w:t>
      </w:r>
      <w:r w:rsidRPr="00126BDB">
        <w:rPr>
          <w:rFonts w:ascii="Arial" w:hAnsi="Arial" w:cs="Arial"/>
          <w:color w:val="000000"/>
          <w:sz w:val="22"/>
          <w:szCs w:val="22"/>
          <w:u w:val="single"/>
        </w:rPr>
        <w:t>, a seguito di pubblicazione di bando o avviso con cui si indice una gara o dell'inoltro degli inviti</w:t>
      </w:r>
      <w:r w:rsidRPr="005C66DC">
        <w:rPr>
          <w:rFonts w:ascii="Arial" w:hAnsi="Arial" w:cs="Arial"/>
          <w:color w:val="000000"/>
          <w:sz w:val="22"/>
          <w:szCs w:val="22"/>
        </w:rPr>
        <w:t xml:space="preserve">, è </w:t>
      </w:r>
      <w:r w:rsidRPr="00126BDB">
        <w:rPr>
          <w:rFonts w:ascii="Arial" w:hAnsi="Arial" w:cs="Arial"/>
          <w:color w:val="000000"/>
          <w:sz w:val="22"/>
          <w:szCs w:val="22"/>
          <w:u w:val="single"/>
        </w:rPr>
        <w:t>stata presentata o è stata ammessa una sola offerta e non sono state tempestivamente proposte impugnazioni del bando o della lettera di invito o queste impugnazioni risultano già respinte con decisione definitiva; </w:t>
      </w:r>
      <w:r w:rsidRPr="00126BDB">
        <w:rPr>
          <w:rFonts w:ascii="Arial" w:hAnsi="Arial" w:cs="Arial"/>
          <w:color w:val="000000"/>
          <w:sz w:val="22"/>
          <w:szCs w:val="22"/>
          <w:u w:val="single"/>
        </w:rPr>
        <w:br/>
      </w:r>
      <w:r w:rsidRPr="005C66DC">
        <w:rPr>
          <w:rFonts w:ascii="Arial" w:hAnsi="Arial" w:cs="Arial"/>
          <w:color w:val="000000"/>
          <w:sz w:val="22"/>
          <w:szCs w:val="22"/>
        </w:rPr>
        <w:t xml:space="preserve">b) </w:t>
      </w:r>
      <w:r w:rsidRPr="00126BDB">
        <w:rPr>
          <w:rFonts w:ascii="Arial" w:hAnsi="Arial" w:cs="Arial"/>
          <w:color w:val="000000"/>
          <w:sz w:val="22"/>
          <w:szCs w:val="22"/>
          <w:u w:val="single"/>
        </w:rPr>
        <w:t xml:space="preserve">nel caso di un appalto basato su un accordo quadro, nel caso di appalti specifici basati su un sistema dinamico di acquisizione, nel caso di acquisto effettuato attraverso il mercato elettronico e nel caso di affidamenti </w:t>
      </w:r>
      <w:r w:rsidR="00152D01" w:rsidRPr="00126BDB">
        <w:rPr>
          <w:rFonts w:ascii="Arial" w:hAnsi="Arial" w:cs="Arial"/>
          <w:color w:val="000000"/>
          <w:sz w:val="22"/>
          <w:szCs w:val="22"/>
          <w:u w:val="single"/>
        </w:rPr>
        <w:t>diretti art. 36.2.ab</w:t>
      </w:r>
      <w:r w:rsidRPr="00126BDB">
        <w:rPr>
          <w:rFonts w:ascii="Arial" w:hAnsi="Arial" w:cs="Arial"/>
          <w:color w:val="000000"/>
          <w:sz w:val="22"/>
          <w:szCs w:val="22"/>
          <w:u w:val="single"/>
        </w:rPr>
        <w:t>.</w:t>
      </w:r>
      <w:r w:rsidRPr="005C66DC">
        <w:rPr>
          <w:rFonts w:ascii="Arial" w:hAnsi="Arial" w:cs="Arial"/>
          <w:color w:val="000000"/>
          <w:sz w:val="22"/>
          <w:szCs w:val="22"/>
        </w:rPr>
        <w:t xml:space="preserve"> </w:t>
      </w:r>
    </w:p>
    <w:p w:rsidR="002648B4" w:rsidRPr="005C66DC" w:rsidRDefault="002648B4" w:rsidP="00945B05">
      <w:pPr>
        <w:pStyle w:val="NormaleWeb"/>
        <w:shd w:val="clear" w:color="auto" w:fill="F5FDFE"/>
        <w:rPr>
          <w:rFonts w:ascii="Arial" w:hAnsi="Arial" w:cs="Arial"/>
          <w:color w:val="000000"/>
          <w:sz w:val="22"/>
          <w:szCs w:val="22"/>
          <w:shd w:val="clear" w:color="auto" w:fill="F5FDFE"/>
        </w:rPr>
      </w:pPr>
      <w:r w:rsidRPr="00126BDB">
        <w:rPr>
          <w:rFonts w:ascii="Arial" w:hAnsi="Arial" w:cs="Arial"/>
          <w:color w:val="FF0000"/>
          <w:sz w:val="22"/>
          <w:szCs w:val="22"/>
        </w:rPr>
        <w:t>Il contratto è stipulato, a pena di nullità, con atto pubblico notarile informatico, ovvero, in modalità elettronica secondo le norme vigenti per ciascuna stazione appaltante, in forma pubblica amministrativa a cura dell'Ufficiale rogante della stazione appaltante o mediante scrittura privata;</w:t>
      </w:r>
      <w:r w:rsidRPr="005C66DC">
        <w:rPr>
          <w:rFonts w:ascii="Arial" w:hAnsi="Arial" w:cs="Arial"/>
          <w:color w:val="000000"/>
          <w:sz w:val="22"/>
          <w:szCs w:val="22"/>
        </w:rPr>
        <w:t xml:space="preserve"> in caso di procedura negoziata ovvero per gli affidamenti di importo non superiore a 40.000 euro mediante corrispondenza secondo l’uso del commercio consistente in un apposito scambio di lettere, anche tramite posta elettronica certificata o strumenti analoghi negli altri Stati membri</w:t>
      </w:r>
    </w:p>
    <w:p w:rsidR="002648B4" w:rsidRPr="005C66DC" w:rsidRDefault="005647DA" w:rsidP="00945B05">
      <w:pPr>
        <w:spacing w:line="240" w:lineRule="auto"/>
        <w:rPr>
          <w:rFonts w:ascii="Arial" w:hAnsi="Arial" w:cs="Arial"/>
        </w:rPr>
      </w:pPr>
      <w:r w:rsidRPr="005C66DC">
        <w:rPr>
          <w:rFonts w:ascii="Arial" w:hAnsi="Arial" w:cs="Arial"/>
        </w:rPr>
        <w:t xml:space="preserve">Tra le novità introdotte dal codice si riconosce la possibilità per le amministrazioni aggiudicatrici di svolgere consultazioni preliminari di mercato, prima dell’avvio della procedura i appalto ai fini della preparazione dell’appalto,lo svolgimento della relativa procedura, ai fini di informare gli operatori economici degli appalti da essi programmati e degli eventuali requisiti richiesti. Non essendo una procedura standardizzata, la norma non specifica le modalità con cui debba avvenire la consultazione, ma si chiede semplicemente che la concorrenza non sia falsata . </w:t>
      </w:r>
    </w:p>
    <w:p w:rsidR="005647DA" w:rsidRPr="005C66DC" w:rsidRDefault="005647DA" w:rsidP="00945B05">
      <w:pPr>
        <w:spacing w:line="240" w:lineRule="auto"/>
        <w:rPr>
          <w:rFonts w:ascii="Arial" w:hAnsi="Arial" w:cs="Arial"/>
        </w:rPr>
      </w:pPr>
      <w:r w:rsidRPr="005C66DC">
        <w:rPr>
          <w:rFonts w:ascii="Arial" w:hAnsi="Arial" w:cs="Arial"/>
        </w:rPr>
        <w:t>Il bando di gara cost</w:t>
      </w:r>
      <w:r w:rsidR="00165D06" w:rsidRPr="005C66DC">
        <w:rPr>
          <w:rFonts w:ascii="Arial" w:hAnsi="Arial" w:cs="Arial"/>
        </w:rPr>
        <w:t>i</w:t>
      </w:r>
      <w:r w:rsidRPr="005C66DC">
        <w:rPr>
          <w:rFonts w:ascii="Arial" w:hAnsi="Arial" w:cs="Arial"/>
        </w:rPr>
        <w:t xml:space="preserve">tuisce la </w:t>
      </w:r>
      <w:proofErr w:type="spellStart"/>
      <w:r w:rsidRPr="005C66DC">
        <w:rPr>
          <w:rFonts w:ascii="Arial" w:hAnsi="Arial" w:cs="Arial"/>
        </w:rPr>
        <w:t>lex</w:t>
      </w:r>
      <w:proofErr w:type="spellEnd"/>
      <w:r w:rsidRPr="005C66DC">
        <w:rPr>
          <w:rFonts w:ascii="Arial" w:hAnsi="Arial" w:cs="Arial"/>
        </w:rPr>
        <w:t xml:space="preserve"> </w:t>
      </w:r>
      <w:proofErr w:type="spellStart"/>
      <w:r w:rsidRPr="005C66DC">
        <w:rPr>
          <w:rFonts w:ascii="Arial" w:hAnsi="Arial" w:cs="Arial"/>
        </w:rPr>
        <w:t>specialis</w:t>
      </w:r>
      <w:proofErr w:type="spellEnd"/>
      <w:r w:rsidRPr="005C66DC">
        <w:rPr>
          <w:rFonts w:ascii="Arial" w:hAnsi="Arial" w:cs="Arial"/>
        </w:rPr>
        <w:t xml:space="preserve"> della procedura, cioè l’insieme delle regole del procedimento di selezione del contraente individuate dalla stazione appaltante </w:t>
      </w:r>
      <w:r w:rsidR="00165D06" w:rsidRPr="005C66DC">
        <w:rPr>
          <w:rFonts w:ascii="Arial" w:hAnsi="Arial" w:cs="Arial"/>
        </w:rPr>
        <w:t xml:space="preserve">. fatti salvi i casi in cui le SA possono indire la gara mediante un avviso di </w:t>
      </w:r>
      <w:proofErr w:type="spellStart"/>
      <w:r w:rsidR="00165D06" w:rsidRPr="005C66DC">
        <w:rPr>
          <w:rFonts w:ascii="Arial" w:hAnsi="Arial" w:cs="Arial"/>
        </w:rPr>
        <w:t>preinformazione</w:t>
      </w:r>
      <w:proofErr w:type="spellEnd"/>
      <w:r w:rsidR="00165D06" w:rsidRPr="005C66DC">
        <w:rPr>
          <w:rFonts w:ascii="Arial" w:hAnsi="Arial" w:cs="Arial"/>
        </w:rPr>
        <w:t xml:space="preserve"> o quelli in cui possono ricorrere ad una procedura negoziata senza previa pubblicazione del bando di gara, tutte le procedure di scelta del contraente sono indette mediante la pubblicazione di bandi di gara conformi ai bandi tipo predisposti dall’ANAC. L’art 71 riguarda il contenuto dei bandi di gara “</w:t>
      </w:r>
      <w:r w:rsidR="00165D06" w:rsidRPr="005C66DC">
        <w:rPr>
          <w:rFonts w:ascii="Arial" w:hAnsi="Arial" w:cs="Arial"/>
          <w:color w:val="000000"/>
          <w:shd w:val="clear" w:color="auto" w:fill="F5FDFE"/>
        </w:rPr>
        <w:t>Essi contengono le informazioni di cui all'allegato XIV parte I lettera C, e sono pubblicati conformemente all’art. 72. Contengono altresì i criteri ambientali minimi di cui all'art 34</w:t>
      </w:r>
      <w:r w:rsidR="00165D06" w:rsidRPr="005C66DC">
        <w:rPr>
          <w:rFonts w:ascii="Arial" w:hAnsi="Arial" w:cs="Arial"/>
        </w:rPr>
        <w:t>”.</w:t>
      </w:r>
    </w:p>
    <w:p w:rsidR="00165D06" w:rsidRPr="005C66DC" w:rsidRDefault="00165D06" w:rsidP="00945B05">
      <w:pPr>
        <w:spacing w:line="240" w:lineRule="auto"/>
        <w:rPr>
          <w:rFonts w:ascii="Arial" w:hAnsi="Arial" w:cs="Arial"/>
        </w:rPr>
      </w:pPr>
      <w:r w:rsidRPr="005C66DC">
        <w:rPr>
          <w:rFonts w:ascii="Arial" w:hAnsi="Arial" w:cs="Arial"/>
        </w:rPr>
        <w:t xml:space="preserve">Gli art. 72 e 73 prevedono la pubblicazione dei bandi a livello europeo e nazionale. La pubblicazione a livello europeo prevede che i bandi e gli avvisi devono esser trasmessi all’Ufficio </w:t>
      </w:r>
      <w:r w:rsidRPr="005C66DC">
        <w:rPr>
          <w:rFonts w:ascii="Arial" w:hAnsi="Arial" w:cs="Arial"/>
        </w:rPr>
        <w:lastRenderedPageBreak/>
        <w:t>delle pubblicazione dell’UE</w:t>
      </w:r>
      <w:r w:rsidR="00314B79" w:rsidRPr="005C66DC">
        <w:rPr>
          <w:rFonts w:ascii="Arial" w:hAnsi="Arial" w:cs="Arial"/>
        </w:rPr>
        <w:t xml:space="preserve"> per via elettronica e che debbano esser pubblicati entro 5 g dalla loro trasmissione . La pubblicazione a livello nazionale, che non può procedere quella europea, è prevista in diverse modalità dall’art 73: sul profilo del committente della SA, sulla piattaforma digitale dei bandi di gara presso ANAC, sulla </w:t>
      </w:r>
      <w:proofErr w:type="spellStart"/>
      <w:r w:rsidR="00314B79" w:rsidRPr="005C66DC">
        <w:rPr>
          <w:rFonts w:ascii="Arial" w:hAnsi="Arial" w:cs="Arial"/>
        </w:rPr>
        <w:t>GU</w:t>
      </w:r>
      <w:proofErr w:type="spellEnd"/>
      <w:r w:rsidR="00314B79" w:rsidRPr="005C66DC">
        <w:rPr>
          <w:rFonts w:ascii="Arial" w:hAnsi="Arial" w:cs="Arial"/>
        </w:rPr>
        <w:t>.(anche se la GU sarà sostituita a breve.</w:t>
      </w:r>
    </w:p>
    <w:p w:rsidR="00E675CE" w:rsidRPr="005C66DC" w:rsidRDefault="00314B79" w:rsidP="00945B05">
      <w:pPr>
        <w:spacing w:line="240" w:lineRule="auto"/>
        <w:rPr>
          <w:rFonts w:ascii="Arial" w:hAnsi="Arial" w:cs="Arial"/>
        </w:rPr>
      </w:pPr>
      <w:r w:rsidRPr="005C66DC">
        <w:rPr>
          <w:rFonts w:ascii="Arial" w:hAnsi="Arial" w:cs="Arial"/>
        </w:rPr>
        <w:t xml:space="preserve">L’art 77 prevede la valutazione delle offerte da parte di una Commissione giudicatrice. I membri della commissione dovranno esser estratti a sorte da una lista di candidati comunicata dall’ANAC, costituita da un numero di nominativi almeno il doppio rispetto a quello dei componenti da </w:t>
      </w:r>
      <w:proofErr w:type="spellStart"/>
      <w:r w:rsidRPr="005C66DC">
        <w:rPr>
          <w:rFonts w:ascii="Arial" w:hAnsi="Arial" w:cs="Arial"/>
        </w:rPr>
        <w:t>nominareed</w:t>
      </w:r>
      <w:proofErr w:type="spellEnd"/>
      <w:r w:rsidRPr="005C66DC">
        <w:rPr>
          <w:rFonts w:ascii="Arial" w:hAnsi="Arial" w:cs="Arial"/>
        </w:rPr>
        <w:t xml:space="preserve"> estrapolata dall’elenco degli </w:t>
      </w:r>
      <w:proofErr w:type="spellStart"/>
      <w:r w:rsidRPr="005C66DC">
        <w:rPr>
          <w:rFonts w:ascii="Arial" w:hAnsi="Arial" w:cs="Arial"/>
        </w:rPr>
        <w:t>eseprti</w:t>
      </w:r>
      <w:proofErr w:type="spellEnd"/>
      <w:r w:rsidRPr="005C66DC">
        <w:rPr>
          <w:rFonts w:ascii="Arial" w:hAnsi="Arial" w:cs="Arial"/>
        </w:rPr>
        <w:t xml:space="preserve"> iscritti all’Albo dei componenti delle commissioni giudicatrici</w:t>
      </w:r>
      <w:r w:rsidR="00E675CE" w:rsidRPr="005C66DC">
        <w:rPr>
          <w:rFonts w:ascii="Arial" w:hAnsi="Arial" w:cs="Arial"/>
        </w:rPr>
        <w:t xml:space="preserve">. La nomina dei commissari deve avvenire dopo la scadenza del termine fissato per la presentazione delle </w:t>
      </w:r>
      <w:proofErr w:type="spellStart"/>
      <w:r w:rsidR="00E675CE" w:rsidRPr="005C66DC">
        <w:rPr>
          <w:rFonts w:ascii="Arial" w:hAnsi="Arial" w:cs="Arial"/>
        </w:rPr>
        <w:t>offerte.l</w:t>
      </w:r>
      <w:proofErr w:type="spellEnd"/>
      <w:r w:rsidR="00E675CE" w:rsidRPr="005C66DC">
        <w:rPr>
          <w:rFonts w:ascii="Arial" w:hAnsi="Arial" w:cs="Arial"/>
        </w:rPr>
        <w:t>’art 77 riguarda i requisiti di moralità, compatibilità e professionalità dei commissari a cui si rimanda.</w:t>
      </w:r>
    </w:p>
    <w:p w:rsidR="00E675CE" w:rsidRPr="005C66DC" w:rsidRDefault="00E675CE" w:rsidP="00945B05">
      <w:pPr>
        <w:spacing w:line="240" w:lineRule="auto"/>
        <w:rPr>
          <w:rFonts w:ascii="Arial" w:hAnsi="Arial" w:cs="Arial"/>
          <w:b/>
        </w:rPr>
      </w:pPr>
      <w:r w:rsidRPr="005C66DC">
        <w:rPr>
          <w:rFonts w:ascii="Arial" w:hAnsi="Arial" w:cs="Arial"/>
          <w:b/>
        </w:rPr>
        <w:t xml:space="preserve">I criteri di aggiudicazione dell’appalto </w:t>
      </w:r>
    </w:p>
    <w:p w:rsidR="00E675CE" w:rsidRPr="005C66DC" w:rsidRDefault="00E675CE" w:rsidP="00945B05">
      <w:pPr>
        <w:spacing w:line="240" w:lineRule="auto"/>
        <w:rPr>
          <w:rFonts w:ascii="Arial" w:hAnsi="Arial" w:cs="Arial"/>
          <w:b/>
        </w:rPr>
      </w:pPr>
      <w:r w:rsidRPr="005C66DC">
        <w:rPr>
          <w:rFonts w:ascii="Arial" w:hAnsi="Arial" w:cs="Arial"/>
          <w:b/>
        </w:rPr>
        <w:t xml:space="preserve">Ai sensi dell’art 95 il criterio dell’offerta economicamente più vantaggiosa che in precedenza era un’alternativa al prezzo più basso, diventa il criterio di aggiudicazione preferenziale e questa preferenza serve non solo a garantire la miglior qualità della prestazione ma anche a prevenire fenomeni come ad es. lo sfruttamento della manodopera ecc. il criterio </w:t>
      </w:r>
      <w:proofErr w:type="spellStart"/>
      <w:r w:rsidRPr="005C66DC">
        <w:rPr>
          <w:rFonts w:ascii="Arial" w:hAnsi="Arial" w:cs="Arial"/>
          <w:b/>
        </w:rPr>
        <w:t>OEVè</w:t>
      </w:r>
      <w:proofErr w:type="spellEnd"/>
      <w:r w:rsidRPr="005C66DC">
        <w:rPr>
          <w:rFonts w:ascii="Arial" w:hAnsi="Arial" w:cs="Arial"/>
          <w:b/>
        </w:rPr>
        <w:t xml:space="preserve"> esclusivo per:</w:t>
      </w:r>
    </w:p>
    <w:p w:rsidR="00E675CE" w:rsidRPr="005C66DC" w:rsidRDefault="00E675CE" w:rsidP="00E675CE">
      <w:pPr>
        <w:pStyle w:val="Paragrafoelenco"/>
        <w:numPr>
          <w:ilvl w:val="0"/>
          <w:numId w:val="10"/>
        </w:numPr>
        <w:spacing w:line="240" w:lineRule="auto"/>
        <w:rPr>
          <w:rFonts w:ascii="Arial" w:hAnsi="Arial" w:cs="Arial"/>
          <w:b/>
        </w:rPr>
      </w:pPr>
      <w:r w:rsidRPr="005C66DC">
        <w:rPr>
          <w:rFonts w:ascii="Arial" w:hAnsi="Arial" w:cs="Arial"/>
          <w:b/>
        </w:rPr>
        <w:t>servizi sociali e ristorazione ospedaliera, assistenziale e scolastica</w:t>
      </w:r>
    </w:p>
    <w:p w:rsidR="00E675CE" w:rsidRPr="005C66DC" w:rsidRDefault="00E675CE" w:rsidP="00E675CE">
      <w:pPr>
        <w:pStyle w:val="Paragrafoelenco"/>
        <w:numPr>
          <w:ilvl w:val="0"/>
          <w:numId w:val="10"/>
        </w:numPr>
        <w:spacing w:line="240" w:lineRule="auto"/>
        <w:rPr>
          <w:rFonts w:ascii="Arial" w:hAnsi="Arial" w:cs="Arial"/>
          <w:b/>
        </w:rPr>
      </w:pPr>
      <w:r w:rsidRPr="005C66DC">
        <w:rPr>
          <w:rFonts w:ascii="Arial" w:hAnsi="Arial" w:cs="Arial"/>
          <w:b/>
        </w:rPr>
        <w:t>servizi ad alta intensità di manodopera</w:t>
      </w:r>
    </w:p>
    <w:p w:rsidR="00745BC1" w:rsidRPr="005C66DC" w:rsidRDefault="00E675CE" w:rsidP="00E675CE">
      <w:pPr>
        <w:pStyle w:val="Paragrafoelenco"/>
        <w:numPr>
          <w:ilvl w:val="0"/>
          <w:numId w:val="10"/>
        </w:numPr>
        <w:spacing w:line="240" w:lineRule="auto"/>
        <w:rPr>
          <w:rFonts w:ascii="Arial" w:hAnsi="Arial" w:cs="Arial"/>
          <w:b/>
        </w:rPr>
      </w:pPr>
      <w:r w:rsidRPr="005C66DC">
        <w:rPr>
          <w:rFonts w:ascii="Arial" w:hAnsi="Arial" w:cs="Arial"/>
          <w:b/>
        </w:rPr>
        <w:t>servizi di ingegneria e architettura, nonché gli altri servizi di natura tecnica e intellettuale di importo superiore a 40000</w:t>
      </w:r>
    </w:p>
    <w:p w:rsidR="00E675CE" w:rsidRPr="005C66DC" w:rsidRDefault="00745BC1" w:rsidP="00745BC1">
      <w:pPr>
        <w:spacing w:line="240" w:lineRule="auto"/>
        <w:rPr>
          <w:rFonts w:ascii="Arial" w:hAnsi="Arial" w:cs="Arial"/>
          <w:b/>
        </w:rPr>
      </w:pPr>
      <w:r w:rsidRPr="005C66DC">
        <w:rPr>
          <w:rFonts w:ascii="Arial" w:hAnsi="Arial" w:cs="Arial"/>
          <w:b/>
        </w:rPr>
        <w:t>il criterio del prezzo più basso diviene un criterio residuale utilizzabile dalla stazione appaltante, previa adeguata motivazione</w:t>
      </w:r>
      <w:r w:rsidR="00E675CE" w:rsidRPr="005C66DC">
        <w:rPr>
          <w:rFonts w:ascii="Arial" w:hAnsi="Arial" w:cs="Arial"/>
          <w:b/>
        </w:rPr>
        <w:t xml:space="preserve"> </w:t>
      </w:r>
      <w:r w:rsidRPr="005C66DC">
        <w:rPr>
          <w:rFonts w:ascii="Arial" w:hAnsi="Arial" w:cs="Arial"/>
          <w:b/>
        </w:rPr>
        <w:t>:</w:t>
      </w:r>
    </w:p>
    <w:p w:rsidR="00745BC1" w:rsidRPr="005C66DC" w:rsidRDefault="00745BC1" w:rsidP="00745BC1">
      <w:pPr>
        <w:pStyle w:val="Paragrafoelenco"/>
        <w:numPr>
          <w:ilvl w:val="0"/>
          <w:numId w:val="11"/>
        </w:numPr>
        <w:spacing w:line="240" w:lineRule="auto"/>
        <w:rPr>
          <w:rFonts w:ascii="Arial" w:hAnsi="Arial" w:cs="Arial"/>
          <w:b/>
        </w:rPr>
      </w:pPr>
      <w:r w:rsidRPr="005C66DC">
        <w:rPr>
          <w:rFonts w:ascii="Arial" w:hAnsi="Arial" w:cs="Arial"/>
          <w:color w:val="000000"/>
          <w:shd w:val="clear" w:color="auto" w:fill="F5FDFE"/>
        </w:rPr>
        <w:t>a</w:t>
      </w:r>
      <w:r w:rsidRPr="005C66DC">
        <w:rPr>
          <w:rFonts w:ascii="Arial" w:hAnsi="Arial" w:cs="Arial"/>
          <w:color w:val="000000" w:themeColor="text1"/>
          <w:shd w:val="clear" w:color="auto" w:fill="F5FDFE"/>
        </w:rPr>
        <w:t xml:space="preserve">), per i lavori di importo pari o inferiore a 2.000.000 di euro, quando l'affidamento dei lavori avviene con procedure ordinarie, sulla base del progetto esecutivo; in tali ipotesi, qualora la stazione appaltante applichi l'esclusione automatica, </w:t>
      </w:r>
      <w:r w:rsidRPr="005C66DC">
        <w:rPr>
          <w:rFonts w:ascii="Arial" w:hAnsi="Arial" w:cs="Arial"/>
          <w:color w:val="000000" w:themeColor="text1"/>
        </w:rPr>
        <w:br/>
      </w:r>
      <w:r w:rsidRPr="005C66DC">
        <w:rPr>
          <w:rFonts w:ascii="Arial" w:hAnsi="Arial" w:cs="Arial"/>
          <w:color w:val="000000" w:themeColor="text1"/>
          <w:shd w:val="clear" w:color="auto" w:fill="F5FDFE"/>
        </w:rPr>
        <w:t>b) per i servizi e le forniture con caratteristiche standardizzate o le cui condizioni sono definite dal mercato; </w:t>
      </w:r>
      <w:r w:rsidRPr="005C66DC">
        <w:rPr>
          <w:rFonts w:ascii="Arial" w:hAnsi="Arial" w:cs="Arial"/>
          <w:color w:val="000000" w:themeColor="text1"/>
        </w:rPr>
        <w:br/>
      </w:r>
      <w:r w:rsidRPr="005C66DC">
        <w:rPr>
          <w:rFonts w:ascii="Arial" w:hAnsi="Arial" w:cs="Arial"/>
          <w:color w:val="000000" w:themeColor="text1"/>
          <w:shd w:val="clear" w:color="auto" w:fill="F5FDFE"/>
        </w:rPr>
        <w:t>c) per i servizi e le forniture di importo fino a 40.000 euro, nonché per i servizi e le forniture di importo pari o superiore a 40.000 euro e sino alla soglia di cui all’art.35 solo se caratterizzati da elevata ripetitività, fatta eccezione per quelli di notevole contenuto tecnologico o che hanno un carattere innovativo.</w:t>
      </w:r>
    </w:p>
    <w:p w:rsidR="00E675CE" w:rsidRPr="005C66DC" w:rsidRDefault="00745BC1" w:rsidP="00945B05">
      <w:pPr>
        <w:spacing w:line="240" w:lineRule="auto"/>
        <w:rPr>
          <w:rFonts w:ascii="Arial" w:hAnsi="Arial" w:cs="Arial"/>
        </w:rPr>
      </w:pPr>
      <w:r w:rsidRPr="005C66DC">
        <w:rPr>
          <w:rFonts w:ascii="Arial" w:hAnsi="Arial" w:cs="Arial"/>
        </w:rPr>
        <w:t>Inoltre le SA hanno la possibilità di inserire nella valutazione dell’offerta criteri premiali legati al rating di legalità, all’impatto sulla sicurezza e salute dei lavoratori, sull’ambiente, per agevolare le piccole e medie imprese , giovani professionisti e le imprese di nuova costituzione</w:t>
      </w:r>
    </w:p>
    <w:p w:rsidR="00B26354" w:rsidRPr="005C66DC" w:rsidRDefault="00B26354" w:rsidP="00945B05">
      <w:pPr>
        <w:spacing w:line="240" w:lineRule="auto"/>
        <w:rPr>
          <w:rFonts w:ascii="Arial" w:hAnsi="Arial" w:cs="Arial"/>
        </w:rPr>
      </w:pPr>
      <w:r w:rsidRPr="005C66DC">
        <w:rPr>
          <w:rFonts w:ascii="Arial" w:hAnsi="Arial" w:cs="Arial"/>
        </w:rPr>
        <w:t>Avvio delle procedure -</w:t>
      </w:r>
      <w:r w:rsidRPr="005C66DC">
        <w:rPr>
          <w:rFonts w:ascii="Arial" w:hAnsi="Arial" w:cs="Arial"/>
        </w:rPr>
        <w:sym w:font="Wingdings" w:char="F0E0"/>
      </w:r>
      <w:r w:rsidRPr="005C66DC">
        <w:rPr>
          <w:rFonts w:ascii="Arial" w:hAnsi="Arial" w:cs="Arial"/>
        </w:rPr>
        <w:t>Le stazioni appaltanti devono predeterminare gli elementi essenziali del contratto ed i criteri di selezione degli operatori e delle offerte Art. 32, comma 2°</w:t>
      </w:r>
    </w:p>
    <w:p w:rsidR="00B26354" w:rsidRPr="005C66DC" w:rsidRDefault="00B26354" w:rsidP="00945B05">
      <w:pPr>
        <w:spacing w:line="240" w:lineRule="auto"/>
        <w:rPr>
          <w:rFonts w:ascii="Arial" w:hAnsi="Arial" w:cs="Arial"/>
        </w:rPr>
      </w:pPr>
      <w:r w:rsidRPr="005C66DC">
        <w:rPr>
          <w:rFonts w:ascii="Arial" w:hAnsi="Arial" w:cs="Arial"/>
        </w:rPr>
        <w:t>Efficacia temporale offerte</w:t>
      </w:r>
      <w:r w:rsidRPr="005C66DC">
        <w:rPr>
          <w:rFonts w:ascii="Arial" w:hAnsi="Arial" w:cs="Arial"/>
        </w:rPr>
        <w:sym w:font="Wingdings" w:char="F0E0"/>
      </w:r>
      <w:r w:rsidRPr="005C66DC">
        <w:rPr>
          <w:rFonts w:ascii="Arial" w:hAnsi="Arial" w:cs="Arial"/>
        </w:rPr>
        <w:t xml:space="preserve"> L’offerta è vincolante per il periodo indicato nel bando o lettera di invito. In caso di mancata indicazione: 180 </w:t>
      </w:r>
      <w:proofErr w:type="spellStart"/>
      <w:r w:rsidRPr="005C66DC">
        <w:rPr>
          <w:rFonts w:ascii="Arial" w:hAnsi="Arial" w:cs="Arial"/>
        </w:rPr>
        <w:t>gg</w:t>
      </w:r>
      <w:proofErr w:type="spellEnd"/>
      <w:r w:rsidRPr="005C66DC">
        <w:rPr>
          <w:rFonts w:ascii="Arial" w:hAnsi="Arial" w:cs="Arial"/>
        </w:rPr>
        <w:t xml:space="preserve">.. La stazione appaltante può chiedere il differimento Art. 32, comma 4° </w:t>
      </w:r>
    </w:p>
    <w:p w:rsidR="00B26354" w:rsidRPr="005C66DC" w:rsidRDefault="00B26354" w:rsidP="00945B05">
      <w:pPr>
        <w:spacing w:line="240" w:lineRule="auto"/>
        <w:rPr>
          <w:rFonts w:ascii="Arial" w:hAnsi="Arial" w:cs="Arial"/>
        </w:rPr>
      </w:pPr>
      <w:r w:rsidRPr="005C66DC">
        <w:rPr>
          <w:rFonts w:ascii="Arial" w:hAnsi="Arial" w:cs="Arial"/>
        </w:rPr>
        <w:t xml:space="preserve">Proposta di aggiudicazione (ex aggiudicazione provvisoria) </w:t>
      </w:r>
      <w:r w:rsidRPr="005C66DC">
        <w:rPr>
          <w:rFonts w:ascii="Arial" w:hAnsi="Arial" w:cs="Arial"/>
        </w:rPr>
        <w:sym w:font="Wingdings" w:char="F0E0"/>
      </w:r>
      <w:r w:rsidRPr="005C66DC">
        <w:rPr>
          <w:rFonts w:ascii="Arial" w:hAnsi="Arial" w:cs="Arial"/>
        </w:rPr>
        <w:t xml:space="preserve">La proposta di aggiudicazione è approvata entro 30 giorni, in mancanza di diverso termine previsto dall’ordinamento della stazione appaltante. Il termine è interrotto dalla richiesta di chiarimenti o documenti ed inizia nuovamente a decorrere da quando i chiarimenti o documenti pervengono all’organo richiedente. Decorsi tali termini, la proposta di aggiudicazione si intende approvata Art. 33, comma 1° </w:t>
      </w:r>
    </w:p>
    <w:p w:rsidR="00B26354" w:rsidRPr="005C66DC" w:rsidRDefault="00B26354" w:rsidP="00945B05">
      <w:pPr>
        <w:spacing w:line="240" w:lineRule="auto"/>
        <w:rPr>
          <w:rFonts w:ascii="Arial" w:hAnsi="Arial" w:cs="Arial"/>
        </w:rPr>
      </w:pPr>
      <w:r w:rsidRPr="005C66DC">
        <w:rPr>
          <w:rFonts w:ascii="Arial" w:hAnsi="Arial" w:cs="Arial"/>
        </w:rPr>
        <w:t xml:space="preserve">Aggiudicazione (ex aggiudicazione definitiva) </w:t>
      </w:r>
      <w:r w:rsidRPr="005C66DC">
        <w:rPr>
          <w:rFonts w:ascii="Arial" w:hAnsi="Arial" w:cs="Arial"/>
        </w:rPr>
        <w:sym w:font="Wingdings" w:char="F0E0"/>
      </w:r>
      <w:r w:rsidRPr="005C66DC">
        <w:rPr>
          <w:rFonts w:ascii="Arial" w:hAnsi="Arial" w:cs="Arial"/>
        </w:rPr>
        <w:t xml:space="preserve">La stazione appaltante verifica la legittimità della proposta di aggiudicazione e dispone l’aggiudicazione (definitiva) Art. 32, comma 5° </w:t>
      </w:r>
    </w:p>
    <w:p w:rsidR="00415505" w:rsidRPr="005C66DC" w:rsidRDefault="00B26354" w:rsidP="00945B05">
      <w:pPr>
        <w:spacing w:line="240" w:lineRule="auto"/>
        <w:rPr>
          <w:rFonts w:ascii="Arial" w:hAnsi="Arial" w:cs="Arial"/>
        </w:rPr>
      </w:pPr>
      <w:r w:rsidRPr="005C66DC">
        <w:rPr>
          <w:rFonts w:ascii="Arial" w:hAnsi="Arial" w:cs="Arial"/>
        </w:rPr>
        <w:lastRenderedPageBreak/>
        <w:t>Efficacia ed irrevocabilità dell’aggiudicazione L’aggiudicazione (definitiva):</w:t>
      </w:r>
      <w:r w:rsidRPr="005C66DC">
        <w:rPr>
          <w:rFonts w:ascii="Arial" w:hAnsi="Arial" w:cs="Arial"/>
        </w:rPr>
        <w:sym w:font="Wingdings" w:char="F0E0"/>
      </w:r>
      <w:r w:rsidRPr="005C66DC">
        <w:rPr>
          <w:rFonts w:ascii="Arial" w:hAnsi="Arial" w:cs="Arial"/>
        </w:rPr>
        <w:t xml:space="preserve"> </w:t>
      </w:r>
      <w:r w:rsidRPr="005C66DC">
        <w:rPr>
          <w:rFonts w:ascii="Arial" w:hAnsi="Arial" w:cs="Arial"/>
        </w:rPr>
        <w:sym w:font="Symbol" w:char="F0A7"/>
      </w:r>
      <w:r w:rsidRPr="005C66DC">
        <w:rPr>
          <w:rFonts w:ascii="Arial" w:hAnsi="Arial" w:cs="Arial"/>
        </w:rPr>
        <w:t xml:space="preserve"> Non equivale ad accettazione dell’offerta; Art. 32, commi 6°, 7° ed 8°. Diviene efficace solo dopo l’intervenuta e positiva verifica del possesso dei requisiti </w:t>
      </w:r>
      <w:proofErr w:type="spellStart"/>
      <w:r w:rsidRPr="005C66DC">
        <w:rPr>
          <w:rFonts w:ascii="Arial" w:hAnsi="Arial" w:cs="Arial"/>
        </w:rPr>
        <w:t>autodichiarati</w:t>
      </w:r>
      <w:proofErr w:type="spellEnd"/>
      <w:r w:rsidRPr="005C66DC">
        <w:rPr>
          <w:rFonts w:ascii="Arial" w:hAnsi="Arial" w:cs="Arial"/>
        </w:rPr>
        <w:t>. L’offerta dell’aggiudicatario (definitivo) non può essere revocata entro i 60 gg. dall’intervenuta efficacia dell’aggiudicazione definitiva. Decorso tale termine, se non è intervenuta la stipula del contratto, l’aggiudicatario può sciogliersi da ogni vincolo.</w:t>
      </w:r>
    </w:p>
    <w:p w:rsidR="00B26354" w:rsidRPr="005C66DC" w:rsidRDefault="00B26354" w:rsidP="00945B05">
      <w:pPr>
        <w:spacing w:line="240" w:lineRule="auto"/>
        <w:rPr>
          <w:rFonts w:ascii="Arial" w:hAnsi="Arial" w:cs="Arial"/>
        </w:rPr>
      </w:pPr>
      <w:r w:rsidRPr="005C66DC">
        <w:rPr>
          <w:rFonts w:ascii="Arial" w:hAnsi="Arial" w:cs="Arial"/>
        </w:rPr>
        <w:t xml:space="preserve">Stipulazione del contratto </w:t>
      </w:r>
      <w:r w:rsidRPr="005C66DC">
        <w:rPr>
          <w:rFonts w:ascii="Arial" w:hAnsi="Arial" w:cs="Arial"/>
        </w:rPr>
        <w:sym w:font="Wingdings" w:char="F0E0"/>
      </w:r>
      <w:r w:rsidRPr="005C66DC">
        <w:rPr>
          <w:rFonts w:ascii="Arial" w:hAnsi="Arial" w:cs="Arial"/>
        </w:rPr>
        <w:t xml:space="preserve">Deve avvenire entro 60 gg. dall’intervenuta efficacia dell’aggiudicazione definitiva, fatto salvo il rispetto del termine dilatorio (art. 32, comma 9°). Art. 32, comma 8° </w:t>
      </w:r>
    </w:p>
    <w:p w:rsidR="00B26354" w:rsidRPr="005C66DC" w:rsidRDefault="00B26354" w:rsidP="00945B05">
      <w:pPr>
        <w:spacing w:line="240" w:lineRule="auto"/>
        <w:rPr>
          <w:rFonts w:ascii="Arial" w:hAnsi="Arial" w:cs="Arial"/>
        </w:rPr>
      </w:pPr>
      <w:r w:rsidRPr="005C66DC">
        <w:rPr>
          <w:rFonts w:ascii="Arial" w:hAnsi="Arial" w:cs="Arial"/>
        </w:rPr>
        <w:t xml:space="preserve">Esecuzione anticipata in via d’urgenza del contratto </w:t>
      </w:r>
      <w:r w:rsidRPr="005C66DC">
        <w:rPr>
          <w:rFonts w:ascii="Arial" w:hAnsi="Arial" w:cs="Arial"/>
        </w:rPr>
        <w:sym w:font="Wingdings" w:char="F0E0"/>
      </w:r>
      <w:r w:rsidRPr="005C66DC">
        <w:rPr>
          <w:rFonts w:ascii="Arial" w:hAnsi="Arial" w:cs="Arial"/>
        </w:rPr>
        <w:t xml:space="preserve">L’esecuzione d’urgenza è ammessa esclusivamente nelle ipotesi di eventi oggettivamente imprevedibili, per ovviare a situazioni di pericolo per persone, animali o cose, ovvero per l’igiene e la salute pubblica, ovvero per il patrimonio storico, artistico, culturale ovvero nei casi in cui la mancata esecuzione immediata della prestazione dedotta nella gara determinerebbe un grave danno all'interesse pubblico che è destinata a soddisfare, ivi compresa la perdita di finanziamenti comunitari. Art. 32, comma 8° </w:t>
      </w:r>
    </w:p>
    <w:p w:rsidR="00C53056" w:rsidRPr="005C66DC" w:rsidRDefault="00B26354" w:rsidP="00945B05">
      <w:pPr>
        <w:spacing w:line="240" w:lineRule="auto"/>
        <w:rPr>
          <w:rFonts w:ascii="Arial" w:hAnsi="Arial" w:cs="Arial"/>
        </w:rPr>
      </w:pPr>
      <w:r w:rsidRPr="005C66DC">
        <w:rPr>
          <w:rFonts w:ascii="Arial" w:hAnsi="Arial" w:cs="Arial"/>
        </w:rPr>
        <w:t xml:space="preserve">Stand </w:t>
      </w:r>
      <w:proofErr w:type="spellStart"/>
      <w:r w:rsidRPr="005C66DC">
        <w:rPr>
          <w:rFonts w:ascii="Arial" w:hAnsi="Arial" w:cs="Arial"/>
        </w:rPr>
        <w:t>still</w:t>
      </w:r>
      <w:proofErr w:type="spellEnd"/>
      <w:r w:rsidRPr="005C66DC">
        <w:rPr>
          <w:rFonts w:ascii="Arial" w:hAnsi="Arial" w:cs="Arial"/>
        </w:rPr>
        <w:t xml:space="preserve"> (termine dilatorio) </w:t>
      </w:r>
      <w:r w:rsidR="00C53056" w:rsidRPr="005C66DC">
        <w:rPr>
          <w:rFonts w:ascii="Arial" w:hAnsi="Arial" w:cs="Arial"/>
        </w:rPr>
        <w:sym w:font="Wingdings" w:char="F0E0"/>
      </w:r>
      <w:r w:rsidRPr="005C66DC">
        <w:rPr>
          <w:rFonts w:ascii="Arial" w:hAnsi="Arial" w:cs="Arial"/>
        </w:rPr>
        <w:t>Il contratto non può essere stipulato prima di trentacinque giorni dall'invio dell'ultima delle comunicazioni del provvedimento di aggiudicazione. Tale termine dilatorio non si applica in caso di:</w:t>
      </w:r>
    </w:p>
    <w:p w:rsidR="00C53056" w:rsidRPr="005C66DC" w:rsidRDefault="00B26354" w:rsidP="00945B05">
      <w:pPr>
        <w:spacing w:line="240" w:lineRule="auto"/>
        <w:rPr>
          <w:rFonts w:ascii="Arial" w:hAnsi="Arial" w:cs="Arial"/>
        </w:rPr>
      </w:pPr>
      <w:r w:rsidRPr="005C66DC">
        <w:rPr>
          <w:rFonts w:ascii="Arial" w:hAnsi="Arial" w:cs="Arial"/>
        </w:rPr>
        <w:t xml:space="preserve"> a) Unica offerta presentata o ammessa se non sono state tempestivamente proposte impugnazioni del bando o della lettera di invito o queste impugnazioni risultano già respinte con decisione definitiva; </w:t>
      </w:r>
    </w:p>
    <w:p w:rsidR="00C53056" w:rsidRPr="005C66DC" w:rsidRDefault="00B26354" w:rsidP="00945B05">
      <w:pPr>
        <w:spacing w:line="240" w:lineRule="auto"/>
        <w:rPr>
          <w:rFonts w:ascii="Arial" w:hAnsi="Arial" w:cs="Arial"/>
        </w:rPr>
      </w:pPr>
      <w:r w:rsidRPr="005C66DC">
        <w:rPr>
          <w:rFonts w:ascii="Arial" w:hAnsi="Arial" w:cs="Arial"/>
        </w:rPr>
        <w:t>b) Appalto basato su un accordo quadro;</w:t>
      </w:r>
    </w:p>
    <w:p w:rsidR="00C53056" w:rsidRPr="005C66DC" w:rsidRDefault="00B26354" w:rsidP="00945B05">
      <w:pPr>
        <w:spacing w:line="240" w:lineRule="auto"/>
        <w:rPr>
          <w:rFonts w:ascii="Arial" w:hAnsi="Arial" w:cs="Arial"/>
        </w:rPr>
      </w:pPr>
      <w:r w:rsidRPr="005C66DC">
        <w:rPr>
          <w:rFonts w:ascii="Arial" w:hAnsi="Arial" w:cs="Arial"/>
        </w:rPr>
        <w:t xml:space="preserve"> c) Appalti specifici basati su un sistema dinamico di acquisizione; </w:t>
      </w:r>
    </w:p>
    <w:p w:rsidR="00C53056" w:rsidRPr="005C66DC" w:rsidRDefault="00B26354" w:rsidP="00945B05">
      <w:pPr>
        <w:spacing w:line="240" w:lineRule="auto"/>
        <w:rPr>
          <w:rFonts w:ascii="Arial" w:hAnsi="Arial" w:cs="Arial"/>
        </w:rPr>
      </w:pPr>
      <w:r w:rsidRPr="005C66DC">
        <w:rPr>
          <w:rFonts w:ascii="Arial" w:hAnsi="Arial" w:cs="Arial"/>
        </w:rPr>
        <w:t xml:space="preserve">d) Acquisti effettuati attraverso il mercato elettronico; </w:t>
      </w:r>
    </w:p>
    <w:p w:rsidR="00C53056" w:rsidRPr="005C66DC" w:rsidRDefault="00B26354" w:rsidP="00945B05">
      <w:pPr>
        <w:spacing w:line="240" w:lineRule="auto"/>
        <w:rPr>
          <w:rFonts w:ascii="Arial" w:hAnsi="Arial" w:cs="Arial"/>
        </w:rPr>
      </w:pPr>
      <w:r w:rsidRPr="005C66DC">
        <w:rPr>
          <w:rFonts w:ascii="Arial" w:hAnsi="Arial" w:cs="Arial"/>
        </w:rPr>
        <w:t>e) Affidamenti diretti adeguatamente motivati (sotto soglia fino ad € 39.999,99);</w:t>
      </w:r>
    </w:p>
    <w:p w:rsidR="00C53056" w:rsidRPr="005C66DC" w:rsidRDefault="00B26354" w:rsidP="00945B05">
      <w:pPr>
        <w:spacing w:line="240" w:lineRule="auto"/>
        <w:rPr>
          <w:rFonts w:ascii="Arial" w:hAnsi="Arial" w:cs="Arial"/>
        </w:rPr>
      </w:pPr>
      <w:r w:rsidRPr="005C66DC">
        <w:rPr>
          <w:rFonts w:ascii="Arial" w:hAnsi="Arial" w:cs="Arial"/>
        </w:rPr>
        <w:t xml:space="preserve"> f) Affidamenti di beni o servizi sino alla soglia comunitaria ed affidamenti di lavori sino ad € Art. 32, commi 9° e 10° effettuati attraverso procedura negoziata previa consultazione. </w:t>
      </w:r>
    </w:p>
    <w:p w:rsidR="00C53056" w:rsidRPr="005C66DC" w:rsidRDefault="00B26354" w:rsidP="00945B05">
      <w:pPr>
        <w:spacing w:line="240" w:lineRule="auto"/>
        <w:rPr>
          <w:rFonts w:ascii="Arial" w:hAnsi="Arial" w:cs="Arial"/>
        </w:rPr>
      </w:pPr>
      <w:r w:rsidRPr="005C66DC">
        <w:rPr>
          <w:rFonts w:ascii="Arial" w:hAnsi="Arial" w:cs="Arial"/>
        </w:rPr>
        <w:t xml:space="preserve">Impugnazione giurisdizionale </w:t>
      </w:r>
      <w:r w:rsidR="00C53056" w:rsidRPr="005C66DC">
        <w:rPr>
          <w:rFonts w:ascii="Arial" w:hAnsi="Arial" w:cs="Arial"/>
        </w:rPr>
        <w:sym w:font="Wingdings" w:char="F0E0"/>
      </w:r>
      <w:r w:rsidRPr="005C66DC">
        <w:rPr>
          <w:rFonts w:ascii="Arial" w:hAnsi="Arial" w:cs="Arial"/>
        </w:rPr>
        <w:t>Se è proposto ricorso avverso l'aggiudicazione con contestuale domanda cautelare, il contratto non può essere stipulato, dal momento della notificazione dell'istanza cautelare alla stazione appaltante e per i successivi venti giorni, a condizione che, entro tale termine, intervenga almeno il provvedimento cautelare di primo grado o la pubblicazione del dispositivo della sentenza di primo grado in caso di decisione del merito all'udienza cautelare ovvero fino alla pronuncia di detti provvedimenti se successiva. L'effetto sospensivo sulla stipula del contratto cessa quando, in sede di esame della domanda cautelare, il giudice si dichiara incompetente o fissa, con ordinanza, la data di discussione del merito senza concedere misure cautelari o rinvia al giudizio di merito l'esame della domanda cautelare, con il consenso delle parti, da intendersi quale implicita rinuncia all'immediato esame della domanda cautelare. Art. 32, comma 11°</w:t>
      </w:r>
    </w:p>
    <w:p w:rsidR="00C53056" w:rsidRPr="005C66DC" w:rsidRDefault="00B26354" w:rsidP="00945B05">
      <w:pPr>
        <w:spacing w:line="240" w:lineRule="auto"/>
        <w:rPr>
          <w:rFonts w:ascii="Arial" w:hAnsi="Arial" w:cs="Arial"/>
        </w:rPr>
      </w:pPr>
      <w:r w:rsidRPr="005C66DC">
        <w:rPr>
          <w:rFonts w:ascii="Arial" w:hAnsi="Arial" w:cs="Arial"/>
        </w:rPr>
        <w:t xml:space="preserve"> Esecuzione ordinaria del contratto</w:t>
      </w:r>
      <w:r w:rsidR="00C53056" w:rsidRPr="005C66DC">
        <w:rPr>
          <w:rFonts w:ascii="Arial" w:hAnsi="Arial" w:cs="Arial"/>
        </w:rPr>
        <w:sym w:font="Wingdings" w:char="F0E0"/>
      </w:r>
      <w:r w:rsidRPr="005C66DC">
        <w:rPr>
          <w:rFonts w:ascii="Arial" w:hAnsi="Arial" w:cs="Arial"/>
        </w:rPr>
        <w:t xml:space="preserve"> L’esecuzione del contratto, eccettuati i casi di urgenza, può avere inizio solo dopo la sua intervenuta efficacia. Art. 32, comma 13° </w:t>
      </w:r>
    </w:p>
    <w:p w:rsidR="00B26354" w:rsidRPr="005C66DC" w:rsidRDefault="00B26354" w:rsidP="00945B05">
      <w:pPr>
        <w:spacing w:line="240" w:lineRule="auto"/>
        <w:rPr>
          <w:rFonts w:ascii="Arial" w:hAnsi="Arial" w:cs="Arial"/>
        </w:rPr>
      </w:pPr>
      <w:r w:rsidRPr="005C66DC">
        <w:rPr>
          <w:rFonts w:ascii="Arial" w:hAnsi="Arial" w:cs="Arial"/>
        </w:rPr>
        <w:t xml:space="preserve">Modalità di stipula del contratto </w:t>
      </w:r>
      <w:r w:rsidR="00C53056" w:rsidRPr="005C66DC">
        <w:rPr>
          <w:rFonts w:ascii="Arial" w:hAnsi="Arial" w:cs="Arial"/>
        </w:rPr>
        <w:sym w:font="Wingdings" w:char="F0E0"/>
      </w:r>
      <w:r w:rsidRPr="005C66DC">
        <w:rPr>
          <w:rFonts w:ascii="Arial" w:hAnsi="Arial" w:cs="Arial"/>
        </w:rPr>
        <w:t xml:space="preserve">1) Atto pubblico notarile informatico; 2) Modalità elettronica secondo le norme vigenti per ciascuna stazione appaltante; a) in forma pubblica amministrativa a cura dell’Ufficiale rogante della stazione appaltante; b) mediante scrittura privata in caso di procedura negoziata 3) Mediante corrispondenza secondo l’uso del commercio, consistente in un apposito scambio di lettere, anche tramite pec, per gli affidamenti di importo non superiore a 40.000 euro. Art. 32, comma 14° </w:t>
      </w:r>
    </w:p>
    <w:p w:rsidR="005D2A98" w:rsidRPr="005C66DC" w:rsidRDefault="005D2A98" w:rsidP="00945B05">
      <w:pPr>
        <w:spacing w:line="240" w:lineRule="auto"/>
        <w:rPr>
          <w:rFonts w:ascii="Arial" w:hAnsi="Arial" w:cs="Arial"/>
          <w:b/>
        </w:rPr>
      </w:pPr>
      <w:r w:rsidRPr="005C66DC">
        <w:rPr>
          <w:rFonts w:ascii="Arial" w:hAnsi="Arial" w:cs="Arial"/>
          <w:b/>
        </w:rPr>
        <w:lastRenderedPageBreak/>
        <w:t>Offerte anormalmente basse</w:t>
      </w:r>
    </w:p>
    <w:p w:rsidR="00BC3075" w:rsidRPr="005C66DC" w:rsidRDefault="005D2A98" w:rsidP="00945B05">
      <w:pPr>
        <w:spacing w:line="240" w:lineRule="auto"/>
        <w:rPr>
          <w:rFonts w:ascii="Arial" w:hAnsi="Arial" w:cs="Arial"/>
        </w:rPr>
      </w:pPr>
      <w:r w:rsidRPr="005C66DC">
        <w:rPr>
          <w:rFonts w:ascii="Arial" w:hAnsi="Arial" w:cs="Arial"/>
        </w:rPr>
        <w:t>Ai sensi dell’art 97 le offerte risultanti anormalmente basse dalla SA non vengono automaticamente escluse, ma viene chiesto agli operatori economici di fornire spiegazioni sul prezzo o sui costi proposti. Tale richiesta viene effettuata sulla base di un giudizio tecnico sulla congruità, serietà, sostenibilità e realizzabilità dell’offerta.</w:t>
      </w:r>
      <w:r w:rsidR="00BC3075" w:rsidRPr="005C66DC">
        <w:rPr>
          <w:rFonts w:ascii="Arial" w:hAnsi="Arial" w:cs="Arial"/>
        </w:rPr>
        <w:t xml:space="preserve"> Nel caso del criterio dell’offerta del prezzo più basso, la norma prevede che per valutare le offerte anormalmente basse sia necessario un sorteggio tra u pluralità di nuovi criteri per decidere quello da utilizzare.</w:t>
      </w:r>
    </w:p>
    <w:p w:rsidR="005D2A98" w:rsidRPr="005C66DC" w:rsidRDefault="00BC3075" w:rsidP="00945B05">
      <w:pPr>
        <w:spacing w:line="240" w:lineRule="auto"/>
        <w:rPr>
          <w:rFonts w:ascii="Arial" w:hAnsi="Arial" w:cs="Arial"/>
        </w:rPr>
      </w:pPr>
      <w:r w:rsidRPr="005C66DC">
        <w:rPr>
          <w:rFonts w:ascii="Arial" w:hAnsi="Arial" w:cs="Arial"/>
        </w:rPr>
        <w:t>Nel caso di offerta economicamente più vantaggiosa quale criterio di scelta delle offerte, si continua ad applicare la regola dei quattro quinti, secondo cui sono giudicate anomale le offerte che-sia per la componente tecnica sia per quella economica-ottengono un punteggio pari o superiore ai quattro quinti dei corrispondenti punti massimi previsti nel bando di gara..</w:t>
      </w:r>
      <w:r w:rsidR="005D2A98" w:rsidRPr="005C66DC">
        <w:rPr>
          <w:rFonts w:ascii="Arial" w:hAnsi="Arial" w:cs="Arial"/>
        </w:rPr>
        <w:t xml:space="preserve"> </w:t>
      </w:r>
    </w:p>
    <w:p w:rsidR="005647DA" w:rsidRPr="005C66DC" w:rsidRDefault="005647DA" w:rsidP="00945B05">
      <w:pPr>
        <w:spacing w:line="240" w:lineRule="auto"/>
        <w:rPr>
          <w:rFonts w:ascii="Arial" w:hAnsi="Arial" w:cs="Arial"/>
        </w:rPr>
      </w:pPr>
    </w:p>
    <w:p w:rsidR="00C53056" w:rsidRPr="005C66DC" w:rsidRDefault="00C53056" w:rsidP="00945B05">
      <w:pPr>
        <w:spacing w:line="240" w:lineRule="auto"/>
        <w:rPr>
          <w:rFonts w:ascii="Arial" w:hAnsi="Arial" w:cs="Arial"/>
        </w:rPr>
      </w:pPr>
      <w:r w:rsidRPr="005C66DC">
        <w:rPr>
          <w:rFonts w:ascii="Arial" w:hAnsi="Arial" w:cs="Arial"/>
        </w:rPr>
        <w:t>PROCEDURE SCELTA CONTRAENTE</w:t>
      </w:r>
    </w:p>
    <w:p w:rsidR="00C12084" w:rsidRPr="005C66DC" w:rsidRDefault="00C12084" w:rsidP="00945B05">
      <w:pPr>
        <w:spacing w:line="240" w:lineRule="auto"/>
        <w:rPr>
          <w:rFonts w:ascii="Arial" w:hAnsi="Arial" w:cs="Arial"/>
        </w:rPr>
      </w:pPr>
      <w:r w:rsidRPr="005C66DC">
        <w:rPr>
          <w:rFonts w:ascii="Arial" w:hAnsi="Arial" w:cs="Arial"/>
        </w:rPr>
        <w:t xml:space="preserve">L’art 59 individua le procedure utilizzabili per la scelta del contraente prevedendo la regola generale secondo cui nell’aggiudicazione le stazioni appaltanti utilizzano le procedure aperte o ristrette, previa pubblicazione di un bando o avviso di indizione di gara. La scelta tra una procedura e l’altra è discrezionale della </w:t>
      </w:r>
      <w:proofErr w:type="spellStart"/>
      <w:r w:rsidRPr="005C66DC">
        <w:rPr>
          <w:rFonts w:ascii="Arial" w:hAnsi="Arial" w:cs="Arial"/>
        </w:rPr>
        <w:t>PA</w:t>
      </w:r>
      <w:proofErr w:type="spellEnd"/>
      <w:r w:rsidRPr="005C66DC">
        <w:rPr>
          <w:rFonts w:ascii="Arial" w:hAnsi="Arial" w:cs="Arial"/>
        </w:rPr>
        <w:t xml:space="preserve">. Diversamente il ricorso alle altre procedure di affidamento dei lavori pubblici è consentito nei soli casi e alle sole condizioni previste dalla legge. In chiusura si ricorda il divieto al ricorso dell’affidamento </w:t>
      </w:r>
      <w:proofErr w:type="spellStart"/>
      <w:r w:rsidRPr="005C66DC">
        <w:rPr>
          <w:rFonts w:ascii="Arial" w:hAnsi="Arial" w:cs="Arial"/>
        </w:rPr>
        <w:t>congiungot</w:t>
      </w:r>
      <w:proofErr w:type="spellEnd"/>
      <w:r w:rsidRPr="005C66DC">
        <w:rPr>
          <w:rFonts w:ascii="Arial" w:hAnsi="Arial" w:cs="Arial"/>
        </w:rPr>
        <w:t xml:space="preserve"> della progettazione e dell’esecuzione dei lavori ad esclusione dei casi di affidamento a contraente generale  , finanza di progetto , affidamento in concessione , partenariato pubblico e privato.  </w:t>
      </w:r>
    </w:p>
    <w:p w:rsidR="00C53056" w:rsidRPr="005C66DC" w:rsidRDefault="00C53056" w:rsidP="00945B05">
      <w:pPr>
        <w:spacing w:line="240" w:lineRule="auto"/>
        <w:rPr>
          <w:rFonts w:ascii="Arial" w:hAnsi="Arial" w:cs="Arial"/>
        </w:rPr>
      </w:pPr>
      <w:r w:rsidRPr="005C66DC">
        <w:rPr>
          <w:rFonts w:ascii="Arial" w:hAnsi="Arial" w:cs="Arial"/>
        </w:rPr>
        <w:t>Affidamento diretto “adeguatamente motivato” (lavori, forniture, servizi sino ad € 39.999,99)</w:t>
      </w:r>
      <w:r w:rsidRPr="005C66DC">
        <w:rPr>
          <w:rFonts w:ascii="Arial" w:hAnsi="Arial" w:cs="Arial"/>
        </w:rPr>
        <w:sym w:font="Wingdings" w:char="F0E0"/>
      </w:r>
      <w:r w:rsidRPr="005C66DC">
        <w:rPr>
          <w:rFonts w:ascii="Arial" w:hAnsi="Arial" w:cs="Arial"/>
        </w:rPr>
        <w:t xml:space="preserve"> Valutazione comparativa dei preventivi di spesa forniti da due o più operatori economici (ANAC, Documento di consultazione) Art. 36, comma 2°, lett. a </w:t>
      </w:r>
    </w:p>
    <w:p w:rsidR="00C53056" w:rsidRPr="005C66DC" w:rsidRDefault="00C53056" w:rsidP="00945B05">
      <w:pPr>
        <w:spacing w:line="240" w:lineRule="auto"/>
        <w:rPr>
          <w:rFonts w:ascii="Arial" w:hAnsi="Arial" w:cs="Arial"/>
        </w:rPr>
      </w:pPr>
      <w:r w:rsidRPr="005C66DC">
        <w:rPr>
          <w:rFonts w:ascii="Arial" w:hAnsi="Arial" w:cs="Arial"/>
        </w:rPr>
        <w:t>Procedura negoziata previa consultazione – Lavori (da € 40.000,00 fino ad € 149.999,99) e Servizi-Forniture (da € 40.000,00 fino alla soglia comunitaria)</w:t>
      </w:r>
      <w:r w:rsidRPr="005C66DC">
        <w:rPr>
          <w:rFonts w:ascii="Arial" w:hAnsi="Arial" w:cs="Arial"/>
        </w:rPr>
        <w:sym w:font="Wingdings" w:char="F0E0"/>
      </w:r>
      <w:r w:rsidRPr="005C66DC">
        <w:rPr>
          <w:rFonts w:ascii="Arial" w:hAnsi="Arial" w:cs="Arial"/>
        </w:rPr>
        <w:t xml:space="preserve"> Consultazione, ove esistenti, di almeno cinque operatori economici individuati sulla base di indagini di mercato (preavviso informativo) o tramite selezione da elenchi di operatori economici, nel rispetto di un criterio di rotazione degli inviti. Art. 36, comma 2°, lett. b </w:t>
      </w:r>
    </w:p>
    <w:p w:rsidR="00C53056" w:rsidRPr="005C66DC" w:rsidRDefault="00C53056" w:rsidP="00945B05">
      <w:pPr>
        <w:spacing w:line="240" w:lineRule="auto"/>
        <w:rPr>
          <w:rFonts w:ascii="Arial" w:hAnsi="Arial" w:cs="Arial"/>
        </w:rPr>
      </w:pPr>
      <w:r w:rsidRPr="005C66DC">
        <w:rPr>
          <w:rFonts w:ascii="Arial" w:hAnsi="Arial" w:cs="Arial"/>
        </w:rPr>
        <w:t xml:space="preserve">Procedura negoziata previa consultazione – Lavori (da € 150.000,00 fino ad € 1.000.000,00) Consultazione, ove esistenti, di almeno 15 operatori economici individuati sulla base di indagini di mercato (preavviso informativo) o tramite selezione da elenchi di operatori economici, nel rispetto di un criterio di rotazione degli inviti. Art. 36, comma 2°, lett. c </w:t>
      </w:r>
    </w:p>
    <w:p w:rsidR="00C53056" w:rsidRPr="005C66DC" w:rsidRDefault="00C53056" w:rsidP="00945B05">
      <w:pPr>
        <w:spacing w:line="240" w:lineRule="auto"/>
        <w:rPr>
          <w:rFonts w:ascii="Arial" w:hAnsi="Arial" w:cs="Arial"/>
        </w:rPr>
      </w:pPr>
      <w:r w:rsidRPr="005C66DC">
        <w:rPr>
          <w:rFonts w:ascii="Arial" w:hAnsi="Arial" w:cs="Arial"/>
        </w:rPr>
        <w:t xml:space="preserve">Lavori in amministrazione diretta </w:t>
      </w:r>
    </w:p>
    <w:p w:rsidR="00C53056" w:rsidRPr="005C66DC" w:rsidRDefault="00C53056" w:rsidP="00945B05">
      <w:pPr>
        <w:spacing w:line="240" w:lineRule="auto"/>
        <w:rPr>
          <w:rFonts w:ascii="Arial" w:hAnsi="Arial" w:cs="Arial"/>
        </w:rPr>
      </w:pPr>
      <w:r w:rsidRPr="005C66DC">
        <w:rPr>
          <w:rFonts w:ascii="Arial" w:hAnsi="Arial" w:cs="Arial"/>
        </w:rPr>
        <w:t xml:space="preserve">a) Fino ad € 39.999,99; </w:t>
      </w:r>
    </w:p>
    <w:p w:rsidR="00C53056" w:rsidRPr="005C66DC" w:rsidRDefault="00C53056" w:rsidP="00945B05">
      <w:pPr>
        <w:spacing w:line="240" w:lineRule="auto"/>
        <w:rPr>
          <w:rFonts w:ascii="Arial" w:hAnsi="Arial" w:cs="Arial"/>
        </w:rPr>
      </w:pPr>
      <w:r w:rsidRPr="005C66DC">
        <w:rPr>
          <w:rFonts w:ascii="Arial" w:hAnsi="Arial" w:cs="Arial"/>
        </w:rPr>
        <w:t xml:space="preserve">b) Fino ad € 149.999,99, fatto salvo l’acquisto e il noleggio di mezzi, per i quali si applica comunque la procedura negoziata previa consultazione di almeno cinque operatori economici. Art. 36, comma 2°, lett. a e b </w:t>
      </w:r>
    </w:p>
    <w:p w:rsidR="00C53056" w:rsidRPr="005C66DC" w:rsidRDefault="00C53056" w:rsidP="00945B05">
      <w:pPr>
        <w:spacing w:line="240" w:lineRule="auto"/>
        <w:rPr>
          <w:rFonts w:ascii="Arial" w:hAnsi="Arial" w:cs="Arial"/>
        </w:rPr>
      </w:pPr>
      <w:r w:rsidRPr="005C66DC">
        <w:rPr>
          <w:rFonts w:ascii="Arial" w:hAnsi="Arial" w:cs="Arial"/>
        </w:rPr>
        <w:t>Procedura aperta</w:t>
      </w:r>
      <w:r w:rsidRPr="005C66DC">
        <w:rPr>
          <w:rFonts w:ascii="Arial" w:hAnsi="Arial" w:cs="Arial"/>
        </w:rPr>
        <w:sym w:font="Wingdings" w:char="F0E0"/>
      </w:r>
      <w:r w:rsidRPr="005C66DC">
        <w:rPr>
          <w:rFonts w:ascii="Arial" w:hAnsi="Arial" w:cs="Arial"/>
        </w:rPr>
        <w:t xml:space="preserve"> Qualsiasi operatore economico presenta un'offerta Art. 60 </w:t>
      </w:r>
    </w:p>
    <w:p w:rsidR="00C53056" w:rsidRPr="005C66DC" w:rsidRDefault="00C53056" w:rsidP="00945B05">
      <w:pPr>
        <w:spacing w:line="240" w:lineRule="auto"/>
        <w:rPr>
          <w:rFonts w:ascii="Arial" w:hAnsi="Arial" w:cs="Arial"/>
        </w:rPr>
      </w:pPr>
      <w:r w:rsidRPr="005C66DC">
        <w:rPr>
          <w:rFonts w:ascii="Arial" w:hAnsi="Arial" w:cs="Arial"/>
        </w:rPr>
        <w:t>Procedura ristretta</w:t>
      </w:r>
      <w:r w:rsidRPr="005C66DC">
        <w:rPr>
          <w:rFonts w:ascii="Arial" w:hAnsi="Arial" w:cs="Arial"/>
        </w:rPr>
        <w:sym w:font="Wingdings" w:char="F0E0"/>
      </w:r>
      <w:r w:rsidRPr="005C66DC">
        <w:rPr>
          <w:rFonts w:ascii="Arial" w:hAnsi="Arial" w:cs="Arial"/>
        </w:rPr>
        <w:t xml:space="preserve">Qualsiasi operatore economico può presentare una domanda di partecipazione in risposta a un avviso di indizione di gara. PROCEDURA: Avviso di indizione di gara contenente le informazioni richieste dall’amministrazione aggiudicatrice ai fini della selezione qualitativa Domande di partecipazione (trenta giorni) Individuazione degli operatori da invitare, sulla base della selezione qualitativa Art. 61 </w:t>
      </w:r>
    </w:p>
    <w:p w:rsidR="00C53056" w:rsidRPr="005C66DC" w:rsidRDefault="00C53056" w:rsidP="00945B05">
      <w:pPr>
        <w:spacing w:line="240" w:lineRule="auto"/>
        <w:rPr>
          <w:rFonts w:ascii="Arial" w:hAnsi="Arial" w:cs="Arial"/>
        </w:rPr>
      </w:pPr>
      <w:r w:rsidRPr="005C66DC">
        <w:rPr>
          <w:rFonts w:ascii="Arial" w:hAnsi="Arial" w:cs="Arial"/>
        </w:rPr>
        <w:t xml:space="preserve">Invito e ricezione offerte (trenta giorni) </w:t>
      </w:r>
    </w:p>
    <w:p w:rsidR="006909AB" w:rsidRPr="005C66DC" w:rsidRDefault="00C53056" w:rsidP="00945B05">
      <w:pPr>
        <w:spacing w:line="240" w:lineRule="auto"/>
        <w:rPr>
          <w:rFonts w:ascii="Arial" w:hAnsi="Arial" w:cs="Arial"/>
        </w:rPr>
      </w:pPr>
      <w:r w:rsidRPr="005C66DC">
        <w:rPr>
          <w:rFonts w:ascii="Arial" w:hAnsi="Arial" w:cs="Arial"/>
        </w:rPr>
        <w:lastRenderedPageBreak/>
        <w:t xml:space="preserve">Procedura competitiva con negoziazione </w:t>
      </w:r>
      <w:r w:rsidRPr="005C66DC">
        <w:rPr>
          <w:rFonts w:ascii="Arial" w:hAnsi="Arial" w:cs="Arial"/>
        </w:rPr>
        <w:sym w:font="Wingdings" w:char="F0E0"/>
      </w:r>
      <w:r w:rsidRPr="005C66DC">
        <w:rPr>
          <w:rFonts w:ascii="Arial" w:hAnsi="Arial" w:cs="Arial"/>
        </w:rPr>
        <w:t xml:space="preserve">Le amministrazioni aggiudicatrici utilizzano la procedura competitiva con negoziazione nelle seguenti ipotesi alternative (PRESUPPOSTI): </w:t>
      </w:r>
    </w:p>
    <w:p w:rsidR="006909AB" w:rsidRPr="005C66DC" w:rsidRDefault="00C53056" w:rsidP="00945B05">
      <w:pPr>
        <w:spacing w:line="240" w:lineRule="auto"/>
        <w:rPr>
          <w:rFonts w:ascii="Arial" w:hAnsi="Arial" w:cs="Arial"/>
        </w:rPr>
      </w:pPr>
      <w:r w:rsidRPr="005C66DC">
        <w:rPr>
          <w:rFonts w:ascii="Arial" w:hAnsi="Arial" w:cs="Arial"/>
        </w:rPr>
        <w:t xml:space="preserve">a) per l’aggiudicazione di contratti di lavori, forniture o servizi in presenza di una o più delle seguenti condizioni: 1) le esigenze dell'amministrazione aggiudicatrice perseguite con l’appalto non possono essere soddisfatte senza adottare soluzioni immediatamente disponibili; 2) implicano progettazione o soluzioni innovative; 3) l’appalto non può essere aggiudicato senza preventive negoziazioni a causa di circostanze particolari in relazione alla natura, complessità o impostazione finanziaria e giuridica dell’oggetto dell’appalto o a causa dei rischi a esso connessi; 4) le specifiche tecniche non possono essere stabilite con sufficiente precisione dall’amministrazione aggiudicatrice con riferimento a una norma, una valutazione tecnica europea, una specifica tecnica comune o un riferimento tecnico ai sensi dei punti da 2 a 5 dell’allegato XIII; </w:t>
      </w:r>
    </w:p>
    <w:p w:rsidR="006909AB" w:rsidRPr="005C66DC" w:rsidRDefault="00C53056" w:rsidP="00945B05">
      <w:pPr>
        <w:spacing w:line="240" w:lineRule="auto"/>
        <w:rPr>
          <w:rFonts w:ascii="Arial" w:hAnsi="Arial" w:cs="Arial"/>
        </w:rPr>
      </w:pPr>
      <w:r w:rsidRPr="005C66DC">
        <w:rPr>
          <w:rFonts w:ascii="Arial" w:hAnsi="Arial" w:cs="Arial"/>
        </w:rPr>
        <w:t xml:space="preserve">b) per l’aggiudicazione di contratti di lavori, forniture o servizi per i quali, in esito a una procedura aperta o ristretta, sono state presentate soltanto offerte irregolari o inammissibili ai sensi rispettivamente dei commi 3 e 4. In tali situazioni, le amministrazioni aggiudicatrici non sono tenute a pubblicare un bando di gara se includono nella ulteriore procedura tutti, e soltanto, gli offerenti in possesso dei requisiti di cui agli articoli dal 80 al 90 che, nella procedura aperta o ristretta precedente, hanno presentato offerte conformi ai requisiti formali della procedura di appalto. Sono considerate irregolari le offerte non conformi a quanto prescritto nei documenti di gara. Sono considerate inammissibili le offerte: a) che sono state presentate in ritardo rispetto ai termini indicati nel bando o nell’avviso con cui si indice la gara; b) in relazione alle quali la commissione giudicatrice ritenga sussistenti gli estremi per informativa alla Procura della Repubblica per reati di corruzione o fenomeni collusivi; c) che l'amministrazione aggiudicatrice ha giudicato anormalmente basse; d) che non hanno la qualificazione necessaria; e) il cui prezzo supera l’importo posto dall'amministrazione aggiudicatrice a base di gara, stabilito e documentato prima dell’avvio della procedura di appalto. </w:t>
      </w:r>
    </w:p>
    <w:p w:rsidR="006909AB" w:rsidRPr="005C66DC" w:rsidRDefault="00C53056" w:rsidP="00945B05">
      <w:pPr>
        <w:spacing w:line="240" w:lineRule="auto"/>
        <w:rPr>
          <w:rFonts w:ascii="Arial" w:hAnsi="Arial" w:cs="Arial"/>
        </w:rPr>
      </w:pPr>
      <w:r w:rsidRPr="005C66DC">
        <w:rPr>
          <w:rFonts w:ascii="Arial" w:hAnsi="Arial" w:cs="Arial"/>
        </w:rPr>
        <w:t xml:space="preserve"> Avviso di indizione di gara contenente le informazioni richieste dall’amministrazione aggiudicatrice ai fini della selezione qualitativa </w:t>
      </w:r>
      <w:r w:rsidR="006909AB" w:rsidRPr="005C66DC">
        <w:rPr>
          <w:rFonts w:ascii="Arial" w:hAnsi="Arial" w:cs="Arial"/>
        </w:rPr>
        <w:sym w:font="Wingdings" w:char="F0E0"/>
      </w:r>
      <w:r w:rsidRPr="005C66DC">
        <w:rPr>
          <w:rFonts w:ascii="Arial" w:hAnsi="Arial" w:cs="Arial"/>
        </w:rPr>
        <w:t>Domande di partecipazione (trenta giorni)</w:t>
      </w:r>
      <w:r w:rsidR="006909AB" w:rsidRPr="005C66DC">
        <w:rPr>
          <w:rFonts w:ascii="Arial" w:hAnsi="Arial" w:cs="Arial"/>
        </w:rPr>
        <w:sym w:font="Wingdings" w:char="F0E0"/>
      </w:r>
      <w:r w:rsidRPr="005C66DC">
        <w:rPr>
          <w:rFonts w:ascii="Arial" w:hAnsi="Arial" w:cs="Arial"/>
        </w:rPr>
        <w:t xml:space="preserve"> Individuazione degli operatori da invitare, sulla base della selezione qualitativa</w:t>
      </w:r>
      <w:r w:rsidR="006909AB" w:rsidRPr="005C66DC">
        <w:rPr>
          <w:rFonts w:ascii="Arial" w:hAnsi="Arial" w:cs="Arial"/>
        </w:rPr>
        <w:sym w:font="Wingdings" w:char="F0E0"/>
      </w:r>
      <w:r w:rsidRPr="005C66DC">
        <w:rPr>
          <w:rFonts w:ascii="Arial" w:hAnsi="Arial" w:cs="Arial"/>
        </w:rPr>
        <w:t xml:space="preserve"> Invito e ricezione offerte (trenta giorni)</w:t>
      </w:r>
      <w:r w:rsidR="006909AB" w:rsidRPr="005C66DC">
        <w:rPr>
          <w:rFonts w:ascii="Arial" w:hAnsi="Arial" w:cs="Arial"/>
        </w:rPr>
        <w:sym w:font="Wingdings" w:char="F0E0"/>
      </w:r>
      <w:r w:rsidRPr="005C66DC">
        <w:rPr>
          <w:rFonts w:ascii="Arial" w:hAnsi="Arial" w:cs="Arial"/>
        </w:rPr>
        <w:t xml:space="preserve"> Le amministrazioni negoziano con gli operatori le loro offerte iniziali e le successive, tranne le finali, sulla base dei requisiti minimi e del criterio di aggiudicazione. Nel corso delle negoziazioni, le amministrazioni garantiscono parità di trattamento e non forniscono informazioni avvantaggianti ai singoli operatori. </w:t>
      </w:r>
      <w:r w:rsidR="006909AB" w:rsidRPr="005C66DC">
        <w:rPr>
          <w:rFonts w:ascii="Arial" w:hAnsi="Arial" w:cs="Arial"/>
        </w:rPr>
        <w:sym w:font="Wingdings" w:char="F0E0"/>
      </w:r>
      <w:r w:rsidRPr="005C66DC">
        <w:rPr>
          <w:rFonts w:ascii="Arial" w:hAnsi="Arial" w:cs="Arial"/>
        </w:rPr>
        <w:t xml:space="preserve">Informazione della volontà di conclusione delle negoziazioni, con fissazione di termine per offerte finali. </w:t>
      </w:r>
    </w:p>
    <w:p w:rsidR="006909AB" w:rsidRPr="005C66DC" w:rsidRDefault="00C53056" w:rsidP="00945B05">
      <w:pPr>
        <w:spacing w:line="240" w:lineRule="auto"/>
        <w:rPr>
          <w:rFonts w:ascii="Arial" w:hAnsi="Arial" w:cs="Arial"/>
        </w:rPr>
      </w:pPr>
      <w:r w:rsidRPr="005C66DC">
        <w:rPr>
          <w:rFonts w:ascii="Arial" w:hAnsi="Arial" w:cs="Arial"/>
        </w:rPr>
        <w:t xml:space="preserve">Art. 62 Procedura competitiva con negoziazione SENZA previa pubblicazione del bando di gara PRESUPPOSTI E’ ammessa solo nei casi previsti, dandone conto con adeguata motivazione nel primo atto della procedura. Nel caso di appalti pubblici di lavori, forniture e servizi, la procedura può essere utilizzata: a) qualora non sia stata presentata alcuna offerta o alcuna offerta appropriata, né alcuna domanda di partecipazione o alcuna domanda di partecipazione appropriata, in esito all’esperimento di una procedura aperta o ristretta, purché le condizioni iniziali dell’appalto non siano sostanzialmente modificate e purché sia appropriata se non presenta alcuna pertinenza con l’appalto ed è, quindi, manifestamente inadeguata, salvo modifiche sostanziali, a rispondere alle esigenze dell’amministrazione aggiudicatrice e ai requisiti specificati nei documenti di gara. Una domanda di partecipazione non è ritenuta appropriata se l’operatore economico interessato deve o può essere escluso o non soddisfa i criteri di selezione stabiliti dall’amministrazione aggiudicatrice. b) quando i lavori, le forniture o i servizi possono essere forniti unicamente da un determinato operatore economico per una delle seguenti ragioni: 1) lo scopo dell’appalto consiste nella creazione o nell’acquisizione di un’opera d’arte o rappresentazione artistica unica; 2) la concorrenza è assente per motivi tecnici; 3) la tutela di diritti esclusivi, inclusi i diritti di proprietà intellettuale. Le eccezioni di cui ai punti 2) e 3) si applicano solo quando non esistono altri operatori economici o soluzioni alternative ragionevoli e l’assenza di concorrenza non è il risultato di una limitazione artificiale dei parametri dell’appalto. c) nella misura strettamente necessaria quando, per ragioni di estrema urgenza derivante da eventi imprevedibili dall’amministrazione aggiudicatrice, ivi comprese le emergenze di protezione civile, nonché nei </w:t>
      </w:r>
      <w:r w:rsidRPr="005C66DC">
        <w:rPr>
          <w:rFonts w:ascii="Arial" w:hAnsi="Arial" w:cs="Arial"/>
        </w:rPr>
        <w:lastRenderedPageBreak/>
        <w:t xml:space="preserve">casi urgenti di bonifica e messa in sicurezza dei siti contaminati ai sensi della normativa ambientale, i termini per le procedure aperte o per le procedure ristrette o per le procedure competitive con negoziazione non possono essere rispettati. Le circostanze invocate a giustificazione del ricorso alla procedura di cui al presente articolo non devono essere in alcun caso imputabili alle amministrazioni aggiudicatrici. </w:t>
      </w:r>
    </w:p>
    <w:p w:rsidR="006909AB" w:rsidRPr="005C66DC" w:rsidRDefault="00C53056" w:rsidP="00945B05">
      <w:pPr>
        <w:spacing w:line="240" w:lineRule="auto"/>
        <w:rPr>
          <w:rFonts w:ascii="Arial" w:hAnsi="Arial" w:cs="Arial"/>
        </w:rPr>
      </w:pPr>
      <w:r w:rsidRPr="005C66DC">
        <w:rPr>
          <w:rFonts w:ascii="Arial" w:hAnsi="Arial" w:cs="Arial"/>
        </w:rPr>
        <w:t xml:space="preserve">Individuazione operatori sulla base di “informazioni riguardanti le caratteristiche di qualificazione economica e finanziaria e tecniche e professionali desunte dal mercato, nel rispetto dei principi di trasparenza, concorrenza, rotazione”. </w:t>
      </w:r>
      <w:r w:rsidR="006909AB" w:rsidRPr="005C66DC">
        <w:rPr>
          <w:rFonts w:ascii="Arial" w:hAnsi="Arial" w:cs="Arial"/>
        </w:rPr>
        <w:sym w:font="Wingdings" w:char="F0E0"/>
      </w:r>
      <w:r w:rsidRPr="005C66DC">
        <w:rPr>
          <w:rFonts w:ascii="Arial" w:hAnsi="Arial" w:cs="Arial"/>
        </w:rPr>
        <w:t xml:space="preserve">Selezione di almeno cinque operatori economici Previa verifica del possesso dei requisiti di partecipazione </w:t>
      </w:r>
      <w:r w:rsidR="006909AB" w:rsidRPr="005C66DC">
        <w:rPr>
          <w:rFonts w:ascii="Arial" w:hAnsi="Arial" w:cs="Arial"/>
        </w:rPr>
        <w:sym w:font="Wingdings" w:char="F0E0"/>
      </w:r>
      <w:r w:rsidRPr="005C66DC">
        <w:rPr>
          <w:rFonts w:ascii="Arial" w:hAnsi="Arial" w:cs="Arial"/>
        </w:rPr>
        <w:t xml:space="preserve">Individuazione miglior offerta, sulla base del criterio di aggiudicazione prescelto </w:t>
      </w:r>
    </w:p>
    <w:p w:rsidR="00154B2D" w:rsidRPr="005C66DC" w:rsidRDefault="00C53056" w:rsidP="00945B05">
      <w:pPr>
        <w:spacing w:line="240" w:lineRule="auto"/>
        <w:rPr>
          <w:rFonts w:ascii="Arial" w:hAnsi="Arial" w:cs="Arial"/>
        </w:rPr>
      </w:pPr>
      <w:r w:rsidRPr="005C66DC">
        <w:rPr>
          <w:rFonts w:ascii="Arial" w:hAnsi="Arial" w:cs="Arial"/>
          <w:b/>
        </w:rPr>
        <w:t>Dialogo competitivo</w:t>
      </w:r>
      <w:r w:rsidR="006909AB" w:rsidRPr="005C66DC">
        <w:rPr>
          <w:rFonts w:ascii="Arial" w:hAnsi="Arial" w:cs="Arial"/>
        </w:rPr>
        <w:sym w:font="Wingdings" w:char="F0E0"/>
      </w:r>
      <w:r w:rsidRPr="005C66DC">
        <w:rPr>
          <w:rFonts w:ascii="Arial" w:hAnsi="Arial" w:cs="Arial"/>
        </w:rPr>
        <w:t xml:space="preserve"> Medesimi presupposti applicativi della procedura competitiva con negoziazione. PROCEDURA: Necessità di specifica motivazione in merito alla sussistenza dei presupposti applicativi </w:t>
      </w:r>
      <w:r w:rsidR="006909AB" w:rsidRPr="005C66DC">
        <w:rPr>
          <w:rFonts w:ascii="Arial" w:hAnsi="Arial" w:cs="Arial"/>
        </w:rPr>
        <w:sym w:font="Wingdings" w:char="F0E0"/>
      </w:r>
      <w:r w:rsidRPr="005C66DC">
        <w:rPr>
          <w:rFonts w:ascii="Arial" w:hAnsi="Arial" w:cs="Arial"/>
        </w:rPr>
        <w:t>Le stazioni appaltanti indicano le esigenze e definiscono i requisiti Le stazioni appaltanti avviano con i partecipanti selezionati un dialogo, finalizzato a definire i mezzi idonei a soddisfare le loro esigenze</w:t>
      </w:r>
      <w:r w:rsidR="006909AB" w:rsidRPr="005C66DC">
        <w:rPr>
          <w:rFonts w:ascii="Arial" w:hAnsi="Arial" w:cs="Arial"/>
        </w:rPr>
        <w:sym w:font="Wingdings" w:char="F0E0"/>
      </w:r>
      <w:r w:rsidRPr="005C66DC">
        <w:rPr>
          <w:rFonts w:ascii="Arial" w:hAnsi="Arial" w:cs="Arial"/>
        </w:rPr>
        <w:t>Durante il dialogo, deve essere garantita parità di trattamento e non devono essere fornite informazioni avvantaggianti solo taluni partecipanti</w:t>
      </w:r>
      <w:r w:rsidR="006909AB" w:rsidRPr="005C66DC">
        <w:rPr>
          <w:rFonts w:ascii="Arial" w:hAnsi="Arial" w:cs="Arial"/>
        </w:rPr>
        <w:sym w:font="Wingdings" w:char="F0E0"/>
      </w:r>
      <w:r w:rsidRPr="005C66DC">
        <w:rPr>
          <w:rFonts w:ascii="Arial" w:hAnsi="Arial" w:cs="Arial"/>
        </w:rPr>
        <w:t xml:space="preserve"> Concluso il dialogo, gli operatori presentano le offerte finali</w:t>
      </w:r>
      <w:r w:rsidR="006909AB" w:rsidRPr="005C66DC">
        <w:rPr>
          <w:rFonts w:ascii="Arial" w:hAnsi="Arial" w:cs="Arial"/>
        </w:rPr>
        <w:sym w:font="Wingdings" w:char="F0E0"/>
      </w:r>
      <w:r w:rsidRPr="005C66DC">
        <w:rPr>
          <w:rFonts w:ascii="Arial" w:hAnsi="Arial" w:cs="Arial"/>
        </w:rPr>
        <w:t xml:space="preserve"> Le stazioni appaltanti valutano le offerte ricevute sulla base dei criteri prefissati</w:t>
      </w:r>
      <w:r w:rsidR="00154B2D" w:rsidRPr="005C66DC">
        <w:rPr>
          <w:rFonts w:ascii="Arial" w:hAnsi="Arial" w:cs="Arial"/>
        </w:rPr>
        <w:t>. Il dialogo competitivo, così come tutte le procedure ad evidenza pubblica, deve sottostare ai principi degli appalti: • trasparenza: bando contiene tutti gli elementi noti, immodificabili. Le informazioni emerse durante il dialogo sono fornite a tutti i partecipanti in modo non discriminatorio, fermo restando l’obbligo di riservatezza; • riservatezza: sulle soluzioni proposte da ciascun concorrente; • parità di trattamento: criteri di valutazione espressi inizialmente, offerte immodificabili dopo la chiusura del dialogo. Il dialogo competitivo è una procedura di carattere eccezionale e onerosa, soprattutto per gli operatori economici che vi prendono parte. Il Codice prevede la possibilità di concedere premi o incentivi ai partecipanti al dialogo, anche se vieta forme di indennizzo nel caso nessuna proposta sia giudicata idonea. Un secondo problema è dovuto alla previsione di indicare fino dal bando/avviso iniziale i criteri di valutazione delle offerte, sebbene l’oggetto del bando di fatto sia ancora indefinito in quello stadio.</w:t>
      </w:r>
    </w:p>
    <w:p w:rsidR="00F15AF4" w:rsidRPr="005C66DC" w:rsidRDefault="00F15AF4" w:rsidP="00945B05">
      <w:pPr>
        <w:spacing w:line="240" w:lineRule="auto"/>
        <w:rPr>
          <w:rFonts w:ascii="Arial" w:hAnsi="Arial" w:cs="Arial"/>
        </w:rPr>
      </w:pPr>
      <w:r w:rsidRPr="005C66DC">
        <w:rPr>
          <w:rFonts w:ascii="Arial" w:hAnsi="Arial" w:cs="Arial"/>
          <w:b/>
        </w:rPr>
        <w:t>P</w:t>
      </w:r>
      <w:r w:rsidR="00C53056" w:rsidRPr="005C66DC">
        <w:rPr>
          <w:rFonts w:ascii="Arial" w:hAnsi="Arial" w:cs="Arial"/>
          <w:b/>
        </w:rPr>
        <w:t>artenariato per l'innovazione</w:t>
      </w:r>
      <w:r w:rsidR="00C53056" w:rsidRPr="005C66DC">
        <w:rPr>
          <w:rFonts w:ascii="Arial" w:hAnsi="Arial" w:cs="Arial"/>
        </w:rPr>
        <w:t xml:space="preserve"> </w:t>
      </w:r>
      <w:r w:rsidR="006909AB" w:rsidRPr="005C66DC">
        <w:rPr>
          <w:rFonts w:ascii="Arial" w:hAnsi="Arial" w:cs="Arial"/>
        </w:rPr>
        <w:sym w:font="Wingdings" w:char="F0E0"/>
      </w:r>
      <w:r w:rsidR="00C53056" w:rsidRPr="005C66DC">
        <w:rPr>
          <w:rFonts w:ascii="Arial" w:hAnsi="Arial" w:cs="Arial"/>
        </w:rPr>
        <w:t>Le amministrazioni aggiudicatrici e gli enti aggiudicatori possono ricorrere ai partenariati per l’innovazione nelle ipotesi in cui l’esigenza di sviluppare prodotti, servizi o lavori innovativi e di acquistare successivamente le forniture, i servizi o i lavori che ne risultano non può, in base a una motivata determinazione, essere soddisfatta ricorrendo a soluzioni già disponibili sul mercato, a condizione che le forniture, servizi o lavori che ne risultano, corrispondano ai livelli di</w:t>
      </w:r>
      <w:r w:rsidRPr="005C66DC">
        <w:rPr>
          <w:rFonts w:ascii="Arial" w:hAnsi="Arial" w:cs="Arial"/>
        </w:rPr>
        <w:t xml:space="preserve"> </w:t>
      </w:r>
      <w:r w:rsidR="00C53056" w:rsidRPr="005C66DC">
        <w:rPr>
          <w:rFonts w:ascii="Arial" w:hAnsi="Arial" w:cs="Arial"/>
        </w:rPr>
        <w:t xml:space="preserve">prestazioni e ai costi massimi concordati tra le stazioni appaltanti e i partecipanti. </w:t>
      </w:r>
      <w:r w:rsidRPr="005C66DC">
        <w:rPr>
          <w:rFonts w:ascii="Arial" w:hAnsi="Arial" w:cs="Arial"/>
          <w:color w:val="222222"/>
          <w:shd w:val="clear" w:color="auto" w:fill="FFFFFF"/>
        </w:rPr>
        <w:t>Attraverso una prima selezione dei candidati e una serie di negoziazioni parallele con i soggetti che hanno manifestato il proprio interesse a partecipare alla procedura, le stazioni appaltanti potranno sia manifestare i propri fabbisogni fissando i requisiti minimi e i costi massimi delle soluzioni richieste, senza impegnarsi in un’ardua descrizione a priori delle stesse, sia strutturare la commessa in fasi successive, secondo la sequenza tipica dei progetti di ricerca, fissando obiettivi intermedi che i partecipanti dovranno raggiungere per ottenere il pagamento della remunerazione corrispondente.</w:t>
      </w:r>
    </w:p>
    <w:p w:rsidR="00FA6C5E" w:rsidRPr="005C66DC" w:rsidRDefault="00FA6C5E" w:rsidP="00945B05">
      <w:pPr>
        <w:pStyle w:val="NormaleWeb"/>
        <w:shd w:val="clear" w:color="auto" w:fill="FFFFFF"/>
        <w:spacing w:before="0" w:beforeAutospacing="0" w:after="101" w:afterAutospacing="0"/>
        <w:rPr>
          <w:rFonts w:ascii="Arial" w:hAnsi="Arial" w:cs="Arial"/>
          <w:sz w:val="22"/>
          <w:szCs w:val="22"/>
        </w:rPr>
      </w:pPr>
      <w:r w:rsidRPr="005C66DC">
        <w:rPr>
          <w:rFonts w:ascii="Arial" w:hAnsi="Arial" w:cs="Arial"/>
          <w:b/>
          <w:sz w:val="22"/>
          <w:szCs w:val="22"/>
        </w:rPr>
        <w:t>Accordi quadro</w:t>
      </w:r>
      <w:r w:rsidRPr="005C66DC">
        <w:rPr>
          <w:rFonts w:ascii="Arial" w:hAnsi="Arial" w:cs="Arial"/>
          <w:b/>
          <w:sz w:val="22"/>
          <w:szCs w:val="22"/>
        </w:rPr>
        <w:sym w:font="Wingdings" w:char="F0E0"/>
      </w:r>
      <w:r w:rsidRPr="005C66DC">
        <w:rPr>
          <w:rFonts w:ascii="Arial" w:hAnsi="Arial" w:cs="Arial"/>
          <w:sz w:val="22"/>
          <w:szCs w:val="22"/>
        </w:rPr>
        <w:t>L'accordo quadro è uno strumento preparatorio all'affidamento di uno o più appalti, concluso tra le parti sotto forma di accordo, mediante il quale una o più stazioni appaltanti e uno o più operatori economici definiscono le clausole fondamentali relative agli appalti da aggiudicare durante un dato periodo «in particolare per quanto riguarda i prezzi e, se del caso, le quantità previste. L'Istituto trae le sue origini dal cosiddetto contratto normativo, vale a dire da uno strumento di natura negoziale che obbliga le parti ad inserire - nei futuri ed eventuali contratti riguardanti una determinata materia - quanto pattuito nel contratto normativo. Le parti di tale accordo definiscono in anticipo determinate clausole che si obbligano a "... inserire nei futuri contratti, se e quando saranno conclusi"  , dettando dunque "le regole che saranno vincolanti per i loro eventuali futuri rapporti, senza che ne sorgano immediatamente legami di diritto-obbligo. Hanno durata massima di 4 anni eccetto particolari settori (8)</w:t>
      </w:r>
    </w:p>
    <w:p w:rsidR="00FA6C5E" w:rsidRPr="005C66DC" w:rsidRDefault="00FA6C5E" w:rsidP="00945B05">
      <w:pPr>
        <w:pStyle w:val="NormaleWeb"/>
        <w:shd w:val="clear" w:color="auto" w:fill="FFFFFF"/>
        <w:spacing w:before="0" w:beforeAutospacing="0" w:after="101" w:afterAutospacing="0"/>
        <w:jc w:val="both"/>
        <w:rPr>
          <w:rFonts w:ascii="Arial" w:hAnsi="Arial" w:cs="Arial"/>
          <w:color w:val="313840"/>
          <w:sz w:val="22"/>
          <w:szCs w:val="22"/>
        </w:rPr>
      </w:pPr>
      <w:r w:rsidRPr="005C66DC">
        <w:rPr>
          <w:rFonts w:ascii="Arial" w:hAnsi="Arial" w:cs="Arial"/>
          <w:b/>
          <w:sz w:val="22"/>
          <w:szCs w:val="22"/>
        </w:rPr>
        <w:lastRenderedPageBreak/>
        <w:t>Sistema dinamico di acquisizione</w:t>
      </w:r>
      <w:r w:rsidRPr="005C66DC">
        <w:rPr>
          <w:rFonts w:ascii="Arial" w:hAnsi="Arial" w:cs="Arial"/>
          <w:b/>
          <w:sz w:val="22"/>
          <w:szCs w:val="22"/>
        </w:rPr>
        <w:sym w:font="Wingdings" w:char="F0E0"/>
      </w:r>
      <w:r w:rsidRPr="005C66DC">
        <w:rPr>
          <w:rFonts w:ascii="Arial" w:hAnsi="Arial" w:cs="Arial"/>
          <w:b/>
          <w:sz w:val="22"/>
          <w:szCs w:val="22"/>
        </w:rPr>
        <w:t xml:space="preserve"> </w:t>
      </w:r>
      <w:r w:rsidRPr="005C66DC">
        <w:rPr>
          <w:rStyle w:val="Enfasigrassetto"/>
          <w:rFonts w:ascii="Arial" w:hAnsi="Arial" w:cs="Arial"/>
          <w:color w:val="313840"/>
          <w:sz w:val="22"/>
          <w:szCs w:val="22"/>
        </w:rPr>
        <w:t>Acquisizione della P.A.</w:t>
      </w:r>
      <w:r w:rsidRPr="005C66DC">
        <w:rPr>
          <w:rFonts w:ascii="Arial" w:hAnsi="Arial" w:cs="Arial"/>
          <w:color w:val="313840"/>
          <w:sz w:val="22"/>
          <w:szCs w:val="22"/>
        </w:rPr>
        <w:t> (SDAPA) è un processo di acquisizione interamente elettronico, aperto per tutto il periodo di validità dello stesso a qualsivoglia operatore economico che soddisfi i criteri di selezione.</w:t>
      </w:r>
    </w:p>
    <w:p w:rsidR="00FA6C5E" w:rsidRPr="005C66DC" w:rsidRDefault="00FA6C5E" w:rsidP="00945B05">
      <w:pPr>
        <w:pStyle w:val="NormaleWeb"/>
        <w:shd w:val="clear" w:color="auto" w:fill="FFFFFF"/>
        <w:spacing w:before="0" w:beforeAutospacing="0" w:after="101" w:afterAutospacing="0"/>
        <w:jc w:val="both"/>
        <w:rPr>
          <w:rFonts w:ascii="Arial" w:hAnsi="Arial" w:cs="Arial"/>
          <w:color w:val="313840"/>
          <w:sz w:val="22"/>
          <w:szCs w:val="22"/>
        </w:rPr>
      </w:pPr>
      <w:r w:rsidRPr="005C66DC">
        <w:rPr>
          <w:rFonts w:ascii="Arial" w:hAnsi="Arial" w:cs="Arial"/>
          <w:color w:val="313840"/>
          <w:sz w:val="22"/>
          <w:szCs w:val="22"/>
        </w:rPr>
        <w:t>Per l’aggiudicazione nell’ambito di un Sistema dinamico di acquisizione, le amministrazioni aggiudicatrici seguono le norme della procedura ristretta. Tutti i candidati che soddisfano i criteri di selezione sono ammessi al sistema e tutti i partecipanti ammessi sono invitati a presentare un’offerta per ogni specifico appalto nell’ambito del sistema dinamico di acquisizione.</w:t>
      </w:r>
    </w:p>
    <w:p w:rsidR="00FA6C5E" w:rsidRPr="005C66DC" w:rsidRDefault="00FA6C5E" w:rsidP="00945B05">
      <w:pPr>
        <w:pStyle w:val="NormaleWeb"/>
        <w:shd w:val="clear" w:color="auto" w:fill="FFFFFF"/>
        <w:spacing w:before="0" w:beforeAutospacing="0" w:after="101" w:afterAutospacing="0"/>
        <w:jc w:val="both"/>
        <w:rPr>
          <w:rFonts w:ascii="Arial" w:hAnsi="Arial" w:cs="Arial"/>
          <w:color w:val="313840"/>
          <w:sz w:val="22"/>
          <w:szCs w:val="22"/>
        </w:rPr>
      </w:pPr>
      <w:r w:rsidRPr="005C66DC">
        <w:rPr>
          <w:rFonts w:ascii="Arial" w:hAnsi="Arial" w:cs="Arial"/>
          <w:color w:val="313840"/>
          <w:sz w:val="22"/>
          <w:szCs w:val="22"/>
        </w:rPr>
        <w:t>Il Sistema dinamico è caratterizzato da una procedura bifasica:</w:t>
      </w:r>
    </w:p>
    <w:p w:rsidR="00FA6C5E" w:rsidRPr="005C66DC" w:rsidRDefault="00FA6C5E" w:rsidP="00945B05">
      <w:pPr>
        <w:pStyle w:val="NormaleWeb"/>
        <w:shd w:val="clear" w:color="auto" w:fill="FFFFFF"/>
        <w:spacing w:before="0" w:beforeAutospacing="0" w:after="101" w:afterAutospacing="0"/>
        <w:jc w:val="both"/>
        <w:rPr>
          <w:rFonts w:ascii="Arial" w:hAnsi="Arial" w:cs="Arial"/>
          <w:color w:val="313840"/>
          <w:sz w:val="22"/>
          <w:szCs w:val="22"/>
        </w:rPr>
      </w:pPr>
      <w:r w:rsidRPr="005C66DC">
        <w:rPr>
          <w:rFonts w:ascii="Arial" w:hAnsi="Arial" w:cs="Arial"/>
          <w:color w:val="313840"/>
          <w:sz w:val="22"/>
          <w:szCs w:val="22"/>
        </w:rPr>
        <w:t xml:space="preserve">Fase 1 - pubblicazione da parte di </w:t>
      </w:r>
      <w:proofErr w:type="spellStart"/>
      <w:r w:rsidRPr="005C66DC">
        <w:rPr>
          <w:rFonts w:ascii="Arial" w:hAnsi="Arial" w:cs="Arial"/>
          <w:color w:val="313840"/>
          <w:sz w:val="22"/>
          <w:szCs w:val="22"/>
        </w:rPr>
        <w:t>Consip</w:t>
      </w:r>
      <w:proofErr w:type="spellEnd"/>
      <w:r w:rsidRPr="005C66DC">
        <w:rPr>
          <w:rFonts w:ascii="Arial" w:hAnsi="Arial" w:cs="Arial"/>
          <w:color w:val="313840"/>
          <w:sz w:val="22"/>
          <w:szCs w:val="22"/>
        </w:rPr>
        <w:t xml:space="preserve"> di un bando istitutivo per una o più categorie merceologiche a cui i fornitori possono abilitarsi.</w:t>
      </w:r>
    </w:p>
    <w:p w:rsidR="00FA6C5E" w:rsidRPr="005C66DC" w:rsidRDefault="00FA6C5E" w:rsidP="00945B05">
      <w:pPr>
        <w:pStyle w:val="NormaleWeb"/>
        <w:shd w:val="clear" w:color="auto" w:fill="FFFFFF"/>
        <w:spacing w:before="0" w:beforeAutospacing="0" w:after="101" w:afterAutospacing="0"/>
        <w:jc w:val="both"/>
        <w:rPr>
          <w:rFonts w:ascii="Arial" w:hAnsi="Arial" w:cs="Arial"/>
          <w:color w:val="313840"/>
          <w:sz w:val="22"/>
          <w:szCs w:val="22"/>
        </w:rPr>
      </w:pPr>
      <w:r w:rsidRPr="005C66DC">
        <w:rPr>
          <w:rFonts w:ascii="Arial" w:hAnsi="Arial" w:cs="Arial"/>
          <w:color w:val="313840"/>
          <w:sz w:val="22"/>
          <w:szCs w:val="22"/>
        </w:rPr>
        <w:t>Fase 2 – indizione e aggiudicazione di appalti specifici in cui le Amministrazioni, definendo i quantitativi, il valore e le caratteristiche specifiche dell’appalto, invitano tutti i partecipanti ammessi a presentare un’offerta</w:t>
      </w:r>
    </w:p>
    <w:p w:rsidR="00FA6C5E" w:rsidRPr="005C66DC" w:rsidRDefault="006460A5" w:rsidP="00945B05">
      <w:pPr>
        <w:pStyle w:val="NormaleWeb"/>
        <w:shd w:val="clear" w:color="auto" w:fill="FFFFFF"/>
        <w:spacing w:before="0" w:beforeAutospacing="0" w:after="101" w:afterAutospacing="0"/>
        <w:rPr>
          <w:rFonts w:ascii="Arial" w:hAnsi="Arial" w:cs="Arial"/>
          <w:color w:val="3D3B39"/>
          <w:sz w:val="22"/>
          <w:szCs w:val="22"/>
          <w:shd w:val="clear" w:color="auto" w:fill="F2EFE7"/>
        </w:rPr>
      </w:pPr>
      <w:r w:rsidRPr="005C66DC">
        <w:rPr>
          <w:rFonts w:ascii="Arial" w:hAnsi="Arial" w:cs="Arial"/>
          <w:color w:val="3D3B39"/>
          <w:sz w:val="22"/>
          <w:szCs w:val="22"/>
          <w:shd w:val="clear" w:color="auto" w:fill="F2EFE7"/>
        </w:rPr>
        <w:t>lo </w:t>
      </w:r>
      <w:r w:rsidRPr="005C66DC">
        <w:rPr>
          <w:rStyle w:val="Enfasigrassetto"/>
          <w:rFonts w:ascii="Arial" w:hAnsi="Arial" w:cs="Arial"/>
          <w:color w:val="3D3B39"/>
          <w:sz w:val="22"/>
          <w:szCs w:val="22"/>
          <w:shd w:val="clear" w:color="auto" w:fill="F2EFE7"/>
        </w:rPr>
        <w:t>SDAPA</w:t>
      </w:r>
      <w:r w:rsidRPr="005C66DC">
        <w:rPr>
          <w:rFonts w:ascii="Arial" w:hAnsi="Arial" w:cs="Arial"/>
          <w:color w:val="3D3B39"/>
          <w:sz w:val="22"/>
          <w:szCs w:val="22"/>
          <w:shd w:val="clear" w:color="auto" w:fill="F2EFE7"/>
        </w:rPr>
        <w:t> rappresenta uno strumento d’acquisto che ha subito nell’ultimo periodo un sempre più frequente utilizzo da parte delle amministrazioni pubbliche, principalmente per il fatto che </w:t>
      </w:r>
      <w:r w:rsidRPr="005C66DC">
        <w:rPr>
          <w:rFonts w:ascii="Arial" w:hAnsi="Arial" w:cs="Arial"/>
          <w:color w:val="3D3B39"/>
          <w:sz w:val="22"/>
          <w:szCs w:val="22"/>
          <w:u w:val="single"/>
          <w:shd w:val="clear" w:color="auto" w:fill="F2EFE7"/>
        </w:rPr>
        <w:t>consente di gestire mediante procedura informatica anche appalti di valore superiore alla soglia comunitaria</w:t>
      </w:r>
      <w:r w:rsidRPr="005C66DC">
        <w:rPr>
          <w:rFonts w:ascii="Arial" w:hAnsi="Arial" w:cs="Arial"/>
          <w:color w:val="3D3B39"/>
          <w:sz w:val="22"/>
          <w:szCs w:val="22"/>
          <w:shd w:val="clear" w:color="auto" w:fill="F2EFE7"/>
        </w:rPr>
        <w:t>.</w:t>
      </w:r>
    </w:p>
    <w:p w:rsidR="006460A5" w:rsidRPr="005C66DC" w:rsidRDefault="006460A5" w:rsidP="00945B05">
      <w:pPr>
        <w:pStyle w:val="NormaleWeb"/>
        <w:shd w:val="clear" w:color="auto" w:fill="FFFFFF"/>
        <w:spacing w:before="0" w:beforeAutospacing="0" w:after="101" w:afterAutospacing="0"/>
        <w:rPr>
          <w:rFonts w:ascii="Arial" w:hAnsi="Arial" w:cs="Arial"/>
          <w:color w:val="3D3B39"/>
          <w:sz w:val="22"/>
          <w:szCs w:val="22"/>
          <w:shd w:val="clear" w:color="auto" w:fill="F2EFE7"/>
        </w:rPr>
      </w:pPr>
    </w:p>
    <w:p w:rsidR="006460A5" w:rsidRPr="005C66DC" w:rsidRDefault="006460A5" w:rsidP="00945B05">
      <w:pPr>
        <w:pStyle w:val="NormaleWeb"/>
        <w:shd w:val="clear" w:color="auto" w:fill="FFFFFF"/>
        <w:spacing w:before="0" w:beforeAutospacing="0" w:after="0" w:afterAutospacing="0"/>
        <w:jc w:val="both"/>
        <w:textAlignment w:val="baseline"/>
        <w:rPr>
          <w:rFonts w:ascii="Arial" w:hAnsi="Arial" w:cs="Arial"/>
          <w:color w:val="373737"/>
          <w:sz w:val="22"/>
          <w:szCs w:val="22"/>
        </w:rPr>
      </w:pPr>
      <w:r w:rsidRPr="005C66DC">
        <w:rPr>
          <w:rFonts w:ascii="Arial" w:hAnsi="Arial" w:cs="Arial"/>
          <w:b/>
          <w:color w:val="313840"/>
          <w:sz w:val="22"/>
          <w:szCs w:val="22"/>
        </w:rPr>
        <w:t>Asta elettronica</w:t>
      </w:r>
      <w:r w:rsidRPr="005C66DC">
        <w:rPr>
          <w:rFonts w:ascii="Arial" w:hAnsi="Arial" w:cs="Arial"/>
          <w:b/>
          <w:color w:val="313840"/>
          <w:sz w:val="22"/>
          <w:szCs w:val="22"/>
        </w:rPr>
        <w:sym w:font="Wingdings" w:char="F0E0"/>
      </w:r>
      <w:r w:rsidRPr="005C66DC">
        <w:rPr>
          <w:rFonts w:ascii="Arial" w:hAnsi="Arial" w:cs="Arial"/>
          <w:color w:val="373737"/>
          <w:sz w:val="22"/>
          <w:szCs w:val="22"/>
          <w:shd w:val="clear" w:color="auto" w:fill="FFFFFF"/>
        </w:rPr>
        <w:t xml:space="preserve">L’asta elettronica è una procedura che viene utilizzata dalla pubblica amministrazione con un dispositivo elettronico programmato per ricevere la presentazione di nuovi prezzi da parte dei concorrenti ad una gara di appalto. I prezzi inseriti nell’asta elettronica seguono il criterio del massimo ribasso in merito a dei valori che riguardano solo alcuni elementi del capitolato di gara. Quanto sopra è la sintesi dell’articolo 3, comma 1 lettere </w:t>
      </w:r>
      <w:proofErr w:type="spellStart"/>
      <w:r w:rsidRPr="005C66DC">
        <w:rPr>
          <w:rFonts w:ascii="Arial" w:hAnsi="Arial" w:cs="Arial"/>
          <w:color w:val="373737"/>
          <w:sz w:val="22"/>
          <w:szCs w:val="22"/>
          <w:shd w:val="clear" w:color="auto" w:fill="FFFFFF"/>
        </w:rPr>
        <w:t>zzz</w:t>
      </w:r>
      <w:proofErr w:type="spellEnd"/>
      <w:r w:rsidRPr="005C66DC">
        <w:rPr>
          <w:rFonts w:ascii="Arial" w:hAnsi="Arial" w:cs="Arial"/>
          <w:color w:val="373737"/>
          <w:sz w:val="22"/>
          <w:szCs w:val="22"/>
          <w:shd w:val="clear" w:color="auto" w:fill="FFFFFF"/>
        </w:rPr>
        <w:t xml:space="preserve">), </w:t>
      </w:r>
      <w:proofErr w:type="spellStart"/>
      <w:r w:rsidRPr="005C66DC">
        <w:rPr>
          <w:rFonts w:ascii="Arial" w:hAnsi="Arial" w:cs="Arial"/>
          <w:color w:val="373737"/>
          <w:sz w:val="22"/>
          <w:szCs w:val="22"/>
          <w:shd w:val="clear" w:color="auto" w:fill="FFFFFF"/>
        </w:rPr>
        <w:t>eeee</w:t>
      </w:r>
      <w:proofErr w:type="spellEnd"/>
      <w:r w:rsidRPr="005C66DC">
        <w:rPr>
          <w:rFonts w:ascii="Arial" w:hAnsi="Arial" w:cs="Arial"/>
          <w:color w:val="373737"/>
          <w:sz w:val="22"/>
          <w:szCs w:val="22"/>
          <w:shd w:val="clear" w:color="auto" w:fill="FFFFFF"/>
        </w:rPr>
        <w:t xml:space="preserve">), </w:t>
      </w:r>
      <w:proofErr w:type="spellStart"/>
      <w:r w:rsidRPr="005C66DC">
        <w:rPr>
          <w:rFonts w:ascii="Arial" w:hAnsi="Arial" w:cs="Arial"/>
          <w:color w:val="373737"/>
          <w:sz w:val="22"/>
          <w:szCs w:val="22"/>
          <w:shd w:val="clear" w:color="auto" w:fill="FFFFFF"/>
        </w:rPr>
        <w:t>ffff</w:t>
      </w:r>
      <w:proofErr w:type="spellEnd"/>
      <w:r w:rsidRPr="005C66DC">
        <w:rPr>
          <w:rFonts w:ascii="Arial" w:hAnsi="Arial" w:cs="Arial"/>
          <w:color w:val="373737"/>
          <w:sz w:val="22"/>
          <w:szCs w:val="22"/>
          <w:shd w:val="clear" w:color="auto" w:fill="FFFFFF"/>
        </w:rPr>
        <w:t xml:space="preserve">) del decreto legislativo 18 aprile 2016, n. 50 (codice degli appalti). </w:t>
      </w:r>
      <w:r w:rsidRPr="005C66DC">
        <w:rPr>
          <w:rFonts w:ascii="Arial" w:hAnsi="Arial" w:cs="Arial"/>
          <w:color w:val="373737"/>
          <w:sz w:val="22"/>
          <w:szCs w:val="22"/>
          <w:bdr w:val="none" w:sz="0" w:space="0" w:color="auto" w:frame="1"/>
        </w:rPr>
        <w:t>L’asta elettronica è una modalità utilizzabile dalla stazione appaltante a sua discrezione nelle procedure aperte, ristrette e negoziate con bando di gara oppure, altro possibile utilizzo, nella fase del rilancio competitivo tra le parti con riferimento ad un preciso accordo quadro descritto nel bando di gara. L’asta elettronica può riguardare :</w:t>
      </w:r>
      <w:r w:rsidRPr="005C66DC">
        <w:rPr>
          <w:rFonts w:ascii="Arial" w:hAnsi="Arial" w:cs="Arial"/>
          <w:color w:val="373737"/>
          <w:sz w:val="22"/>
          <w:szCs w:val="22"/>
          <w:bdr w:val="none" w:sz="0" w:space="0" w:color="auto" w:frame="1"/>
        </w:rPr>
        <w:br/>
        <w:t>1) solo i prezzi, quando la gara di appalto prevede che per l’aggiudicazione verrà utilizzato il criterio del prezzo più basso;</w:t>
      </w:r>
    </w:p>
    <w:p w:rsidR="006460A5" w:rsidRPr="005C66DC" w:rsidRDefault="006460A5" w:rsidP="00945B05">
      <w:pPr>
        <w:pStyle w:val="NormaleWeb"/>
        <w:shd w:val="clear" w:color="auto" w:fill="FFFFFF"/>
        <w:spacing w:before="0" w:beforeAutospacing="0" w:after="0" w:afterAutospacing="0"/>
        <w:jc w:val="both"/>
        <w:textAlignment w:val="baseline"/>
        <w:rPr>
          <w:rFonts w:ascii="Arial" w:hAnsi="Arial" w:cs="Arial"/>
          <w:color w:val="373737"/>
          <w:sz w:val="22"/>
          <w:szCs w:val="22"/>
        </w:rPr>
      </w:pPr>
      <w:r w:rsidRPr="005C66DC">
        <w:rPr>
          <w:rFonts w:ascii="Arial" w:hAnsi="Arial" w:cs="Arial"/>
          <w:color w:val="373737"/>
          <w:sz w:val="22"/>
          <w:szCs w:val="22"/>
          <w:bdr w:val="none" w:sz="0" w:space="0" w:color="auto" w:frame="1"/>
        </w:rPr>
        <w:t>2) il rapporto che esiste fra prezzi/valori, se il criterio di aggiudicazione del contratto di appalto si basa sul metodo dell’offerta economicamente più vantaggiosa.</w:t>
      </w:r>
    </w:p>
    <w:p w:rsidR="006460A5" w:rsidRPr="005C66DC" w:rsidRDefault="006460A5" w:rsidP="00945B05">
      <w:pPr>
        <w:pStyle w:val="NormaleWeb"/>
        <w:shd w:val="clear" w:color="auto" w:fill="FFFFFF"/>
        <w:spacing w:before="0" w:beforeAutospacing="0" w:after="101" w:afterAutospacing="0"/>
        <w:rPr>
          <w:rFonts w:ascii="Arial" w:hAnsi="Arial" w:cs="Arial"/>
          <w:b/>
          <w:color w:val="313840"/>
          <w:sz w:val="22"/>
          <w:szCs w:val="22"/>
        </w:rPr>
      </w:pPr>
    </w:p>
    <w:p w:rsidR="006460A5" w:rsidRPr="005C66DC" w:rsidRDefault="006460A5" w:rsidP="00945B05">
      <w:pPr>
        <w:pStyle w:val="NormaleWeb"/>
        <w:shd w:val="clear" w:color="auto" w:fill="FFFFFF"/>
        <w:spacing w:before="0" w:beforeAutospacing="0" w:after="101" w:afterAutospacing="0"/>
        <w:rPr>
          <w:rFonts w:ascii="Arial" w:hAnsi="Arial" w:cs="Arial"/>
          <w:b/>
          <w:color w:val="313840"/>
          <w:sz w:val="22"/>
          <w:szCs w:val="22"/>
        </w:rPr>
      </w:pPr>
      <w:r w:rsidRPr="005C66DC">
        <w:rPr>
          <w:rFonts w:ascii="Arial" w:hAnsi="Arial" w:cs="Arial"/>
          <w:b/>
          <w:color w:val="313840"/>
          <w:sz w:val="22"/>
          <w:szCs w:val="22"/>
        </w:rPr>
        <w:t>Le soglie comunitarie</w:t>
      </w:r>
    </w:p>
    <w:p w:rsidR="006460A5" w:rsidRPr="005C66DC" w:rsidRDefault="006460A5" w:rsidP="00945B05">
      <w:pPr>
        <w:shd w:val="clear" w:color="auto" w:fill="FFFFFF"/>
        <w:spacing w:after="100" w:afterAutospacing="1" w:line="240" w:lineRule="auto"/>
        <w:jc w:val="both"/>
        <w:rPr>
          <w:rFonts w:ascii="Arial" w:eastAsia="Times New Roman" w:hAnsi="Arial" w:cs="Arial"/>
          <w:color w:val="333333"/>
          <w:lang w:eastAsia="it-IT"/>
        </w:rPr>
      </w:pPr>
      <w:r w:rsidRPr="005C66DC">
        <w:rPr>
          <w:rFonts w:ascii="Arial" w:eastAsia="Times New Roman" w:hAnsi="Arial" w:cs="Arial"/>
          <w:color w:val="333333"/>
          <w:lang w:eastAsia="it-IT"/>
        </w:rPr>
        <w:t>La Commissione europea ha determinato i nuovi importi, in vigore dal 1° gennaio 2018, delle soglie per l’applicazione delle norme in materia di procedure di aggiudicazione degli appalti pubblici e delle concessioni.</w:t>
      </w:r>
    </w:p>
    <w:p w:rsidR="006460A5" w:rsidRPr="005C66DC" w:rsidRDefault="006460A5" w:rsidP="00945B05">
      <w:pPr>
        <w:shd w:val="clear" w:color="auto" w:fill="FFFFFF"/>
        <w:spacing w:after="100" w:afterAutospacing="1" w:line="240" w:lineRule="auto"/>
        <w:jc w:val="both"/>
        <w:rPr>
          <w:rFonts w:ascii="Arial" w:eastAsia="Times New Roman" w:hAnsi="Arial" w:cs="Arial"/>
          <w:color w:val="333333"/>
          <w:lang w:eastAsia="it-IT"/>
        </w:rPr>
      </w:pPr>
      <w:r w:rsidRPr="005C66DC">
        <w:rPr>
          <w:rFonts w:ascii="Arial" w:eastAsia="Times New Roman" w:hAnsi="Arial" w:cs="Arial"/>
          <w:color w:val="333333"/>
          <w:lang w:eastAsia="it-IT"/>
        </w:rPr>
        <w:t>I nuovi importi sono stabiliti dai </w:t>
      </w:r>
      <w:r w:rsidRPr="005C66DC">
        <w:rPr>
          <w:rFonts w:ascii="Arial" w:eastAsia="Times New Roman" w:hAnsi="Arial" w:cs="Arial"/>
          <w:b/>
          <w:bCs/>
          <w:color w:val="333333"/>
          <w:lang w:eastAsia="it-IT"/>
        </w:rPr>
        <w:t xml:space="preserve">Regolamenti delegati (UE) </w:t>
      </w:r>
      <w:proofErr w:type="spellStart"/>
      <w:r w:rsidRPr="005C66DC">
        <w:rPr>
          <w:rFonts w:ascii="Arial" w:eastAsia="Times New Roman" w:hAnsi="Arial" w:cs="Arial"/>
          <w:b/>
          <w:bCs/>
          <w:color w:val="333333"/>
          <w:lang w:eastAsia="it-IT"/>
        </w:rPr>
        <w:t>nn</w:t>
      </w:r>
      <w:proofErr w:type="spellEnd"/>
      <w:r w:rsidRPr="005C66DC">
        <w:rPr>
          <w:rFonts w:ascii="Arial" w:eastAsia="Times New Roman" w:hAnsi="Arial" w:cs="Arial"/>
          <w:b/>
          <w:bCs/>
          <w:color w:val="333333"/>
          <w:lang w:eastAsia="it-IT"/>
        </w:rPr>
        <w:t>.</w:t>
      </w:r>
      <w:r w:rsidRPr="005C66DC">
        <w:rPr>
          <w:rFonts w:ascii="Arial" w:eastAsia="Times New Roman" w:hAnsi="Arial" w:cs="Arial"/>
          <w:color w:val="333333"/>
          <w:lang w:eastAsia="it-IT"/>
        </w:rPr>
        <w:t> </w:t>
      </w:r>
      <w:hyperlink r:id="rId6" w:tgtFrame="_blank" w:history="1">
        <w:r w:rsidRPr="005C66DC">
          <w:rPr>
            <w:rFonts w:ascii="Arial" w:eastAsia="Times New Roman" w:hAnsi="Arial" w:cs="Arial"/>
            <w:b/>
            <w:bCs/>
            <w:color w:val="960215"/>
            <w:lang w:eastAsia="it-IT"/>
          </w:rPr>
          <w:t>2364</w:t>
        </w:r>
      </w:hyperlink>
      <w:r w:rsidRPr="005C66DC">
        <w:rPr>
          <w:rFonts w:ascii="Arial" w:eastAsia="Times New Roman" w:hAnsi="Arial" w:cs="Arial"/>
          <w:color w:val="333333"/>
          <w:lang w:eastAsia="it-IT"/>
        </w:rPr>
        <w:t>, </w:t>
      </w:r>
      <w:hyperlink r:id="rId7" w:tgtFrame="_blank" w:history="1">
        <w:r w:rsidRPr="005C66DC">
          <w:rPr>
            <w:rFonts w:ascii="Arial" w:eastAsia="Times New Roman" w:hAnsi="Arial" w:cs="Arial"/>
            <w:b/>
            <w:bCs/>
            <w:color w:val="960215"/>
            <w:lang w:eastAsia="it-IT"/>
          </w:rPr>
          <w:t>2365</w:t>
        </w:r>
      </w:hyperlink>
      <w:r w:rsidRPr="005C66DC">
        <w:rPr>
          <w:rFonts w:ascii="Arial" w:eastAsia="Times New Roman" w:hAnsi="Arial" w:cs="Arial"/>
          <w:color w:val="333333"/>
          <w:lang w:eastAsia="it-IT"/>
        </w:rPr>
        <w:t>, </w:t>
      </w:r>
      <w:hyperlink r:id="rId8" w:tgtFrame="_blank" w:history="1">
        <w:r w:rsidRPr="005C66DC">
          <w:rPr>
            <w:rFonts w:ascii="Arial" w:eastAsia="Times New Roman" w:hAnsi="Arial" w:cs="Arial"/>
            <w:b/>
            <w:bCs/>
            <w:color w:val="960215"/>
            <w:lang w:eastAsia="it-IT"/>
          </w:rPr>
          <w:t>2366</w:t>
        </w:r>
      </w:hyperlink>
      <w:r w:rsidRPr="005C66DC">
        <w:rPr>
          <w:rFonts w:ascii="Arial" w:eastAsia="Times New Roman" w:hAnsi="Arial" w:cs="Arial"/>
          <w:color w:val="333333"/>
          <w:lang w:eastAsia="it-IT"/>
        </w:rPr>
        <w:t>pubblicati sulla Gazzetta Ufficiale dell’Unione europea n. L337 del 19 dicembre 2017.</w:t>
      </w:r>
    </w:p>
    <w:p w:rsidR="006460A5" w:rsidRPr="005C66DC" w:rsidRDefault="006460A5" w:rsidP="00945B05">
      <w:pPr>
        <w:shd w:val="clear" w:color="auto" w:fill="FFFFFF"/>
        <w:spacing w:after="100" w:afterAutospacing="1" w:line="240" w:lineRule="auto"/>
        <w:rPr>
          <w:rFonts w:ascii="Arial" w:eastAsia="Times New Roman" w:hAnsi="Arial" w:cs="Arial"/>
          <w:color w:val="333333"/>
          <w:lang w:eastAsia="it-IT"/>
        </w:rPr>
      </w:pPr>
      <w:r w:rsidRPr="005C66DC">
        <w:rPr>
          <w:rFonts w:ascii="Arial" w:eastAsia="Times New Roman" w:hAnsi="Arial" w:cs="Arial"/>
          <w:color w:val="333333"/>
          <w:lang w:eastAsia="it-IT"/>
        </w:rPr>
        <w:t>Detti regolamenti, in vigore dal </w:t>
      </w:r>
      <w:r w:rsidRPr="005C66DC">
        <w:rPr>
          <w:rFonts w:ascii="Arial" w:eastAsia="Times New Roman" w:hAnsi="Arial" w:cs="Arial"/>
          <w:b/>
          <w:bCs/>
          <w:color w:val="333333"/>
          <w:lang w:eastAsia="it-IT"/>
        </w:rPr>
        <w:t>1° gennaio 2018</w:t>
      </w:r>
      <w:r w:rsidRPr="005C66DC">
        <w:rPr>
          <w:rFonts w:ascii="Arial" w:eastAsia="Times New Roman" w:hAnsi="Arial" w:cs="Arial"/>
          <w:color w:val="333333"/>
          <w:lang w:eastAsia="it-IT"/>
        </w:rPr>
        <w:t>,  sono obbligatori in tutti i loro elementi e direttamente applicabili in ciascuno degli Stati membri, </w:t>
      </w:r>
      <w:r w:rsidRPr="005C66DC">
        <w:rPr>
          <w:rFonts w:ascii="Arial" w:eastAsia="Times New Roman" w:hAnsi="Arial" w:cs="Arial"/>
          <w:b/>
          <w:bCs/>
          <w:color w:val="333333"/>
          <w:lang w:eastAsia="it-IT"/>
        </w:rPr>
        <w:t>dunque non necessitano di alcuna procedura di recepimento</w:t>
      </w:r>
      <w:r w:rsidRPr="005C66DC">
        <w:rPr>
          <w:rFonts w:ascii="Arial" w:eastAsia="Times New Roman" w:hAnsi="Arial" w:cs="Arial"/>
          <w:color w:val="333333"/>
          <w:lang w:eastAsia="it-IT"/>
        </w:rPr>
        <w:t>. Le nuove soglie sostituiscono integralmente quelle vigenti in precedenza.</w:t>
      </w:r>
    </w:p>
    <w:p w:rsidR="006460A5" w:rsidRPr="005C66DC" w:rsidRDefault="006460A5" w:rsidP="00945B05">
      <w:pPr>
        <w:shd w:val="clear" w:color="auto" w:fill="FFFFFF"/>
        <w:spacing w:after="100" w:afterAutospacing="1" w:line="240" w:lineRule="auto"/>
        <w:jc w:val="both"/>
        <w:rPr>
          <w:rFonts w:ascii="Arial" w:eastAsia="Times New Roman" w:hAnsi="Arial" w:cs="Arial"/>
          <w:color w:val="333333"/>
          <w:lang w:eastAsia="it-IT"/>
        </w:rPr>
      </w:pPr>
      <w:r w:rsidRPr="005C66DC">
        <w:rPr>
          <w:rFonts w:ascii="Arial" w:eastAsia="Times New Roman" w:hAnsi="Arial" w:cs="Arial"/>
          <w:color w:val="333333"/>
          <w:lang w:eastAsia="it-IT"/>
        </w:rPr>
        <w:t>In particolare, nell’ambito dei </w:t>
      </w:r>
      <w:r w:rsidRPr="005C66DC">
        <w:rPr>
          <w:rFonts w:ascii="Arial" w:eastAsia="Times New Roman" w:hAnsi="Arial" w:cs="Arial"/>
          <w:b/>
          <w:bCs/>
          <w:color w:val="333333"/>
          <w:lang w:eastAsia="it-IT"/>
        </w:rPr>
        <w:t>settori ordinari</w:t>
      </w:r>
      <w:r w:rsidRPr="005C66DC">
        <w:rPr>
          <w:rFonts w:ascii="Arial" w:eastAsia="Times New Roman" w:hAnsi="Arial" w:cs="Arial"/>
          <w:color w:val="333333"/>
          <w:lang w:eastAsia="it-IT"/>
        </w:rPr>
        <w:t>, è stata modificata la soglia per gli </w:t>
      </w:r>
      <w:r w:rsidRPr="005C66DC">
        <w:rPr>
          <w:rFonts w:ascii="Arial" w:eastAsia="Times New Roman" w:hAnsi="Arial" w:cs="Arial"/>
          <w:b/>
          <w:bCs/>
          <w:color w:val="333333"/>
          <w:lang w:eastAsia="it-IT"/>
        </w:rPr>
        <w:t>appalti pubblici di forniture, di servizi e per i concorsi pubblici di progettazione aggiudicati da amministrazioni aggiudicatrici sub-centrali</w:t>
      </w:r>
      <w:r w:rsidRPr="005C66DC">
        <w:rPr>
          <w:rFonts w:ascii="Arial" w:eastAsia="Times New Roman" w:hAnsi="Arial" w:cs="Arial"/>
          <w:color w:val="333333"/>
          <w:lang w:eastAsia="it-IT"/>
        </w:rPr>
        <w:t>, che, pertanto, è stata innalzata da 209.000 euro a </w:t>
      </w:r>
      <w:r w:rsidRPr="005C66DC">
        <w:rPr>
          <w:rFonts w:ascii="Arial" w:eastAsia="Times New Roman" w:hAnsi="Arial" w:cs="Arial"/>
          <w:b/>
          <w:bCs/>
          <w:color w:val="333333"/>
          <w:lang w:eastAsia="it-IT"/>
        </w:rPr>
        <w:t>221.000 euro </w:t>
      </w:r>
      <w:r w:rsidRPr="005C66DC">
        <w:rPr>
          <w:rFonts w:ascii="Arial" w:eastAsia="Times New Roman" w:hAnsi="Arial" w:cs="Arial"/>
          <w:color w:val="333333"/>
          <w:lang w:eastAsia="it-IT"/>
        </w:rPr>
        <w:t>(tale soglia si applica anche agli appalti pubblici di forniture aggiudicati dalle autorità governative centrali che operano nel settore della difesa, allorché tali appalti concernono prodotti non menzionati nell’allegato VIII).</w:t>
      </w:r>
    </w:p>
    <w:p w:rsidR="006460A5" w:rsidRPr="005C66DC" w:rsidRDefault="006460A5" w:rsidP="00945B05">
      <w:pPr>
        <w:shd w:val="clear" w:color="auto" w:fill="FFFFFF"/>
        <w:spacing w:after="100" w:afterAutospacing="1" w:line="240" w:lineRule="auto"/>
        <w:jc w:val="both"/>
        <w:rPr>
          <w:rFonts w:ascii="Arial" w:eastAsia="Times New Roman" w:hAnsi="Arial" w:cs="Arial"/>
          <w:color w:val="333333"/>
          <w:lang w:eastAsia="it-IT"/>
        </w:rPr>
      </w:pPr>
      <w:r w:rsidRPr="005C66DC">
        <w:rPr>
          <w:rFonts w:ascii="Arial" w:eastAsia="Times New Roman" w:hAnsi="Arial" w:cs="Arial"/>
          <w:color w:val="333333"/>
          <w:lang w:eastAsia="it-IT"/>
        </w:rPr>
        <w:lastRenderedPageBreak/>
        <w:t>Inoltre, in considerazione delle recenti modifiche, le ulteriori soglie di rilevanza comunitaria sono:</w:t>
      </w:r>
    </w:p>
    <w:p w:rsidR="006460A5" w:rsidRPr="005C66DC" w:rsidRDefault="006460A5" w:rsidP="00945B05">
      <w:pPr>
        <w:numPr>
          <w:ilvl w:val="0"/>
          <w:numId w:val="4"/>
        </w:numPr>
        <w:shd w:val="clear" w:color="auto" w:fill="FFFFFF"/>
        <w:spacing w:before="100" w:beforeAutospacing="1" w:after="100" w:afterAutospacing="1" w:line="240" w:lineRule="auto"/>
        <w:jc w:val="both"/>
        <w:rPr>
          <w:rFonts w:ascii="Arial" w:eastAsia="Times New Roman" w:hAnsi="Arial" w:cs="Arial"/>
          <w:color w:val="333333"/>
          <w:lang w:eastAsia="it-IT"/>
        </w:rPr>
      </w:pPr>
      <w:r w:rsidRPr="005C66DC">
        <w:rPr>
          <w:rFonts w:ascii="Arial" w:eastAsia="Times New Roman" w:hAnsi="Arial" w:cs="Arial"/>
          <w:b/>
          <w:bCs/>
          <w:color w:val="333333"/>
          <w:lang w:eastAsia="it-IT"/>
        </w:rPr>
        <w:t>euro</w:t>
      </w:r>
      <w:r w:rsidRPr="005C66DC">
        <w:rPr>
          <w:rFonts w:ascii="Arial" w:eastAsia="Times New Roman" w:hAnsi="Arial" w:cs="Arial"/>
          <w:color w:val="333333"/>
          <w:lang w:eastAsia="it-IT"/>
        </w:rPr>
        <w:t> </w:t>
      </w:r>
      <w:r w:rsidRPr="005C66DC">
        <w:rPr>
          <w:rFonts w:ascii="Arial" w:eastAsia="Times New Roman" w:hAnsi="Arial" w:cs="Arial"/>
          <w:b/>
          <w:bCs/>
          <w:color w:val="333333"/>
          <w:lang w:eastAsia="it-IT"/>
        </w:rPr>
        <w:t>5.548.000</w:t>
      </w:r>
      <w:r w:rsidRPr="005C66DC">
        <w:rPr>
          <w:rFonts w:ascii="Arial" w:eastAsia="Times New Roman" w:hAnsi="Arial" w:cs="Arial"/>
          <w:color w:val="333333"/>
          <w:lang w:eastAsia="it-IT"/>
        </w:rPr>
        <w:t> per gli appalti pubblici di lavori e per le concessioni (in precedenza euro 5.225.000);</w:t>
      </w:r>
    </w:p>
    <w:p w:rsidR="006460A5" w:rsidRPr="005C66DC" w:rsidRDefault="006460A5" w:rsidP="00945B05">
      <w:pPr>
        <w:numPr>
          <w:ilvl w:val="0"/>
          <w:numId w:val="4"/>
        </w:numPr>
        <w:shd w:val="clear" w:color="auto" w:fill="FFFFFF"/>
        <w:spacing w:before="100" w:beforeAutospacing="1" w:after="100" w:afterAutospacing="1" w:line="240" w:lineRule="auto"/>
        <w:jc w:val="both"/>
        <w:rPr>
          <w:rFonts w:ascii="Arial" w:eastAsia="Times New Roman" w:hAnsi="Arial" w:cs="Arial"/>
          <w:color w:val="333333"/>
          <w:lang w:eastAsia="it-IT"/>
        </w:rPr>
      </w:pPr>
      <w:r w:rsidRPr="005C66DC">
        <w:rPr>
          <w:rFonts w:ascii="Arial" w:eastAsia="Times New Roman" w:hAnsi="Arial" w:cs="Arial"/>
          <w:b/>
          <w:bCs/>
          <w:color w:val="333333"/>
          <w:lang w:eastAsia="it-IT"/>
        </w:rPr>
        <w:t>euro</w:t>
      </w:r>
      <w:r w:rsidRPr="005C66DC">
        <w:rPr>
          <w:rFonts w:ascii="Arial" w:eastAsia="Times New Roman" w:hAnsi="Arial" w:cs="Arial"/>
          <w:color w:val="333333"/>
          <w:lang w:eastAsia="it-IT"/>
        </w:rPr>
        <w:t> </w:t>
      </w:r>
      <w:r w:rsidRPr="005C66DC">
        <w:rPr>
          <w:rFonts w:ascii="Arial" w:eastAsia="Times New Roman" w:hAnsi="Arial" w:cs="Arial"/>
          <w:b/>
          <w:bCs/>
          <w:color w:val="333333"/>
          <w:lang w:eastAsia="it-IT"/>
        </w:rPr>
        <w:t>144.000</w:t>
      </w:r>
      <w:r w:rsidRPr="005C66DC">
        <w:rPr>
          <w:rFonts w:ascii="Arial" w:eastAsia="Times New Roman" w:hAnsi="Arial" w:cs="Arial"/>
          <w:color w:val="333333"/>
          <w:lang w:eastAsia="it-IT"/>
        </w:rPr>
        <w:t> per gli appalti pubblici di forniture, di servizi e per i concorsi pubblici di progettazione aggiudicati dalle amministrazioni aggiudicatrici che sono autorità governative centrali indicate nell’allegato III; se gli appalti pubblici di forniture sono aggiudicati da amministrazioni aggiudicatrici operanti nel settore della difesa, questa soglia si applica solo agli appalti concernenti i prodotti menzionati nell’allegato VIII (in precedenza euro 135.000).</w:t>
      </w:r>
    </w:p>
    <w:p w:rsidR="006460A5" w:rsidRPr="005C66DC" w:rsidRDefault="006460A5" w:rsidP="00945B05">
      <w:pPr>
        <w:shd w:val="clear" w:color="auto" w:fill="FFFFFF"/>
        <w:spacing w:after="100" w:afterAutospacing="1" w:line="240" w:lineRule="auto"/>
        <w:jc w:val="both"/>
        <w:rPr>
          <w:rFonts w:ascii="Arial" w:eastAsia="Times New Roman" w:hAnsi="Arial" w:cs="Arial"/>
          <w:color w:val="333333"/>
          <w:lang w:eastAsia="it-IT"/>
        </w:rPr>
      </w:pPr>
      <w:r w:rsidRPr="005C66DC">
        <w:rPr>
          <w:rFonts w:ascii="Arial" w:eastAsia="Times New Roman" w:hAnsi="Arial" w:cs="Arial"/>
          <w:color w:val="333333"/>
          <w:lang w:eastAsia="it-IT"/>
        </w:rPr>
        <w:t>Rimane invariato l’importo di euro 750.000 per gli appalti di servizi sociali e di altri servizi specifici elencati all’allegato IX del Codice dei contratti pubblici.</w:t>
      </w:r>
    </w:p>
    <w:p w:rsidR="006460A5" w:rsidRPr="005C66DC" w:rsidRDefault="006460A5" w:rsidP="00945B05">
      <w:pPr>
        <w:shd w:val="clear" w:color="auto" w:fill="FFFFFF"/>
        <w:spacing w:after="100" w:afterAutospacing="1" w:line="240" w:lineRule="auto"/>
        <w:jc w:val="both"/>
        <w:rPr>
          <w:rFonts w:ascii="Arial" w:eastAsia="Times New Roman" w:hAnsi="Arial" w:cs="Arial"/>
          <w:color w:val="333333"/>
          <w:lang w:eastAsia="it-IT"/>
        </w:rPr>
      </w:pPr>
      <w:r w:rsidRPr="005C66DC">
        <w:rPr>
          <w:rFonts w:ascii="Arial" w:eastAsia="Times New Roman" w:hAnsi="Arial" w:cs="Arial"/>
          <w:color w:val="333333"/>
          <w:lang w:eastAsia="it-IT"/>
        </w:rPr>
        <w:t>Infine, nei</w:t>
      </w:r>
      <w:r w:rsidRPr="005C66DC">
        <w:rPr>
          <w:rFonts w:ascii="Arial" w:eastAsia="Times New Roman" w:hAnsi="Arial" w:cs="Arial"/>
          <w:b/>
          <w:bCs/>
          <w:color w:val="333333"/>
          <w:lang w:eastAsia="it-IT"/>
        </w:rPr>
        <w:t> settori speciali</w:t>
      </w:r>
      <w:r w:rsidRPr="005C66DC">
        <w:rPr>
          <w:rFonts w:ascii="Arial" w:eastAsia="Times New Roman" w:hAnsi="Arial" w:cs="Arial"/>
          <w:color w:val="333333"/>
          <w:lang w:eastAsia="it-IT"/>
        </w:rPr>
        <w:t>, le soglie di rilevanza comunitaria, sempre dal 1° gennaio 2018, sono le seguenti:</w:t>
      </w:r>
    </w:p>
    <w:p w:rsidR="006460A5" w:rsidRPr="005C66DC" w:rsidRDefault="006460A5" w:rsidP="00945B05">
      <w:pPr>
        <w:numPr>
          <w:ilvl w:val="0"/>
          <w:numId w:val="5"/>
        </w:numPr>
        <w:shd w:val="clear" w:color="auto" w:fill="FFFFFF"/>
        <w:spacing w:before="100" w:beforeAutospacing="1" w:after="100" w:afterAutospacing="1" w:line="240" w:lineRule="auto"/>
        <w:jc w:val="both"/>
        <w:rPr>
          <w:rFonts w:ascii="Arial" w:eastAsia="Times New Roman" w:hAnsi="Arial" w:cs="Arial"/>
          <w:color w:val="333333"/>
          <w:lang w:eastAsia="it-IT"/>
        </w:rPr>
      </w:pPr>
      <w:r w:rsidRPr="005C66DC">
        <w:rPr>
          <w:rFonts w:ascii="Arial" w:eastAsia="Times New Roman" w:hAnsi="Arial" w:cs="Arial"/>
          <w:b/>
          <w:bCs/>
          <w:color w:val="333333"/>
          <w:lang w:eastAsia="it-IT"/>
        </w:rPr>
        <w:t>euro</w:t>
      </w:r>
      <w:r w:rsidRPr="005C66DC">
        <w:rPr>
          <w:rFonts w:ascii="Arial" w:eastAsia="Times New Roman" w:hAnsi="Arial" w:cs="Arial"/>
          <w:color w:val="333333"/>
          <w:lang w:eastAsia="it-IT"/>
        </w:rPr>
        <w:t> </w:t>
      </w:r>
      <w:r w:rsidRPr="005C66DC">
        <w:rPr>
          <w:rFonts w:ascii="Arial" w:eastAsia="Times New Roman" w:hAnsi="Arial" w:cs="Arial"/>
          <w:b/>
          <w:bCs/>
          <w:color w:val="333333"/>
          <w:lang w:eastAsia="it-IT"/>
        </w:rPr>
        <w:t>5.548.000</w:t>
      </w:r>
      <w:r w:rsidRPr="005C66DC">
        <w:rPr>
          <w:rFonts w:ascii="Arial" w:eastAsia="Times New Roman" w:hAnsi="Arial" w:cs="Arial"/>
          <w:color w:val="333333"/>
          <w:lang w:eastAsia="it-IT"/>
        </w:rPr>
        <w:t> per gli appalti di lavori (in precedenza euro 5.225.000);</w:t>
      </w:r>
    </w:p>
    <w:p w:rsidR="006460A5" w:rsidRPr="005C66DC" w:rsidRDefault="006460A5" w:rsidP="00945B05">
      <w:pPr>
        <w:numPr>
          <w:ilvl w:val="0"/>
          <w:numId w:val="5"/>
        </w:numPr>
        <w:shd w:val="clear" w:color="auto" w:fill="FFFFFF"/>
        <w:spacing w:before="100" w:beforeAutospacing="1" w:after="100" w:afterAutospacing="1" w:line="240" w:lineRule="auto"/>
        <w:jc w:val="both"/>
        <w:rPr>
          <w:rFonts w:ascii="Arial" w:eastAsia="Times New Roman" w:hAnsi="Arial" w:cs="Arial"/>
          <w:color w:val="333333"/>
          <w:lang w:eastAsia="it-IT"/>
        </w:rPr>
      </w:pPr>
      <w:r w:rsidRPr="005C66DC">
        <w:rPr>
          <w:rFonts w:ascii="Arial" w:eastAsia="Times New Roman" w:hAnsi="Arial" w:cs="Arial"/>
          <w:b/>
          <w:bCs/>
          <w:color w:val="333333"/>
          <w:lang w:eastAsia="it-IT"/>
        </w:rPr>
        <w:t>euro 443.000</w:t>
      </w:r>
      <w:r w:rsidRPr="005C66DC">
        <w:rPr>
          <w:rFonts w:ascii="Arial" w:eastAsia="Times New Roman" w:hAnsi="Arial" w:cs="Arial"/>
          <w:color w:val="333333"/>
          <w:lang w:eastAsia="it-IT"/>
        </w:rPr>
        <w:t> per gli appalti di forniture, di servizi e per i concorsi pubblici di progettazione (in precedenza euro 418.000);</w:t>
      </w:r>
    </w:p>
    <w:p w:rsidR="006460A5" w:rsidRPr="005C66DC" w:rsidRDefault="006460A5" w:rsidP="00945B05">
      <w:pPr>
        <w:shd w:val="clear" w:color="auto" w:fill="FFFFFF"/>
        <w:spacing w:after="100" w:afterAutospacing="1" w:line="240" w:lineRule="auto"/>
        <w:jc w:val="both"/>
        <w:rPr>
          <w:rFonts w:ascii="Arial" w:eastAsia="Times New Roman" w:hAnsi="Arial" w:cs="Arial"/>
          <w:b/>
          <w:bCs/>
          <w:color w:val="333333"/>
          <w:lang w:eastAsia="it-IT"/>
        </w:rPr>
      </w:pPr>
      <w:r w:rsidRPr="005C66DC">
        <w:rPr>
          <w:rFonts w:ascii="Arial" w:eastAsia="Times New Roman" w:hAnsi="Arial" w:cs="Arial"/>
          <w:color w:val="333333"/>
          <w:lang w:eastAsia="it-IT"/>
        </w:rPr>
        <w:t xml:space="preserve">Inalterato l’importo previsto per i contratti di servizi, per i servizi sociali e altri servizi specifici elencati all’allegato IX del D. </w:t>
      </w:r>
      <w:proofErr w:type="spellStart"/>
      <w:r w:rsidRPr="005C66DC">
        <w:rPr>
          <w:rFonts w:ascii="Arial" w:eastAsia="Times New Roman" w:hAnsi="Arial" w:cs="Arial"/>
          <w:color w:val="333333"/>
          <w:lang w:eastAsia="it-IT"/>
        </w:rPr>
        <w:t>Lgs</w:t>
      </w:r>
      <w:proofErr w:type="spellEnd"/>
      <w:r w:rsidRPr="005C66DC">
        <w:rPr>
          <w:rFonts w:ascii="Arial" w:eastAsia="Times New Roman" w:hAnsi="Arial" w:cs="Arial"/>
          <w:color w:val="333333"/>
          <w:lang w:eastAsia="it-IT"/>
        </w:rPr>
        <w:t>. 50/2016, pari a </w:t>
      </w:r>
      <w:r w:rsidRPr="005C66DC">
        <w:rPr>
          <w:rFonts w:ascii="Arial" w:eastAsia="Times New Roman" w:hAnsi="Arial" w:cs="Arial"/>
          <w:b/>
          <w:bCs/>
          <w:color w:val="333333"/>
          <w:lang w:eastAsia="it-IT"/>
        </w:rPr>
        <w:t>euro 1.000.000.</w:t>
      </w:r>
    </w:p>
    <w:p w:rsidR="00020334" w:rsidRPr="005C66DC" w:rsidRDefault="00020334" w:rsidP="00945B05">
      <w:pPr>
        <w:shd w:val="clear" w:color="auto" w:fill="FFFFFF"/>
        <w:spacing w:after="100" w:afterAutospacing="1" w:line="240" w:lineRule="auto"/>
        <w:jc w:val="both"/>
        <w:rPr>
          <w:rFonts w:ascii="Arial" w:eastAsia="Times New Roman" w:hAnsi="Arial" w:cs="Arial"/>
          <w:b/>
          <w:bCs/>
          <w:color w:val="333333"/>
          <w:lang w:eastAsia="it-IT"/>
        </w:rPr>
      </w:pPr>
      <w:r w:rsidRPr="005C66DC">
        <w:rPr>
          <w:rFonts w:ascii="Arial" w:eastAsia="Times New Roman" w:hAnsi="Arial" w:cs="Arial"/>
          <w:b/>
          <w:bCs/>
          <w:color w:val="333333"/>
          <w:lang w:eastAsia="it-IT"/>
        </w:rPr>
        <w:t>Affidamento sotto soglia comunitaria</w:t>
      </w:r>
    </w:p>
    <w:p w:rsidR="006460A5" w:rsidRPr="005C66DC" w:rsidRDefault="006460A5" w:rsidP="00945B05">
      <w:pPr>
        <w:shd w:val="clear" w:color="auto" w:fill="FFFFFF"/>
        <w:spacing w:after="100" w:afterAutospacing="1" w:line="240" w:lineRule="auto"/>
        <w:jc w:val="both"/>
        <w:rPr>
          <w:rFonts w:ascii="Arial" w:hAnsi="Arial" w:cs="Arial"/>
        </w:rPr>
      </w:pPr>
      <w:r w:rsidRPr="005C66DC">
        <w:rPr>
          <w:rFonts w:ascii="Arial" w:hAnsi="Arial" w:cs="Arial"/>
        </w:rPr>
        <w:t>Il valore stimato dell’appalto è calcolato in osservanza dei criteri fissati all’articolo 35 del Codice dei contratti pubblici. Al fine di evitare un artificioso frazionamento dell’appalto, volto a eludere la disciplina comunitaria, le stazioni appaltanti devono prestare attenzione alla corretta definizione del proprio fabbisogno in relazione all’oggetto degli appalti, specialmente nei casi di ripartizione in lotti, contestuali o successivi, o di ripetizione dell’affidamento nel tempo.</w:t>
      </w:r>
    </w:p>
    <w:p w:rsidR="00CA5DB5" w:rsidRPr="005C66DC" w:rsidRDefault="00CA5DB5" w:rsidP="00945B05">
      <w:pPr>
        <w:shd w:val="clear" w:color="auto" w:fill="FFFFFF"/>
        <w:spacing w:after="100" w:afterAutospacing="1" w:line="240" w:lineRule="auto"/>
        <w:jc w:val="both"/>
        <w:rPr>
          <w:rFonts w:ascii="Arial" w:hAnsi="Arial" w:cs="Arial"/>
        </w:rPr>
      </w:pPr>
      <w:r w:rsidRPr="005C66DC">
        <w:rPr>
          <w:rFonts w:ascii="Arial" w:hAnsi="Arial" w:cs="Arial"/>
        </w:rPr>
        <w:t xml:space="preserve">L’affidamento e l’esecuzione di lavori, servizi e forniture secondo le procedure semplificate di cui all’articolo 36 del Codice dei contratti pubblici, ivi compreso l’affidamento diretto, avvengono nel rispetto dei principi di economicità, efficacia, tempestività, correttezza, libera concorrenza, non discriminazione, trasparenza, proporzionalità, pubblicità, rotazione degli inviti e degli affidamenti, di tutela dell’effettiva possibilità di partecipazione delle micro, piccole e medie imprese, nonché dei criteri di sostenibilità energetica e ambientale e del principio di prevenzione e risoluzione dei conflitti di interessi. Il principio di rotazione degli inviti e degli affidamenti si applica alle procedure rientranti nel medesimo settore merceologico, categorie di opere e settore di servizi di quelle precedenti, nelle quali la stazione appaltante opera limitazioni al numero di operatori economici selezionati. I regolamenti interni possono prevedere fasce, suddivise per valore, sulle quali applicare la rotazione degli operatori economici. Il rispetto del principio di rotazione espressamente fa sì che l’affidamento o il </w:t>
      </w:r>
      <w:proofErr w:type="spellStart"/>
      <w:r w:rsidRPr="005C66DC">
        <w:rPr>
          <w:rFonts w:ascii="Arial" w:hAnsi="Arial" w:cs="Arial"/>
        </w:rPr>
        <w:t>reinvito</w:t>
      </w:r>
      <w:proofErr w:type="spellEnd"/>
      <w:r w:rsidRPr="005C66DC">
        <w:rPr>
          <w:rFonts w:ascii="Arial" w:hAnsi="Arial" w:cs="Arial"/>
        </w:rPr>
        <w:t xml:space="preserve"> al contraente uscente abbiano carattere eccezionale e richiedano un onere motivazionale più stringente. L’affidamento diretto o il </w:t>
      </w:r>
      <w:proofErr w:type="spellStart"/>
      <w:r w:rsidRPr="005C66DC">
        <w:rPr>
          <w:rFonts w:ascii="Arial" w:hAnsi="Arial" w:cs="Arial"/>
        </w:rPr>
        <w:t>reinvito</w:t>
      </w:r>
      <w:proofErr w:type="spellEnd"/>
      <w:r w:rsidRPr="005C66DC">
        <w:rPr>
          <w:rFonts w:ascii="Arial" w:hAnsi="Arial" w:cs="Arial"/>
        </w:rPr>
        <w:t xml:space="preserve"> all’operatore economico invitato in occasione del precedente affidamento, e non affidatario, deve essere motivato.</w:t>
      </w:r>
    </w:p>
    <w:p w:rsidR="00CA5DB5" w:rsidRPr="005C66DC" w:rsidRDefault="00CA5DB5" w:rsidP="00945B05">
      <w:pPr>
        <w:shd w:val="clear" w:color="auto" w:fill="FFFFFF"/>
        <w:spacing w:after="100" w:afterAutospacing="1" w:line="240" w:lineRule="auto"/>
        <w:jc w:val="both"/>
        <w:rPr>
          <w:rFonts w:ascii="Arial" w:hAnsi="Arial" w:cs="Arial"/>
        </w:rPr>
      </w:pPr>
      <w:r w:rsidRPr="005C66DC">
        <w:rPr>
          <w:rFonts w:ascii="Arial" w:hAnsi="Arial" w:cs="Arial"/>
        </w:rPr>
        <w:t xml:space="preserve">L’affidamento e l’esecuzione di lavori, servizi e forniture di importo </w:t>
      </w:r>
      <w:r w:rsidRPr="005C66DC">
        <w:rPr>
          <w:rFonts w:ascii="Arial" w:hAnsi="Arial" w:cs="Arial"/>
          <w:b/>
        </w:rPr>
        <w:t>inferiore a 40.000,00 euro</w:t>
      </w:r>
      <w:r w:rsidRPr="005C66DC">
        <w:rPr>
          <w:rFonts w:ascii="Arial" w:hAnsi="Arial" w:cs="Arial"/>
        </w:rPr>
        <w:t xml:space="preserve"> </w:t>
      </w:r>
      <w:r w:rsidRPr="005C66DC">
        <w:rPr>
          <w:rFonts w:ascii="Arial" w:hAnsi="Arial" w:cs="Arial"/>
          <w:color w:val="C0504D" w:themeColor="accent2"/>
        </w:rPr>
        <w:t xml:space="preserve">può </w:t>
      </w:r>
      <w:r w:rsidRPr="005C66DC">
        <w:rPr>
          <w:rFonts w:ascii="Arial" w:hAnsi="Arial" w:cs="Arial"/>
        </w:rPr>
        <w:t>avvenire tramite affidamento diretto, o, per i lavori, anche tramite amministrazione diretta; I lavori di importo inferiore a 40.000,00 euro, da realizzare in amministrazione diretta, sono individuati dalla stazione appaltante a cura del responsabile unico del procedimento.</w:t>
      </w:r>
    </w:p>
    <w:p w:rsidR="00B02864" w:rsidRPr="005C66DC" w:rsidRDefault="00CA5DB5" w:rsidP="00945B05">
      <w:pPr>
        <w:shd w:val="clear" w:color="auto" w:fill="FFFFFF"/>
        <w:spacing w:after="100" w:afterAutospacing="1" w:line="240" w:lineRule="auto"/>
        <w:jc w:val="both"/>
        <w:rPr>
          <w:rFonts w:ascii="Arial" w:hAnsi="Arial" w:cs="Arial"/>
        </w:rPr>
      </w:pPr>
      <w:r w:rsidRPr="005C66DC">
        <w:rPr>
          <w:rFonts w:ascii="Arial" w:hAnsi="Arial" w:cs="Arial"/>
        </w:rPr>
        <w:t xml:space="preserve">Per lavori, servizi e forniture di importo fino a 5.000,00 euro, in caso di affidamento diretto, la stazione appaltante ha facoltà di procedere alla stipula del contratto sulla base di un’apposita autodichiarazione resa dall’operatore economico ai sensi e per gli effetti del Decreto del Presidente </w:t>
      </w:r>
      <w:r w:rsidRPr="005C66DC">
        <w:rPr>
          <w:rFonts w:ascii="Arial" w:hAnsi="Arial" w:cs="Arial"/>
        </w:rPr>
        <w:lastRenderedPageBreak/>
        <w:t xml:space="preserve">della Repubblica 28 dicembre 2000, n. 445, anche secondo il modello del documento di gara unico europeo, dalla quale risulti il possesso dei requisiti di carattere generale di cui all’articolo 80 del Codice dei contratti pubblici e speciale, ove previsti. In tal caso la stazione appaltante procede comunque, prima della stipula del contratto, da effettuarsi nelle forme di cui all’articolo 32, comma 14, del Codice dei contratti pubblici, alla consultazione del casellario ANAC, alla verifica del documento unico di regolarità contributiva (DURC), nonché della sussistenza dei requisiti speciali ove previsti e delle condizioni soggettive che la legge stabilisce per l’esercizio di particolari professioni o dell’idoneità a contrarre con la P.A. in relazione a specifiche attività (ad esempio ex articolo 1, comma 52, legge n. 190/2012). Il contratto deve in ogni caso contenere espresse, specifiche clausole, che prevedano, in caso di successivo accertamento del difetto del possesso dei requisiti prescritti: la risoluzione dello stesso ed il pagamento in tal caso del corrispettivo pattuito solo con riferimento alle prestazioni già eseguite e nei limiti dell’utilità ricevuta; l’incameramento della cauzione definitiva ove richiesta o, in alternativa, l’applicazione di una penale in misura non inferiore al 10 per cento del valore del contratto. Sulle autodichiarazioni rese dagli operatori economici ai fini dell’affidamento diretto di cui al presente paragrafo, le stazioni appaltanti sono tenute ad effettuare idonei controlli ai sensi dell’articolo 71, comma 1, del Decreto del Presidente della Repubblica 28 dicembre 2000, n. 445; a tal fine le stesse si dotano di apposito regolamento, od altro atto equivalente, nel quale sono definite una quota significativa minima di controlli a campione da effettuarsi in ciascun anno solare in relazione agli affidamenti diretti operati, nonché le modalità di assoggettamento al controllo e di effettuazione dello stesso. </w:t>
      </w:r>
    </w:p>
    <w:p w:rsidR="00CA5DB5" w:rsidRPr="005C66DC" w:rsidRDefault="00CA5DB5" w:rsidP="00945B05">
      <w:pPr>
        <w:shd w:val="clear" w:color="auto" w:fill="FFFFFF"/>
        <w:spacing w:after="100" w:afterAutospacing="1" w:line="240" w:lineRule="auto"/>
        <w:jc w:val="both"/>
        <w:rPr>
          <w:rFonts w:ascii="Arial" w:hAnsi="Arial" w:cs="Arial"/>
        </w:rPr>
      </w:pPr>
      <w:r w:rsidRPr="005C66DC">
        <w:rPr>
          <w:rFonts w:ascii="Arial" w:hAnsi="Arial" w:cs="Arial"/>
        </w:rPr>
        <w:t xml:space="preserve">Per lavori, servizi e forniture di importo superiore a 5.000,00 euro e non superiore a 20.000,00 euro, in caso di affidamento diretto, la stazione appaltante </w:t>
      </w:r>
      <w:r w:rsidRPr="005C66DC">
        <w:rPr>
          <w:rFonts w:ascii="Arial" w:hAnsi="Arial" w:cs="Arial"/>
          <w:u w:val="single"/>
        </w:rPr>
        <w:t>ha facoltà</w:t>
      </w:r>
      <w:r w:rsidRPr="005C66DC">
        <w:rPr>
          <w:rFonts w:ascii="Arial" w:hAnsi="Arial" w:cs="Arial"/>
        </w:rPr>
        <w:t xml:space="preserve"> di procedere alla stipula del contratto sulla base di un’apposita autodichiarazione resa dall’operatore economico ai sensi e per gli effetti del Decreto del Presidente della Repubblica 28 dicembre 2000 n. 445, secondo il modello del documento di gara unico europeo, dalla quale risulti il possesso dei requisiti di carattere generale di cui all’articolo 80 del Codice dei contratti pubblici e speciale, ove previsti. In tal caso la stazione appaltante procede comunque, prima della stipula del contratto da effettuarsi nelle forme di cui all’articolo 32, comma 14, del Codice dei contratti pubblici, alla consultazione del casellario ANAC, alla verifica della sussistenza dei requisiti di cui all’articolo 80, commi 1, 4 e 5, lettera b) del Codice dei contratti pubblici e dei requisiti speciali ove previsti, nonché delle condizioni soggettive che la legge stabilisce per l’esercizio di particolari professioni o dell’idoneità a contrarre con la P.A. in relazione a specifiche attività (ad esempio ex articolo 1, comma 52, legge n. 190/2012). Il contratto deve in ogni caso contenere espresse, specifiche, clausole, che prevedano, in caso di successivo accertamento del difetto del possesso dei requisiti prescritti: la risoluzione dello stesso ed il pagamento in tal caso del corrispettivo pattuito solo con riferimento alle prestazioni già eseguite e nei limiti dell’utilità ricevuta; l’incameramento della cauzione definitiva ove richiesta o, in alternativa, l’applicazione di una penale in misura non inferiore al 10 per cento del valore del contratto. Sulle autodichiarazioni rese dagli operatori economici ai fini dell’affidamento diretto di cui al presente paragrafo, le stazioni appaltanti sono tenute ad effettuare idonei controlli ai sensi dell’articolo 71, comma 1, del Decreto del Presidente della Repubblica 28 dicembre 2000, n. 445; a tal fine le stesse si dotano di apposito regolamento, od altro atto equivalente, nel quale sono definite una quota significativa minima di controlli a campione da effettuarsi in ciascun anno solare in relazione agli affidamenti diretti operati, nonché le modalità di assoggettamento al controllo e di effettuazione dello stesso. 4.2.4 Per importi superiori a 20.000,00 euro, nel caso di affidamento diretto la stazione appaltante, prima di stipulare il contratto, nelle forme di cui all’articolo 32, comma 14, del Codice dei contratti pubblici, procede alle verifiche del possesso dei requisiti di carattere generale di cui all’articolo 80 del Codice dei contratti pubblici e di quelli speciali, se 10 previsti, nonché delle condizioni soggettive che la legge stabilisce per l’esercizio di particolari professioni o l’idoneità a contrarre con la P.A. in relazione a specifiche attività (es. articolo 1, comma 52, legge n.190/2012)</w:t>
      </w:r>
    </w:p>
    <w:p w:rsidR="00CA5DB5" w:rsidRPr="005C66DC" w:rsidRDefault="00CA5DB5" w:rsidP="00945B05">
      <w:pPr>
        <w:shd w:val="clear" w:color="auto" w:fill="FFFFFF"/>
        <w:spacing w:after="100" w:afterAutospacing="1" w:line="240" w:lineRule="auto"/>
        <w:jc w:val="both"/>
        <w:rPr>
          <w:rFonts w:ascii="Arial" w:hAnsi="Arial" w:cs="Arial"/>
        </w:rPr>
      </w:pPr>
      <w:r w:rsidRPr="005C66DC">
        <w:rPr>
          <w:rFonts w:ascii="Arial" w:hAnsi="Arial" w:cs="Arial"/>
        </w:rPr>
        <w:t xml:space="preserve">Per affidamenti di modico valore, ad esempio inferiori a 1.000 euro, o per affidamenti effettuati nel rispetto di apposito regolamento (ad esempio regolamento di contabilità) già adottato dalla stazione appaltante, che tiene conto dei principi comunitari e nazionali in materia di affidamento di contratti pubblici, la motivazione della scelta dell’affidatario diretto può essere espressa in forma </w:t>
      </w:r>
      <w:r w:rsidRPr="005C66DC">
        <w:rPr>
          <w:rFonts w:ascii="Arial" w:hAnsi="Arial" w:cs="Arial"/>
        </w:rPr>
        <w:lastRenderedPageBreak/>
        <w:t>sintetica, anche richiamando il regolamento stesso nella determina ovvero nell’atto equivalente redatti in modo semplificato.</w:t>
      </w:r>
    </w:p>
    <w:p w:rsidR="00CA5DB5" w:rsidRPr="005C66DC" w:rsidRDefault="00CA5DB5" w:rsidP="00945B05">
      <w:pPr>
        <w:shd w:val="clear" w:color="auto" w:fill="FFFFFF"/>
        <w:spacing w:after="100" w:afterAutospacing="1" w:line="240" w:lineRule="auto"/>
        <w:jc w:val="both"/>
        <w:rPr>
          <w:rFonts w:ascii="Arial" w:hAnsi="Arial" w:cs="Arial"/>
        </w:rPr>
      </w:pPr>
      <w:r w:rsidRPr="005C66DC">
        <w:rPr>
          <w:rFonts w:ascii="Arial" w:hAnsi="Arial" w:cs="Arial"/>
        </w:rPr>
        <w:t xml:space="preserve">Gli operatori economici da invitare alle procedure negoziate, per i </w:t>
      </w:r>
      <w:r w:rsidRPr="005C66DC">
        <w:rPr>
          <w:rFonts w:ascii="Arial" w:hAnsi="Arial" w:cs="Arial"/>
          <w:b/>
        </w:rPr>
        <w:t xml:space="preserve">lavori di importo pari o superiore a 40.000,00 euro e inferiore a 150.000,00 euro </w:t>
      </w:r>
      <w:r w:rsidRPr="005C66DC">
        <w:rPr>
          <w:rFonts w:ascii="Arial" w:hAnsi="Arial" w:cs="Arial"/>
        </w:rPr>
        <w:t>ovvero per i servizi e le forniture di importo pari o superiore a 40.000,00 euro e inferiore alle soglie europee, sono individuati sulla base di indagini di mercato o tramite elenchi di operatori economici nel rispetto del criterio di rotazione degli inviti. La stazione appaltante può eseguire i lavori anche in amministrazione diretta, fatta salva l’applicazione della citata procedura negoziata per l’acquisto e il noleggio dei mezzi necessari.  La procedura prende avvio con la determina a contrarre ovvero con atto a essa equivalente secondo l’ordinamento della singola stazione appaltante, e contiene informazioni analoghe  Successivamente la procedura si articola in tre fasi: a) svolgimento di indagini di mercato o consultazione di elenchi per la selezione di operatori economici da invitare al confronto competitivo; b) confronto competitivo tra gli operatori economici selezionati e invitati e scelta dell’affidatario; c) stipulazione del contratto.</w:t>
      </w:r>
    </w:p>
    <w:p w:rsidR="00CA5DB5" w:rsidRPr="005C66DC" w:rsidRDefault="00CA5DB5" w:rsidP="00945B05">
      <w:pPr>
        <w:shd w:val="clear" w:color="auto" w:fill="FFFFFF"/>
        <w:spacing w:after="100" w:afterAutospacing="1" w:line="240" w:lineRule="auto"/>
        <w:jc w:val="both"/>
        <w:rPr>
          <w:rFonts w:ascii="Arial" w:hAnsi="Arial" w:cs="Arial"/>
        </w:rPr>
      </w:pPr>
      <w:r w:rsidRPr="005C66DC">
        <w:rPr>
          <w:rFonts w:ascii="Arial" w:hAnsi="Arial" w:cs="Arial"/>
        </w:rPr>
        <w:t xml:space="preserve">Le amministrazioni possono dotarsi, nel rispetto del proprio ordinamento, di un regolamento in cui vengono disciplinate: a) le modalità di conduzione delle indagini di mercato, eventualmente distinte per fasce di importo; b) le modalità di costituzione dell’elenco dei fornitori, distinti per categoria e fascia di importo; c) i criteri di scelta dei soggetti da invitare a presentare offerta. Lo svolgimento delle indagini di mercato non ingenera negli operatori alcun affidamento sul successivo invito alla procedura. Le indagini di mercato sono svolte secondo le modalità ritenute più convenienti dalla stazione appaltante, differenziate per importo e complessità di affidamento, secondo i principi di adeguatezza e proporzionalità, anche tramite la consultazione dei cataloghi elettronici del mercato elettronico propri o delle altre stazioni appaltanti, nonché di altri fornitori esistenti. La stazione appaltante assicura l’opportuna pubblicità dell’indagine di mercato, scegliendo gli strumenti più idonei in ragione della rilevanza del contratto per il settore merceologico di riferimento e della sua </w:t>
      </w:r>
      <w:proofErr w:type="spellStart"/>
      <w:r w:rsidRPr="005C66DC">
        <w:rPr>
          <w:rFonts w:ascii="Arial" w:hAnsi="Arial" w:cs="Arial"/>
        </w:rPr>
        <w:t>contendibilità</w:t>
      </w:r>
      <w:proofErr w:type="spellEnd"/>
      <w:r w:rsidRPr="005C66DC">
        <w:rPr>
          <w:rFonts w:ascii="Arial" w:hAnsi="Arial" w:cs="Arial"/>
        </w:rPr>
        <w:t>. La stazione appaltante può individuare gli operatori economici da invitare, selezionandoli anche da elenchi appositamente costituiti, a seguito di avviso pubblico, secondo le modalità indicate nei paragrafi 5.1.6 e seguenti delle presenti Linee guida. Gli operatori economici invitati posseggono i requisiti generali di moralità di cui l’articolo 80 del Decreto Legislativo 50/2016 ed i requisiti speciali richiesti dall’avviso. L’eventuale possesso dell’attestato di qualificazione SOA per la categoria dei lavori oggetto dell’affidamento è sufficiente per la dimostrazione del possesso dei requisiti di capacità economico/finanziaria e tecnico/professionale.</w:t>
      </w:r>
    </w:p>
    <w:p w:rsidR="00020334" w:rsidRPr="005C66DC" w:rsidRDefault="00020334" w:rsidP="00945B05">
      <w:pPr>
        <w:shd w:val="clear" w:color="auto" w:fill="FFFFFF"/>
        <w:spacing w:after="100" w:afterAutospacing="1" w:line="240" w:lineRule="auto"/>
        <w:jc w:val="both"/>
        <w:rPr>
          <w:rFonts w:ascii="Arial" w:hAnsi="Arial" w:cs="Arial"/>
        </w:rPr>
      </w:pPr>
      <w:r w:rsidRPr="005C66DC">
        <w:rPr>
          <w:rFonts w:ascii="Arial" w:hAnsi="Arial" w:cs="Arial"/>
        </w:rPr>
        <w:t>-affidamento inferiore a 40000 euro affidamento diretto</w:t>
      </w:r>
    </w:p>
    <w:p w:rsidR="00CA5DB5" w:rsidRPr="005C66DC" w:rsidRDefault="00020334" w:rsidP="00945B05">
      <w:pPr>
        <w:shd w:val="clear" w:color="auto" w:fill="FFFFFF"/>
        <w:spacing w:after="100" w:afterAutospacing="1" w:line="240" w:lineRule="auto"/>
        <w:rPr>
          <w:rFonts w:ascii="Arial" w:hAnsi="Arial" w:cs="Arial"/>
        </w:rPr>
      </w:pPr>
      <w:r w:rsidRPr="005C66DC">
        <w:rPr>
          <w:rFonts w:ascii="Arial" w:hAnsi="Arial" w:cs="Arial"/>
          <w:color w:val="000000"/>
          <w:shd w:val="clear" w:color="auto" w:fill="F5FDFE"/>
        </w:rPr>
        <w:t>-</w:t>
      </w:r>
      <w:r w:rsidR="00CA5DB5" w:rsidRPr="005C66DC">
        <w:rPr>
          <w:rFonts w:ascii="Arial" w:hAnsi="Arial" w:cs="Arial"/>
          <w:color w:val="000000"/>
          <w:shd w:val="clear" w:color="auto" w:fill="F5FDFE"/>
        </w:rPr>
        <w:t>affidamenti di importo pari o superiore a 40.000 euro e inferiore a 150.000 euro per i lavori, o alle soglie di cui all'</w:t>
      </w:r>
      <w:r w:rsidR="00507C60" w:rsidRPr="005C66DC">
        <w:rPr>
          <w:rFonts w:ascii="Arial" w:hAnsi="Arial" w:cs="Arial"/>
          <w:color w:val="000000"/>
          <w:shd w:val="clear" w:color="auto" w:fill="F5FDFE"/>
        </w:rPr>
        <w:t>art 35</w:t>
      </w:r>
      <w:r w:rsidR="00CA5DB5" w:rsidRPr="005C66DC">
        <w:rPr>
          <w:rFonts w:ascii="Arial" w:hAnsi="Arial" w:cs="Arial"/>
          <w:color w:val="000000"/>
          <w:shd w:val="clear" w:color="auto" w:fill="F5FDFE"/>
        </w:rPr>
        <w:t> per le forniture e i servizi, mediante procedura negoziata previa consultazione, ove esistenti, di almeno dieci operatori economici per i lavori, e, per i servizi e le forniture di almeno cinque operatori economici individuati sulla base di indagini di mercato o tramite elenchi di operatori economici, nel rispetto di un criterio di rotazione degli inviti. I lavori possono essere eseguiti anche in amministrazione diretta, fatto salvo l'acquisto e il noleggio di mezzi, per i quali si applica comunque la procedura negoziata previa consultazione di cui al periodo precedente. L’avviso sui risultati della procedura di affidamento, contiene l’indicazione anche dei soggetti invitati; </w:t>
      </w:r>
      <w:r w:rsidR="00CA5DB5" w:rsidRPr="005C66DC">
        <w:rPr>
          <w:rFonts w:ascii="Arial" w:hAnsi="Arial" w:cs="Arial"/>
          <w:color w:val="000000"/>
        </w:rPr>
        <w:br/>
      </w:r>
      <w:r w:rsidRPr="005C66DC">
        <w:rPr>
          <w:rFonts w:ascii="Arial" w:hAnsi="Arial" w:cs="Arial"/>
          <w:color w:val="000000"/>
          <w:shd w:val="clear" w:color="auto" w:fill="F5FDFE"/>
        </w:rPr>
        <w:t>-</w:t>
      </w:r>
      <w:r w:rsidR="00CA5DB5" w:rsidRPr="005C66DC">
        <w:rPr>
          <w:rFonts w:ascii="Arial" w:hAnsi="Arial" w:cs="Arial"/>
          <w:color w:val="000000"/>
          <w:shd w:val="clear" w:color="auto" w:fill="F5FDFE"/>
        </w:rPr>
        <w:t xml:space="preserve">lavori di importo pari o superiore a 150.000 euro e inferiore a 1.000.000 di euro, </w:t>
      </w:r>
      <w:r w:rsidRPr="005C66DC">
        <w:rPr>
          <w:rFonts w:ascii="Arial" w:hAnsi="Arial" w:cs="Arial"/>
          <w:color w:val="000000"/>
          <w:shd w:val="clear" w:color="auto" w:fill="F5FDFE"/>
        </w:rPr>
        <w:t>me</w:t>
      </w:r>
      <w:r w:rsidR="00CA5DB5" w:rsidRPr="005C66DC">
        <w:rPr>
          <w:rFonts w:ascii="Arial" w:hAnsi="Arial" w:cs="Arial"/>
          <w:color w:val="000000"/>
          <w:shd w:val="clear" w:color="auto" w:fill="F5FDFE"/>
        </w:rPr>
        <w:t>diante procedura negoziata con consultazione di almeno quindici operatori economici, ove esistenti, nel rispetto di un criterio di rotazione degli inviti, individuati sulla base di indagini di mercato o tramite elenchi di operatori economici. L’avviso sui risultati della procedura di affidamento, contiene l’indicazione anche dei soggetti invitati; </w:t>
      </w:r>
      <w:r w:rsidR="00CA5DB5" w:rsidRPr="005C66DC">
        <w:rPr>
          <w:rFonts w:ascii="Arial" w:hAnsi="Arial" w:cs="Arial"/>
          <w:color w:val="000000"/>
        </w:rPr>
        <w:br/>
      </w:r>
      <w:r w:rsidRPr="005C66DC">
        <w:rPr>
          <w:rFonts w:ascii="Arial" w:hAnsi="Arial" w:cs="Arial"/>
          <w:color w:val="000000"/>
          <w:shd w:val="clear" w:color="auto" w:fill="F5FDFE"/>
        </w:rPr>
        <w:t>-</w:t>
      </w:r>
      <w:r w:rsidR="00CA5DB5" w:rsidRPr="005C66DC">
        <w:rPr>
          <w:rFonts w:ascii="Arial" w:hAnsi="Arial" w:cs="Arial"/>
          <w:color w:val="000000"/>
          <w:shd w:val="clear" w:color="auto" w:fill="F5FDFE"/>
        </w:rPr>
        <w:t>lavori di importo pari o superiore a 1.000.000 di euro mediante ricorso alle procedure ordinarie</w:t>
      </w:r>
    </w:p>
    <w:p w:rsidR="00195C11" w:rsidRDefault="00195C11" w:rsidP="00945B05">
      <w:pPr>
        <w:shd w:val="clear" w:color="auto" w:fill="FFFFFF"/>
        <w:spacing w:after="100" w:afterAutospacing="1" w:line="240" w:lineRule="auto"/>
        <w:jc w:val="both"/>
        <w:rPr>
          <w:rFonts w:ascii="Arial" w:eastAsia="Times New Roman" w:hAnsi="Arial" w:cs="Arial"/>
          <w:color w:val="333333"/>
          <w:lang w:eastAsia="it-IT"/>
        </w:rPr>
      </w:pPr>
    </w:p>
    <w:p w:rsidR="00CA5DB5" w:rsidRPr="005C66DC" w:rsidRDefault="00B02864" w:rsidP="00945B05">
      <w:pPr>
        <w:shd w:val="clear" w:color="auto" w:fill="FFFFFF"/>
        <w:spacing w:after="100" w:afterAutospacing="1" w:line="240" w:lineRule="auto"/>
        <w:jc w:val="both"/>
        <w:rPr>
          <w:rFonts w:ascii="Arial" w:eastAsia="Times New Roman" w:hAnsi="Arial" w:cs="Arial"/>
          <w:color w:val="333333"/>
          <w:lang w:eastAsia="it-IT"/>
        </w:rPr>
      </w:pPr>
      <w:r w:rsidRPr="005C66DC">
        <w:rPr>
          <w:rFonts w:ascii="Arial" w:eastAsia="Times New Roman" w:hAnsi="Arial" w:cs="Arial"/>
          <w:color w:val="333333"/>
          <w:lang w:eastAsia="it-IT"/>
        </w:rPr>
        <w:lastRenderedPageBreak/>
        <w:t>I SOGGETTI</w:t>
      </w:r>
    </w:p>
    <w:p w:rsidR="008B135A" w:rsidRPr="005C66DC" w:rsidRDefault="008B135A" w:rsidP="00945B05">
      <w:pPr>
        <w:shd w:val="clear" w:color="auto" w:fill="FFFFFF"/>
        <w:spacing w:after="100" w:afterAutospacing="1" w:line="240" w:lineRule="auto"/>
        <w:jc w:val="both"/>
        <w:rPr>
          <w:rFonts w:ascii="Arial" w:hAnsi="Arial" w:cs="Arial"/>
          <w:color w:val="171717"/>
          <w:shd w:val="clear" w:color="auto" w:fill="FFFCDD"/>
        </w:rPr>
      </w:pPr>
      <w:r w:rsidRPr="005C66DC">
        <w:rPr>
          <w:rFonts w:ascii="Arial" w:eastAsia="Times New Roman" w:hAnsi="Arial" w:cs="Arial"/>
          <w:color w:val="333333"/>
          <w:lang w:eastAsia="it-IT"/>
        </w:rPr>
        <w:t>La stazione appaltante ricomprende tutti i possibili soggetti , comprese</w:t>
      </w:r>
      <w:r w:rsidRPr="005C66DC">
        <w:rPr>
          <w:rFonts w:ascii="Arial" w:hAnsi="Arial" w:cs="Arial"/>
          <w:color w:val="171717"/>
          <w:shd w:val="clear" w:color="auto" w:fill="FFFCDD"/>
        </w:rPr>
        <w:t xml:space="preserve"> le amministrazioni aggiudicatrici di cui alla lettera a) gli enti aggiudicatori di cui alla lettera e), i soggetti aggiudicatori di cui alla lettera f) e gli altri soggetti aggiudicatori di cui alla lettera g); </w:t>
      </w:r>
    </w:p>
    <w:p w:rsidR="008B135A" w:rsidRPr="005C66DC" w:rsidRDefault="008B135A" w:rsidP="00945B05">
      <w:pPr>
        <w:pStyle w:val="NormaleWeb"/>
        <w:shd w:val="clear" w:color="auto" w:fill="FFFFFF"/>
        <w:spacing w:before="120" w:beforeAutospacing="0" w:after="120" w:afterAutospacing="0"/>
        <w:rPr>
          <w:rFonts w:ascii="Arial" w:hAnsi="Arial" w:cs="Arial"/>
          <w:color w:val="222222"/>
          <w:sz w:val="22"/>
          <w:szCs w:val="22"/>
        </w:rPr>
      </w:pPr>
      <w:r w:rsidRPr="005C66DC">
        <w:rPr>
          <w:rFonts w:ascii="Arial" w:hAnsi="Arial" w:cs="Arial"/>
          <w:color w:val="222222"/>
          <w:sz w:val="22"/>
          <w:szCs w:val="22"/>
        </w:rPr>
        <w:t xml:space="preserve">Secondo l'art. 3, comma a), del D. </w:t>
      </w:r>
      <w:proofErr w:type="spellStart"/>
      <w:r w:rsidRPr="005C66DC">
        <w:rPr>
          <w:rFonts w:ascii="Arial" w:hAnsi="Arial" w:cs="Arial"/>
          <w:color w:val="222222"/>
          <w:sz w:val="22"/>
          <w:szCs w:val="22"/>
        </w:rPr>
        <w:t>Lgs</w:t>
      </w:r>
      <w:proofErr w:type="spellEnd"/>
      <w:r w:rsidRPr="005C66DC">
        <w:rPr>
          <w:rFonts w:ascii="Arial" w:hAnsi="Arial" w:cs="Arial"/>
          <w:color w:val="222222"/>
          <w:sz w:val="22"/>
          <w:szCs w:val="22"/>
        </w:rPr>
        <w:t>. n. 50/2016 sono </w:t>
      </w:r>
      <w:r w:rsidRPr="005C66DC">
        <w:rPr>
          <w:rFonts w:ascii="Arial" w:hAnsi="Arial" w:cs="Arial"/>
          <w:i/>
          <w:iCs/>
          <w:color w:val="222222"/>
          <w:sz w:val="22"/>
          <w:szCs w:val="22"/>
        </w:rPr>
        <w:t>amministrazioni aggiudicatrici</w:t>
      </w:r>
      <w:r w:rsidRPr="005C66DC">
        <w:rPr>
          <w:rFonts w:ascii="Arial" w:hAnsi="Arial" w:cs="Arial"/>
          <w:color w:val="222222"/>
          <w:sz w:val="22"/>
          <w:szCs w:val="22"/>
        </w:rPr>
        <w:t> le </w:t>
      </w:r>
      <w:r w:rsidR="00507C60" w:rsidRPr="005C66DC">
        <w:rPr>
          <w:rFonts w:ascii="Arial" w:hAnsi="Arial" w:cs="Arial"/>
          <w:color w:val="222222"/>
          <w:sz w:val="22"/>
          <w:szCs w:val="22"/>
        </w:rPr>
        <w:t xml:space="preserve">amministrazioni </w:t>
      </w:r>
      <w:r w:rsidRPr="005C66DC">
        <w:rPr>
          <w:rFonts w:ascii="Arial" w:hAnsi="Arial" w:cs="Arial"/>
          <w:color w:val="222222"/>
          <w:sz w:val="22"/>
          <w:szCs w:val="22"/>
        </w:rPr>
        <w:t>dello </w:t>
      </w:r>
      <w:r w:rsidR="00507C60" w:rsidRPr="005C66DC">
        <w:rPr>
          <w:rFonts w:ascii="Arial" w:hAnsi="Arial" w:cs="Arial"/>
          <w:color w:val="222222"/>
          <w:sz w:val="22"/>
          <w:szCs w:val="22"/>
        </w:rPr>
        <w:t>Stato</w:t>
      </w:r>
      <w:r w:rsidRPr="005C66DC">
        <w:rPr>
          <w:rFonts w:ascii="Arial" w:hAnsi="Arial" w:cs="Arial"/>
          <w:color w:val="222222"/>
          <w:sz w:val="22"/>
          <w:szCs w:val="22"/>
        </w:rPr>
        <w:t>, gli </w:t>
      </w:r>
      <w:r w:rsidR="00507C60" w:rsidRPr="005C66DC">
        <w:rPr>
          <w:rFonts w:ascii="Arial" w:hAnsi="Arial" w:cs="Arial"/>
          <w:color w:val="222222"/>
          <w:sz w:val="22"/>
          <w:szCs w:val="22"/>
        </w:rPr>
        <w:t>enti pubblici territoriali</w:t>
      </w:r>
      <w:r w:rsidRPr="005C66DC">
        <w:rPr>
          <w:rFonts w:ascii="Arial" w:hAnsi="Arial" w:cs="Arial"/>
          <w:color w:val="222222"/>
          <w:sz w:val="22"/>
          <w:szCs w:val="22"/>
        </w:rPr>
        <w:t>, gli altri </w:t>
      </w:r>
      <w:r w:rsidR="00507C60" w:rsidRPr="005C66DC">
        <w:rPr>
          <w:rFonts w:ascii="Arial" w:hAnsi="Arial" w:cs="Arial"/>
          <w:color w:val="222222"/>
          <w:sz w:val="22"/>
          <w:szCs w:val="22"/>
        </w:rPr>
        <w:t>enti pubblici</w:t>
      </w:r>
      <w:r w:rsidRPr="005C66DC">
        <w:rPr>
          <w:rFonts w:ascii="Arial" w:hAnsi="Arial" w:cs="Arial"/>
          <w:color w:val="222222"/>
          <w:sz w:val="22"/>
          <w:szCs w:val="22"/>
        </w:rPr>
        <w:t> non economici, gli </w:t>
      </w:r>
      <w:r w:rsidR="00507C60" w:rsidRPr="005C66DC">
        <w:rPr>
          <w:rFonts w:ascii="Arial" w:hAnsi="Arial" w:cs="Arial"/>
          <w:color w:val="222222"/>
          <w:sz w:val="22"/>
          <w:szCs w:val="22"/>
        </w:rPr>
        <w:t>organismi di diritto pubblico</w:t>
      </w:r>
      <w:r w:rsidRPr="005C66DC">
        <w:rPr>
          <w:rFonts w:ascii="Arial" w:hAnsi="Arial" w:cs="Arial"/>
          <w:color w:val="222222"/>
          <w:sz w:val="22"/>
          <w:szCs w:val="22"/>
        </w:rPr>
        <w:t> e le </w:t>
      </w:r>
      <w:r w:rsidR="00507C60" w:rsidRPr="005C66DC">
        <w:rPr>
          <w:rFonts w:ascii="Arial" w:hAnsi="Arial" w:cs="Arial"/>
          <w:color w:val="222222"/>
          <w:sz w:val="22"/>
          <w:szCs w:val="22"/>
        </w:rPr>
        <w:t>associazioni</w:t>
      </w:r>
      <w:r w:rsidRPr="005C66DC">
        <w:rPr>
          <w:rFonts w:ascii="Arial" w:hAnsi="Arial" w:cs="Arial"/>
          <w:color w:val="222222"/>
          <w:sz w:val="22"/>
          <w:szCs w:val="22"/>
        </w:rPr>
        <w:t>, unioni e </w:t>
      </w:r>
      <w:r w:rsidR="00507C60" w:rsidRPr="005C66DC">
        <w:rPr>
          <w:rFonts w:ascii="Arial" w:hAnsi="Arial" w:cs="Arial"/>
          <w:color w:val="222222"/>
          <w:sz w:val="22"/>
          <w:szCs w:val="22"/>
        </w:rPr>
        <w:t>consorzi</w:t>
      </w:r>
      <w:r w:rsidRPr="005C66DC">
        <w:rPr>
          <w:rFonts w:ascii="Arial" w:hAnsi="Arial" w:cs="Arial"/>
          <w:color w:val="222222"/>
          <w:sz w:val="22"/>
          <w:szCs w:val="22"/>
        </w:rPr>
        <w:t>, comunque denominati, costituiti da detti soggetti.</w:t>
      </w:r>
    </w:p>
    <w:p w:rsidR="008B135A" w:rsidRPr="005C66DC" w:rsidRDefault="008B135A" w:rsidP="00945B05">
      <w:pPr>
        <w:pStyle w:val="NormaleWeb"/>
        <w:shd w:val="clear" w:color="auto" w:fill="FFFFFF"/>
        <w:spacing w:before="120" w:beforeAutospacing="0" w:after="120" w:afterAutospacing="0"/>
        <w:rPr>
          <w:rFonts w:ascii="Arial" w:hAnsi="Arial" w:cs="Arial"/>
          <w:color w:val="222222"/>
          <w:sz w:val="22"/>
          <w:szCs w:val="22"/>
        </w:rPr>
      </w:pPr>
      <w:r w:rsidRPr="005C66DC">
        <w:rPr>
          <w:rFonts w:ascii="Arial" w:hAnsi="Arial" w:cs="Arial"/>
          <w:color w:val="222222"/>
          <w:sz w:val="22"/>
          <w:szCs w:val="22"/>
        </w:rPr>
        <w:t>Il comma d) dello stesso articolo precisa che per </w:t>
      </w:r>
      <w:r w:rsidRPr="005C66DC">
        <w:rPr>
          <w:rFonts w:ascii="Arial" w:hAnsi="Arial" w:cs="Arial"/>
          <w:i/>
          <w:iCs/>
          <w:color w:val="222222"/>
          <w:sz w:val="22"/>
          <w:szCs w:val="22"/>
        </w:rPr>
        <w:t>organismo di diritto pubblico</w:t>
      </w:r>
      <w:r w:rsidRPr="005C66DC">
        <w:rPr>
          <w:rFonts w:ascii="Arial" w:hAnsi="Arial" w:cs="Arial"/>
          <w:color w:val="222222"/>
          <w:sz w:val="22"/>
          <w:szCs w:val="22"/>
        </w:rPr>
        <w:t> s'intende qualsiasi organismo, anche in forma </w:t>
      </w:r>
      <w:r w:rsidR="00507C60" w:rsidRPr="005C66DC">
        <w:rPr>
          <w:rFonts w:ascii="Arial" w:hAnsi="Arial" w:cs="Arial"/>
          <w:color w:val="222222"/>
          <w:sz w:val="22"/>
          <w:szCs w:val="22"/>
        </w:rPr>
        <w:t>societaria</w:t>
      </w:r>
      <w:r w:rsidRPr="005C66DC">
        <w:rPr>
          <w:rFonts w:ascii="Arial" w:hAnsi="Arial" w:cs="Arial"/>
          <w:color w:val="222222"/>
          <w:sz w:val="22"/>
          <w:szCs w:val="22"/>
        </w:rPr>
        <w:t>:</w:t>
      </w:r>
    </w:p>
    <w:p w:rsidR="008B135A" w:rsidRPr="005C66DC" w:rsidRDefault="008B135A" w:rsidP="00945B05">
      <w:pPr>
        <w:numPr>
          <w:ilvl w:val="0"/>
          <w:numId w:val="6"/>
        </w:numPr>
        <w:shd w:val="clear" w:color="auto" w:fill="FFFFFF"/>
        <w:spacing w:before="100" w:beforeAutospacing="1" w:after="24" w:line="240" w:lineRule="auto"/>
        <w:ind w:left="384"/>
        <w:rPr>
          <w:rFonts w:ascii="Arial" w:hAnsi="Arial" w:cs="Arial"/>
          <w:color w:val="222222"/>
        </w:rPr>
      </w:pPr>
      <w:r w:rsidRPr="005C66DC">
        <w:rPr>
          <w:rFonts w:ascii="Arial" w:hAnsi="Arial" w:cs="Arial"/>
          <w:color w:val="222222"/>
        </w:rPr>
        <w:t>istituito per soddisfare specificatamente esigenze di interesse generale, aventi carattere non industriale o commerciale</w:t>
      </w:r>
    </w:p>
    <w:p w:rsidR="008B135A" w:rsidRPr="005C66DC" w:rsidRDefault="008B135A" w:rsidP="00945B05">
      <w:pPr>
        <w:numPr>
          <w:ilvl w:val="0"/>
          <w:numId w:val="6"/>
        </w:numPr>
        <w:shd w:val="clear" w:color="auto" w:fill="FFFFFF"/>
        <w:spacing w:before="100" w:beforeAutospacing="1" w:after="24" w:line="240" w:lineRule="auto"/>
        <w:ind w:left="384"/>
        <w:rPr>
          <w:rFonts w:ascii="Arial" w:hAnsi="Arial" w:cs="Arial"/>
          <w:color w:val="222222"/>
        </w:rPr>
      </w:pPr>
      <w:r w:rsidRPr="005C66DC">
        <w:rPr>
          <w:rFonts w:ascii="Arial" w:hAnsi="Arial" w:cs="Arial"/>
          <w:color w:val="222222"/>
        </w:rPr>
        <w:t>dotato di </w:t>
      </w:r>
      <w:r w:rsidR="00507C60" w:rsidRPr="005C66DC">
        <w:rPr>
          <w:rFonts w:ascii="Arial" w:hAnsi="Arial" w:cs="Arial"/>
          <w:color w:val="222222"/>
        </w:rPr>
        <w:t xml:space="preserve">personalità giuridica </w:t>
      </w:r>
    </w:p>
    <w:p w:rsidR="008B135A" w:rsidRPr="005C66DC" w:rsidRDefault="008B135A" w:rsidP="00945B05">
      <w:pPr>
        <w:numPr>
          <w:ilvl w:val="0"/>
          <w:numId w:val="6"/>
        </w:numPr>
        <w:shd w:val="clear" w:color="auto" w:fill="FFFFFF"/>
        <w:spacing w:before="100" w:beforeAutospacing="1" w:after="24" w:line="240" w:lineRule="auto"/>
        <w:ind w:left="384"/>
        <w:rPr>
          <w:rFonts w:ascii="Arial" w:hAnsi="Arial" w:cs="Arial"/>
          <w:color w:val="222222"/>
        </w:rPr>
      </w:pPr>
      <w:r w:rsidRPr="005C66DC">
        <w:rPr>
          <w:rFonts w:ascii="Arial" w:hAnsi="Arial" w:cs="Arial"/>
          <w:color w:val="222222"/>
        </w:rPr>
        <w:t>la cui attività sia finanziata in modo maggioritario dallo Stato, dagli enti pubblici territoriali o da altri organismi di diritto pubblico oppure la cui gestione sia soggetta al controllo di questi ultimi oppure il cui organo d'amministrazione, di direzione o di vigilanza sia costituito da membri dei quali più della metà è designata dallo Stato, dagli enti pubblici territoriali o da altri organismi di diritto pubblico</w:t>
      </w:r>
    </w:p>
    <w:p w:rsidR="008B135A" w:rsidRPr="005C66DC" w:rsidRDefault="00945B05" w:rsidP="00945B05">
      <w:pPr>
        <w:pStyle w:val="NormaleWeb"/>
        <w:shd w:val="clear" w:color="auto" w:fill="FFFFFF"/>
        <w:spacing w:before="120" w:beforeAutospacing="0" w:after="120" w:afterAutospacing="0"/>
        <w:rPr>
          <w:rFonts w:ascii="Arial" w:hAnsi="Arial" w:cs="Arial"/>
          <w:color w:val="222222"/>
          <w:sz w:val="22"/>
          <w:szCs w:val="22"/>
        </w:rPr>
      </w:pPr>
      <w:r w:rsidRPr="005C66DC">
        <w:rPr>
          <w:rFonts w:ascii="Arial" w:hAnsi="Arial" w:cs="Arial"/>
          <w:color w:val="222222"/>
          <w:sz w:val="22"/>
          <w:szCs w:val="22"/>
        </w:rPr>
        <w:t>O</w:t>
      </w:r>
      <w:r w:rsidR="008B135A" w:rsidRPr="005C66DC">
        <w:rPr>
          <w:rFonts w:ascii="Arial" w:hAnsi="Arial" w:cs="Arial"/>
          <w:color w:val="222222"/>
          <w:sz w:val="22"/>
          <w:szCs w:val="22"/>
        </w:rPr>
        <w:t xml:space="preserve">ltre alle amministrazioni aggiudicatrici, sono stazioni appaltanti taluni soggetti, anche privati, allorché affidino appalti contemplati nell'art. 32 del D. </w:t>
      </w:r>
      <w:proofErr w:type="spellStart"/>
      <w:r w:rsidR="008B135A" w:rsidRPr="005C66DC">
        <w:rPr>
          <w:rFonts w:ascii="Arial" w:hAnsi="Arial" w:cs="Arial"/>
          <w:color w:val="222222"/>
          <w:sz w:val="22"/>
          <w:szCs w:val="22"/>
        </w:rPr>
        <w:t>Lgs</w:t>
      </w:r>
      <w:proofErr w:type="spellEnd"/>
      <w:r w:rsidR="008B135A" w:rsidRPr="005C66DC">
        <w:rPr>
          <w:rFonts w:ascii="Arial" w:hAnsi="Arial" w:cs="Arial"/>
          <w:color w:val="222222"/>
          <w:sz w:val="22"/>
          <w:szCs w:val="22"/>
        </w:rPr>
        <w:t>. n. 163/2006. Si possono ricordare:</w:t>
      </w:r>
    </w:p>
    <w:p w:rsidR="008B135A" w:rsidRPr="005C66DC" w:rsidRDefault="008B135A" w:rsidP="00945B05">
      <w:pPr>
        <w:numPr>
          <w:ilvl w:val="0"/>
          <w:numId w:val="7"/>
        </w:numPr>
        <w:shd w:val="clear" w:color="auto" w:fill="FFFFFF"/>
        <w:spacing w:before="100" w:beforeAutospacing="1" w:after="24" w:line="240" w:lineRule="auto"/>
        <w:ind w:left="384"/>
        <w:rPr>
          <w:rFonts w:ascii="Arial" w:hAnsi="Arial" w:cs="Arial"/>
          <w:color w:val="222222"/>
        </w:rPr>
      </w:pPr>
      <w:r w:rsidRPr="005C66DC">
        <w:rPr>
          <w:rFonts w:ascii="Arial" w:hAnsi="Arial" w:cs="Arial"/>
          <w:color w:val="222222"/>
        </w:rPr>
        <w:t>i concessionari di lavori pubblici quando affidano lavori</w:t>
      </w:r>
    </w:p>
    <w:p w:rsidR="008B135A" w:rsidRPr="005C66DC" w:rsidRDefault="008B135A" w:rsidP="00945B05">
      <w:pPr>
        <w:numPr>
          <w:ilvl w:val="0"/>
          <w:numId w:val="7"/>
        </w:numPr>
        <w:shd w:val="clear" w:color="auto" w:fill="FFFFFF"/>
        <w:spacing w:before="100" w:beforeAutospacing="1" w:after="24" w:line="240" w:lineRule="auto"/>
        <w:ind w:left="384"/>
        <w:rPr>
          <w:rFonts w:ascii="Arial" w:hAnsi="Arial" w:cs="Arial"/>
          <w:color w:val="222222"/>
        </w:rPr>
      </w:pPr>
      <w:r w:rsidRPr="005C66DC">
        <w:rPr>
          <w:rFonts w:ascii="Arial" w:hAnsi="Arial" w:cs="Arial"/>
          <w:color w:val="222222"/>
        </w:rPr>
        <w:t>le società con capitale pubblico, anche non maggioritario, che non sono organismi di diritto pubblico e hanno a oggetto della loro attività la realizzazione di lavori o opere, ovvero la produzione di beni o servizi, non destinati a essere collocati sul mercato in regime di libera concorrenza, quando affidano lavori, servizi e forniture</w:t>
      </w:r>
    </w:p>
    <w:p w:rsidR="008B135A" w:rsidRPr="005C66DC" w:rsidRDefault="008B135A" w:rsidP="00945B05">
      <w:pPr>
        <w:numPr>
          <w:ilvl w:val="0"/>
          <w:numId w:val="7"/>
        </w:numPr>
        <w:shd w:val="clear" w:color="auto" w:fill="FFFFFF"/>
        <w:spacing w:before="100" w:beforeAutospacing="1" w:after="24" w:line="240" w:lineRule="auto"/>
        <w:ind w:left="384"/>
        <w:rPr>
          <w:rFonts w:ascii="Arial" w:hAnsi="Arial" w:cs="Arial"/>
          <w:color w:val="222222"/>
        </w:rPr>
      </w:pPr>
      <w:r w:rsidRPr="005C66DC">
        <w:rPr>
          <w:rFonts w:ascii="Arial" w:hAnsi="Arial" w:cs="Arial"/>
          <w:color w:val="222222"/>
        </w:rPr>
        <w:t>i soggetti privati che affidano lavori di edilizia relativi a ospedali, impianti sportivi, ricreativi e per il tempo libero, edifici scolastici e universitari, edifici destinati a funzioni pubbliche amministrative, di importo superiore a € 1.000.000 (nonché servizi connessi di importo pari o superiore a € 211.000), per la cui realizzazione sia previsto, da parte di amministrazioni aggiudicatrici, un contributo diretto e specifico, in conto interessi o in conto capitale che, attualizzato, superi il 50% dell'importo dei lavori</w:t>
      </w:r>
    </w:p>
    <w:p w:rsidR="008B135A" w:rsidRPr="005C66DC" w:rsidRDefault="008B135A" w:rsidP="00945B05">
      <w:pPr>
        <w:numPr>
          <w:ilvl w:val="0"/>
          <w:numId w:val="7"/>
        </w:numPr>
        <w:shd w:val="clear" w:color="auto" w:fill="FFFFFF"/>
        <w:spacing w:before="100" w:beforeAutospacing="1" w:after="24" w:line="240" w:lineRule="auto"/>
        <w:ind w:left="384"/>
        <w:rPr>
          <w:rFonts w:ascii="Arial" w:hAnsi="Arial" w:cs="Arial"/>
          <w:color w:val="222222"/>
        </w:rPr>
      </w:pPr>
      <w:r w:rsidRPr="005C66DC">
        <w:rPr>
          <w:rFonts w:ascii="Arial" w:hAnsi="Arial" w:cs="Arial"/>
          <w:color w:val="222222"/>
        </w:rPr>
        <w:t>i concessionari di servizi che affidano lavori pubblici strettamente strumentali alla gestione del servizio, se le opere pubbliche diventano di proprietà dell'amministrazione aggiudicatrice</w:t>
      </w:r>
    </w:p>
    <w:p w:rsidR="008B135A" w:rsidRPr="005C66DC" w:rsidRDefault="008B135A" w:rsidP="00945B05">
      <w:pPr>
        <w:numPr>
          <w:ilvl w:val="0"/>
          <w:numId w:val="7"/>
        </w:numPr>
        <w:shd w:val="clear" w:color="auto" w:fill="FFFFFF"/>
        <w:spacing w:before="100" w:beforeAutospacing="1" w:after="24" w:line="240" w:lineRule="auto"/>
        <w:ind w:left="384"/>
        <w:rPr>
          <w:rFonts w:ascii="Arial" w:hAnsi="Arial" w:cs="Arial"/>
          <w:color w:val="222222"/>
        </w:rPr>
      </w:pPr>
      <w:r w:rsidRPr="005C66DC">
        <w:rPr>
          <w:rFonts w:ascii="Arial" w:hAnsi="Arial" w:cs="Arial"/>
          <w:color w:val="222222"/>
        </w:rPr>
        <w:t>i soggetti privati, titolari di </w:t>
      </w:r>
      <w:r w:rsidR="00945B05" w:rsidRPr="005C66DC">
        <w:rPr>
          <w:rFonts w:ascii="Arial" w:hAnsi="Arial" w:cs="Arial"/>
          <w:color w:val="222222"/>
        </w:rPr>
        <w:t>permesso di costruire</w:t>
      </w:r>
      <w:r w:rsidRPr="005C66DC">
        <w:rPr>
          <w:rFonts w:ascii="Arial" w:hAnsi="Arial" w:cs="Arial"/>
          <w:color w:val="222222"/>
        </w:rPr>
        <w:t xml:space="preserve"> che assumono in via diretta l'esecuzione delle opere di urbanizzazione a scomputo totale o parziale del contributo previsto per il rilascio del permesso, quando affidano i relativi lavori</w:t>
      </w:r>
    </w:p>
    <w:p w:rsidR="008B135A" w:rsidRPr="005C66DC" w:rsidRDefault="008B135A" w:rsidP="00945B05">
      <w:pPr>
        <w:shd w:val="clear" w:color="auto" w:fill="FFFFFF"/>
        <w:spacing w:before="100" w:beforeAutospacing="1" w:after="24" w:line="240" w:lineRule="auto"/>
        <w:ind w:left="24"/>
        <w:rPr>
          <w:rFonts w:ascii="Arial" w:hAnsi="Arial" w:cs="Arial"/>
          <w:color w:val="222222"/>
        </w:rPr>
      </w:pPr>
      <w:r w:rsidRPr="005C66DC">
        <w:rPr>
          <w:rFonts w:ascii="Arial" w:hAnsi="Arial" w:cs="Arial"/>
          <w:color w:val="222222"/>
        </w:rPr>
        <w:t xml:space="preserve"> la riduzione del numero delle stazioni appaltanti è uno degli obiettivi comunitari e la disciplina è attualmente contenuta nell’art 37 che garantisce la piena autonomia di provvedere autonomamente per tutte le stazioni appaltanti per aggiudicazione servizi e forniture inferiori a 40000 e lavori inferiori a 150000.</w:t>
      </w:r>
    </w:p>
    <w:p w:rsidR="00945B05" w:rsidRPr="005C66DC" w:rsidRDefault="008B135A" w:rsidP="00945B05">
      <w:pPr>
        <w:shd w:val="clear" w:color="auto" w:fill="FFFFFF"/>
        <w:spacing w:before="100" w:beforeAutospacing="1" w:after="24" w:line="240" w:lineRule="auto"/>
        <w:ind w:left="24"/>
        <w:rPr>
          <w:rFonts w:ascii="Arial" w:hAnsi="Arial" w:cs="Arial"/>
          <w:color w:val="171717"/>
          <w:shd w:val="clear" w:color="auto" w:fill="FFFCDD"/>
        </w:rPr>
      </w:pPr>
      <w:r w:rsidRPr="005C66DC">
        <w:rPr>
          <w:rFonts w:ascii="Arial" w:hAnsi="Arial" w:cs="Arial"/>
          <w:color w:val="222222"/>
        </w:rPr>
        <w:t xml:space="preserve">Al di fuori di questi limiti, le stazioni appaltanti necessitano per poter provvedere in autonomia, della qualificazione prevista all’art 38 o altrimenti possono operare attraverso modelli di aggregazione. Art 37.3 </w:t>
      </w:r>
      <w:r w:rsidRPr="005C66DC">
        <w:rPr>
          <w:rFonts w:ascii="Arial" w:hAnsi="Arial" w:cs="Arial"/>
          <w:color w:val="171717"/>
          <w:shd w:val="clear" w:color="auto" w:fill="FFFCDD"/>
        </w:rPr>
        <w:t>Le stazioni appaltanti non in possesso della necessaria qualificazione di cui all'articolo 38 procedono all'acquisizione di forniture, servizi e lavori ricorrendo a una centrale di committenza ovvero mediante aggregazione con una o più stazioni appaltanti aventi la necessaria qualifica. </w:t>
      </w:r>
      <w:r w:rsidR="00403D8C" w:rsidRPr="005C66DC">
        <w:rPr>
          <w:rFonts w:ascii="Arial" w:hAnsi="Arial" w:cs="Arial"/>
          <w:color w:val="171717"/>
          <w:shd w:val="clear" w:color="auto" w:fill="FFFCDD"/>
        </w:rPr>
        <w:t xml:space="preserve">Risulteranno quindi due modalità per affidamenti superiori a queste soglie: </w:t>
      </w:r>
    </w:p>
    <w:p w:rsidR="00945B05" w:rsidRPr="005C66DC" w:rsidRDefault="00403D8C" w:rsidP="00945B05">
      <w:pPr>
        <w:shd w:val="clear" w:color="auto" w:fill="FFFFFF"/>
        <w:spacing w:before="100" w:beforeAutospacing="1" w:after="24" w:line="240" w:lineRule="auto"/>
        <w:ind w:left="24"/>
        <w:rPr>
          <w:rFonts w:ascii="Arial" w:hAnsi="Arial" w:cs="Arial"/>
          <w:color w:val="171717"/>
          <w:shd w:val="clear" w:color="auto" w:fill="FFFCDD"/>
        </w:rPr>
      </w:pPr>
      <w:r w:rsidRPr="005C66DC">
        <w:rPr>
          <w:rFonts w:ascii="Arial" w:hAnsi="Arial" w:cs="Arial"/>
          <w:color w:val="171717"/>
          <w:shd w:val="clear" w:color="auto" w:fill="FFFCDD"/>
        </w:rPr>
        <w:t xml:space="preserve">1 centrale di committenza, </w:t>
      </w:r>
    </w:p>
    <w:p w:rsidR="008B135A" w:rsidRPr="005C66DC" w:rsidRDefault="00403D8C" w:rsidP="00945B05">
      <w:pPr>
        <w:shd w:val="clear" w:color="auto" w:fill="FFFFFF"/>
        <w:spacing w:before="100" w:beforeAutospacing="1" w:after="24" w:line="240" w:lineRule="auto"/>
        <w:ind w:left="24"/>
        <w:rPr>
          <w:rFonts w:ascii="Arial" w:hAnsi="Arial" w:cs="Arial"/>
          <w:color w:val="171717"/>
          <w:shd w:val="clear" w:color="auto" w:fill="FFFCDD"/>
        </w:rPr>
      </w:pPr>
      <w:r w:rsidRPr="005C66DC">
        <w:rPr>
          <w:rFonts w:ascii="Arial" w:hAnsi="Arial" w:cs="Arial"/>
          <w:color w:val="171717"/>
          <w:shd w:val="clear" w:color="auto" w:fill="FFFCDD"/>
        </w:rPr>
        <w:lastRenderedPageBreak/>
        <w:t>2 ricorso a stazioni appaltanti qualificate</w:t>
      </w:r>
    </w:p>
    <w:p w:rsidR="00403D8C" w:rsidRPr="005C66DC" w:rsidRDefault="00403D8C" w:rsidP="00945B05">
      <w:pPr>
        <w:shd w:val="clear" w:color="auto" w:fill="FFFFFF"/>
        <w:spacing w:before="100" w:beforeAutospacing="1" w:after="24" w:line="240" w:lineRule="auto"/>
        <w:ind w:left="24"/>
        <w:rPr>
          <w:rFonts w:ascii="Arial" w:hAnsi="Arial" w:cs="Arial"/>
          <w:color w:val="171717"/>
          <w:shd w:val="clear" w:color="auto" w:fill="FFFCDD"/>
        </w:rPr>
      </w:pPr>
      <w:r w:rsidRPr="005C66DC">
        <w:rPr>
          <w:rFonts w:ascii="Arial" w:hAnsi="Arial" w:cs="Arial"/>
          <w:color w:val="171717"/>
          <w:shd w:val="clear" w:color="auto" w:fill="FFFCDD"/>
        </w:rPr>
        <w:t>Se la stazione appaltante è un Comune non capoluogo deve operare obbligatoriamente per il tramite di altri soggetti</w:t>
      </w:r>
      <w:r w:rsidR="00945B05" w:rsidRPr="005C66DC">
        <w:rPr>
          <w:rFonts w:ascii="Arial" w:hAnsi="Arial" w:cs="Arial"/>
          <w:color w:val="171717"/>
          <w:shd w:val="clear" w:color="auto" w:fill="FFFCDD"/>
        </w:rPr>
        <w:t xml:space="preserve"> </w:t>
      </w:r>
      <w:r w:rsidRPr="005C66DC">
        <w:rPr>
          <w:rFonts w:ascii="Arial" w:hAnsi="Arial" w:cs="Arial"/>
          <w:color w:val="171717"/>
          <w:shd w:val="clear" w:color="auto" w:fill="FFFCDD"/>
        </w:rPr>
        <w:t>o comunque attraverso un’aggregazione della domanda; gli strumenti previsti sono infatti le Unioni di Comuni, che dovranno comunque qualificarsi, oppure la stazione appaltante unica cost</w:t>
      </w:r>
      <w:r w:rsidR="00945B05" w:rsidRPr="005C66DC">
        <w:rPr>
          <w:rFonts w:ascii="Arial" w:hAnsi="Arial" w:cs="Arial"/>
          <w:color w:val="171717"/>
          <w:shd w:val="clear" w:color="auto" w:fill="FFFCDD"/>
        </w:rPr>
        <w:t>it</w:t>
      </w:r>
      <w:r w:rsidRPr="005C66DC">
        <w:rPr>
          <w:rFonts w:ascii="Arial" w:hAnsi="Arial" w:cs="Arial"/>
          <w:color w:val="171717"/>
          <w:shd w:val="clear" w:color="auto" w:fill="FFFCDD"/>
        </w:rPr>
        <w:t xml:space="preserve">uita presso enti di area vasta, province e </w:t>
      </w:r>
      <w:proofErr w:type="spellStart"/>
      <w:r w:rsidRPr="005C66DC">
        <w:rPr>
          <w:rFonts w:ascii="Arial" w:hAnsi="Arial" w:cs="Arial"/>
          <w:color w:val="171717"/>
          <w:shd w:val="clear" w:color="auto" w:fill="FFFCDD"/>
        </w:rPr>
        <w:t>CM</w:t>
      </w:r>
      <w:proofErr w:type="spellEnd"/>
      <w:r w:rsidRPr="005C66DC">
        <w:rPr>
          <w:rFonts w:ascii="Arial" w:hAnsi="Arial" w:cs="Arial"/>
          <w:color w:val="171717"/>
          <w:shd w:val="clear" w:color="auto" w:fill="FFFCDD"/>
        </w:rPr>
        <w:t>), infine il ricorso ad una centra</w:t>
      </w:r>
      <w:r w:rsidR="00945B05" w:rsidRPr="005C66DC">
        <w:rPr>
          <w:rFonts w:ascii="Arial" w:hAnsi="Arial" w:cs="Arial"/>
          <w:color w:val="171717"/>
          <w:shd w:val="clear" w:color="auto" w:fill="FFFCDD"/>
        </w:rPr>
        <w:t>l</w:t>
      </w:r>
      <w:r w:rsidRPr="005C66DC">
        <w:rPr>
          <w:rFonts w:ascii="Arial" w:hAnsi="Arial" w:cs="Arial"/>
          <w:color w:val="171717"/>
          <w:shd w:val="clear" w:color="auto" w:fill="FFFCDD"/>
        </w:rPr>
        <w:t>e di commit</w:t>
      </w:r>
      <w:r w:rsidR="00945B05" w:rsidRPr="005C66DC">
        <w:rPr>
          <w:rFonts w:ascii="Arial" w:hAnsi="Arial" w:cs="Arial"/>
          <w:color w:val="171717"/>
          <w:shd w:val="clear" w:color="auto" w:fill="FFFCDD"/>
        </w:rPr>
        <w:t>t</w:t>
      </w:r>
      <w:r w:rsidRPr="005C66DC">
        <w:rPr>
          <w:rFonts w:ascii="Arial" w:hAnsi="Arial" w:cs="Arial"/>
          <w:color w:val="171717"/>
          <w:shd w:val="clear" w:color="auto" w:fill="FFFCDD"/>
        </w:rPr>
        <w:t>enza o a soggetti aggregatori qualificati.</w:t>
      </w:r>
    </w:p>
    <w:p w:rsidR="00403D8C" w:rsidRPr="005C66DC" w:rsidRDefault="00403D8C" w:rsidP="00945B05">
      <w:pPr>
        <w:shd w:val="clear" w:color="auto" w:fill="FFFFFF"/>
        <w:spacing w:before="100" w:beforeAutospacing="1" w:after="24" w:line="240" w:lineRule="auto"/>
        <w:ind w:left="24"/>
        <w:rPr>
          <w:rFonts w:ascii="Arial" w:hAnsi="Arial" w:cs="Arial"/>
          <w:color w:val="171717"/>
          <w:shd w:val="clear" w:color="auto" w:fill="FFFCDD"/>
        </w:rPr>
      </w:pPr>
      <w:r w:rsidRPr="005C66DC">
        <w:rPr>
          <w:rFonts w:ascii="Arial" w:hAnsi="Arial" w:cs="Arial"/>
          <w:color w:val="171717"/>
          <w:shd w:val="clear" w:color="auto" w:fill="FFFCDD"/>
        </w:rPr>
        <w:t>L’art 3 definisce le centrali di committenza come   centrale di committenza», un'amministrazione aggiudicatrice o un ente aggiudicatore che forniscono attività di centralizzazione delle committenze e, se del caso, attività di committenza ausiliarie; sono dunque soggetti pubblici che in virtù della loro rilevanza o qualificazione, si pong</w:t>
      </w:r>
      <w:r w:rsidR="00945B05" w:rsidRPr="005C66DC">
        <w:rPr>
          <w:rFonts w:ascii="Arial" w:hAnsi="Arial" w:cs="Arial"/>
          <w:color w:val="171717"/>
          <w:shd w:val="clear" w:color="auto" w:fill="FFFCDD"/>
        </w:rPr>
        <w:t>o</w:t>
      </w:r>
      <w:r w:rsidRPr="005C66DC">
        <w:rPr>
          <w:rFonts w:ascii="Arial" w:hAnsi="Arial" w:cs="Arial"/>
          <w:color w:val="171717"/>
          <w:shd w:val="clear" w:color="auto" w:fill="FFFCDD"/>
        </w:rPr>
        <w:t xml:space="preserve">no come punti di riferimento per la stipula dei contratti pubblici per conto di altre stazioni appaltanti. Le attività di centralizzazione consistono nell’acquisto diretto per conto di altre SA, svolgimento di gare per conto di altre SA o conclusione accordi quadro. Hanno inoltre il compito di gestire sistemi dinamici di acquisizione e mercati elettronici . oltre attività di centralizzazione, possono svolgere attività ausiliarie </w:t>
      </w:r>
    </w:p>
    <w:p w:rsidR="00945B05" w:rsidRPr="005C66DC" w:rsidRDefault="00403D8C" w:rsidP="00945B05">
      <w:pPr>
        <w:shd w:val="clear" w:color="auto" w:fill="FFFFFF"/>
        <w:spacing w:before="100" w:beforeAutospacing="1" w:after="24" w:line="240" w:lineRule="auto"/>
        <w:ind w:left="24"/>
        <w:rPr>
          <w:rFonts w:ascii="Arial" w:hAnsi="Arial" w:cs="Arial"/>
          <w:color w:val="171717"/>
          <w:shd w:val="clear" w:color="auto" w:fill="FFFCDD"/>
        </w:rPr>
      </w:pPr>
      <w:r w:rsidRPr="005C66DC">
        <w:rPr>
          <w:rFonts w:ascii="Arial" w:hAnsi="Arial" w:cs="Arial"/>
          <w:color w:val="171717"/>
          <w:shd w:val="clear" w:color="auto" w:fill="FFFCDD"/>
        </w:rPr>
        <w:t xml:space="preserve">La qualificazione obbligatoria ad oggi è tesa a valutare la capacità e idoneità </w:t>
      </w:r>
      <w:r w:rsidR="009B4779" w:rsidRPr="005C66DC">
        <w:rPr>
          <w:rFonts w:ascii="Arial" w:hAnsi="Arial" w:cs="Arial"/>
          <w:color w:val="171717"/>
          <w:shd w:val="clear" w:color="auto" w:fill="FFFCDD"/>
        </w:rPr>
        <w:t>delle stazioni appaltanti o centrali di committenza a svolgere appieno il ruolo.</w:t>
      </w:r>
    </w:p>
    <w:p w:rsidR="009B4779" w:rsidRPr="005C66DC" w:rsidRDefault="00945B05" w:rsidP="00945B05">
      <w:pPr>
        <w:shd w:val="clear" w:color="auto" w:fill="FFFFFF"/>
        <w:spacing w:before="100" w:beforeAutospacing="1" w:after="24" w:line="240" w:lineRule="auto"/>
        <w:ind w:left="24"/>
        <w:rPr>
          <w:rFonts w:ascii="Arial" w:hAnsi="Arial" w:cs="Arial"/>
          <w:color w:val="171717"/>
          <w:shd w:val="clear" w:color="auto" w:fill="FFFCDD"/>
        </w:rPr>
      </w:pPr>
      <w:r w:rsidRPr="005C66DC">
        <w:rPr>
          <w:rFonts w:ascii="Arial" w:hAnsi="Arial" w:cs="Arial"/>
          <w:color w:val="171717"/>
          <w:shd w:val="clear" w:color="auto" w:fill="FFFCDD"/>
        </w:rPr>
        <w:t>L</w:t>
      </w:r>
      <w:r w:rsidR="009B4779" w:rsidRPr="005C66DC">
        <w:rPr>
          <w:rFonts w:ascii="Arial" w:hAnsi="Arial" w:cs="Arial"/>
          <w:color w:val="171717"/>
          <w:shd w:val="clear" w:color="auto" w:fill="FFFCDD"/>
        </w:rPr>
        <w:t>a qualificazione diventa requisito necessario per svolgere in autonomia procedure di gara &gt;40000 per forniture e servizi e &gt; 150000 per i lavori.</w:t>
      </w:r>
      <w:r w:rsidRPr="005C66DC">
        <w:rPr>
          <w:rFonts w:ascii="Arial" w:hAnsi="Arial" w:cs="Arial"/>
          <w:color w:val="171717"/>
          <w:shd w:val="clear" w:color="auto" w:fill="FFFCDD"/>
        </w:rPr>
        <w:t xml:space="preserve"> L</w:t>
      </w:r>
      <w:r w:rsidR="009B4779" w:rsidRPr="005C66DC">
        <w:rPr>
          <w:rFonts w:ascii="Arial" w:hAnsi="Arial" w:cs="Arial"/>
          <w:color w:val="171717"/>
          <w:shd w:val="clear" w:color="auto" w:fill="FFFCDD"/>
        </w:rPr>
        <w:t xml:space="preserve">a legge affida all’ANAC il compito di tenere un registro delle stazioni appalti qualificate (la qualificazione viene attribuita di diritto ad alcuni soggetti come il Ministero trasporti, </w:t>
      </w:r>
      <w:proofErr w:type="spellStart"/>
      <w:r w:rsidR="009B4779" w:rsidRPr="005C66DC">
        <w:rPr>
          <w:rFonts w:ascii="Arial" w:hAnsi="Arial" w:cs="Arial"/>
          <w:color w:val="171717"/>
          <w:shd w:val="clear" w:color="auto" w:fill="FFFCDD"/>
        </w:rPr>
        <w:t>Consip</w:t>
      </w:r>
      <w:proofErr w:type="spellEnd"/>
      <w:r w:rsidR="009B4779" w:rsidRPr="005C66DC">
        <w:rPr>
          <w:rFonts w:ascii="Arial" w:hAnsi="Arial" w:cs="Arial"/>
          <w:color w:val="171717"/>
          <w:shd w:val="clear" w:color="auto" w:fill="FFFCDD"/>
        </w:rPr>
        <w:t xml:space="preserve">, </w:t>
      </w:r>
      <w:proofErr w:type="spellStart"/>
      <w:r w:rsidR="009B4779" w:rsidRPr="005C66DC">
        <w:rPr>
          <w:rFonts w:ascii="Arial" w:hAnsi="Arial" w:cs="Arial"/>
          <w:color w:val="171717"/>
          <w:shd w:val="clear" w:color="auto" w:fill="FFFCDD"/>
        </w:rPr>
        <w:t>CM</w:t>
      </w:r>
      <w:proofErr w:type="spellEnd"/>
      <w:r w:rsidR="009B4779" w:rsidRPr="005C66DC">
        <w:rPr>
          <w:rFonts w:ascii="Arial" w:hAnsi="Arial" w:cs="Arial"/>
          <w:color w:val="171717"/>
          <w:shd w:val="clear" w:color="auto" w:fill="FFFCDD"/>
        </w:rPr>
        <w:t>, soggetti aggregatori regionali ecc). per esser qualificati è necessario avere strutture organizzative interne, personale qualificato, numer</w:t>
      </w:r>
      <w:r w:rsidRPr="005C66DC">
        <w:rPr>
          <w:rFonts w:ascii="Arial" w:hAnsi="Arial" w:cs="Arial"/>
          <w:color w:val="171717"/>
          <w:shd w:val="clear" w:color="auto" w:fill="FFFCDD"/>
        </w:rPr>
        <w:t>o</w:t>
      </w:r>
      <w:r w:rsidR="009B4779" w:rsidRPr="005C66DC">
        <w:rPr>
          <w:rFonts w:ascii="Arial" w:hAnsi="Arial" w:cs="Arial"/>
          <w:color w:val="171717"/>
          <w:shd w:val="clear" w:color="auto" w:fill="FFFCDD"/>
        </w:rPr>
        <w:t xml:space="preserve"> di procedure svolte, regolarità nei pagamenti ecc. </w:t>
      </w:r>
    </w:p>
    <w:p w:rsidR="00DD3409" w:rsidRPr="005C66DC" w:rsidRDefault="00403D8C" w:rsidP="00945B05">
      <w:pPr>
        <w:shd w:val="clear" w:color="auto" w:fill="FFFFFF"/>
        <w:spacing w:before="100" w:beforeAutospacing="1" w:after="24" w:line="240" w:lineRule="auto"/>
        <w:ind w:left="24"/>
        <w:rPr>
          <w:rFonts w:ascii="Arial" w:hAnsi="Arial" w:cs="Arial"/>
          <w:color w:val="171717"/>
          <w:shd w:val="clear" w:color="auto" w:fill="FFFCDD"/>
        </w:rPr>
      </w:pPr>
      <w:r w:rsidRPr="005C66DC">
        <w:rPr>
          <w:rFonts w:ascii="Arial" w:hAnsi="Arial" w:cs="Arial"/>
          <w:color w:val="171717"/>
          <w:shd w:val="clear" w:color="auto" w:fill="FFFCDD"/>
        </w:rPr>
        <w:t xml:space="preserve"> </w:t>
      </w:r>
      <w:r w:rsidR="00DD3409" w:rsidRPr="005C66DC">
        <w:rPr>
          <w:rFonts w:ascii="Arial" w:hAnsi="Arial" w:cs="Arial"/>
          <w:color w:val="171717"/>
          <w:shd w:val="clear" w:color="auto" w:fill="FFFCDD"/>
        </w:rPr>
        <w:t>OPERATORI ECONOMICI</w:t>
      </w:r>
    </w:p>
    <w:p w:rsidR="00403D8C" w:rsidRPr="005C66DC" w:rsidRDefault="00DD3409" w:rsidP="00945B05">
      <w:pPr>
        <w:shd w:val="clear" w:color="auto" w:fill="FFFFFF"/>
        <w:spacing w:before="100" w:beforeAutospacing="1" w:after="24" w:line="240" w:lineRule="auto"/>
        <w:ind w:left="24"/>
        <w:rPr>
          <w:rFonts w:ascii="Arial" w:hAnsi="Arial" w:cs="Arial"/>
          <w:color w:val="000000"/>
          <w:shd w:val="clear" w:color="auto" w:fill="F5FDFE"/>
        </w:rPr>
      </w:pPr>
      <w:r w:rsidRPr="005C66DC">
        <w:rPr>
          <w:rFonts w:ascii="Arial" w:hAnsi="Arial" w:cs="Arial"/>
          <w:color w:val="171717"/>
          <w:shd w:val="clear" w:color="auto" w:fill="FFFCDD"/>
        </w:rPr>
        <w:t xml:space="preserve"> </w:t>
      </w:r>
      <w:r w:rsidRPr="005C66DC">
        <w:rPr>
          <w:rFonts w:ascii="Arial" w:hAnsi="Arial" w:cs="Arial"/>
          <w:color w:val="000000"/>
          <w:shd w:val="clear" w:color="auto" w:fill="F5FDFE"/>
        </w:rPr>
        <w:t>Sono ammessi a partecipare alle procedure di affidamento dei contratti pubblici gli operatori economici di cui all’</w:t>
      </w:r>
      <w:r w:rsidR="00507C60" w:rsidRPr="005C66DC">
        <w:rPr>
          <w:rFonts w:ascii="Arial" w:hAnsi="Arial" w:cs="Arial"/>
          <w:color w:val="000000"/>
          <w:shd w:val="clear" w:color="auto" w:fill="F5FDFE"/>
        </w:rPr>
        <w:t>art 3.1 p</w:t>
      </w:r>
      <w:r w:rsidRPr="005C66DC">
        <w:rPr>
          <w:rFonts w:ascii="Arial" w:hAnsi="Arial" w:cs="Arial"/>
        </w:rPr>
        <w:t xml:space="preserve"> ( persona fisica o giuridica , un ente pubblico, un raggruppamento di tali enti o persone, comprese le associazioni temporanee di persone , un ente senza personalità giuridica, ivi compreso il gruppo europeo di interesse economico (GEIE))</w:t>
      </w:r>
      <w:r w:rsidRPr="005C66DC">
        <w:rPr>
          <w:rFonts w:ascii="Arial" w:hAnsi="Arial" w:cs="Arial"/>
          <w:color w:val="000000"/>
          <w:shd w:val="clear" w:color="auto" w:fill="F5FDFE"/>
        </w:rPr>
        <w:t> nonché gli operatori economici stabiliti in altri Stati membri, costituiti conformemente alla legislazione vigente nei rispettivi Paesi. Si riscontra quindi una totale apertura a tutte le imprese anche a livello comunitario con reciproco riconoscimento delle forme giuridiche esistenti</w:t>
      </w:r>
      <w:r w:rsidR="00945B05" w:rsidRPr="005C66DC">
        <w:rPr>
          <w:rFonts w:ascii="Arial" w:hAnsi="Arial" w:cs="Arial"/>
          <w:color w:val="000000"/>
          <w:shd w:val="clear" w:color="auto" w:fill="F5FDFE"/>
        </w:rPr>
        <w:t>;</w:t>
      </w:r>
      <w:r w:rsidRPr="005C66DC">
        <w:rPr>
          <w:rFonts w:ascii="Arial" w:hAnsi="Arial" w:cs="Arial"/>
          <w:color w:val="000000"/>
          <w:shd w:val="clear" w:color="auto" w:fill="F5FDFE"/>
        </w:rPr>
        <w:t>quindi rientrano nella definizione di operatore economico i seguenti soggetti:</w:t>
      </w:r>
    </w:p>
    <w:p w:rsidR="00DD3409" w:rsidRPr="005C66DC" w:rsidRDefault="00DD3409" w:rsidP="00945B05">
      <w:pPr>
        <w:pStyle w:val="Paragrafoelenco"/>
        <w:numPr>
          <w:ilvl w:val="0"/>
          <w:numId w:val="8"/>
        </w:numPr>
        <w:shd w:val="clear" w:color="auto" w:fill="FFFFFF"/>
        <w:spacing w:before="100" w:beforeAutospacing="1" w:after="24" w:line="240" w:lineRule="auto"/>
        <w:rPr>
          <w:rFonts w:ascii="Arial" w:hAnsi="Arial" w:cs="Arial"/>
          <w:color w:val="171717"/>
          <w:shd w:val="clear" w:color="auto" w:fill="FFFCDD"/>
        </w:rPr>
      </w:pPr>
      <w:r w:rsidRPr="005C66DC">
        <w:rPr>
          <w:rFonts w:ascii="Arial" w:hAnsi="Arial" w:cs="Arial"/>
          <w:color w:val="000000"/>
          <w:shd w:val="clear" w:color="auto" w:fill="F5FDFE"/>
        </w:rPr>
        <w:t>a) gli imprenditori individuali, anche artigiani, e le società, anche cooperative; </w:t>
      </w:r>
      <w:r w:rsidRPr="005C66DC">
        <w:rPr>
          <w:rFonts w:ascii="Arial" w:hAnsi="Arial" w:cs="Arial"/>
          <w:color w:val="000000"/>
        </w:rPr>
        <w:br/>
      </w:r>
      <w:r w:rsidRPr="005C66DC">
        <w:rPr>
          <w:rFonts w:ascii="Arial" w:hAnsi="Arial" w:cs="Arial"/>
          <w:color w:val="000000"/>
          <w:shd w:val="clear" w:color="auto" w:fill="F5FDFE"/>
        </w:rPr>
        <w:t>b) i consorzi fra società cooperative di produzione e lavoro costituiti a norma della legge 25 giugno 1909, n. 422, e del decreto legislativo del Capo provvisorio dello Stato 14 dicembre 1947, n. 1577, e successive modificazioni, e i consorzi tra imprese artigiane di cui alla legge 8 agosto 1985, n. 443; </w:t>
      </w:r>
      <w:r w:rsidRPr="005C66DC">
        <w:rPr>
          <w:rFonts w:ascii="Arial" w:hAnsi="Arial" w:cs="Arial"/>
          <w:color w:val="000000"/>
        </w:rPr>
        <w:br/>
      </w:r>
      <w:r w:rsidRPr="005C66DC">
        <w:rPr>
          <w:rFonts w:ascii="Arial" w:hAnsi="Arial" w:cs="Arial"/>
          <w:color w:val="000000"/>
          <w:shd w:val="clear" w:color="auto" w:fill="F5FDFE"/>
        </w:rPr>
        <w:t>c) i consorzi stabili, costituiti anche in forma di società consortili ai sensi dell'</w:t>
      </w:r>
      <w:r w:rsidR="00507C60" w:rsidRPr="005C66DC">
        <w:rPr>
          <w:rFonts w:ascii="Arial" w:hAnsi="Arial" w:cs="Arial"/>
          <w:color w:val="000000"/>
          <w:shd w:val="clear" w:color="auto" w:fill="F5FDFE"/>
        </w:rPr>
        <w:t>2615 cc</w:t>
      </w:r>
      <w:r w:rsidRPr="005C66DC">
        <w:rPr>
          <w:rFonts w:ascii="Arial" w:hAnsi="Arial" w:cs="Arial"/>
          <w:color w:val="000000"/>
          <w:shd w:val="clear" w:color="auto" w:fill="F5FDFE"/>
        </w:rPr>
        <w:t> tra imprenditori individuali, anche artigiani, società commerciali, società cooperative di produzione e lavoro. I consorzi stabili sono formati da non meno di tre consorziati che, con decisione assunta dai rispettivi organi deliberativi, abbiano stabilito di operare in modo congiunto nel settore dei contratti pubblici di lavori, servizi e forniture per un periodo di tempo non inferiore a cinque anni, istituendo a tal fine una comune struttura di impresa. </w:t>
      </w:r>
      <w:r w:rsidRPr="005C66DC">
        <w:rPr>
          <w:rFonts w:ascii="Arial" w:hAnsi="Arial" w:cs="Arial"/>
          <w:color w:val="000000"/>
        </w:rPr>
        <w:br/>
      </w:r>
      <w:r w:rsidRPr="005C66DC">
        <w:rPr>
          <w:rFonts w:ascii="Arial" w:hAnsi="Arial" w:cs="Arial"/>
          <w:color w:val="000000"/>
          <w:shd w:val="clear" w:color="auto" w:fill="F5FDFE"/>
        </w:rPr>
        <w:t>d) i raggruppamenti temporanei di concorrenti, costituiti dai soggetti di cui alle lettere a), b) e c), i quali, prima della presentazione dell'offerta, abbiano conferito mandato collettivo speciale con rappresentanza ad uno di essi, qualificato mandatario, il quale esprime l'offerta in nome e per conto proprio e dei mandanti; </w:t>
      </w:r>
      <w:r w:rsidRPr="005C66DC">
        <w:rPr>
          <w:rFonts w:ascii="Arial" w:hAnsi="Arial" w:cs="Arial"/>
          <w:color w:val="000000"/>
        </w:rPr>
        <w:br/>
      </w:r>
      <w:r w:rsidRPr="005C66DC">
        <w:rPr>
          <w:rFonts w:ascii="Arial" w:hAnsi="Arial" w:cs="Arial"/>
          <w:color w:val="000000"/>
          <w:shd w:val="clear" w:color="auto" w:fill="F5FDFE"/>
        </w:rPr>
        <w:t>e) i consorzi ordinari di concorrenti di cui all'</w:t>
      </w:r>
      <w:r w:rsidR="00507C60" w:rsidRPr="005C66DC">
        <w:rPr>
          <w:rFonts w:ascii="Arial" w:hAnsi="Arial" w:cs="Arial"/>
          <w:color w:val="000000"/>
          <w:shd w:val="clear" w:color="auto" w:fill="F5FDFE"/>
        </w:rPr>
        <w:t>art 2602 cc</w:t>
      </w:r>
      <w:r w:rsidRPr="005C66DC">
        <w:rPr>
          <w:rFonts w:ascii="Arial" w:hAnsi="Arial" w:cs="Arial"/>
          <w:color w:val="000000"/>
          <w:shd w:val="clear" w:color="auto" w:fill="F5FDFE"/>
        </w:rPr>
        <w:t>, costituiti tra i soggetti di cui alle lettere a), b) e c) del presente comma, anche in forma di società ai sensi dell'</w:t>
      </w:r>
      <w:r w:rsidR="00507C60" w:rsidRPr="005C66DC">
        <w:rPr>
          <w:rFonts w:ascii="Arial" w:hAnsi="Arial" w:cs="Arial"/>
          <w:color w:val="000000"/>
          <w:shd w:val="clear" w:color="auto" w:fill="F5FDFE"/>
        </w:rPr>
        <w:t xml:space="preserve">art 2615 </w:t>
      </w:r>
      <w:proofErr w:type="spellStart"/>
      <w:r w:rsidR="00507C60" w:rsidRPr="005C66DC">
        <w:rPr>
          <w:rFonts w:ascii="Arial" w:hAnsi="Arial" w:cs="Arial"/>
          <w:color w:val="000000"/>
          <w:shd w:val="clear" w:color="auto" w:fill="F5FDFE"/>
        </w:rPr>
        <w:t>ter</w:t>
      </w:r>
      <w:proofErr w:type="spellEnd"/>
      <w:r w:rsidR="00507C60" w:rsidRPr="005C66DC">
        <w:rPr>
          <w:rFonts w:ascii="Arial" w:hAnsi="Arial" w:cs="Arial"/>
          <w:color w:val="000000"/>
          <w:shd w:val="clear" w:color="auto" w:fill="F5FDFE"/>
        </w:rPr>
        <w:t xml:space="preserve"> </w:t>
      </w:r>
      <w:r w:rsidR="00507C60" w:rsidRPr="005C66DC">
        <w:rPr>
          <w:rFonts w:ascii="Arial" w:hAnsi="Arial" w:cs="Arial"/>
          <w:color w:val="000000"/>
          <w:shd w:val="clear" w:color="auto" w:fill="F5FDFE"/>
        </w:rPr>
        <w:lastRenderedPageBreak/>
        <w:t>cc</w:t>
      </w:r>
      <w:r w:rsidRPr="005C66DC">
        <w:rPr>
          <w:rFonts w:ascii="Arial" w:hAnsi="Arial" w:cs="Arial"/>
          <w:color w:val="000000"/>
          <w:shd w:val="clear" w:color="auto" w:fill="F5FDFE"/>
        </w:rPr>
        <w:t>; </w:t>
      </w:r>
      <w:r w:rsidRPr="005C66DC">
        <w:rPr>
          <w:rFonts w:ascii="Arial" w:hAnsi="Arial" w:cs="Arial"/>
          <w:color w:val="000000"/>
        </w:rPr>
        <w:br/>
      </w:r>
      <w:r w:rsidRPr="005C66DC">
        <w:rPr>
          <w:rFonts w:ascii="Arial" w:hAnsi="Arial" w:cs="Arial"/>
          <w:color w:val="000000"/>
          <w:shd w:val="clear" w:color="auto" w:fill="F5FDFE"/>
        </w:rPr>
        <w:t>f) le aggregazioni tra le imprese aderenti al contratto di rete ai sensi dell'</w:t>
      </w:r>
      <w:r w:rsidR="00507C60" w:rsidRPr="005C66DC">
        <w:rPr>
          <w:rFonts w:ascii="Arial" w:hAnsi="Arial" w:cs="Arial"/>
          <w:color w:val="000000"/>
          <w:shd w:val="clear" w:color="auto" w:fill="F5FDFE"/>
        </w:rPr>
        <w:t xml:space="preserve">art 3 .4 </w:t>
      </w:r>
      <w:proofErr w:type="spellStart"/>
      <w:r w:rsidR="00507C60" w:rsidRPr="005C66DC">
        <w:rPr>
          <w:rFonts w:ascii="Arial" w:hAnsi="Arial" w:cs="Arial"/>
          <w:color w:val="000000"/>
          <w:shd w:val="clear" w:color="auto" w:fill="F5FDFE"/>
        </w:rPr>
        <w:t>ter</w:t>
      </w:r>
      <w:proofErr w:type="spellEnd"/>
      <w:r w:rsidR="00507C60" w:rsidRPr="005C66DC">
        <w:rPr>
          <w:rFonts w:ascii="Arial" w:hAnsi="Arial" w:cs="Arial"/>
          <w:color w:val="000000"/>
          <w:shd w:val="clear" w:color="auto" w:fill="F5FDFE"/>
        </w:rPr>
        <w:t xml:space="preserve"> dl 5/</w:t>
      </w:r>
      <w:r w:rsidRPr="005C66DC">
        <w:rPr>
          <w:rFonts w:ascii="Arial" w:hAnsi="Arial" w:cs="Arial"/>
          <w:color w:val="000000"/>
          <w:shd w:val="clear" w:color="auto" w:fill="F5FDFE"/>
        </w:rPr>
        <w:t>g) i soggetti che abbiano stipulato il contratto di gruppo europeo di interesse economico (GEIE) ai sensi del decreto legislativo 23 luglio 1991, n. 240;</w:t>
      </w:r>
    </w:p>
    <w:p w:rsidR="00DD3409" w:rsidRPr="005C66DC" w:rsidRDefault="00DD3409" w:rsidP="00945B05">
      <w:pPr>
        <w:shd w:val="clear" w:color="auto" w:fill="FFFFFF"/>
        <w:spacing w:before="100" w:beforeAutospacing="1" w:after="24" w:line="240" w:lineRule="auto"/>
        <w:ind w:left="24"/>
        <w:rPr>
          <w:rFonts w:ascii="Arial" w:hAnsi="Arial" w:cs="Arial"/>
          <w:color w:val="171717"/>
          <w:shd w:val="clear" w:color="auto" w:fill="FFFCDD"/>
        </w:rPr>
      </w:pPr>
      <w:r w:rsidRPr="005C66DC">
        <w:rPr>
          <w:rFonts w:ascii="Arial" w:hAnsi="Arial" w:cs="Arial"/>
          <w:color w:val="171717"/>
          <w:shd w:val="clear" w:color="auto" w:fill="FFFCDD"/>
        </w:rPr>
        <w:t>l’art 80 reca la nuova disposizione “motivi di esclusione dalle gare” per l’affidamento di contratti e subappalti. L’art 80 ai commi 1 e 2 presenta un elenco molto dettagliato in cui vengono elencata ad una ad una tutte le fattispecie di reato per le quali opera il divieto assoluto di affidamento. Il successivo comma 3 chiarisce quali sono i soggetti per i quali sia richiesta l’assenza di precedenti penali di rilievo. Il comma 4 riunisce irregolarità fiscali</w:t>
      </w:r>
      <w:r w:rsidR="00945B05" w:rsidRPr="005C66DC">
        <w:rPr>
          <w:rFonts w:ascii="Arial" w:hAnsi="Arial" w:cs="Arial"/>
          <w:color w:val="171717"/>
          <w:shd w:val="clear" w:color="auto" w:fill="FFFCDD"/>
        </w:rPr>
        <w:t xml:space="preserve"> </w:t>
      </w:r>
      <w:r w:rsidRPr="005C66DC">
        <w:rPr>
          <w:rFonts w:ascii="Arial" w:hAnsi="Arial" w:cs="Arial"/>
          <w:color w:val="171717"/>
          <w:shd w:val="clear" w:color="auto" w:fill="FFFCDD"/>
        </w:rPr>
        <w:t>e contributive, c</w:t>
      </w:r>
      <w:r w:rsidR="00945B05" w:rsidRPr="005C66DC">
        <w:rPr>
          <w:rFonts w:ascii="Arial" w:hAnsi="Arial" w:cs="Arial"/>
          <w:color w:val="171717"/>
          <w:shd w:val="clear" w:color="auto" w:fill="FFFCDD"/>
        </w:rPr>
        <w:t>h</w:t>
      </w:r>
      <w:r w:rsidRPr="005C66DC">
        <w:rPr>
          <w:rFonts w:ascii="Arial" w:hAnsi="Arial" w:cs="Arial"/>
          <w:color w:val="171717"/>
          <w:shd w:val="clear" w:color="auto" w:fill="FFFCDD"/>
        </w:rPr>
        <w:t xml:space="preserve">iarendo le soglie critiche e specificando </w:t>
      </w:r>
      <w:r w:rsidR="00E46233" w:rsidRPr="005C66DC">
        <w:rPr>
          <w:rFonts w:ascii="Arial" w:hAnsi="Arial" w:cs="Arial"/>
          <w:color w:val="171717"/>
          <w:shd w:val="clear" w:color="auto" w:fill="FFFCDD"/>
        </w:rPr>
        <w:t>in quali casi possa ritenersi non definitivamente accertata la situazione ostativa. Infine nell’elenco del comma 5 ritroviamo i casi di presunta carenza di moralità professionale.</w:t>
      </w:r>
    </w:p>
    <w:p w:rsidR="008B135A" w:rsidRPr="005C66DC" w:rsidRDefault="009C46DD" w:rsidP="00945B05">
      <w:pPr>
        <w:shd w:val="clear" w:color="auto" w:fill="FFFFFF"/>
        <w:spacing w:before="100" w:beforeAutospacing="1" w:after="24" w:line="240" w:lineRule="auto"/>
        <w:ind w:left="24"/>
        <w:rPr>
          <w:rFonts w:ascii="Arial" w:hAnsi="Arial" w:cs="Arial"/>
          <w:color w:val="171717"/>
          <w:shd w:val="clear" w:color="auto" w:fill="FFFCDD"/>
        </w:rPr>
      </w:pPr>
      <w:r w:rsidRPr="005C66DC">
        <w:rPr>
          <w:rFonts w:ascii="Arial" w:hAnsi="Arial" w:cs="Arial"/>
          <w:color w:val="171717"/>
          <w:shd w:val="clear" w:color="auto" w:fill="FFFCDD"/>
        </w:rPr>
        <w:t>Per l’accesso alle procedure ad evidenza pubblica, il codice prevede la necessaria sussistenza di alcuni requisiti, generalmente riconducibili a 4 categorie principali:</w:t>
      </w:r>
    </w:p>
    <w:p w:rsidR="009C46DD" w:rsidRPr="005C66DC" w:rsidRDefault="009C46DD" w:rsidP="00945B05">
      <w:pPr>
        <w:pStyle w:val="Paragrafoelenco"/>
        <w:numPr>
          <w:ilvl w:val="0"/>
          <w:numId w:val="8"/>
        </w:numPr>
        <w:shd w:val="clear" w:color="auto" w:fill="FFFFFF"/>
        <w:spacing w:before="100" w:beforeAutospacing="1" w:after="24" w:line="240" w:lineRule="auto"/>
        <w:rPr>
          <w:rFonts w:ascii="Arial" w:hAnsi="Arial" w:cs="Arial"/>
          <w:color w:val="222222"/>
        </w:rPr>
      </w:pPr>
      <w:r w:rsidRPr="005C66DC">
        <w:rPr>
          <w:rFonts w:ascii="Arial" w:hAnsi="Arial" w:cs="Arial"/>
          <w:color w:val="222222"/>
        </w:rPr>
        <w:t>morali (o generali)</w:t>
      </w:r>
    </w:p>
    <w:p w:rsidR="009C46DD" w:rsidRPr="005C66DC" w:rsidRDefault="009C46DD" w:rsidP="00945B05">
      <w:pPr>
        <w:pStyle w:val="Paragrafoelenco"/>
        <w:numPr>
          <w:ilvl w:val="0"/>
          <w:numId w:val="8"/>
        </w:numPr>
        <w:shd w:val="clear" w:color="auto" w:fill="FFFFFF"/>
        <w:spacing w:before="100" w:beforeAutospacing="1" w:after="24" w:line="240" w:lineRule="auto"/>
        <w:rPr>
          <w:rFonts w:ascii="Arial" w:hAnsi="Arial" w:cs="Arial"/>
          <w:color w:val="222222"/>
        </w:rPr>
      </w:pPr>
      <w:r w:rsidRPr="005C66DC">
        <w:rPr>
          <w:rFonts w:ascii="Arial" w:hAnsi="Arial" w:cs="Arial"/>
          <w:color w:val="222222"/>
        </w:rPr>
        <w:t>formali</w:t>
      </w:r>
    </w:p>
    <w:p w:rsidR="009C46DD" w:rsidRPr="005C66DC" w:rsidRDefault="009C46DD" w:rsidP="00945B05">
      <w:pPr>
        <w:pStyle w:val="Paragrafoelenco"/>
        <w:numPr>
          <w:ilvl w:val="0"/>
          <w:numId w:val="8"/>
        </w:numPr>
        <w:shd w:val="clear" w:color="auto" w:fill="FFFFFF"/>
        <w:spacing w:before="100" w:beforeAutospacing="1" w:after="24" w:line="240" w:lineRule="auto"/>
        <w:rPr>
          <w:rFonts w:ascii="Arial" w:hAnsi="Arial" w:cs="Arial"/>
          <w:color w:val="222222"/>
        </w:rPr>
      </w:pPr>
      <w:r w:rsidRPr="005C66DC">
        <w:rPr>
          <w:rFonts w:ascii="Arial" w:hAnsi="Arial" w:cs="Arial"/>
          <w:color w:val="222222"/>
        </w:rPr>
        <w:t>economico-finanziari</w:t>
      </w:r>
    </w:p>
    <w:p w:rsidR="009C46DD" w:rsidRPr="005C66DC" w:rsidRDefault="009C46DD" w:rsidP="00945B05">
      <w:pPr>
        <w:pStyle w:val="Paragrafoelenco"/>
        <w:numPr>
          <w:ilvl w:val="0"/>
          <w:numId w:val="8"/>
        </w:numPr>
        <w:shd w:val="clear" w:color="auto" w:fill="FFFFFF"/>
        <w:spacing w:before="100" w:beforeAutospacing="1" w:after="24" w:line="240" w:lineRule="auto"/>
        <w:rPr>
          <w:rFonts w:ascii="Arial" w:hAnsi="Arial" w:cs="Arial"/>
          <w:color w:val="222222"/>
        </w:rPr>
      </w:pPr>
      <w:r w:rsidRPr="005C66DC">
        <w:rPr>
          <w:rFonts w:ascii="Arial" w:hAnsi="Arial" w:cs="Arial"/>
          <w:color w:val="222222"/>
        </w:rPr>
        <w:t>tecnici</w:t>
      </w:r>
    </w:p>
    <w:p w:rsidR="0020519D" w:rsidRPr="005C66DC" w:rsidRDefault="009C46DD" w:rsidP="00945B05">
      <w:pPr>
        <w:shd w:val="clear" w:color="auto" w:fill="FFFFFF"/>
        <w:spacing w:before="100" w:beforeAutospacing="1" w:after="24" w:line="240" w:lineRule="auto"/>
        <w:ind w:left="24"/>
        <w:rPr>
          <w:rFonts w:ascii="Arial" w:hAnsi="Arial" w:cs="Arial"/>
          <w:color w:val="222222"/>
        </w:rPr>
      </w:pPr>
      <w:r w:rsidRPr="005C66DC">
        <w:rPr>
          <w:rFonts w:ascii="Arial" w:hAnsi="Arial" w:cs="Arial"/>
          <w:color w:val="222222"/>
        </w:rPr>
        <w:t>i requisiti devono esser posseduti dai candidati per tutta la durata della procedura</w:t>
      </w:r>
      <w:r w:rsidR="007A76DB" w:rsidRPr="005C66DC">
        <w:rPr>
          <w:rFonts w:ascii="Arial" w:hAnsi="Arial" w:cs="Arial"/>
          <w:color w:val="222222"/>
        </w:rPr>
        <w:t>. In sede di offerta o di domanda di partecipazione, i concorrenti devono dimostrare il possesso dei requisiti attraverso le dichiarazioni sostitutive ex art 46 e 47 dpr 445/00; solo in un second</w:t>
      </w:r>
      <w:r w:rsidR="00945B05" w:rsidRPr="005C66DC">
        <w:rPr>
          <w:rFonts w:ascii="Arial" w:hAnsi="Arial" w:cs="Arial"/>
          <w:color w:val="222222"/>
        </w:rPr>
        <w:t>o</w:t>
      </w:r>
      <w:r w:rsidR="007A76DB" w:rsidRPr="005C66DC">
        <w:rPr>
          <w:rFonts w:ascii="Arial" w:hAnsi="Arial" w:cs="Arial"/>
          <w:color w:val="222222"/>
        </w:rPr>
        <w:t xml:space="preserve"> momento con sorteggio a campione in corso della procedura devono comprovare i requisiti mediante la documentazione necessaria.(tale documentazione deve confluire in una banca dati nazionale dei contratti pubblici ist</w:t>
      </w:r>
      <w:r w:rsidR="00945B05" w:rsidRPr="005C66DC">
        <w:rPr>
          <w:rFonts w:ascii="Arial" w:hAnsi="Arial" w:cs="Arial"/>
          <w:color w:val="222222"/>
        </w:rPr>
        <w:t>i</w:t>
      </w:r>
      <w:r w:rsidR="007A76DB" w:rsidRPr="005C66DC">
        <w:rPr>
          <w:rFonts w:ascii="Arial" w:hAnsi="Arial" w:cs="Arial"/>
          <w:color w:val="222222"/>
        </w:rPr>
        <w:t>t</w:t>
      </w:r>
      <w:r w:rsidR="00945B05" w:rsidRPr="005C66DC">
        <w:rPr>
          <w:rFonts w:ascii="Arial" w:hAnsi="Arial" w:cs="Arial"/>
          <w:color w:val="222222"/>
        </w:rPr>
        <w:t>u</w:t>
      </w:r>
      <w:r w:rsidR="007A76DB" w:rsidRPr="005C66DC">
        <w:rPr>
          <w:rFonts w:ascii="Arial" w:hAnsi="Arial" w:cs="Arial"/>
          <w:color w:val="222222"/>
        </w:rPr>
        <w:t xml:space="preserve">ita ad opera del </w:t>
      </w:r>
      <w:proofErr w:type="spellStart"/>
      <w:r w:rsidR="007A76DB" w:rsidRPr="005C66DC">
        <w:rPr>
          <w:rFonts w:ascii="Arial" w:hAnsi="Arial" w:cs="Arial"/>
          <w:color w:val="222222"/>
        </w:rPr>
        <w:t>DL</w:t>
      </w:r>
      <w:proofErr w:type="spellEnd"/>
      <w:r w:rsidR="007A76DB" w:rsidRPr="005C66DC">
        <w:rPr>
          <w:rFonts w:ascii="Arial" w:hAnsi="Arial" w:cs="Arial"/>
          <w:color w:val="222222"/>
        </w:rPr>
        <w:t xml:space="preserve"> 5/2012.</w:t>
      </w:r>
      <w:r w:rsidR="0020519D" w:rsidRPr="005C66DC">
        <w:rPr>
          <w:rFonts w:ascii="Arial" w:hAnsi="Arial" w:cs="Arial"/>
          <w:color w:val="222222"/>
        </w:rPr>
        <w:t xml:space="preserve"> Il principio della inderogabilità delle clausole di esclusione viene tutelato mediante la sanzione della nullità per le clausole di </w:t>
      </w:r>
      <w:proofErr w:type="spellStart"/>
      <w:r w:rsidR="0020519D" w:rsidRPr="005C66DC">
        <w:rPr>
          <w:rFonts w:ascii="Arial" w:hAnsi="Arial" w:cs="Arial"/>
          <w:color w:val="222222"/>
        </w:rPr>
        <w:t>lex</w:t>
      </w:r>
      <w:proofErr w:type="spellEnd"/>
      <w:r w:rsidR="0020519D" w:rsidRPr="005C66DC">
        <w:rPr>
          <w:rFonts w:ascii="Arial" w:hAnsi="Arial" w:cs="Arial"/>
          <w:color w:val="222222"/>
        </w:rPr>
        <w:t xml:space="preserve"> </w:t>
      </w:r>
      <w:proofErr w:type="spellStart"/>
      <w:r w:rsidR="0020519D" w:rsidRPr="005C66DC">
        <w:rPr>
          <w:rFonts w:ascii="Arial" w:hAnsi="Arial" w:cs="Arial"/>
          <w:color w:val="222222"/>
        </w:rPr>
        <w:t>specialis</w:t>
      </w:r>
      <w:proofErr w:type="spellEnd"/>
      <w:r w:rsidR="0020519D" w:rsidRPr="005C66DC">
        <w:rPr>
          <w:rFonts w:ascii="Arial" w:hAnsi="Arial" w:cs="Arial"/>
          <w:color w:val="222222"/>
        </w:rPr>
        <w:t xml:space="preserve"> contrarie.</w:t>
      </w:r>
    </w:p>
    <w:p w:rsidR="009C46DD" w:rsidRPr="00A77E61" w:rsidRDefault="0020519D" w:rsidP="00945B05">
      <w:pPr>
        <w:shd w:val="clear" w:color="auto" w:fill="FFFFFF"/>
        <w:spacing w:before="100" w:beforeAutospacing="1" w:after="24" w:line="240" w:lineRule="auto"/>
        <w:ind w:left="24"/>
        <w:rPr>
          <w:rFonts w:ascii="Arial" w:hAnsi="Arial" w:cs="Arial"/>
          <w:b/>
          <w:color w:val="222222"/>
        </w:rPr>
      </w:pPr>
      <w:r w:rsidRPr="005C66DC">
        <w:rPr>
          <w:rFonts w:ascii="Arial" w:hAnsi="Arial" w:cs="Arial"/>
          <w:color w:val="222222"/>
        </w:rPr>
        <w:t xml:space="preserve">E’ stato inoltre introdotto il </w:t>
      </w:r>
      <w:r w:rsidRPr="00A77E61">
        <w:rPr>
          <w:rFonts w:ascii="Arial" w:hAnsi="Arial" w:cs="Arial"/>
          <w:b/>
          <w:color w:val="222222"/>
        </w:rPr>
        <w:t>potere di soccorso previsto dall’art 46</w:t>
      </w:r>
      <w:r w:rsidRPr="005C66DC">
        <w:rPr>
          <w:rFonts w:ascii="Arial" w:hAnsi="Arial" w:cs="Arial"/>
          <w:color w:val="222222"/>
        </w:rPr>
        <w:t xml:space="preserve"> che si sostanzia nel dovere della stazione appaltante di regolarizzare certificati, documenti o dichiarazioni esistenti ovvero di completarli ma solo in relazione ai requisiti soggettivi di partecipazione</w:t>
      </w:r>
      <w:r w:rsidR="00981B62" w:rsidRPr="005C66DC">
        <w:rPr>
          <w:rFonts w:ascii="Arial" w:hAnsi="Arial" w:cs="Arial"/>
          <w:color w:val="222222"/>
        </w:rPr>
        <w:t>, chiedere chiarimenti, rettificare errori materiali</w:t>
      </w:r>
      <w:r w:rsidR="00945B05" w:rsidRPr="005C66DC">
        <w:rPr>
          <w:rFonts w:ascii="Arial" w:hAnsi="Arial" w:cs="Arial"/>
          <w:color w:val="222222"/>
        </w:rPr>
        <w:t xml:space="preserve">   </w:t>
      </w:r>
      <w:r w:rsidR="00981B62" w:rsidRPr="005C66DC">
        <w:rPr>
          <w:rFonts w:ascii="Arial" w:hAnsi="Arial" w:cs="Arial"/>
          <w:color w:val="222222"/>
        </w:rPr>
        <w:t xml:space="preserve">o refusi, fornire interpretazioni di clausole ambigue nel rispetto della par condicio dei concorrenti; </w:t>
      </w:r>
      <w:r w:rsidR="00981B62" w:rsidRPr="00A77E61">
        <w:rPr>
          <w:rFonts w:ascii="Arial" w:hAnsi="Arial" w:cs="Arial"/>
          <w:color w:val="222222"/>
          <w:u w:val="single"/>
        </w:rPr>
        <w:t>non possono certamente esser sanate le violazioni che comportano una incertezza assoluta sul contenuto o sulla provenienza dell’offerta</w:t>
      </w:r>
      <w:r w:rsidR="00945B05" w:rsidRPr="00A77E61">
        <w:rPr>
          <w:rFonts w:ascii="Arial" w:hAnsi="Arial" w:cs="Arial"/>
          <w:color w:val="222222"/>
          <w:u w:val="single"/>
        </w:rPr>
        <w:t xml:space="preserve"> </w:t>
      </w:r>
      <w:r w:rsidR="00981B62" w:rsidRPr="00A77E61">
        <w:rPr>
          <w:rFonts w:ascii="Arial" w:hAnsi="Arial" w:cs="Arial"/>
          <w:color w:val="222222"/>
          <w:u w:val="single"/>
        </w:rPr>
        <w:t xml:space="preserve">per difetto di sottoscrizione o altri elementi essenziali; </w:t>
      </w:r>
      <w:r w:rsidR="00981B62" w:rsidRPr="00A77E61">
        <w:rPr>
          <w:rFonts w:ascii="Arial" w:hAnsi="Arial" w:cs="Arial"/>
          <w:b/>
          <w:color w:val="222222"/>
        </w:rPr>
        <w:t>per quanto riguarda le irregolarità sanabili invece si prev</w:t>
      </w:r>
      <w:r w:rsidR="00945B05" w:rsidRPr="00A77E61">
        <w:rPr>
          <w:rFonts w:ascii="Arial" w:hAnsi="Arial" w:cs="Arial"/>
          <w:b/>
          <w:color w:val="222222"/>
        </w:rPr>
        <w:t>e</w:t>
      </w:r>
      <w:r w:rsidR="00981B62" w:rsidRPr="00A77E61">
        <w:rPr>
          <w:rFonts w:ascii="Arial" w:hAnsi="Arial" w:cs="Arial"/>
          <w:b/>
          <w:color w:val="222222"/>
        </w:rPr>
        <w:t>de che la SA non può escludere un operatore senza prima aver chiesto al stesso di sanarle</w:t>
      </w:r>
      <w:r w:rsidR="00945B05" w:rsidRPr="00A77E61">
        <w:rPr>
          <w:rFonts w:ascii="Arial" w:hAnsi="Arial" w:cs="Arial"/>
          <w:b/>
          <w:color w:val="222222"/>
        </w:rPr>
        <w:t xml:space="preserve"> </w:t>
      </w:r>
      <w:r w:rsidR="00981B62" w:rsidRPr="00A77E61">
        <w:rPr>
          <w:rFonts w:ascii="Arial" w:hAnsi="Arial" w:cs="Arial"/>
          <w:b/>
          <w:color w:val="222222"/>
        </w:rPr>
        <w:t>entro termine non superiore a 10 g.</w:t>
      </w:r>
    </w:p>
    <w:p w:rsidR="00981B62" w:rsidRPr="005C66DC" w:rsidRDefault="00981B62" w:rsidP="00945B05">
      <w:pPr>
        <w:pStyle w:val="NormaleWeb"/>
        <w:shd w:val="clear" w:color="auto" w:fill="FFFFFF"/>
        <w:spacing w:before="0" w:beforeAutospacing="0" w:after="0" w:afterAutospacing="0"/>
        <w:textAlignment w:val="baseline"/>
        <w:rPr>
          <w:rFonts w:ascii="Arial" w:hAnsi="Arial" w:cs="Arial"/>
          <w:color w:val="0C0C0F"/>
          <w:sz w:val="22"/>
          <w:szCs w:val="22"/>
        </w:rPr>
      </w:pPr>
      <w:r w:rsidRPr="00A77E61">
        <w:rPr>
          <w:rFonts w:ascii="Arial" w:hAnsi="Arial" w:cs="Arial"/>
          <w:b/>
          <w:color w:val="0C0C0F"/>
          <w:sz w:val="22"/>
          <w:szCs w:val="22"/>
          <w:bdr w:val="none" w:sz="0" w:space="0" w:color="auto" w:frame="1"/>
        </w:rPr>
        <w:t>Il </w:t>
      </w:r>
      <w:r w:rsidRPr="00A77E61">
        <w:rPr>
          <w:rStyle w:val="Enfasigrassetto"/>
          <w:rFonts w:ascii="Arial" w:hAnsi="Arial" w:cs="Arial"/>
          <w:b w:val="0"/>
          <w:color w:val="0C0C0F"/>
          <w:sz w:val="22"/>
          <w:szCs w:val="22"/>
          <w:bdr w:val="none" w:sz="0" w:space="0" w:color="auto" w:frame="1"/>
        </w:rPr>
        <w:t>soccorso istruttorio</w:t>
      </w:r>
      <w:r w:rsidRPr="00A77E61">
        <w:rPr>
          <w:rFonts w:ascii="Arial" w:hAnsi="Arial" w:cs="Arial"/>
          <w:b/>
          <w:color w:val="0C0C0F"/>
          <w:sz w:val="22"/>
          <w:szCs w:val="22"/>
          <w:bdr w:val="none" w:sz="0" w:space="0" w:color="auto" w:frame="1"/>
        </w:rPr>
        <w:t> è un istituto che trova applicazione in relazione a qualunque procedimento amministrativo in virtù dell</w:t>
      </w:r>
      <w:r w:rsidR="00507C60" w:rsidRPr="00A77E61">
        <w:rPr>
          <w:rFonts w:ascii="Arial" w:hAnsi="Arial" w:cs="Arial"/>
          <w:b/>
          <w:color w:val="0C0C0F"/>
          <w:sz w:val="22"/>
          <w:szCs w:val="22"/>
          <w:bdr w:val="none" w:sz="0" w:space="0" w:color="auto" w:frame="1"/>
        </w:rPr>
        <w:t>’ art 6 legge 241/90</w:t>
      </w:r>
      <w:r w:rsidRPr="00A77E61">
        <w:rPr>
          <w:rFonts w:ascii="Arial" w:hAnsi="Arial" w:cs="Arial"/>
          <w:b/>
          <w:color w:val="0C0C0F"/>
          <w:sz w:val="22"/>
          <w:szCs w:val="22"/>
          <w:bdr w:val="none" w:sz="0" w:space="0" w:color="auto" w:frame="1"/>
        </w:rPr>
        <w:t> che codifica il potere del RUP di adottare detto strumento al fine di colmare lacune documentali, rettificare dichiarazioni o correggere errori che dovessero emergere in fase istruttoria</w:t>
      </w:r>
      <w:r w:rsidRPr="005C66DC">
        <w:rPr>
          <w:rFonts w:ascii="Arial" w:hAnsi="Arial" w:cs="Arial"/>
          <w:color w:val="0C0C0F"/>
          <w:sz w:val="22"/>
          <w:szCs w:val="22"/>
          <w:bdr w:val="none" w:sz="0" w:space="0" w:color="auto" w:frame="1"/>
        </w:rPr>
        <w:t>.</w:t>
      </w:r>
    </w:p>
    <w:p w:rsidR="00981B62" w:rsidRPr="00A77E61" w:rsidRDefault="00981B62" w:rsidP="00945B05">
      <w:pPr>
        <w:pStyle w:val="NormaleWeb"/>
        <w:shd w:val="clear" w:color="auto" w:fill="FFFFFF"/>
        <w:spacing w:before="0" w:beforeAutospacing="0" w:after="141" w:afterAutospacing="0"/>
        <w:textAlignment w:val="baseline"/>
        <w:rPr>
          <w:rFonts w:ascii="Arial" w:hAnsi="Arial" w:cs="Arial"/>
          <w:color w:val="0C0C0F"/>
          <w:sz w:val="22"/>
          <w:szCs w:val="22"/>
          <w:u w:val="single"/>
        </w:rPr>
      </w:pPr>
      <w:r w:rsidRPr="005C66DC">
        <w:rPr>
          <w:rFonts w:ascii="Arial" w:hAnsi="Arial" w:cs="Arial"/>
          <w:color w:val="0C0C0F"/>
          <w:sz w:val="22"/>
          <w:szCs w:val="22"/>
        </w:rPr>
        <w:t xml:space="preserve">Nell’ambito delle procedure di affidamento dei contratti pubblici, in particolare, </w:t>
      </w:r>
      <w:r w:rsidRPr="00A77E61">
        <w:rPr>
          <w:rFonts w:ascii="Arial" w:hAnsi="Arial" w:cs="Arial"/>
          <w:color w:val="0C0C0F"/>
          <w:sz w:val="22"/>
          <w:szCs w:val="22"/>
          <w:u w:val="single"/>
        </w:rPr>
        <w:t>il soccorso istruttorio è lo strumento che consente di rimediare a eventuali omissioni, incompletezze e/o irregolarità di informazioni e documenti utili ai fini della partecipazione alla gara mediante l’integrazione</w:t>
      </w:r>
      <w:r w:rsidRPr="005C66DC">
        <w:rPr>
          <w:rFonts w:ascii="Arial" w:hAnsi="Arial" w:cs="Arial"/>
          <w:color w:val="0C0C0F"/>
          <w:sz w:val="22"/>
          <w:szCs w:val="22"/>
        </w:rPr>
        <w:t xml:space="preserve">, in caso di omissione od incompletezza della documentazione, o la regolarizzazione di documenti già </w:t>
      </w:r>
      <w:r w:rsidRPr="00A77E61">
        <w:rPr>
          <w:rFonts w:ascii="Arial" w:hAnsi="Arial" w:cs="Arial"/>
          <w:color w:val="0C0C0F"/>
          <w:sz w:val="22"/>
          <w:szCs w:val="22"/>
          <w:u w:val="single"/>
        </w:rPr>
        <w:t>presentati ma affetti da irregolarità o errori materiali.</w:t>
      </w:r>
    </w:p>
    <w:p w:rsidR="00981B62" w:rsidRPr="005C66DC" w:rsidRDefault="00981B62" w:rsidP="00945B05">
      <w:pPr>
        <w:pStyle w:val="NormaleWeb"/>
        <w:shd w:val="clear" w:color="auto" w:fill="FFFFFF"/>
        <w:spacing w:before="0" w:beforeAutospacing="0" w:after="0" w:afterAutospacing="0"/>
        <w:textAlignment w:val="baseline"/>
        <w:rPr>
          <w:rFonts w:ascii="Arial" w:hAnsi="Arial" w:cs="Arial"/>
          <w:color w:val="0C0C0F"/>
          <w:sz w:val="22"/>
          <w:szCs w:val="22"/>
        </w:rPr>
      </w:pPr>
      <w:r w:rsidRPr="00A77E61">
        <w:rPr>
          <w:rFonts w:ascii="Arial" w:hAnsi="Arial" w:cs="Arial"/>
          <w:color w:val="0C0C0F"/>
          <w:sz w:val="22"/>
          <w:szCs w:val="22"/>
          <w:u w:val="single"/>
        </w:rPr>
        <w:t xml:space="preserve">La </w:t>
      </w:r>
      <w:proofErr w:type="spellStart"/>
      <w:r w:rsidRPr="00A77E61">
        <w:rPr>
          <w:rFonts w:ascii="Arial" w:hAnsi="Arial" w:cs="Arial"/>
          <w:color w:val="0C0C0F"/>
          <w:sz w:val="22"/>
          <w:szCs w:val="22"/>
          <w:u w:val="single"/>
        </w:rPr>
        <w:t>ratio</w:t>
      </w:r>
      <w:proofErr w:type="spellEnd"/>
      <w:r w:rsidRPr="00A77E61">
        <w:rPr>
          <w:rFonts w:ascii="Arial" w:hAnsi="Arial" w:cs="Arial"/>
          <w:color w:val="0C0C0F"/>
          <w:sz w:val="22"/>
          <w:szCs w:val="22"/>
          <w:u w:val="single"/>
        </w:rPr>
        <w:t xml:space="preserve"> dell’istituto è evidentemente quella di limitare le ipotesi di esclusione degli operatori economici dalle procedure di gara ai soli casi di carenze gravi e sostanziali dei requisiti di partecipazione alla gara</w:t>
      </w:r>
      <w:r w:rsidRPr="005C66DC">
        <w:rPr>
          <w:rFonts w:ascii="Arial" w:hAnsi="Arial" w:cs="Arial"/>
          <w:color w:val="0C0C0F"/>
          <w:sz w:val="22"/>
          <w:szCs w:val="22"/>
        </w:rPr>
        <w:t>, conseguentemente ampliando la possibilità di concorrere all’aggiudicazione del contratto pubblico, in ossequio al principio del </w:t>
      </w:r>
      <w:r w:rsidRPr="005C66DC">
        <w:rPr>
          <w:rStyle w:val="Enfasicorsivo"/>
          <w:rFonts w:ascii="Arial" w:hAnsi="Arial" w:cs="Arial"/>
          <w:color w:val="0C0C0F"/>
          <w:sz w:val="22"/>
          <w:szCs w:val="22"/>
          <w:bdr w:val="none" w:sz="0" w:space="0" w:color="auto" w:frame="1"/>
        </w:rPr>
        <w:t xml:space="preserve">favor </w:t>
      </w:r>
      <w:proofErr w:type="spellStart"/>
      <w:r w:rsidRPr="005C66DC">
        <w:rPr>
          <w:rStyle w:val="Enfasicorsivo"/>
          <w:rFonts w:ascii="Arial" w:hAnsi="Arial" w:cs="Arial"/>
          <w:color w:val="0C0C0F"/>
          <w:sz w:val="22"/>
          <w:szCs w:val="22"/>
          <w:bdr w:val="none" w:sz="0" w:space="0" w:color="auto" w:frame="1"/>
        </w:rPr>
        <w:t>partecipationis</w:t>
      </w:r>
      <w:proofErr w:type="spellEnd"/>
      <w:r w:rsidRPr="005C66DC">
        <w:rPr>
          <w:rFonts w:ascii="Arial" w:hAnsi="Arial" w:cs="Arial"/>
          <w:color w:val="0C0C0F"/>
          <w:sz w:val="22"/>
          <w:szCs w:val="22"/>
        </w:rPr>
        <w:t>.</w:t>
      </w:r>
    </w:p>
    <w:p w:rsidR="00981B62" w:rsidRPr="005C66DC" w:rsidRDefault="00981B62" w:rsidP="00945B05">
      <w:pPr>
        <w:pStyle w:val="NormaleWeb"/>
        <w:shd w:val="clear" w:color="auto" w:fill="FFFFFF"/>
        <w:spacing w:before="0" w:beforeAutospacing="0" w:after="141" w:afterAutospacing="0"/>
        <w:textAlignment w:val="baseline"/>
        <w:rPr>
          <w:rFonts w:ascii="Arial" w:hAnsi="Arial" w:cs="Arial"/>
          <w:color w:val="0C0C0F"/>
          <w:sz w:val="22"/>
          <w:szCs w:val="22"/>
        </w:rPr>
      </w:pPr>
      <w:r w:rsidRPr="005C66DC">
        <w:rPr>
          <w:rFonts w:ascii="Arial" w:hAnsi="Arial" w:cs="Arial"/>
          <w:color w:val="0C0C0F"/>
          <w:sz w:val="22"/>
          <w:szCs w:val="22"/>
        </w:rPr>
        <w:t>L’istituto ha origine comunitaria risalente. Nasce infatti in virtù della direttiva europea n. 71/305/CEE del 26 luglio 1971.</w:t>
      </w:r>
    </w:p>
    <w:p w:rsidR="00981B62" w:rsidRPr="005C66DC" w:rsidRDefault="00981B62" w:rsidP="00945B05">
      <w:pPr>
        <w:pStyle w:val="NormaleWeb"/>
        <w:shd w:val="clear" w:color="auto" w:fill="FFFFFF"/>
        <w:spacing w:before="0" w:beforeAutospacing="0" w:after="0" w:afterAutospacing="0"/>
        <w:textAlignment w:val="baseline"/>
        <w:rPr>
          <w:rFonts w:ascii="Arial" w:hAnsi="Arial" w:cs="Arial"/>
          <w:color w:val="0C0C0F"/>
          <w:sz w:val="22"/>
          <w:szCs w:val="22"/>
        </w:rPr>
      </w:pPr>
    </w:p>
    <w:p w:rsidR="00981B62" w:rsidRPr="005C66DC" w:rsidRDefault="00981B62" w:rsidP="00945B05">
      <w:pPr>
        <w:shd w:val="clear" w:color="auto" w:fill="FFFFFF"/>
        <w:spacing w:before="100" w:beforeAutospacing="1" w:after="24" w:line="240" w:lineRule="auto"/>
        <w:ind w:left="24"/>
        <w:rPr>
          <w:rFonts w:ascii="Arial" w:hAnsi="Arial" w:cs="Arial"/>
          <w:color w:val="0C0C0F"/>
          <w:shd w:val="clear" w:color="auto" w:fill="FFFFFF"/>
        </w:rPr>
      </w:pPr>
      <w:r w:rsidRPr="005C66DC">
        <w:rPr>
          <w:rFonts w:ascii="Arial" w:hAnsi="Arial" w:cs="Arial"/>
          <w:color w:val="222222"/>
        </w:rPr>
        <w:t xml:space="preserve">Art 83.9 </w:t>
      </w:r>
      <w:r w:rsidRPr="005C66DC">
        <w:rPr>
          <w:rFonts w:ascii="Arial" w:hAnsi="Arial" w:cs="Arial"/>
          <w:color w:val="0C0C0F"/>
          <w:shd w:val="clear" w:color="auto" w:fill="FFFFFF"/>
        </w:rPr>
        <w:t>9. Le carenze di qualsiasi elemento formale della domanda possono essere sanate attraverso la procedura di soccorso istruttorio di cui al presente comma. In particolare, in caso di mancanza, incompletezza e di ogni altra irregolarità essenziale degli elementi e del documento di gara unico europeo di cui all’articolo 85, con esclusione di quelle afferenti all’offerta economica e all’offerta tecnica, la stazione appaltante assegna al concorrente un termine, non superiore a dieci giorni, perché siano rese, integrate o regolarizzate le dichiarazioni necessarie, indicandone il contenuto e i soggetti che le devono rendere. In caso di inutile decorso del termine di regolarizzazione, il concorrente è escluso dalla gara. Costituiscono irregolarità essenziali non sanabili le carenze della documentazione che non consentono l’individuazione del contenuto o del soggetto responsabile della stessa.</w:t>
      </w:r>
      <w:r w:rsidRPr="005C66DC">
        <w:rPr>
          <w:rFonts w:ascii="Arial" w:hAnsi="Arial" w:cs="Arial"/>
          <w:color w:val="0C0C0F"/>
        </w:rPr>
        <w:br/>
      </w:r>
      <w:r w:rsidRPr="005C66DC">
        <w:rPr>
          <w:rFonts w:ascii="Arial" w:hAnsi="Arial" w:cs="Arial"/>
          <w:color w:val="0C0C0F"/>
          <w:shd w:val="clear" w:color="auto" w:fill="FFFFFF"/>
        </w:rPr>
        <w:t> </w:t>
      </w:r>
    </w:p>
    <w:p w:rsidR="005E13CC" w:rsidRPr="005C66DC" w:rsidRDefault="005E13CC" w:rsidP="00945B05">
      <w:pPr>
        <w:pStyle w:val="NormaleWeb"/>
        <w:shd w:val="clear" w:color="auto" w:fill="FFFFFF"/>
        <w:spacing w:before="0" w:beforeAutospacing="0" w:after="0" w:afterAutospacing="0"/>
        <w:textAlignment w:val="baseline"/>
        <w:rPr>
          <w:rFonts w:ascii="Arial" w:hAnsi="Arial" w:cs="Arial"/>
          <w:color w:val="0C0C0F"/>
          <w:sz w:val="22"/>
          <w:szCs w:val="22"/>
        </w:rPr>
      </w:pPr>
      <w:r w:rsidRPr="005C66DC">
        <w:rPr>
          <w:rStyle w:val="Enfasigrassetto"/>
          <w:rFonts w:ascii="Arial" w:hAnsi="Arial" w:cs="Arial"/>
          <w:color w:val="0C0C0F"/>
          <w:sz w:val="22"/>
          <w:szCs w:val="22"/>
          <w:bdr w:val="none" w:sz="0" w:space="0" w:color="auto" w:frame="1"/>
        </w:rPr>
        <w:t>La riscrittura della norma di cui all’art. 83, comma 9</w:t>
      </w:r>
      <w:r w:rsidRPr="005C66DC">
        <w:rPr>
          <w:rFonts w:ascii="Arial" w:hAnsi="Arial" w:cs="Arial"/>
          <w:color w:val="0C0C0F"/>
          <w:sz w:val="22"/>
          <w:szCs w:val="22"/>
        </w:rPr>
        <w:t>, oltre ad eliminare l’onerosità dell’istituto, ha superato la precedente ed incerta distinzione tra irregolarità essenziali e non essenziali, con la conseguenza che gli operatori economici potranno integrare o regolarizzare qualsiasi elemento formale della domanda con esclusione di quelli incidenti sull’offerta economica e tecnica.</w:t>
      </w:r>
    </w:p>
    <w:p w:rsidR="005E13CC" w:rsidRPr="005C66DC" w:rsidRDefault="005E13CC" w:rsidP="00945B05">
      <w:pPr>
        <w:pStyle w:val="NormaleWeb"/>
        <w:shd w:val="clear" w:color="auto" w:fill="FFFFFF"/>
        <w:spacing w:before="0" w:beforeAutospacing="0" w:after="141" w:afterAutospacing="0"/>
        <w:textAlignment w:val="baseline"/>
        <w:rPr>
          <w:rFonts w:ascii="Arial" w:hAnsi="Arial" w:cs="Arial"/>
          <w:color w:val="0C0C0F"/>
          <w:sz w:val="22"/>
          <w:szCs w:val="22"/>
        </w:rPr>
      </w:pPr>
      <w:r w:rsidRPr="005C66DC">
        <w:rPr>
          <w:rFonts w:ascii="Arial" w:hAnsi="Arial" w:cs="Arial"/>
          <w:color w:val="0C0C0F"/>
          <w:sz w:val="22"/>
          <w:szCs w:val="22"/>
        </w:rPr>
        <w:t>In particolare il correttivo conferma la sanabilità delle sole carenze “formali” degli elementi da produrre in sede di gara e di quelli relativi al Documento di Gara Unico Europeo (</w:t>
      </w:r>
      <w:proofErr w:type="spellStart"/>
      <w:r w:rsidRPr="005C66DC">
        <w:rPr>
          <w:rFonts w:ascii="Arial" w:hAnsi="Arial" w:cs="Arial"/>
          <w:color w:val="0C0C0F"/>
          <w:sz w:val="22"/>
          <w:szCs w:val="22"/>
        </w:rPr>
        <w:t>D.G.U.E.</w:t>
      </w:r>
      <w:proofErr w:type="spellEnd"/>
      <w:r w:rsidRPr="005C66DC">
        <w:rPr>
          <w:rFonts w:ascii="Arial" w:hAnsi="Arial" w:cs="Arial"/>
          <w:color w:val="0C0C0F"/>
          <w:sz w:val="22"/>
          <w:szCs w:val="22"/>
        </w:rPr>
        <w:t>) ma non anche delle carenze “sostanziali” dei requisiti di partecipazione (pertanto è emendabile l’errore materiale della mancata allegazione della dichiarazione attestante il possesso del requisito essenziale di partecipazione o commesso nella dichiarazione concernente il requisito essenziale di partecipazione ma non la carenza del requisito entro il termine di partecipazione stabilito dal bando).</w:t>
      </w:r>
    </w:p>
    <w:p w:rsidR="005E13CC" w:rsidRPr="005C66DC" w:rsidRDefault="005E13CC" w:rsidP="00945B05">
      <w:pPr>
        <w:pStyle w:val="NormaleWeb"/>
        <w:shd w:val="clear" w:color="auto" w:fill="FFFFFF"/>
        <w:spacing w:before="0" w:beforeAutospacing="0" w:after="141" w:afterAutospacing="0"/>
        <w:textAlignment w:val="baseline"/>
        <w:rPr>
          <w:rFonts w:ascii="Arial" w:hAnsi="Arial" w:cs="Arial"/>
          <w:color w:val="0C0C0F"/>
          <w:sz w:val="22"/>
          <w:szCs w:val="22"/>
        </w:rPr>
      </w:pPr>
      <w:r w:rsidRPr="005C66DC">
        <w:rPr>
          <w:rFonts w:ascii="Arial" w:hAnsi="Arial" w:cs="Arial"/>
          <w:color w:val="0C0C0F"/>
          <w:sz w:val="22"/>
          <w:szCs w:val="22"/>
        </w:rPr>
        <w:t>Nello specifico sono sanabili la mancanza, l’incompletezza ed ogni altra irregolarità essenziale e non degli elementi da produrre in sede di gara e di quelli relativi al Documento di Gara Unico Europeo (</w:t>
      </w:r>
      <w:proofErr w:type="spellStart"/>
      <w:r w:rsidRPr="005C66DC">
        <w:rPr>
          <w:rFonts w:ascii="Arial" w:hAnsi="Arial" w:cs="Arial"/>
          <w:color w:val="0C0C0F"/>
          <w:sz w:val="22"/>
          <w:szCs w:val="22"/>
        </w:rPr>
        <w:t>D.G.U.E.</w:t>
      </w:r>
      <w:proofErr w:type="spellEnd"/>
      <w:r w:rsidRPr="005C66DC">
        <w:rPr>
          <w:rFonts w:ascii="Arial" w:hAnsi="Arial" w:cs="Arial"/>
          <w:color w:val="0C0C0F"/>
          <w:sz w:val="22"/>
          <w:szCs w:val="22"/>
        </w:rPr>
        <w:t>).</w:t>
      </w:r>
    </w:p>
    <w:p w:rsidR="005E13CC" w:rsidRPr="005C66DC" w:rsidRDefault="005E13CC" w:rsidP="00945B05">
      <w:pPr>
        <w:pStyle w:val="NormaleWeb"/>
        <w:shd w:val="clear" w:color="auto" w:fill="FFFFFF"/>
        <w:spacing w:before="0" w:beforeAutospacing="0" w:after="141" w:afterAutospacing="0"/>
        <w:textAlignment w:val="baseline"/>
        <w:rPr>
          <w:rFonts w:ascii="Arial" w:hAnsi="Arial" w:cs="Arial"/>
          <w:color w:val="0C0C0F"/>
          <w:sz w:val="22"/>
          <w:szCs w:val="22"/>
        </w:rPr>
      </w:pPr>
      <w:r w:rsidRPr="005C66DC">
        <w:rPr>
          <w:rFonts w:ascii="Arial" w:hAnsi="Arial" w:cs="Arial"/>
          <w:color w:val="0C0C0F"/>
          <w:sz w:val="22"/>
          <w:szCs w:val="22"/>
        </w:rPr>
        <w:t>Sono escluse invece dal soccorso istruttorio le carenze (mancanza, incompletezza e ogni altra irregolarità) dell’offerta tecnica ed economica. Detta previsione, frutto del recepimento a livello normativo di un indirizzo interpretativo che si era già consolidato sotto la vigenza del Codice del 2006) era stata condivisa anche dall’ANAC (Determinazione n. 1/2015) al fine di evitare violazioni del principio della par condicio tra i concorrenti.</w:t>
      </w:r>
    </w:p>
    <w:p w:rsidR="005E13CC" w:rsidRPr="005C66DC" w:rsidRDefault="005E13CC" w:rsidP="00945B05">
      <w:pPr>
        <w:pStyle w:val="NormaleWeb"/>
        <w:shd w:val="clear" w:color="auto" w:fill="FFFFFF"/>
        <w:spacing w:before="0" w:beforeAutospacing="0" w:after="141" w:afterAutospacing="0"/>
        <w:textAlignment w:val="baseline"/>
        <w:rPr>
          <w:rFonts w:ascii="Arial" w:hAnsi="Arial" w:cs="Arial"/>
          <w:color w:val="0C0C0F"/>
          <w:sz w:val="22"/>
          <w:szCs w:val="22"/>
        </w:rPr>
      </w:pPr>
      <w:r w:rsidRPr="005C66DC">
        <w:rPr>
          <w:rFonts w:ascii="Arial" w:hAnsi="Arial" w:cs="Arial"/>
          <w:color w:val="0C0C0F"/>
          <w:sz w:val="22"/>
          <w:szCs w:val="22"/>
        </w:rPr>
        <w:t>Sono inoltre insanabili le irregolarità essenziali rappresentate da carenza della documentazione (relativa ai requisiti richiesti a pena di esclusione) tale da non consentire l’individuazione del contenuto o del soggetto responsabile della documentazione stessa (in conformità alla precisazione fornita dall’ANAC nella Determinazione n. 1/2015).</w:t>
      </w:r>
    </w:p>
    <w:p w:rsidR="005E13CC" w:rsidRPr="005C66DC" w:rsidRDefault="005E13CC" w:rsidP="00945B05">
      <w:pPr>
        <w:pStyle w:val="NormaleWeb"/>
        <w:shd w:val="clear" w:color="auto" w:fill="FFFFFF"/>
        <w:spacing w:before="0" w:beforeAutospacing="0" w:after="141" w:afterAutospacing="0"/>
        <w:textAlignment w:val="baseline"/>
        <w:rPr>
          <w:rFonts w:ascii="Arial" w:hAnsi="Arial" w:cs="Arial"/>
          <w:color w:val="0C0C0F"/>
          <w:sz w:val="22"/>
          <w:szCs w:val="22"/>
        </w:rPr>
      </w:pPr>
      <w:r w:rsidRPr="005C66DC">
        <w:rPr>
          <w:rFonts w:ascii="Arial" w:hAnsi="Arial" w:cs="Arial"/>
          <w:color w:val="0C0C0F"/>
          <w:sz w:val="22"/>
          <w:szCs w:val="22"/>
        </w:rPr>
        <w:t xml:space="preserve">A fronte di irregolarità insanabili si procederà all’immediata esclusione dell’operatore dalla gara. In presenza di irregolarità sanabili, invece, il </w:t>
      </w:r>
      <w:proofErr w:type="spellStart"/>
      <w:r w:rsidRPr="005C66DC">
        <w:rPr>
          <w:rFonts w:ascii="Arial" w:hAnsi="Arial" w:cs="Arial"/>
          <w:color w:val="0C0C0F"/>
          <w:sz w:val="22"/>
          <w:szCs w:val="22"/>
        </w:rPr>
        <w:t>R.U.P.</w:t>
      </w:r>
      <w:proofErr w:type="spellEnd"/>
      <w:r w:rsidRPr="005C66DC">
        <w:rPr>
          <w:rFonts w:ascii="Arial" w:hAnsi="Arial" w:cs="Arial"/>
          <w:color w:val="0C0C0F"/>
          <w:sz w:val="22"/>
          <w:szCs w:val="22"/>
        </w:rPr>
        <w:t xml:space="preserve"> (come già previsto nel testo ante Correttivo) attiva (ha l’obbligo di attivare) il procedimento di regolarizzazione assegnando all’operatore economico un termine non superiore a 10 giorni entro il quale dovrà procedere alle integrazioni. Il </w:t>
      </w:r>
      <w:proofErr w:type="spellStart"/>
      <w:r w:rsidRPr="005C66DC">
        <w:rPr>
          <w:rFonts w:ascii="Arial" w:hAnsi="Arial" w:cs="Arial"/>
          <w:color w:val="0C0C0F"/>
          <w:sz w:val="22"/>
          <w:szCs w:val="22"/>
        </w:rPr>
        <w:t>R.U.P.</w:t>
      </w:r>
      <w:proofErr w:type="spellEnd"/>
      <w:r w:rsidRPr="005C66DC">
        <w:rPr>
          <w:rFonts w:ascii="Arial" w:hAnsi="Arial" w:cs="Arial"/>
          <w:color w:val="0C0C0F"/>
          <w:sz w:val="22"/>
          <w:szCs w:val="22"/>
        </w:rPr>
        <w:t xml:space="preserve"> dovrà indicare sia l’operazione da compiere che i soggetti tenuti all’integrazione.</w:t>
      </w:r>
    </w:p>
    <w:p w:rsidR="005E13CC" w:rsidRPr="005C66DC" w:rsidRDefault="005E13CC" w:rsidP="00945B05">
      <w:pPr>
        <w:pStyle w:val="NormaleWeb"/>
        <w:shd w:val="clear" w:color="auto" w:fill="FFFFFF"/>
        <w:spacing w:before="0" w:beforeAutospacing="0" w:after="141" w:afterAutospacing="0"/>
        <w:textAlignment w:val="baseline"/>
        <w:rPr>
          <w:rFonts w:ascii="Arial" w:hAnsi="Arial" w:cs="Arial"/>
          <w:color w:val="0C0C0F"/>
          <w:sz w:val="22"/>
          <w:szCs w:val="22"/>
        </w:rPr>
      </w:pPr>
      <w:r w:rsidRPr="005C66DC">
        <w:rPr>
          <w:rFonts w:ascii="Arial" w:hAnsi="Arial" w:cs="Arial"/>
          <w:color w:val="0C0C0F"/>
          <w:sz w:val="22"/>
          <w:szCs w:val="22"/>
        </w:rPr>
        <w:t>L’inutile decorso del termine di regolarizzazione comporta l’esclusione dalla gara del soggetto soccorso.</w:t>
      </w:r>
    </w:p>
    <w:p w:rsidR="005E13CC" w:rsidRPr="005C66DC" w:rsidRDefault="005E13CC" w:rsidP="00945B05">
      <w:pPr>
        <w:pStyle w:val="NormaleWeb"/>
        <w:shd w:val="clear" w:color="auto" w:fill="FFFFFF"/>
        <w:spacing w:before="0" w:beforeAutospacing="0" w:after="141" w:afterAutospacing="0"/>
        <w:textAlignment w:val="baseline"/>
        <w:rPr>
          <w:rFonts w:ascii="Arial" w:hAnsi="Arial" w:cs="Arial"/>
          <w:color w:val="0C0C0F"/>
          <w:sz w:val="22"/>
          <w:szCs w:val="22"/>
        </w:rPr>
      </w:pPr>
      <w:r w:rsidRPr="005C66DC">
        <w:rPr>
          <w:rFonts w:ascii="Arial" w:hAnsi="Arial" w:cs="Arial"/>
          <w:color w:val="0C0C0F"/>
          <w:sz w:val="22"/>
          <w:szCs w:val="22"/>
        </w:rPr>
        <w:t>“L’esclusione dalla gara avviene non solo in caso di inutile decorso del termine di regolarizzazione (come già previsto dal testo vigente), ma anche in caso di inadeguatezza delle integrazioni presentate” (Atto del Governo n. 397 – Dossier Servizio Studi n. 390).</w:t>
      </w:r>
    </w:p>
    <w:p w:rsidR="005E13CC" w:rsidRPr="005C66DC" w:rsidRDefault="005E13CC" w:rsidP="00945B05">
      <w:pPr>
        <w:pStyle w:val="NormaleWeb"/>
        <w:shd w:val="clear" w:color="auto" w:fill="FFFFFF"/>
        <w:spacing w:before="0" w:beforeAutospacing="0" w:after="141" w:afterAutospacing="0"/>
        <w:textAlignment w:val="baseline"/>
        <w:rPr>
          <w:rFonts w:ascii="Arial" w:hAnsi="Arial" w:cs="Arial"/>
          <w:color w:val="0C0C0F"/>
          <w:sz w:val="22"/>
          <w:szCs w:val="22"/>
        </w:rPr>
      </w:pPr>
      <w:r w:rsidRPr="005C66DC">
        <w:rPr>
          <w:rFonts w:ascii="Arial" w:hAnsi="Arial" w:cs="Arial"/>
          <w:color w:val="0C0C0F"/>
          <w:sz w:val="22"/>
          <w:szCs w:val="22"/>
        </w:rPr>
        <w:t>Nonostante l’entrata in vigore del Decreto Correttivo, restano acquisti all’istituto in commento alcuni principi elaborati e precisati dalla giurisprudenza più recente in relazione a casi formatisi sotto il vigore della disciplina previgente.</w:t>
      </w:r>
    </w:p>
    <w:p w:rsidR="005E13CC" w:rsidRPr="005C66DC" w:rsidRDefault="005E13CC" w:rsidP="00945B05">
      <w:pPr>
        <w:pStyle w:val="NormaleWeb"/>
        <w:shd w:val="clear" w:color="auto" w:fill="FFFFFF"/>
        <w:spacing w:before="0" w:beforeAutospacing="0" w:after="0" w:afterAutospacing="0"/>
        <w:textAlignment w:val="baseline"/>
        <w:rPr>
          <w:rFonts w:ascii="Arial" w:hAnsi="Arial" w:cs="Arial"/>
          <w:color w:val="0C0C0F"/>
          <w:sz w:val="22"/>
          <w:szCs w:val="22"/>
        </w:rPr>
      </w:pPr>
      <w:r w:rsidRPr="005C66DC">
        <w:rPr>
          <w:rStyle w:val="Enfasigrassetto"/>
          <w:rFonts w:ascii="Arial" w:hAnsi="Arial" w:cs="Arial"/>
          <w:color w:val="0C0C0F"/>
          <w:sz w:val="22"/>
          <w:szCs w:val="22"/>
          <w:bdr w:val="none" w:sz="0" w:space="0" w:color="auto" w:frame="1"/>
        </w:rPr>
        <w:t>D) Soccorso istruttorio successivo all’aggiudicazione</w:t>
      </w:r>
    </w:p>
    <w:p w:rsidR="005E13CC" w:rsidRPr="005C66DC" w:rsidRDefault="005E13CC" w:rsidP="00945B05">
      <w:pPr>
        <w:pStyle w:val="NormaleWeb"/>
        <w:shd w:val="clear" w:color="auto" w:fill="FFFFFF"/>
        <w:spacing w:before="0" w:beforeAutospacing="0" w:after="141" w:afterAutospacing="0"/>
        <w:textAlignment w:val="baseline"/>
        <w:rPr>
          <w:rFonts w:ascii="Arial" w:hAnsi="Arial" w:cs="Arial"/>
          <w:color w:val="0C0C0F"/>
          <w:sz w:val="22"/>
          <w:szCs w:val="22"/>
        </w:rPr>
      </w:pPr>
      <w:r w:rsidRPr="005C66DC">
        <w:rPr>
          <w:rFonts w:ascii="Arial" w:hAnsi="Arial" w:cs="Arial"/>
          <w:color w:val="0C0C0F"/>
          <w:sz w:val="22"/>
          <w:szCs w:val="22"/>
        </w:rPr>
        <w:lastRenderedPageBreak/>
        <w:t xml:space="preserve">L’Amministrazione può ricorrere al soccorso istruttorio anche in un momento successivo all’aggiudicazione della gara. In tal senso si è espresso recentemente T.A.R. Roma, sez. </w:t>
      </w:r>
      <w:proofErr w:type="spellStart"/>
      <w:r w:rsidRPr="005C66DC">
        <w:rPr>
          <w:rFonts w:ascii="Arial" w:hAnsi="Arial" w:cs="Arial"/>
          <w:color w:val="0C0C0F"/>
          <w:sz w:val="22"/>
          <w:szCs w:val="22"/>
        </w:rPr>
        <w:t>II°</w:t>
      </w:r>
      <w:proofErr w:type="spellEnd"/>
      <w:r w:rsidRPr="005C66DC">
        <w:rPr>
          <w:rFonts w:ascii="Arial" w:hAnsi="Arial" w:cs="Arial"/>
          <w:color w:val="0C0C0F"/>
          <w:sz w:val="22"/>
          <w:szCs w:val="22"/>
        </w:rPr>
        <w:t>, 15/3/2017 n. 3541.</w:t>
      </w:r>
    </w:p>
    <w:p w:rsidR="005E13CC" w:rsidRPr="005C66DC" w:rsidRDefault="005E13CC" w:rsidP="00945B05">
      <w:pPr>
        <w:pStyle w:val="NormaleWeb"/>
        <w:shd w:val="clear" w:color="auto" w:fill="FFFFFF"/>
        <w:spacing w:before="0" w:beforeAutospacing="0" w:after="0" w:afterAutospacing="0"/>
        <w:textAlignment w:val="baseline"/>
        <w:rPr>
          <w:rFonts w:ascii="Arial" w:hAnsi="Arial" w:cs="Arial"/>
          <w:color w:val="0C0C0F"/>
          <w:sz w:val="22"/>
          <w:szCs w:val="22"/>
        </w:rPr>
      </w:pPr>
      <w:r w:rsidRPr="005C66DC">
        <w:rPr>
          <w:rFonts w:ascii="Arial" w:hAnsi="Arial" w:cs="Arial"/>
          <w:color w:val="0C0C0F"/>
          <w:sz w:val="22"/>
          <w:szCs w:val="22"/>
        </w:rPr>
        <w:t xml:space="preserve">Nel caso sottoposto al Collegio la ricorrente (seconda graduata) lamentava che il </w:t>
      </w:r>
      <w:proofErr w:type="spellStart"/>
      <w:r w:rsidRPr="005C66DC">
        <w:rPr>
          <w:rFonts w:ascii="Arial" w:hAnsi="Arial" w:cs="Arial"/>
          <w:color w:val="0C0C0F"/>
          <w:sz w:val="22"/>
          <w:szCs w:val="22"/>
        </w:rPr>
        <w:t>R.T.I.</w:t>
      </w:r>
      <w:proofErr w:type="spellEnd"/>
      <w:r w:rsidRPr="005C66DC">
        <w:rPr>
          <w:rFonts w:ascii="Arial" w:hAnsi="Arial" w:cs="Arial"/>
          <w:color w:val="0C0C0F"/>
          <w:sz w:val="22"/>
          <w:szCs w:val="22"/>
        </w:rPr>
        <w:t xml:space="preserve"> aggiudicatario avrebbe dovuto essere escluso dalla gara in quanto la mandataria, pur avendo acquisito nell'anno antecedente la pubblicazione del bando di gara, un ramo d'azienda da altra società, non aveva prodotto in sede di partecipazione ma solo successivamente alla aggiudicazione della gara, la dichiarazione sostitutiva attestante l'assenza delle cause di esclusione ex </w:t>
      </w:r>
      <w:r w:rsidR="00507C60" w:rsidRPr="005C66DC">
        <w:rPr>
          <w:rFonts w:ascii="Arial" w:hAnsi="Arial" w:cs="Arial"/>
          <w:color w:val="0C0C0F"/>
          <w:sz w:val="22"/>
          <w:szCs w:val="22"/>
        </w:rPr>
        <w:t xml:space="preserve">art 38 </w:t>
      </w:r>
      <w:proofErr w:type="spellStart"/>
      <w:r w:rsidR="00507C60" w:rsidRPr="005C66DC">
        <w:rPr>
          <w:rFonts w:ascii="Arial" w:hAnsi="Arial" w:cs="Arial"/>
          <w:color w:val="0C0C0F"/>
          <w:sz w:val="22"/>
          <w:szCs w:val="22"/>
        </w:rPr>
        <w:t>dlgs</w:t>
      </w:r>
      <w:proofErr w:type="spellEnd"/>
      <w:r w:rsidR="00507C60" w:rsidRPr="005C66DC">
        <w:rPr>
          <w:rFonts w:ascii="Arial" w:hAnsi="Arial" w:cs="Arial"/>
          <w:color w:val="0C0C0F"/>
          <w:sz w:val="22"/>
          <w:szCs w:val="22"/>
        </w:rPr>
        <w:t xml:space="preserve"> 163/2006</w:t>
      </w:r>
      <w:r w:rsidRPr="005C66DC">
        <w:rPr>
          <w:rFonts w:ascii="Arial" w:hAnsi="Arial" w:cs="Arial"/>
          <w:color w:val="0C0C0F"/>
          <w:sz w:val="22"/>
          <w:szCs w:val="22"/>
        </w:rPr>
        <w:t>, in capo agli amministratori dell'impresa cedente.</w:t>
      </w:r>
    </w:p>
    <w:p w:rsidR="005E13CC" w:rsidRPr="005C66DC" w:rsidRDefault="005E13CC" w:rsidP="00945B05">
      <w:pPr>
        <w:pStyle w:val="NormaleWeb"/>
        <w:shd w:val="clear" w:color="auto" w:fill="FFFFFF"/>
        <w:spacing w:before="0" w:beforeAutospacing="0" w:after="141" w:afterAutospacing="0"/>
        <w:textAlignment w:val="baseline"/>
        <w:rPr>
          <w:rFonts w:ascii="Arial" w:hAnsi="Arial" w:cs="Arial"/>
          <w:color w:val="0C0C0F"/>
          <w:sz w:val="22"/>
          <w:szCs w:val="22"/>
        </w:rPr>
      </w:pPr>
      <w:r w:rsidRPr="005C66DC">
        <w:rPr>
          <w:rFonts w:ascii="Arial" w:hAnsi="Arial" w:cs="Arial"/>
          <w:color w:val="0C0C0F"/>
          <w:sz w:val="22"/>
          <w:szCs w:val="22"/>
        </w:rPr>
        <w:t>Nello specifico la ricorrente affermava l'impossibilità di utilizzare l'istituto del soccorso istruttorio a gara ormai conclusa, rilevando che la retrocessione della procedura alla fase in cui si sarebbe dovuto effettuare il soccorso istruttorio troverebbe un ostacolo insormontabile nel principio di separazione tra le fasi di valutazione della documentazione amministrativa e dell'offerta tecnica da quella di valutazione dell'offerta economica.</w:t>
      </w:r>
    </w:p>
    <w:p w:rsidR="005E13CC" w:rsidRPr="005C66DC" w:rsidRDefault="005E13CC" w:rsidP="00945B05">
      <w:pPr>
        <w:pStyle w:val="NormaleWeb"/>
        <w:shd w:val="clear" w:color="auto" w:fill="FFFFFF"/>
        <w:spacing w:before="0" w:beforeAutospacing="0" w:after="141" w:afterAutospacing="0"/>
        <w:textAlignment w:val="baseline"/>
        <w:rPr>
          <w:rFonts w:ascii="Arial" w:hAnsi="Arial" w:cs="Arial"/>
          <w:color w:val="0C0C0F"/>
          <w:sz w:val="22"/>
          <w:szCs w:val="22"/>
        </w:rPr>
      </w:pPr>
      <w:r w:rsidRPr="005C66DC">
        <w:rPr>
          <w:rFonts w:ascii="Arial" w:hAnsi="Arial" w:cs="Arial"/>
          <w:color w:val="0C0C0F"/>
          <w:sz w:val="22"/>
          <w:szCs w:val="22"/>
        </w:rPr>
        <w:t xml:space="preserve">Respingendo detti motivi il Collegio ha ritenuto che “l'Amministrazione possa ricorrere all'istituto del c.d. soccorso istruttorio in materia di procedure di aggiudicazione degli appalti pubblici anche in un momento successivo all'aggiudicazione della gara (T.A.R. Puglia, Bari, sez. I, 20 luglio 2016, n. 948). Riguardo all'istituto del soccorso istruttorio va rilevato, in generale, che la disciplina contenuta nel d.lgs. n. 163/2006 (applicabile </w:t>
      </w:r>
      <w:proofErr w:type="spellStart"/>
      <w:r w:rsidRPr="005C66DC">
        <w:rPr>
          <w:rFonts w:ascii="Arial" w:hAnsi="Arial" w:cs="Arial"/>
          <w:color w:val="0C0C0F"/>
          <w:sz w:val="22"/>
          <w:szCs w:val="22"/>
        </w:rPr>
        <w:t>ratione</w:t>
      </w:r>
      <w:proofErr w:type="spellEnd"/>
      <w:r w:rsidRPr="005C66DC">
        <w:rPr>
          <w:rFonts w:ascii="Arial" w:hAnsi="Arial" w:cs="Arial"/>
          <w:color w:val="0C0C0F"/>
          <w:sz w:val="22"/>
          <w:szCs w:val="22"/>
        </w:rPr>
        <w:t xml:space="preserve"> </w:t>
      </w:r>
      <w:proofErr w:type="spellStart"/>
      <w:r w:rsidRPr="005C66DC">
        <w:rPr>
          <w:rFonts w:ascii="Arial" w:hAnsi="Arial" w:cs="Arial"/>
          <w:color w:val="0C0C0F"/>
          <w:sz w:val="22"/>
          <w:szCs w:val="22"/>
        </w:rPr>
        <w:t>temporis</w:t>
      </w:r>
      <w:proofErr w:type="spellEnd"/>
      <w:r w:rsidRPr="005C66DC">
        <w:rPr>
          <w:rFonts w:ascii="Arial" w:hAnsi="Arial" w:cs="Arial"/>
          <w:color w:val="0C0C0F"/>
          <w:sz w:val="22"/>
          <w:szCs w:val="22"/>
        </w:rPr>
        <w:t xml:space="preserve"> al caso di specie), dopo le modifiche introdotte dall'art. 39 del d.l. 24 giugno 2014, n. 90, </w:t>
      </w:r>
      <w:proofErr w:type="spellStart"/>
      <w:r w:rsidRPr="005C66DC">
        <w:rPr>
          <w:rFonts w:ascii="Arial" w:hAnsi="Arial" w:cs="Arial"/>
          <w:color w:val="0C0C0F"/>
          <w:sz w:val="22"/>
          <w:szCs w:val="22"/>
        </w:rPr>
        <w:t>conv</w:t>
      </w:r>
      <w:proofErr w:type="spellEnd"/>
      <w:r w:rsidRPr="005C66DC">
        <w:rPr>
          <w:rFonts w:ascii="Arial" w:hAnsi="Arial" w:cs="Arial"/>
          <w:color w:val="0C0C0F"/>
          <w:sz w:val="22"/>
          <w:szCs w:val="22"/>
        </w:rPr>
        <w:t xml:space="preserve">. in l. n. 114/2014, consente la sanatoria di ogni omissione o incompletezza documentale, atteso, che, facendo la norma esplicito riferimento anche agli «elementi» e non solo alle «dichiarazioni», è consentita l'estensione dell'istituto del soccorso istruttorio a qualsiasi carenza, omissione o irregolarità, in relazione ai requisiti e condizioni di partecipazione, purché sussistenti alla scadenza del termine di presentazione dell'offerta (non essendovi possibilità di acquisirli successivamente), e con il solo limite intrinseco dell'inalterabilità del contenuto dell'offerta, della certezza in ordine alla provenienza della stessa, del principio di segretezza che presiede alla presentazione della medesima e di inalterabilità delle condizioni in cui versano i concorrenti al momento della scadenza del termine per la partecipazione alla gara (cfr. Determina ANAC n. 1 dell'8 gennaio 2015). Dunque, con riferimento alla documentazione prodotta ai fini della partecipazione ad una gara, deve ritenersi normalmente possibile anche il soccorso istruttorio quando la documentazione esaminata dall'Amministrazione non sia risultata sufficientemente chiara o completa nella dimostrazione dei requisiti richiesti, fermo restando, anche qualora venga esercitata tale facoltà, il potere dell'Amministrazione di escludere dalla gara le imprese che non provino, dopo una eventuale richiesta istruttoria integrativa, il possesso dei necessari requisiti tecnici richiesti per la partecipazione alla gara. Tale essendo la </w:t>
      </w:r>
      <w:proofErr w:type="spellStart"/>
      <w:r w:rsidRPr="005C66DC">
        <w:rPr>
          <w:rFonts w:ascii="Arial" w:hAnsi="Arial" w:cs="Arial"/>
          <w:color w:val="0C0C0F"/>
          <w:sz w:val="22"/>
          <w:szCs w:val="22"/>
        </w:rPr>
        <w:t>ratio</w:t>
      </w:r>
      <w:proofErr w:type="spellEnd"/>
      <w:r w:rsidRPr="005C66DC">
        <w:rPr>
          <w:rFonts w:ascii="Arial" w:hAnsi="Arial" w:cs="Arial"/>
          <w:color w:val="0C0C0F"/>
          <w:sz w:val="22"/>
          <w:szCs w:val="22"/>
        </w:rPr>
        <w:t xml:space="preserve"> e la finalità dell'istituto, deve ritenersi che il relativo </w:t>
      </w:r>
      <w:proofErr w:type="spellStart"/>
      <w:r w:rsidRPr="005C66DC">
        <w:rPr>
          <w:rFonts w:ascii="Arial" w:hAnsi="Arial" w:cs="Arial"/>
          <w:color w:val="0C0C0F"/>
          <w:sz w:val="22"/>
          <w:szCs w:val="22"/>
        </w:rPr>
        <w:t>subprocedimento</w:t>
      </w:r>
      <w:proofErr w:type="spellEnd"/>
      <w:r w:rsidRPr="005C66DC">
        <w:rPr>
          <w:rFonts w:ascii="Arial" w:hAnsi="Arial" w:cs="Arial"/>
          <w:color w:val="0C0C0F"/>
          <w:sz w:val="22"/>
          <w:szCs w:val="22"/>
        </w:rPr>
        <w:t xml:space="preserve"> non sia precluso a valle dell'aggiudicazione e, quindi, alla stazione appaltante è consentito chiedere la rettifica delle dichiarazioni rese in gara dal soggetto aggiudicatario, con possibilità di integrazione postuma, nei casi in cui l'Amministrazione si sia avveduta di eventuali carenze documentali non a monte (nella fase di controllo delle dichiarazioni) ma all'esito dell'aggiudicazione (T.A.R. Puglia, Lecce, Sez. III, 29 aprile 2016, n. 712; e T.A.R. Lombardia, Sez. IV, 24 giugno 2016, n. 1276)”.</w:t>
      </w:r>
    </w:p>
    <w:p w:rsidR="005E13CC" w:rsidRPr="005C66DC" w:rsidRDefault="005E13CC" w:rsidP="00945B05">
      <w:pPr>
        <w:pStyle w:val="NormaleWeb"/>
        <w:shd w:val="clear" w:color="auto" w:fill="FFFFFF"/>
        <w:spacing w:before="0" w:beforeAutospacing="0" w:after="141" w:afterAutospacing="0"/>
        <w:textAlignment w:val="baseline"/>
        <w:rPr>
          <w:rFonts w:ascii="Arial" w:hAnsi="Arial" w:cs="Arial"/>
          <w:color w:val="0C0C0F"/>
          <w:sz w:val="22"/>
          <w:szCs w:val="22"/>
        </w:rPr>
      </w:pPr>
      <w:r w:rsidRPr="005C66DC">
        <w:rPr>
          <w:rFonts w:ascii="Arial" w:hAnsi="Arial" w:cs="Arial"/>
          <w:color w:val="0C0C0F"/>
          <w:sz w:val="22"/>
          <w:szCs w:val="22"/>
        </w:rPr>
        <w:t>In sostanza il Collegio ha escluso che l’applicazione del soccorso istruttorio potesse comportare “qualsivoglia effetto pregiudizievole sia sulla trasparenza della gara, sia sulla par condicio, in quanto la stazione appaltante si limita, nell'ottica di economicità dell'azione amministrativa, a consentire la regolarizzazione di vizi dell'offerta senza per questo inficiare la correttezza della gara espletata”.</w:t>
      </w:r>
    </w:p>
    <w:p w:rsidR="005E13CC" w:rsidRPr="005C66DC" w:rsidRDefault="005E13CC" w:rsidP="00945B05">
      <w:pPr>
        <w:pStyle w:val="NormaleWeb"/>
        <w:shd w:val="clear" w:color="auto" w:fill="FFFFFF"/>
        <w:spacing w:before="0" w:beforeAutospacing="0" w:after="0" w:afterAutospacing="0"/>
        <w:textAlignment w:val="baseline"/>
        <w:rPr>
          <w:rFonts w:ascii="Arial" w:hAnsi="Arial" w:cs="Arial"/>
          <w:color w:val="0C0C0F"/>
          <w:sz w:val="22"/>
          <w:szCs w:val="22"/>
        </w:rPr>
      </w:pPr>
      <w:r w:rsidRPr="005C66DC">
        <w:rPr>
          <w:rStyle w:val="Enfasigrassetto"/>
          <w:rFonts w:ascii="Arial" w:hAnsi="Arial" w:cs="Arial"/>
          <w:color w:val="0C0C0F"/>
          <w:sz w:val="22"/>
          <w:szCs w:val="22"/>
          <w:bdr w:val="none" w:sz="0" w:space="0" w:color="auto" w:frame="1"/>
        </w:rPr>
        <w:t>E) Soccorso istruttorio processuale</w:t>
      </w:r>
    </w:p>
    <w:p w:rsidR="005E13CC" w:rsidRPr="005C66DC" w:rsidRDefault="005E13CC" w:rsidP="00945B05">
      <w:pPr>
        <w:pStyle w:val="NormaleWeb"/>
        <w:shd w:val="clear" w:color="auto" w:fill="FFFFFF"/>
        <w:spacing w:before="0" w:beforeAutospacing="0" w:after="141" w:afterAutospacing="0"/>
        <w:textAlignment w:val="baseline"/>
        <w:rPr>
          <w:rFonts w:ascii="Arial" w:hAnsi="Arial" w:cs="Arial"/>
          <w:color w:val="0C0C0F"/>
          <w:sz w:val="22"/>
          <w:szCs w:val="22"/>
        </w:rPr>
      </w:pPr>
      <w:r w:rsidRPr="005C66DC">
        <w:rPr>
          <w:rFonts w:ascii="Arial" w:hAnsi="Arial" w:cs="Arial"/>
          <w:color w:val="0C0C0F"/>
          <w:sz w:val="22"/>
          <w:szCs w:val="22"/>
        </w:rPr>
        <w:t xml:space="preserve">Una ipotesi particolare di soccorso istruttorio successivo all’aggiudicazione è quella del soccorso istruttorio processuale sul quale si è pronunciato recentemente il Consiglio di Stato, Sez. III, con le sentenze </w:t>
      </w:r>
      <w:proofErr w:type="spellStart"/>
      <w:r w:rsidRPr="005C66DC">
        <w:rPr>
          <w:rFonts w:ascii="Arial" w:hAnsi="Arial" w:cs="Arial"/>
          <w:color w:val="0C0C0F"/>
          <w:sz w:val="22"/>
          <w:szCs w:val="22"/>
        </w:rPr>
        <w:t>nn</w:t>
      </w:r>
      <w:proofErr w:type="spellEnd"/>
      <w:r w:rsidRPr="005C66DC">
        <w:rPr>
          <w:rFonts w:ascii="Arial" w:hAnsi="Arial" w:cs="Arial"/>
          <w:color w:val="0C0C0F"/>
          <w:sz w:val="22"/>
          <w:szCs w:val="22"/>
        </w:rPr>
        <w:t>. 975 e 976 del 2 marzo 2017.</w:t>
      </w:r>
    </w:p>
    <w:p w:rsidR="005E13CC" w:rsidRPr="005C66DC" w:rsidRDefault="005E13CC" w:rsidP="00945B05">
      <w:pPr>
        <w:pStyle w:val="NormaleWeb"/>
        <w:shd w:val="clear" w:color="auto" w:fill="FFFFFF"/>
        <w:spacing w:before="0" w:beforeAutospacing="0" w:after="141" w:afterAutospacing="0"/>
        <w:textAlignment w:val="baseline"/>
        <w:rPr>
          <w:rFonts w:ascii="Arial" w:hAnsi="Arial" w:cs="Arial"/>
          <w:color w:val="0C0C0F"/>
          <w:sz w:val="22"/>
          <w:szCs w:val="22"/>
        </w:rPr>
      </w:pPr>
      <w:r w:rsidRPr="005C66DC">
        <w:rPr>
          <w:rFonts w:ascii="Arial" w:hAnsi="Arial" w:cs="Arial"/>
          <w:color w:val="0C0C0F"/>
          <w:sz w:val="22"/>
          <w:szCs w:val="22"/>
        </w:rPr>
        <w:t>L’istituto in commento, privo di puntuale disciplina normativa, riguarda le ipotesi nelle quali risulta accertato in giudizio che:</w:t>
      </w:r>
    </w:p>
    <w:p w:rsidR="005E13CC" w:rsidRPr="005C66DC" w:rsidRDefault="005E13CC" w:rsidP="00945B05">
      <w:pPr>
        <w:pStyle w:val="NormaleWeb"/>
        <w:shd w:val="clear" w:color="auto" w:fill="FFFFFF"/>
        <w:spacing w:before="0" w:beforeAutospacing="0" w:after="141" w:afterAutospacing="0"/>
        <w:textAlignment w:val="baseline"/>
        <w:rPr>
          <w:rFonts w:ascii="Arial" w:hAnsi="Arial" w:cs="Arial"/>
          <w:color w:val="0C0C0F"/>
          <w:sz w:val="22"/>
          <w:szCs w:val="22"/>
        </w:rPr>
      </w:pPr>
      <w:r w:rsidRPr="005C66DC">
        <w:rPr>
          <w:rFonts w:ascii="Arial" w:hAnsi="Arial" w:cs="Arial"/>
          <w:color w:val="0C0C0F"/>
          <w:sz w:val="22"/>
          <w:szCs w:val="22"/>
        </w:rPr>
        <w:lastRenderedPageBreak/>
        <w:t>“a) la stazione appaltante abbia illegittimamente ammesso alla gara un’offerta carente, sotto il profilo meramente formale, del prescritto supporto documentale, idoneo a dimostrare in modo adeguato il possesso dei requisiti soggettivi di partecipazione del concorrente;</w:t>
      </w:r>
    </w:p>
    <w:p w:rsidR="005E13CC" w:rsidRPr="005C66DC" w:rsidRDefault="005E13CC" w:rsidP="00945B05">
      <w:pPr>
        <w:pStyle w:val="NormaleWeb"/>
        <w:shd w:val="clear" w:color="auto" w:fill="FFFFFF"/>
        <w:spacing w:before="0" w:beforeAutospacing="0" w:after="141" w:afterAutospacing="0"/>
        <w:textAlignment w:val="baseline"/>
        <w:rPr>
          <w:rFonts w:ascii="Arial" w:hAnsi="Arial" w:cs="Arial"/>
          <w:color w:val="0C0C0F"/>
          <w:sz w:val="22"/>
          <w:szCs w:val="22"/>
        </w:rPr>
      </w:pPr>
      <w:r w:rsidRPr="005C66DC">
        <w:rPr>
          <w:rFonts w:ascii="Arial" w:hAnsi="Arial" w:cs="Arial"/>
          <w:color w:val="0C0C0F"/>
          <w:sz w:val="22"/>
          <w:szCs w:val="22"/>
        </w:rPr>
        <w:t>b) l’indicata carenza documentale e probatoria, se riscontrata tempestivamente nel corso dello svolgimento della procedura di gara, non avrebbe consentito l’immediata esclusione dell’offerta, ma avrebbe imposto alla stazione appaltante l’attivazione del procedimento del soccorso istruttorio sostanziale, disciplinato dal codice dei contratti pubblici”.</w:t>
      </w:r>
    </w:p>
    <w:p w:rsidR="005E13CC" w:rsidRPr="005C66DC" w:rsidRDefault="005E13CC" w:rsidP="00945B05">
      <w:pPr>
        <w:pStyle w:val="NormaleWeb"/>
        <w:shd w:val="clear" w:color="auto" w:fill="FFFFFF"/>
        <w:spacing w:before="0" w:beforeAutospacing="0" w:after="141" w:afterAutospacing="0"/>
        <w:textAlignment w:val="baseline"/>
        <w:rPr>
          <w:rFonts w:ascii="Arial" w:hAnsi="Arial" w:cs="Arial"/>
          <w:color w:val="0C0C0F"/>
          <w:sz w:val="22"/>
          <w:szCs w:val="22"/>
        </w:rPr>
      </w:pPr>
      <w:r w:rsidRPr="005C66DC">
        <w:rPr>
          <w:rFonts w:ascii="Arial" w:hAnsi="Arial" w:cs="Arial"/>
          <w:color w:val="0C0C0F"/>
          <w:sz w:val="22"/>
          <w:szCs w:val="22"/>
        </w:rPr>
        <w:t>Preliminarmente la Sezione ricorda che la disciplina del soccorso istruttorio è diretta espressione dell’impostazione sostanzialistica delle procedure di affidamento che devono “</w:t>
      </w:r>
      <w:proofErr w:type="spellStart"/>
      <w:r w:rsidRPr="005C66DC">
        <w:rPr>
          <w:rFonts w:ascii="Arial" w:hAnsi="Arial" w:cs="Arial"/>
          <w:color w:val="0C0C0F"/>
          <w:sz w:val="22"/>
          <w:szCs w:val="22"/>
        </w:rPr>
        <w:t>…mirare</w:t>
      </w:r>
      <w:proofErr w:type="spellEnd"/>
      <w:r w:rsidRPr="005C66DC">
        <w:rPr>
          <w:rFonts w:ascii="Arial" w:hAnsi="Arial" w:cs="Arial"/>
          <w:color w:val="0C0C0F"/>
          <w:sz w:val="22"/>
          <w:szCs w:val="22"/>
        </w:rPr>
        <w:t xml:space="preserve"> ad appurare, in modo efficiente, quale sia l’offerta migliore, nel rispetto delle regole di concorrenza, verificando la sussistenza dei requisiti tecnici, economici, morali e professionali dell’aggiudicatario”. In sostanza l’istituto “</w:t>
      </w:r>
      <w:proofErr w:type="spellStart"/>
      <w:r w:rsidRPr="005C66DC">
        <w:rPr>
          <w:rFonts w:ascii="Arial" w:hAnsi="Arial" w:cs="Arial"/>
          <w:color w:val="0C0C0F"/>
          <w:sz w:val="22"/>
          <w:szCs w:val="22"/>
        </w:rPr>
        <w:t>…tende</w:t>
      </w:r>
      <w:proofErr w:type="spellEnd"/>
      <w:r w:rsidRPr="005C66DC">
        <w:rPr>
          <w:rFonts w:ascii="Arial" w:hAnsi="Arial" w:cs="Arial"/>
          <w:color w:val="0C0C0F"/>
          <w:sz w:val="22"/>
          <w:szCs w:val="22"/>
        </w:rPr>
        <w:t xml:space="preserve"> ad evitare che irregolarità e inadempimenti meramente estrinseci possano pregiudicare gli operatori economici più meritevoli, anche nell’interesse del seggio di gara, che potrebbe perdere l’opportunità di selezionare il concorrente migliore, per vizi procedimentali facilmente emendabili”.</w:t>
      </w:r>
    </w:p>
    <w:p w:rsidR="005E13CC" w:rsidRPr="005C66DC" w:rsidRDefault="005E13CC" w:rsidP="00945B05">
      <w:pPr>
        <w:pStyle w:val="NormaleWeb"/>
        <w:shd w:val="clear" w:color="auto" w:fill="FFFFFF"/>
        <w:spacing w:before="0" w:beforeAutospacing="0" w:after="141" w:afterAutospacing="0"/>
        <w:textAlignment w:val="baseline"/>
        <w:rPr>
          <w:rFonts w:ascii="Arial" w:hAnsi="Arial" w:cs="Arial"/>
          <w:color w:val="0C0C0F"/>
          <w:sz w:val="22"/>
          <w:szCs w:val="22"/>
        </w:rPr>
      </w:pPr>
      <w:r w:rsidRPr="005C66DC">
        <w:rPr>
          <w:rFonts w:ascii="Arial" w:hAnsi="Arial" w:cs="Arial"/>
          <w:color w:val="0C0C0F"/>
          <w:sz w:val="22"/>
          <w:szCs w:val="22"/>
        </w:rPr>
        <w:t>Sulla base di tale premessa il Collegio esclude che il soccorso istruttorio sui requisiti di partecipazione disposto successivamente all’intervenuta l’aggiudicazione violi il principio della “par condicio” tra i concorrenti. Infatti “</w:t>
      </w:r>
      <w:proofErr w:type="spellStart"/>
      <w:r w:rsidRPr="005C66DC">
        <w:rPr>
          <w:rFonts w:ascii="Arial" w:hAnsi="Arial" w:cs="Arial"/>
          <w:color w:val="0C0C0F"/>
          <w:sz w:val="22"/>
          <w:szCs w:val="22"/>
        </w:rPr>
        <w:t>…la</w:t>
      </w:r>
      <w:proofErr w:type="spellEnd"/>
      <w:r w:rsidRPr="005C66DC">
        <w:rPr>
          <w:rFonts w:ascii="Arial" w:hAnsi="Arial" w:cs="Arial"/>
          <w:color w:val="0C0C0F"/>
          <w:sz w:val="22"/>
          <w:szCs w:val="22"/>
        </w:rPr>
        <w:t xml:space="preserve"> scelta sostanzialistica del legislatore, diretta ad impedire l’esclusione per vizi formali nella dichiarazione, quando vi è prova del possesso del requisito, deve applicarsi anche quando l’incompletezza della dichiarazione viene dedotta come motivo di impugnazione dell’aggiudicazione da parte di altra impresa partecipante alla selezione (non essendone avveduta la stazione appaltante in sede di gara), ma è provato che la concorrente fosse effettivamente in possesso del prescritto requisito soggettivo fin dall’inizio della procedura di gara e per tutto il suo svolgimento. In tale caso, infatti, l’irregolarità della dichiarazione si configura come vizio solo formale e non sostanziale, emendabile secondo l’obbligatoria procedura di soccorso istruttorio”. Pertanto “</w:t>
      </w:r>
      <w:proofErr w:type="spellStart"/>
      <w:r w:rsidRPr="005C66DC">
        <w:rPr>
          <w:rFonts w:ascii="Arial" w:hAnsi="Arial" w:cs="Arial"/>
          <w:color w:val="0C0C0F"/>
          <w:sz w:val="22"/>
          <w:szCs w:val="22"/>
        </w:rPr>
        <w:t>…la</w:t>
      </w:r>
      <w:proofErr w:type="spellEnd"/>
      <w:r w:rsidRPr="005C66DC">
        <w:rPr>
          <w:rFonts w:ascii="Arial" w:hAnsi="Arial" w:cs="Arial"/>
          <w:color w:val="0C0C0F"/>
          <w:sz w:val="22"/>
          <w:szCs w:val="22"/>
        </w:rPr>
        <w:t xml:space="preserve"> successiva correzione, o integrazione documentale della dichiarazione non viola affatto il principio della par condicio tra i concorrenti, in quanto essa mira ad attestare, correttamente, l’esistenza di circostanze preesistenti, riparando una incompletezza o irregolarità che la stazione appaltante, se avesse tempestivamente rilevato, avrebbe dovuto comunicare alla concorrente, attivando l’obbligatorio procedimento di soccorso istruttorio”.</w:t>
      </w:r>
    </w:p>
    <w:p w:rsidR="005E13CC" w:rsidRPr="005C66DC" w:rsidRDefault="005E13CC" w:rsidP="00945B05">
      <w:pPr>
        <w:pStyle w:val="NormaleWeb"/>
        <w:shd w:val="clear" w:color="auto" w:fill="FFFFFF"/>
        <w:spacing w:before="0" w:beforeAutospacing="0" w:after="141" w:afterAutospacing="0"/>
        <w:textAlignment w:val="baseline"/>
        <w:rPr>
          <w:rFonts w:ascii="Arial" w:hAnsi="Arial" w:cs="Arial"/>
          <w:color w:val="0C0C0F"/>
          <w:sz w:val="22"/>
          <w:szCs w:val="22"/>
        </w:rPr>
      </w:pPr>
      <w:r w:rsidRPr="005C66DC">
        <w:rPr>
          <w:rFonts w:ascii="Arial" w:hAnsi="Arial" w:cs="Arial"/>
          <w:color w:val="0C0C0F"/>
          <w:sz w:val="22"/>
          <w:szCs w:val="22"/>
        </w:rPr>
        <w:t>Per contro, rileva il Collegio, escludere la possibilità di ricorso al soccorso istruttorio comporterebbe effetti del tutto irragionevoli e sproporzionati poiché l’impresa aggiudicataria sarebbe privata della possibilità di stipulare il contratto, pur disponendo, in via sostanziale, dei necessari requisiti e potrebbe azionare una domanda risarcitoria nei confronti della stazione appaltante.</w:t>
      </w:r>
    </w:p>
    <w:p w:rsidR="005E13CC" w:rsidRPr="005C66DC" w:rsidRDefault="005E13CC" w:rsidP="00945B05">
      <w:pPr>
        <w:pStyle w:val="NormaleWeb"/>
        <w:shd w:val="clear" w:color="auto" w:fill="FFFFFF"/>
        <w:spacing w:before="0" w:beforeAutospacing="0" w:after="141" w:afterAutospacing="0"/>
        <w:textAlignment w:val="baseline"/>
        <w:rPr>
          <w:rFonts w:ascii="Arial" w:hAnsi="Arial" w:cs="Arial"/>
          <w:color w:val="0C0C0F"/>
          <w:sz w:val="22"/>
          <w:szCs w:val="22"/>
        </w:rPr>
      </w:pPr>
      <w:r w:rsidRPr="005C66DC">
        <w:rPr>
          <w:rFonts w:ascii="Arial" w:hAnsi="Arial" w:cs="Arial"/>
          <w:color w:val="0C0C0F"/>
          <w:sz w:val="22"/>
          <w:szCs w:val="22"/>
        </w:rPr>
        <w:t>Dal punto di vista strettamente processuale il Collegio ha ritenuto innanzitutto che la questione non possa essere rilevata d’ufficio del giudice, presupponendo un’iniziativa della parte aggiudicataria, interessata alla affermazione della legittimità (sostanziale) della propria ammissione alla gara.</w:t>
      </w:r>
    </w:p>
    <w:p w:rsidR="005E13CC" w:rsidRPr="005C66DC" w:rsidRDefault="005E13CC" w:rsidP="00945B05">
      <w:pPr>
        <w:pStyle w:val="NormaleWeb"/>
        <w:shd w:val="clear" w:color="auto" w:fill="FFFFFF"/>
        <w:spacing w:before="0" w:beforeAutospacing="0" w:after="0" w:afterAutospacing="0"/>
        <w:textAlignment w:val="baseline"/>
        <w:rPr>
          <w:rFonts w:ascii="Arial" w:hAnsi="Arial" w:cs="Arial"/>
          <w:color w:val="0C0C0F"/>
          <w:sz w:val="22"/>
          <w:szCs w:val="22"/>
        </w:rPr>
      </w:pPr>
      <w:r w:rsidRPr="005C66DC">
        <w:rPr>
          <w:rFonts w:ascii="Arial" w:hAnsi="Arial" w:cs="Arial"/>
          <w:color w:val="0C0C0F"/>
          <w:sz w:val="22"/>
          <w:szCs w:val="22"/>
        </w:rPr>
        <w:t>In particolare l’aggiudicataria al fine di paralizzare la doglianza diretta ad ottenere la sua esclusione dalla gara non sarà tenuta a proporre ricorso incidentale, ma potrà limitarsi ad una deduzione difensiva diretta a dimostrare il possesso dei requisiti sostanziali di partecipazione. Tuttavia, a tal fine, ex </w:t>
      </w:r>
      <w:hyperlink r:id="rId9" w:anchor="art2697" w:history="1">
        <w:r w:rsidRPr="005C66DC">
          <w:rPr>
            <w:rStyle w:val="Collegamentoipertestuale"/>
            <w:rFonts w:ascii="Arial" w:hAnsi="Arial" w:cs="Arial"/>
            <w:b/>
            <w:bCs/>
            <w:color w:val="1E5192"/>
            <w:sz w:val="22"/>
            <w:szCs w:val="22"/>
            <w:bdr w:val="none" w:sz="0" w:space="0" w:color="auto" w:frame="1"/>
          </w:rPr>
          <w:t>art. 2697 c.c.</w:t>
        </w:r>
      </w:hyperlink>
      <w:r w:rsidRPr="005C66DC">
        <w:rPr>
          <w:rFonts w:ascii="Arial" w:hAnsi="Arial" w:cs="Arial"/>
          <w:color w:val="0C0C0F"/>
          <w:sz w:val="22"/>
          <w:szCs w:val="22"/>
        </w:rPr>
        <w:t>, essa dovrà superare “</w:t>
      </w:r>
      <w:proofErr w:type="spellStart"/>
      <w:r w:rsidRPr="005C66DC">
        <w:rPr>
          <w:rFonts w:ascii="Arial" w:hAnsi="Arial" w:cs="Arial"/>
          <w:color w:val="0C0C0F"/>
          <w:sz w:val="22"/>
          <w:szCs w:val="22"/>
        </w:rPr>
        <w:t>…la</w:t>
      </w:r>
      <w:proofErr w:type="spellEnd"/>
      <w:r w:rsidRPr="005C66DC">
        <w:rPr>
          <w:rFonts w:ascii="Arial" w:hAnsi="Arial" w:cs="Arial"/>
          <w:color w:val="0C0C0F"/>
          <w:sz w:val="22"/>
          <w:szCs w:val="22"/>
        </w:rPr>
        <w:t xml:space="preserve"> prova di resistenza, non potendo pretendere di paralizzare l’azione di annullamento, adducendo, solo in via ipotetica, la violazione del principio del soccorso istruttorio, ma deve dimostrare in giudizio che, ove fosse stato attivato, correttamente, tale rimedio l’esito sarebbe stato ad essa favorevole, disponendo del requisito in contestazione”.</w:t>
      </w:r>
    </w:p>
    <w:p w:rsidR="005E13CC" w:rsidRPr="005C66DC" w:rsidRDefault="005E13CC" w:rsidP="00945B05">
      <w:pPr>
        <w:pStyle w:val="NormaleWeb"/>
        <w:shd w:val="clear" w:color="auto" w:fill="FFFFFF"/>
        <w:spacing w:before="0" w:beforeAutospacing="0" w:after="141" w:afterAutospacing="0"/>
        <w:textAlignment w:val="baseline"/>
        <w:rPr>
          <w:rFonts w:ascii="Arial" w:hAnsi="Arial" w:cs="Arial"/>
          <w:color w:val="0C0C0F"/>
          <w:sz w:val="22"/>
          <w:szCs w:val="22"/>
        </w:rPr>
      </w:pPr>
      <w:r w:rsidRPr="005C66DC">
        <w:rPr>
          <w:rFonts w:ascii="Arial" w:hAnsi="Arial" w:cs="Arial"/>
          <w:color w:val="0C0C0F"/>
          <w:sz w:val="22"/>
          <w:szCs w:val="22"/>
        </w:rPr>
        <w:t>Ciò premesso il Collegio ha valutato i possibili esiti della istruttoria processuale.</w:t>
      </w:r>
    </w:p>
    <w:p w:rsidR="005E13CC" w:rsidRPr="005C66DC" w:rsidRDefault="005E13CC" w:rsidP="00945B05">
      <w:pPr>
        <w:pStyle w:val="NormaleWeb"/>
        <w:shd w:val="clear" w:color="auto" w:fill="FFFFFF"/>
        <w:spacing w:before="0" w:beforeAutospacing="0" w:after="141" w:afterAutospacing="0"/>
        <w:textAlignment w:val="baseline"/>
        <w:rPr>
          <w:rFonts w:ascii="Arial" w:hAnsi="Arial" w:cs="Arial"/>
          <w:color w:val="0C0C0F"/>
          <w:sz w:val="22"/>
          <w:szCs w:val="22"/>
        </w:rPr>
      </w:pPr>
      <w:r w:rsidRPr="005C66DC">
        <w:rPr>
          <w:rFonts w:ascii="Arial" w:hAnsi="Arial" w:cs="Arial"/>
          <w:color w:val="0C0C0F"/>
          <w:sz w:val="22"/>
          <w:szCs w:val="22"/>
        </w:rPr>
        <w:t xml:space="preserve">Nel caso in cui il giudice amministrativo rilevi che alla carenza formale non corrisponda anche una carenza sostanziale del requisito (avendo la parte onerata provveduto alla produzione in giudizio della documentazione omessa o irregolarmente prodotta) potrà dichiarare che il vizio era sanabile e che l’offerente (aggiudicatario) aveva interesse a sanarlo. “Un tale accertamento renderebbe inutile l’ulteriore pronuncia costitutiva deputata a privare d’effetto l’aggiudicazione, poiché l’ulteriore </w:t>
      </w:r>
      <w:r w:rsidRPr="005C66DC">
        <w:rPr>
          <w:rFonts w:ascii="Arial" w:hAnsi="Arial" w:cs="Arial"/>
          <w:color w:val="0C0C0F"/>
          <w:sz w:val="22"/>
          <w:szCs w:val="22"/>
        </w:rPr>
        <w:lastRenderedPageBreak/>
        <w:t xml:space="preserve">procedimento amministrativo che ne scaturirebbe non potrebbe che essere una mera riproduzione, in forma amministrativa, del percorso giudiziale già effettuato nel contraddittorio della parti sotto la supervisione del giudice così come descritto in sentenza. Nondimeno, l’accertamento conserverebbe una sua autonoma utilità, poiché è in grado di vincolare l’amministrazione, determinando, in virtù del connesso effetto </w:t>
      </w:r>
      <w:proofErr w:type="spellStart"/>
      <w:r w:rsidRPr="005C66DC">
        <w:rPr>
          <w:rFonts w:ascii="Arial" w:hAnsi="Arial" w:cs="Arial"/>
          <w:color w:val="0C0C0F"/>
          <w:sz w:val="22"/>
          <w:szCs w:val="22"/>
        </w:rPr>
        <w:t>conformativo</w:t>
      </w:r>
      <w:proofErr w:type="spellEnd"/>
      <w:r w:rsidRPr="005C66DC">
        <w:rPr>
          <w:rFonts w:ascii="Arial" w:hAnsi="Arial" w:cs="Arial"/>
          <w:color w:val="0C0C0F"/>
          <w:sz w:val="22"/>
          <w:szCs w:val="22"/>
        </w:rPr>
        <w:t>, l’obbligo di ingiungere la sanzione”.</w:t>
      </w:r>
    </w:p>
    <w:p w:rsidR="005E13CC" w:rsidRPr="005C66DC" w:rsidRDefault="005E13CC" w:rsidP="00945B05">
      <w:pPr>
        <w:pStyle w:val="NormaleWeb"/>
        <w:shd w:val="clear" w:color="auto" w:fill="FFFFFF"/>
        <w:spacing w:before="0" w:beforeAutospacing="0" w:after="141" w:afterAutospacing="0"/>
        <w:textAlignment w:val="baseline"/>
        <w:rPr>
          <w:rFonts w:ascii="Arial" w:hAnsi="Arial" w:cs="Arial"/>
          <w:color w:val="0C0C0F"/>
          <w:sz w:val="22"/>
          <w:szCs w:val="22"/>
        </w:rPr>
      </w:pPr>
      <w:r w:rsidRPr="005C66DC">
        <w:rPr>
          <w:rFonts w:ascii="Arial" w:hAnsi="Arial" w:cs="Arial"/>
          <w:color w:val="0C0C0F"/>
          <w:sz w:val="22"/>
          <w:szCs w:val="22"/>
        </w:rPr>
        <w:t>“A conclusioni del tutto diverse deve giungersi quando le lacune dell’offerta non siano solo formali, ma si accompagnino, invece, ad una effettiva carenza sostanziale del requisito, o, quanto meno, al ragionevole dubbio che quest’ultimo possa essere carente. In tali casi l’annullamento rimane l’unica strada percorribile per il giudice”.</w:t>
      </w:r>
    </w:p>
    <w:p w:rsidR="008B135A" w:rsidRPr="005C66DC" w:rsidRDefault="005E13CC" w:rsidP="00945B05">
      <w:pPr>
        <w:shd w:val="clear" w:color="auto" w:fill="FFFFFF"/>
        <w:spacing w:after="100" w:afterAutospacing="1" w:line="240" w:lineRule="auto"/>
        <w:jc w:val="both"/>
        <w:rPr>
          <w:rFonts w:ascii="Arial" w:eastAsia="Times New Roman" w:hAnsi="Arial" w:cs="Arial"/>
          <w:color w:val="333333"/>
          <w:lang w:eastAsia="it-IT"/>
        </w:rPr>
      </w:pPr>
      <w:r w:rsidRPr="005C66DC">
        <w:rPr>
          <w:rFonts w:ascii="Arial" w:eastAsia="Times New Roman" w:hAnsi="Arial" w:cs="Arial"/>
          <w:color w:val="333333"/>
          <w:lang w:eastAsia="it-IT"/>
        </w:rPr>
        <w:t>AVVALIMENTO</w:t>
      </w:r>
    </w:p>
    <w:p w:rsidR="005E13CC" w:rsidRPr="005C66DC" w:rsidRDefault="005E13CC" w:rsidP="00945B05">
      <w:pPr>
        <w:pStyle w:val="NormaleWeb"/>
        <w:shd w:val="clear" w:color="auto" w:fill="F9F9F9"/>
        <w:rPr>
          <w:rFonts w:ascii="Arial" w:hAnsi="Arial" w:cs="Arial"/>
          <w:color w:val="000000"/>
          <w:sz w:val="22"/>
          <w:szCs w:val="22"/>
        </w:rPr>
      </w:pPr>
      <w:r w:rsidRPr="005C66DC">
        <w:rPr>
          <w:rFonts w:ascii="Arial" w:hAnsi="Arial" w:cs="Arial"/>
          <w:color w:val="000000"/>
          <w:sz w:val="22"/>
          <w:szCs w:val="22"/>
          <w:shd w:val="clear" w:color="auto" w:fill="F9F9F9"/>
        </w:rPr>
        <w:t>L’</w:t>
      </w:r>
      <w:proofErr w:type="spellStart"/>
      <w:r w:rsidRPr="005C66DC">
        <w:rPr>
          <w:rFonts w:ascii="Arial" w:hAnsi="Arial" w:cs="Arial"/>
          <w:color w:val="000000"/>
          <w:sz w:val="22"/>
          <w:szCs w:val="22"/>
          <w:shd w:val="clear" w:color="auto" w:fill="F9F9F9"/>
        </w:rPr>
        <w:t>avvalimento</w:t>
      </w:r>
      <w:proofErr w:type="spellEnd"/>
      <w:r w:rsidRPr="005C66DC">
        <w:rPr>
          <w:rFonts w:ascii="Arial" w:hAnsi="Arial" w:cs="Arial"/>
          <w:color w:val="000000"/>
          <w:sz w:val="22"/>
          <w:szCs w:val="22"/>
          <w:shd w:val="clear" w:color="auto" w:fill="F9F9F9"/>
        </w:rPr>
        <w:t xml:space="preserve"> consiste nella possibilità, riconosciuta a qualunque operatore economico, singolo o in raggruppamento, di soddisfare la richiesta relativa al possesso dei requisiti necessari per partecipare ad una procedura di gara, facendo affidamento sulle capacità di altri soggetti e ciò indipendentemente dai legami sussistenti con questi ultimi. L’istituto dell’</w:t>
      </w:r>
      <w:proofErr w:type="spellStart"/>
      <w:r w:rsidRPr="005C66DC">
        <w:rPr>
          <w:rFonts w:ascii="Arial" w:hAnsi="Arial" w:cs="Arial"/>
          <w:color w:val="000000"/>
          <w:sz w:val="22"/>
          <w:szCs w:val="22"/>
          <w:shd w:val="clear" w:color="auto" w:fill="F9F9F9"/>
        </w:rPr>
        <w:t>avvalimento</w:t>
      </w:r>
      <w:proofErr w:type="spellEnd"/>
      <w:r w:rsidRPr="005C66DC">
        <w:rPr>
          <w:rFonts w:ascii="Arial" w:hAnsi="Arial" w:cs="Arial"/>
          <w:color w:val="000000"/>
          <w:sz w:val="22"/>
          <w:szCs w:val="22"/>
          <w:shd w:val="clear" w:color="auto" w:fill="F9F9F9"/>
        </w:rPr>
        <w:t xml:space="preserve"> è oggi disciplinato dagli articoli 49 e 50 del d.lgs. 12 aprile 2006, n. 163 (d’ora innanzi “Codice”). In particolare si può distinguere, in relazione al dato normativo, tra: </w:t>
      </w:r>
      <w:proofErr w:type="spellStart"/>
      <w:r w:rsidRPr="005C66DC">
        <w:rPr>
          <w:rFonts w:ascii="Arial" w:hAnsi="Arial" w:cs="Arial"/>
          <w:color w:val="000000"/>
          <w:sz w:val="22"/>
          <w:szCs w:val="22"/>
          <w:shd w:val="clear" w:color="auto" w:fill="F9F9F9"/>
        </w:rPr>
        <w:t>avvalimento</w:t>
      </w:r>
      <w:proofErr w:type="spellEnd"/>
      <w:r w:rsidRPr="005C66DC">
        <w:rPr>
          <w:rFonts w:ascii="Arial" w:hAnsi="Arial" w:cs="Arial"/>
          <w:color w:val="000000"/>
          <w:sz w:val="22"/>
          <w:szCs w:val="22"/>
          <w:shd w:val="clear" w:color="auto" w:fill="F9F9F9"/>
        </w:rPr>
        <w:t xml:space="preserve"> nella singola gara, di cui all’articolo 49, comma 1, che prevede l’utilizzo dei requisiti di un terzo esclusivamente per partecipare alla procedura di affidamento di una specifica gara, ed </w:t>
      </w:r>
      <w:proofErr w:type="spellStart"/>
      <w:r w:rsidRPr="005C66DC">
        <w:rPr>
          <w:rFonts w:ascii="Arial" w:hAnsi="Arial" w:cs="Arial"/>
          <w:color w:val="000000"/>
          <w:sz w:val="22"/>
          <w:szCs w:val="22"/>
          <w:shd w:val="clear" w:color="auto" w:fill="F9F9F9"/>
        </w:rPr>
        <w:t>avvalimento</w:t>
      </w:r>
      <w:proofErr w:type="spellEnd"/>
      <w:r w:rsidRPr="005C66DC">
        <w:rPr>
          <w:rFonts w:ascii="Arial" w:hAnsi="Arial" w:cs="Arial"/>
          <w:color w:val="000000"/>
          <w:sz w:val="22"/>
          <w:szCs w:val="22"/>
          <w:shd w:val="clear" w:color="auto" w:fill="F9F9F9"/>
        </w:rPr>
        <w:t xml:space="preserve"> stabile, finalizzato all’ottenimento di un’attestazione di qualificazione. </w:t>
      </w:r>
      <w:r w:rsidRPr="005C66DC">
        <w:rPr>
          <w:rFonts w:ascii="Arial" w:hAnsi="Arial" w:cs="Arial"/>
          <w:color w:val="000000"/>
          <w:sz w:val="22"/>
          <w:szCs w:val="22"/>
        </w:rPr>
        <w:t>L’articolo 49  del Codice aggiunge che l’</w:t>
      </w:r>
      <w:proofErr w:type="spellStart"/>
      <w:r w:rsidRPr="005C66DC">
        <w:rPr>
          <w:rFonts w:ascii="Arial" w:hAnsi="Arial" w:cs="Arial"/>
          <w:color w:val="000000"/>
          <w:sz w:val="22"/>
          <w:szCs w:val="22"/>
        </w:rPr>
        <w:t>avvalimento</w:t>
      </w:r>
      <w:proofErr w:type="spellEnd"/>
      <w:r w:rsidRPr="005C66DC">
        <w:rPr>
          <w:rFonts w:ascii="Arial" w:hAnsi="Arial" w:cs="Arial"/>
          <w:color w:val="000000"/>
          <w:sz w:val="22"/>
          <w:szCs w:val="22"/>
        </w:rPr>
        <w:t xml:space="preserve"> comporta:</w:t>
      </w:r>
    </w:p>
    <w:p w:rsidR="005E13CC" w:rsidRPr="005C66DC" w:rsidRDefault="005E13CC" w:rsidP="00945B05">
      <w:pPr>
        <w:pStyle w:val="NormaleWeb"/>
        <w:shd w:val="clear" w:color="auto" w:fill="F9F9F9"/>
        <w:rPr>
          <w:rFonts w:ascii="Arial" w:hAnsi="Arial" w:cs="Arial"/>
          <w:color w:val="000000"/>
          <w:sz w:val="22"/>
          <w:szCs w:val="22"/>
        </w:rPr>
      </w:pPr>
      <w:r w:rsidRPr="005C66DC">
        <w:rPr>
          <w:rFonts w:ascii="Arial" w:hAnsi="Arial" w:cs="Arial"/>
          <w:color w:val="000000"/>
          <w:sz w:val="22"/>
          <w:szCs w:val="22"/>
        </w:rPr>
        <w:t>a) la responsabilità in solido, nei confronti della stazione appaltante, in relazione alle prestazioni oggetto del contratto;</w:t>
      </w:r>
    </w:p>
    <w:p w:rsidR="005E13CC" w:rsidRPr="005C66DC" w:rsidRDefault="005E13CC" w:rsidP="00945B05">
      <w:pPr>
        <w:pStyle w:val="NormaleWeb"/>
        <w:shd w:val="clear" w:color="auto" w:fill="F9F9F9"/>
        <w:rPr>
          <w:rFonts w:ascii="Arial" w:hAnsi="Arial" w:cs="Arial"/>
          <w:color w:val="000000"/>
          <w:sz w:val="22"/>
          <w:szCs w:val="22"/>
        </w:rPr>
      </w:pPr>
      <w:r w:rsidRPr="005C66DC">
        <w:rPr>
          <w:rFonts w:ascii="Arial" w:hAnsi="Arial" w:cs="Arial"/>
          <w:color w:val="000000"/>
          <w:sz w:val="22"/>
          <w:szCs w:val="22"/>
        </w:rPr>
        <w:t>b) l’applicazione degli obblighi previsti dalla normativa antimafia a carico del concorrente anche nei confronti del soggetto ausiliario, in ragione dell’importo dell’appalto posto a base di gara;</w:t>
      </w:r>
    </w:p>
    <w:p w:rsidR="005E13CC" w:rsidRPr="005C66DC" w:rsidRDefault="005E13CC" w:rsidP="00945B05">
      <w:pPr>
        <w:pStyle w:val="NormaleWeb"/>
        <w:shd w:val="clear" w:color="auto" w:fill="F9F9F9"/>
        <w:rPr>
          <w:rFonts w:ascii="Arial" w:hAnsi="Arial" w:cs="Arial"/>
          <w:color w:val="000000"/>
          <w:sz w:val="22"/>
          <w:szCs w:val="22"/>
        </w:rPr>
      </w:pPr>
      <w:r w:rsidRPr="005C66DC">
        <w:rPr>
          <w:rFonts w:ascii="Arial" w:hAnsi="Arial" w:cs="Arial"/>
          <w:color w:val="000000"/>
          <w:sz w:val="22"/>
          <w:szCs w:val="22"/>
        </w:rPr>
        <w:t>c) la sottoposizione ad una serie di limiti quali:</w:t>
      </w:r>
    </w:p>
    <w:p w:rsidR="005E13CC" w:rsidRPr="005C66DC" w:rsidRDefault="005E13CC" w:rsidP="00945B05">
      <w:pPr>
        <w:pStyle w:val="NormaleWeb"/>
        <w:shd w:val="clear" w:color="auto" w:fill="F9F9F9"/>
        <w:rPr>
          <w:rFonts w:ascii="Arial" w:hAnsi="Arial" w:cs="Arial"/>
          <w:color w:val="000000"/>
          <w:sz w:val="22"/>
          <w:szCs w:val="22"/>
        </w:rPr>
      </w:pPr>
      <w:r w:rsidRPr="005C66DC">
        <w:rPr>
          <w:rFonts w:ascii="Arial" w:hAnsi="Arial" w:cs="Arial"/>
          <w:color w:val="000000"/>
          <w:sz w:val="22"/>
          <w:szCs w:val="22"/>
        </w:rPr>
        <w:t>– per i lavori, la possibilità di avvalersi di una sola impresa ausiliaria per ciascuna categoria, salva diversa previsione del bando il quale può ammettere l’</w:t>
      </w:r>
      <w:proofErr w:type="spellStart"/>
      <w:r w:rsidRPr="005C66DC">
        <w:rPr>
          <w:rFonts w:ascii="Arial" w:hAnsi="Arial" w:cs="Arial"/>
          <w:color w:val="000000"/>
          <w:sz w:val="22"/>
          <w:szCs w:val="22"/>
        </w:rPr>
        <w:t>avvalimento</w:t>
      </w:r>
      <w:proofErr w:type="spellEnd"/>
      <w:r w:rsidRPr="005C66DC">
        <w:rPr>
          <w:rFonts w:ascii="Arial" w:hAnsi="Arial" w:cs="Arial"/>
          <w:color w:val="000000"/>
          <w:sz w:val="22"/>
          <w:szCs w:val="22"/>
        </w:rPr>
        <w:t xml:space="preserve"> di più imprese ausiliarie in ragione dell’importo dell’appalto o della peculiarità delle prestazioni, fermo restando il divieto di utilizzo frazionato dei requisiti che hanno consentito il rilascio dell’attestazione SOA;</w:t>
      </w:r>
    </w:p>
    <w:p w:rsidR="005E13CC" w:rsidRPr="005C66DC" w:rsidRDefault="005E13CC" w:rsidP="00945B05">
      <w:pPr>
        <w:pStyle w:val="NormaleWeb"/>
        <w:shd w:val="clear" w:color="auto" w:fill="F9F9F9"/>
        <w:rPr>
          <w:rFonts w:ascii="Arial" w:hAnsi="Arial" w:cs="Arial"/>
          <w:color w:val="000000"/>
          <w:sz w:val="22"/>
          <w:szCs w:val="22"/>
        </w:rPr>
      </w:pPr>
      <w:r w:rsidRPr="005C66DC">
        <w:rPr>
          <w:rFonts w:ascii="Arial" w:hAnsi="Arial" w:cs="Arial"/>
          <w:color w:val="000000"/>
          <w:sz w:val="22"/>
          <w:szCs w:val="22"/>
        </w:rPr>
        <w:t>-per i servizi e le forniture, è ammesso che il concorrente possa avvalersi di più imprese ausiliarie per il medesimo requisito;</w:t>
      </w:r>
    </w:p>
    <w:p w:rsidR="005E13CC" w:rsidRPr="005C66DC" w:rsidRDefault="005E13CC" w:rsidP="00945B05">
      <w:pPr>
        <w:pStyle w:val="NormaleWeb"/>
        <w:shd w:val="clear" w:color="auto" w:fill="F9F9F9"/>
        <w:rPr>
          <w:rFonts w:ascii="Arial" w:hAnsi="Arial" w:cs="Arial"/>
          <w:color w:val="000000"/>
          <w:sz w:val="22"/>
          <w:szCs w:val="22"/>
        </w:rPr>
      </w:pPr>
      <w:r w:rsidRPr="005C66DC">
        <w:rPr>
          <w:rFonts w:ascii="Arial" w:hAnsi="Arial" w:cs="Arial"/>
          <w:color w:val="000000"/>
          <w:sz w:val="22"/>
          <w:szCs w:val="22"/>
        </w:rPr>
        <w:t xml:space="preserve">– il divieto, a pena di esclusione, per l’impresa ausiliaria, di partecipare in proprio alla stessa gara dell’impresa </w:t>
      </w:r>
      <w:proofErr w:type="spellStart"/>
      <w:r w:rsidRPr="005C66DC">
        <w:rPr>
          <w:rFonts w:ascii="Arial" w:hAnsi="Arial" w:cs="Arial"/>
          <w:color w:val="000000"/>
          <w:sz w:val="22"/>
          <w:szCs w:val="22"/>
        </w:rPr>
        <w:t>ausiliata</w:t>
      </w:r>
      <w:proofErr w:type="spellEnd"/>
      <w:r w:rsidRPr="005C66DC">
        <w:rPr>
          <w:rFonts w:ascii="Arial" w:hAnsi="Arial" w:cs="Arial"/>
          <w:color w:val="000000"/>
          <w:sz w:val="22"/>
          <w:szCs w:val="22"/>
        </w:rPr>
        <w:t>; il divieto, a pena di esclusione, che della stessa impresa ausiliaria si avvalga più di un concorrente in relazione a ciascuna gara, salvo il caso che, per requisiti tecnici connessi con il possesso di particolari attrezzature possedute da un ristrettissimo ambito di imprese operanti sul mercato, il bando preveda che si possa prestare l’</w:t>
      </w:r>
      <w:proofErr w:type="spellStart"/>
      <w:r w:rsidRPr="005C66DC">
        <w:rPr>
          <w:rFonts w:ascii="Arial" w:hAnsi="Arial" w:cs="Arial"/>
          <w:color w:val="000000"/>
          <w:sz w:val="22"/>
          <w:szCs w:val="22"/>
        </w:rPr>
        <w:t>avvalimento</w:t>
      </w:r>
      <w:proofErr w:type="spellEnd"/>
      <w:r w:rsidRPr="005C66DC">
        <w:rPr>
          <w:rFonts w:ascii="Arial" w:hAnsi="Arial" w:cs="Arial"/>
          <w:color w:val="000000"/>
          <w:sz w:val="22"/>
          <w:szCs w:val="22"/>
        </w:rPr>
        <w:t xml:space="preserve"> nei confronti di più di un concorrente, sino ad un massimo indicato nel bando stesso, impegnandosi a fornire la particolare attrezzatura tecnica, alle medesime condizioni, all’aggiudicatario.</w:t>
      </w:r>
    </w:p>
    <w:p w:rsidR="005E13CC" w:rsidRPr="005C66DC" w:rsidRDefault="005E13CC" w:rsidP="00945B05">
      <w:pPr>
        <w:pStyle w:val="NormaleWeb"/>
        <w:shd w:val="clear" w:color="auto" w:fill="F9F9F9"/>
        <w:rPr>
          <w:rFonts w:ascii="Arial" w:hAnsi="Arial" w:cs="Arial"/>
          <w:color w:val="000000"/>
          <w:sz w:val="22"/>
          <w:szCs w:val="22"/>
        </w:rPr>
      </w:pPr>
      <w:r w:rsidRPr="005C66DC">
        <w:rPr>
          <w:rFonts w:ascii="Arial" w:hAnsi="Arial" w:cs="Arial"/>
          <w:color w:val="000000"/>
          <w:sz w:val="22"/>
          <w:szCs w:val="22"/>
        </w:rPr>
        <w:t>E’ opportuno che tali prescrizioni siano espressamente previste nei documenti di gara.</w:t>
      </w:r>
    </w:p>
    <w:p w:rsidR="005E13CC" w:rsidRPr="005C66DC" w:rsidRDefault="005E13CC" w:rsidP="00945B05">
      <w:pPr>
        <w:shd w:val="clear" w:color="auto" w:fill="FFFFFF"/>
        <w:spacing w:after="100" w:afterAutospacing="1" w:line="240" w:lineRule="auto"/>
        <w:jc w:val="both"/>
        <w:rPr>
          <w:rFonts w:ascii="Arial" w:eastAsia="Times New Roman" w:hAnsi="Arial" w:cs="Arial"/>
          <w:color w:val="333333"/>
          <w:lang w:eastAsia="it-IT"/>
        </w:rPr>
      </w:pPr>
      <w:r w:rsidRPr="005C66DC">
        <w:rPr>
          <w:rFonts w:ascii="Arial" w:eastAsia="Times New Roman" w:hAnsi="Arial" w:cs="Arial"/>
          <w:color w:val="333333"/>
          <w:lang w:eastAsia="it-IT"/>
        </w:rPr>
        <w:t>L’art 89 specifica che è possibile l’</w:t>
      </w:r>
      <w:proofErr w:type="spellStart"/>
      <w:r w:rsidRPr="005C66DC">
        <w:rPr>
          <w:rFonts w:ascii="Arial" w:eastAsia="Times New Roman" w:hAnsi="Arial" w:cs="Arial"/>
          <w:color w:val="333333"/>
          <w:lang w:eastAsia="it-IT"/>
        </w:rPr>
        <w:t>avvalimento</w:t>
      </w:r>
      <w:proofErr w:type="spellEnd"/>
      <w:r w:rsidRPr="005C66DC">
        <w:rPr>
          <w:rFonts w:ascii="Arial" w:eastAsia="Times New Roman" w:hAnsi="Arial" w:cs="Arial"/>
          <w:color w:val="333333"/>
          <w:lang w:eastAsia="it-IT"/>
        </w:rPr>
        <w:t xml:space="preserve"> interno tra imprese dello stesso raggruppamento temporaneo. </w:t>
      </w:r>
    </w:p>
    <w:p w:rsidR="008B135A" w:rsidRPr="005C66DC" w:rsidRDefault="005E13CC" w:rsidP="00945B05">
      <w:pPr>
        <w:shd w:val="clear" w:color="auto" w:fill="FFFFFF"/>
        <w:spacing w:after="100" w:afterAutospacing="1" w:line="240" w:lineRule="auto"/>
        <w:jc w:val="both"/>
        <w:rPr>
          <w:rFonts w:ascii="Arial" w:eastAsia="Times New Roman" w:hAnsi="Arial" w:cs="Arial"/>
          <w:color w:val="333333"/>
          <w:lang w:eastAsia="it-IT"/>
        </w:rPr>
      </w:pPr>
      <w:r w:rsidRPr="005C66DC">
        <w:rPr>
          <w:rFonts w:ascii="Arial" w:eastAsia="Times New Roman" w:hAnsi="Arial" w:cs="Arial"/>
          <w:color w:val="333333"/>
          <w:lang w:eastAsia="it-IT"/>
        </w:rPr>
        <w:t>Nel caso di prestito di requisiti di esperienza, per quanto riguarda i criteri relativi all’indicazione del titolo di studio e professionali</w:t>
      </w:r>
      <w:r w:rsidR="00677A61" w:rsidRPr="005C66DC">
        <w:rPr>
          <w:rFonts w:ascii="Arial" w:eastAsia="Times New Roman" w:hAnsi="Arial" w:cs="Arial"/>
          <w:color w:val="333333"/>
          <w:lang w:eastAsia="it-IT"/>
        </w:rPr>
        <w:t xml:space="preserve"> o alle esperienze professionali, gli operatori economici possono avvalersi delle capacità altrui solo se quest’</w:t>
      </w:r>
      <w:proofErr w:type="spellStart"/>
      <w:r w:rsidR="00677A61" w:rsidRPr="005C66DC">
        <w:rPr>
          <w:rFonts w:ascii="Arial" w:eastAsia="Times New Roman" w:hAnsi="Arial" w:cs="Arial"/>
          <w:color w:val="333333"/>
          <w:lang w:eastAsia="it-IT"/>
        </w:rPr>
        <w:t>ultimieseguono</w:t>
      </w:r>
      <w:proofErr w:type="spellEnd"/>
      <w:r w:rsidR="00677A61" w:rsidRPr="005C66DC">
        <w:rPr>
          <w:rFonts w:ascii="Arial" w:eastAsia="Times New Roman" w:hAnsi="Arial" w:cs="Arial"/>
          <w:color w:val="333333"/>
          <w:lang w:eastAsia="it-IT"/>
        </w:rPr>
        <w:t xml:space="preserve"> direttamente i lavori o i </w:t>
      </w:r>
      <w:proofErr w:type="spellStart"/>
      <w:r w:rsidR="00677A61" w:rsidRPr="005C66DC">
        <w:rPr>
          <w:rFonts w:ascii="Arial" w:eastAsia="Times New Roman" w:hAnsi="Arial" w:cs="Arial"/>
          <w:color w:val="333333"/>
          <w:lang w:eastAsia="it-IT"/>
        </w:rPr>
        <w:t>serivizi</w:t>
      </w:r>
      <w:proofErr w:type="spellEnd"/>
      <w:r w:rsidR="00677A61" w:rsidRPr="005C66DC">
        <w:rPr>
          <w:rFonts w:ascii="Arial" w:eastAsia="Times New Roman" w:hAnsi="Arial" w:cs="Arial"/>
          <w:color w:val="333333"/>
          <w:lang w:eastAsia="it-IT"/>
        </w:rPr>
        <w:t xml:space="preserve"> per cui </w:t>
      </w:r>
      <w:r w:rsidR="00677A61" w:rsidRPr="005C66DC">
        <w:rPr>
          <w:rFonts w:ascii="Arial" w:eastAsia="Times New Roman" w:hAnsi="Arial" w:cs="Arial"/>
          <w:color w:val="333333"/>
          <w:lang w:eastAsia="it-IT"/>
        </w:rPr>
        <w:lastRenderedPageBreak/>
        <w:t>tali capacità sono richieste., con obbligo di verifica del RUP dell’effettiva esecuzione dell’appalto da parte dell’ausiliaria.</w:t>
      </w:r>
    </w:p>
    <w:p w:rsidR="00152D01" w:rsidRPr="005C66DC" w:rsidRDefault="00152D01" w:rsidP="00945B05">
      <w:pPr>
        <w:shd w:val="clear" w:color="auto" w:fill="FFFFFF"/>
        <w:spacing w:after="100" w:afterAutospacing="1" w:line="240" w:lineRule="auto"/>
        <w:jc w:val="both"/>
        <w:rPr>
          <w:rFonts w:ascii="Arial" w:eastAsia="Times New Roman" w:hAnsi="Arial" w:cs="Arial"/>
          <w:color w:val="333333"/>
          <w:lang w:eastAsia="it-IT"/>
        </w:rPr>
      </w:pPr>
    </w:p>
    <w:p w:rsidR="00677A61" w:rsidRPr="005C66DC" w:rsidRDefault="00677A61" w:rsidP="00945B05">
      <w:pPr>
        <w:shd w:val="clear" w:color="auto" w:fill="FFFFFF"/>
        <w:spacing w:after="100" w:afterAutospacing="1" w:line="240" w:lineRule="auto"/>
        <w:jc w:val="both"/>
        <w:rPr>
          <w:rFonts w:ascii="Arial" w:eastAsia="Times New Roman" w:hAnsi="Arial" w:cs="Arial"/>
          <w:color w:val="333333"/>
          <w:lang w:eastAsia="it-IT"/>
        </w:rPr>
      </w:pPr>
      <w:r w:rsidRPr="005C66DC">
        <w:rPr>
          <w:rFonts w:ascii="Arial" w:eastAsia="Times New Roman" w:hAnsi="Arial" w:cs="Arial"/>
          <w:color w:val="333333"/>
          <w:lang w:eastAsia="it-IT"/>
        </w:rPr>
        <w:t>IL RUP</w:t>
      </w:r>
    </w:p>
    <w:p w:rsidR="00677A61" w:rsidRPr="005C66DC" w:rsidRDefault="00677A61" w:rsidP="00945B05">
      <w:pPr>
        <w:pStyle w:val="NormaleWeb"/>
        <w:shd w:val="clear" w:color="auto" w:fill="FFFFFF"/>
        <w:spacing w:before="0" w:beforeAutospacing="0" w:after="262" w:afterAutospacing="0"/>
        <w:rPr>
          <w:rFonts w:ascii="Arial" w:hAnsi="Arial" w:cs="Arial"/>
          <w:b/>
          <w:color w:val="222222"/>
          <w:sz w:val="22"/>
          <w:szCs w:val="22"/>
        </w:rPr>
      </w:pPr>
      <w:r w:rsidRPr="005C66DC">
        <w:rPr>
          <w:rFonts w:ascii="Arial" w:hAnsi="Arial" w:cs="Arial"/>
          <w:color w:val="000000"/>
          <w:sz w:val="22"/>
          <w:szCs w:val="22"/>
          <w:shd w:val="clear" w:color="auto" w:fill="F5FDFE"/>
        </w:rPr>
        <w:t xml:space="preserve">Per ogni singola procedura per l’affidamento di un appalto o di una concessione le stazioni appaltanti individuano nell’atto di adozione o di aggiornamento dei programmi ovvero nell’atto di avvio relativo ad ogni singolo intervento, per le esigenze non incluse in programmazione, un responsabile unico del procedimento (RUP) </w:t>
      </w:r>
      <w:r w:rsidRPr="005C66DC">
        <w:rPr>
          <w:rFonts w:ascii="Arial" w:hAnsi="Arial" w:cs="Arial"/>
          <w:b/>
          <w:color w:val="000000"/>
          <w:sz w:val="22"/>
          <w:szCs w:val="22"/>
          <w:shd w:val="clear" w:color="auto" w:fill="F5FDFE"/>
        </w:rPr>
        <w:t>per le fasi della programmazione, della progettazione, dell'affidamento, dell'esecuzione</w:t>
      </w:r>
    </w:p>
    <w:p w:rsidR="00677A61" w:rsidRPr="005C66DC" w:rsidRDefault="00677A61" w:rsidP="00945B05">
      <w:pPr>
        <w:pStyle w:val="NormaleWeb"/>
        <w:shd w:val="clear" w:color="auto" w:fill="FFFFFF"/>
        <w:spacing w:before="0" w:beforeAutospacing="0" w:after="262" w:afterAutospacing="0"/>
        <w:rPr>
          <w:rFonts w:ascii="Arial" w:hAnsi="Arial" w:cs="Arial"/>
          <w:color w:val="111111"/>
          <w:sz w:val="22"/>
          <w:szCs w:val="22"/>
        </w:rPr>
      </w:pPr>
      <w:r w:rsidRPr="005C66DC">
        <w:rPr>
          <w:rFonts w:ascii="Arial" w:hAnsi="Arial" w:cs="Arial"/>
          <w:color w:val="222222"/>
          <w:sz w:val="22"/>
          <w:szCs w:val="22"/>
        </w:rPr>
        <w:t xml:space="preserve">Per i lavori e servizi attinenti all’architettura e ingegneria il </w:t>
      </w:r>
      <w:proofErr w:type="spellStart"/>
      <w:r w:rsidRPr="005C66DC">
        <w:rPr>
          <w:rFonts w:ascii="Arial" w:hAnsi="Arial" w:cs="Arial"/>
          <w:color w:val="222222"/>
          <w:sz w:val="22"/>
          <w:szCs w:val="22"/>
        </w:rPr>
        <w:t>Rup</w:t>
      </w:r>
      <w:proofErr w:type="spellEnd"/>
      <w:r w:rsidRPr="005C66DC">
        <w:rPr>
          <w:rFonts w:ascii="Arial" w:hAnsi="Arial" w:cs="Arial"/>
          <w:color w:val="222222"/>
          <w:sz w:val="22"/>
          <w:szCs w:val="22"/>
        </w:rPr>
        <w:t> </w:t>
      </w:r>
      <w:r w:rsidRPr="005C66DC">
        <w:rPr>
          <w:rStyle w:val="Enfasigrassetto"/>
          <w:rFonts w:ascii="Arial" w:hAnsi="Arial" w:cs="Arial"/>
          <w:color w:val="222222"/>
          <w:sz w:val="22"/>
          <w:szCs w:val="22"/>
        </w:rPr>
        <w:t>deve essere un tecnico</w:t>
      </w:r>
      <w:r w:rsidRPr="005C66DC">
        <w:rPr>
          <w:rFonts w:ascii="Arial" w:hAnsi="Arial" w:cs="Arial"/>
          <w:color w:val="222222"/>
          <w:sz w:val="22"/>
          <w:szCs w:val="22"/>
        </w:rPr>
        <w:t>, </w:t>
      </w:r>
      <w:r w:rsidRPr="005C66DC">
        <w:rPr>
          <w:rStyle w:val="Enfasigrassetto"/>
          <w:rFonts w:ascii="Arial" w:hAnsi="Arial" w:cs="Arial"/>
          <w:color w:val="222222"/>
          <w:sz w:val="22"/>
          <w:szCs w:val="22"/>
        </w:rPr>
        <w:t>in assenza di tale figura</w:t>
      </w:r>
      <w:r w:rsidRPr="005C66DC">
        <w:rPr>
          <w:rFonts w:ascii="Arial" w:hAnsi="Arial" w:cs="Arial"/>
          <w:color w:val="222222"/>
          <w:sz w:val="22"/>
          <w:szCs w:val="22"/>
        </w:rPr>
        <w:t> le competenze sono attribuite al responsabile del servizio (che può avvalersi di tecnici – anche esterni – abilitati, con funzioni di supporto).</w:t>
      </w:r>
    </w:p>
    <w:p w:rsidR="00677A61" w:rsidRPr="005C66DC" w:rsidRDefault="00677A61" w:rsidP="00945B05">
      <w:pPr>
        <w:pStyle w:val="NormaleWeb"/>
        <w:shd w:val="clear" w:color="auto" w:fill="FFFFFF"/>
        <w:spacing w:before="0" w:beforeAutospacing="0" w:after="262" w:afterAutospacing="0"/>
        <w:rPr>
          <w:rFonts w:ascii="Arial" w:hAnsi="Arial" w:cs="Arial"/>
          <w:color w:val="222222"/>
          <w:sz w:val="22"/>
          <w:szCs w:val="22"/>
        </w:rPr>
      </w:pPr>
      <w:r w:rsidRPr="005C66DC">
        <w:rPr>
          <w:rFonts w:ascii="Arial" w:hAnsi="Arial" w:cs="Arial"/>
          <w:color w:val="222222"/>
          <w:sz w:val="22"/>
          <w:szCs w:val="22"/>
        </w:rPr>
        <w:t xml:space="preserve">Nel caso di servizi di architettura e ingegneria il </w:t>
      </w:r>
      <w:proofErr w:type="spellStart"/>
      <w:r w:rsidRPr="005C66DC">
        <w:rPr>
          <w:rFonts w:ascii="Arial" w:hAnsi="Arial" w:cs="Arial"/>
          <w:color w:val="222222"/>
          <w:sz w:val="22"/>
          <w:szCs w:val="22"/>
        </w:rPr>
        <w:t>Rup</w:t>
      </w:r>
      <w:proofErr w:type="spellEnd"/>
      <w:r w:rsidRPr="005C66DC">
        <w:rPr>
          <w:rFonts w:ascii="Arial" w:hAnsi="Arial" w:cs="Arial"/>
          <w:color w:val="222222"/>
          <w:sz w:val="22"/>
          <w:szCs w:val="22"/>
        </w:rPr>
        <w:t xml:space="preserve"> deve essere un </w:t>
      </w:r>
      <w:r w:rsidRPr="005C66DC">
        <w:rPr>
          <w:rStyle w:val="Enfasigrassetto"/>
          <w:rFonts w:ascii="Arial" w:hAnsi="Arial" w:cs="Arial"/>
          <w:color w:val="222222"/>
          <w:sz w:val="22"/>
          <w:szCs w:val="22"/>
        </w:rPr>
        <w:t>tecnico abilitato all’esercizio della professione</w:t>
      </w:r>
      <w:r w:rsidRPr="005C66DC">
        <w:rPr>
          <w:rFonts w:ascii="Arial" w:hAnsi="Arial" w:cs="Arial"/>
          <w:color w:val="222222"/>
          <w:sz w:val="22"/>
          <w:szCs w:val="22"/>
        </w:rPr>
        <w:t xml:space="preserve"> e in regola con gli obblighi formativi di cui all’articolo 7 del </w:t>
      </w:r>
      <w:proofErr w:type="spellStart"/>
      <w:r w:rsidRPr="005C66DC">
        <w:rPr>
          <w:rFonts w:ascii="Arial" w:hAnsi="Arial" w:cs="Arial"/>
          <w:color w:val="222222"/>
          <w:sz w:val="22"/>
          <w:szCs w:val="22"/>
        </w:rPr>
        <w:t>d.P.R.</w:t>
      </w:r>
      <w:proofErr w:type="spellEnd"/>
      <w:r w:rsidRPr="005C66DC">
        <w:rPr>
          <w:rFonts w:ascii="Arial" w:hAnsi="Arial" w:cs="Arial"/>
          <w:color w:val="222222"/>
          <w:sz w:val="22"/>
          <w:szCs w:val="22"/>
        </w:rPr>
        <w:t xml:space="preserve"> 137/2012.</w:t>
      </w:r>
    </w:p>
    <w:p w:rsidR="00677A61" w:rsidRPr="005C66DC" w:rsidRDefault="00677A61" w:rsidP="00945B05">
      <w:pPr>
        <w:pStyle w:val="NormaleWeb"/>
        <w:shd w:val="clear" w:color="auto" w:fill="FFFFFF"/>
        <w:spacing w:before="0" w:beforeAutospacing="0" w:after="262" w:afterAutospacing="0"/>
        <w:rPr>
          <w:rFonts w:ascii="Arial" w:hAnsi="Arial" w:cs="Arial"/>
          <w:color w:val="222222"/>
          <w:sz w:val="22"/>
          <w:szCs w:val="22"/>
        </w:rPr>
      </w:pPr>
      <w:r w:rsidRPr="005C66DC">
        <w:rPr>
          <w:rFonts w:ascii="Arial" w:hAnsi="Arial" w:cs="Arial"/>
          <w:color w:val="222222"/>
          <w:sz w:val="22"/>
          <w:szCs w:val="22"/>
        </w:rPr>
        <w:t xml:space="preserve">Negli appalti di lavori i requisiti del </w:t>
      </w:r>
      <w:proofErr w:type="spellStart"/>
      <w:r w:rsidRPr="005C66DC">
        <w:rPr>
          <w:rFonts w:ascii="Arial" w:hAnsi="Arial" w:cs="Arial"/>
          <w:color w:val="222222"/>
          <w:sz w:val="22"/>
          <w:szCs w:val="22"/>
        </w:rPr>
        <w:t>Rup</w:t>
      </w:r>
      <w:proofErr w:type="spellEnd"/>
      <w:r w:rsidRPr="005C66DC">
        <w:rPr>
          <w:rFonts w:ascii="Arial" w:hAnsi="Arial" w:cs="Arial"/>
          <w:color w:val="222222"/>
          <w:sz w:val="22"/>
          <w:szCs w:val="22"/>
        </w:rPr>
        <w:t xml:space="preserve"> sono i seguenti (Linee guida n. 3, ANAC, Parte II, punto 4.2)::</w:t>
      </w:r>
    </w:p>
    <w:p w:rsidR="00677A61" w:rsidRPr="005C66DC" w:rsidRDefault="00677A61" w:rsidP="00945B05">
      <w:pPr>
        <w:numPr>
          <w:ilvl w:val="0"/>
          <w:numId w:val="9"/>
        </w:numPr>
        <w:shd w:val="clear" w:color="auto" w:fill="FFFFFF"/>
        <w:spacing w:before="100" w:beforeAutospacing="1" w:after="100" w:afterAutospacing="1" w:line="240" w:lineRule="auto"/>
        <w:ind w:left="931"/>
        <w:rPr>
          <w:rFonts w:ascii="Arial" w:hAnsi="Arial" w:cs="Arial"/>
          <w:color w:val="222222"/>
        </w:rPr>
      </w:pPr>
      <w:r w:rsidRPr="005C66DC">
        <w:rPr>
          <w:rFonts w:ascii="Arial" w:hAnsi="Arial" w:cs="Arial"/>
          <w:color w:val="222222"/>
        </w:rPr>
        <w:t>sotto 1.000.000 euro = almeno possesso di diploma di geometra (o studi quinquennali equivalenti) con esperienza di 10 anni;</w:t>
      </w:r>
    </w:p>
    <w:p w:rsidR="00677A61" w:rsidRPr="005C66DC" w:rsidRDefault="00677A61" w:rsidP="00945B05">
      <w:pPr>
        <w:numPr>
          <w:ilvl w:val="0"/>
          <w:numId w:val="9"/>
        </w:numPr>
        <w:shd w:val="clear" w:color="auto" w:fill="FFFFFF"/>
        <w:spacing w:before="100" w:beforeAutospacing="1" w:after="100" w:afterAutospacing="1" w:line="240" w:lineRule="auto"/>
        <w:ind w:left="931"/>
        <w:rPr>
          <w:rFonts w:ascii="Arial" w:hAnsi="Arial" w:cs="Arial"/>
          <w:color w:val="222222"/>
        </w:rPr>
      </w:pPr>
      <w:r w:rsidRPr="005C66DC">
        <w:rPr>
          <w:rFonts w:ascii="Arial" w:hAnsi="Arial" w:cs="Arial"/>
          <w:color w:val="222222"/>
        </w:rPr>
        <w:t>tra 1.000.000 euro e soglia = laurea triennale in architettura, ingegneria o equipollenti con esperienza 5 anni oppure tecnici con diploma di  geometra/tecnico delle costruzioni con esperienza di 15 anni;</w:t>
      </w:r>
    </w:p>
    <w:p w:rsidR="00677A61" w:rsidRPr="005C66DC" w:rsidRDefault="00677A61" w:rsidP="00945B05">
      <w:pPr>
        <w:pStyle w:val="NormaleWeb"/>
        <w:shd w:val="clear" w:color="auto" w:fill="FFFFFF"/>
        <w:spacing w:before="0" w:beforeAutospacing="0" w:after="262" w:afterAutospacing="0"/>
        <w:rPr>
          <w:rFonts w:ascii="Arial" w:hAnsi="Arial" w:cs="Arial"/>
          <w:color w:val="222222"/>
          <w:sz w:val="22"/>
          <w:szCs w:val="22"/>
        </w:rPr>
      </w:pPr>
      <w:r w:rsidRPr="005C66DC">
        <w:rPr>
          <w:rFonts w:ascii="Arial" w:hAnsi="Arial" w:cs="Arial"/>
          <w:color w:val="222222"/>
          <w:sz w:val="22"/>
          <w:szCs w:val="22"/>
        </w:rPr>
        <w:t xml:space="preserve">Il </w:t>
      </w:r>
      <w:proofErr w:type="spellStart"/>
      <w:r w:rsidRPr="005C66DC">
        <w:rPr>
          <w:rFonts w:ascii="Arial" w:hAnsi="Arial" w:cs="Arial"/>
          <w:color w:val="222222"/>
          <w:sz w:val="22"/>
          <w:szCs w:val="22"/>
        </w:rPr>
        <w:t>Rup</w:t>
      </w:r>
      <w:proofErr w:type="spellEnd"/>
      <w:r w:rsidRPr="005C66DC">
        <w:rPr>
          <w:rFonts w:ascii="Arial" w:hAnsi="Arial" w:cs="Arial"/>
          <w:color w:val="222222"/>
          <w:sz w:val="22"/>
          <w:szCs w:val="22"/>
        </w:rPr>
        <w:t xml:space="preserve"> è </w:t>
      </w:r>
      <w:r w:rsidRPr="005C66DC">
        <w:rPr>
          <w:rStyle w:val="Enfasigrassetto"/>
          <w:rFonts w:ascii="Arial" w:hAnsi="Arial" w:cs="Arial"/>
          <w:color w:val="222222"/>
          <w:sz w:val="22"/>
          <w:szCs w:val="22"/>
        </w:rPr>
        <w:t>nominato con atto formale</w:t>
      </w:r>
      <w:r w:rsidRPr="005C66DC">
        <w:rPr>
          <w:rFonts w:ascii="Arial" w:hAnsi="Arial" w:cs="Arial"/>
          <w:color w:val="222222"/>
          <w:sz w:val="22"/>
          <w:szCs w:val="22"/>
        </w:rPr>
        <w:t> del soggetto responsabile (di livello apicale) dell’unità organizzativa, viene individuato tra i dipendenti di ruolo che fanno parte della stessa unità e deve essere in possesso delle competenze professionali adeguate ai compiti per cui è nominato. </w:t>
      </w:r>
      <w:r w:rsidRPr="005C66DC">
        <w:rPr>
          <w:rStyle w:val="Enfasigrassetto"/>
          <w:rFonts w:ascii="Arial" w:hAnsi="Arial" w:cs="Arial"/>
          <w:color w:val="222222"/>
          <w:sz w:val="22"/>
          <w:szCs w:val="22"/>
        </w:rPr>
        <w:t xml:space="preserve">Nel caso di carenza </w:t>
      </w:r>
      <w:proofErr w:type="spellStart"/>
      <w:r w:rsidRPr="005C66DC">
        <w:rPr>
          <w:rStyle w:val="Enfasigrassetto"/>
          <w:rFonts w:ascii="Arial" w:hAnsi="Arial" w:cs="Arial"/>
          <w:color w:val="222222"/>
          <w:sz w:val="22"/>
          <w:szCs w:val="22"/>
        </w:rPr>
        <w:t>accertata</w:t>
      </w:r>
      <w:r w:rsidRPr="005C66DC">
        <w:rPr>
          <w:rFonts w:ascii="Arial" w:hAnsi="Arial" w:cs="Arial"/>
          <w:color w:val="222222"/>
          <w:sz w:val="22"/>
          <w:szCs w:val="22"/>
        </w:rPr>
        <w:t>nell</w:t>
      </w:r>
      <w:proofErr w:type="spellEnd"/>
      <w:r w:rsidRPr="005C66DC">
        <w:rPr>
          <w:rFonts w:ascii="Arial" w:hAnsi="Arial" w:cs="Arial"/>
          <w:color w:val="222222"/>
          <w:sz w:val="22"/>
          <w:szCs w:val="22"/>
        </w:rPr>
        <w:t xml:space="preserve">’organico per tale ruolo, il </w:t>
      </w:r>
      <w:proofErr w:type="spellStart"/>
      <w:r w:rsidRPr="005C66DC">
        <w:rPr>
          <w:rFonts w:ascii="Arial" w:hAnsi="Arial" w:cs="Arial"/>
          <w:color w:val="222222"/>
          <w:sz w:val="22"/>
          <w:szCs w:val="22"/>
        </w:rPr>
        <w:t>Rup</w:t>
      </w:r>
      <w:proofErr w:type="spellEnd"/>
      <w:r w:rsidRPr="005C66DC">
        <w:rPr>
          <w:rFonts w:ascii="Arial" w:hAnsi="Arial" w:cs="Arial"/>
          <w:color w:val="222222"/>
          <w:sz w:val="22"/>
          <w:szCs w:val="22"/>
        </w:rPr>
        <w:t xml:space="preserve"> è nominato tra gli altri dipendenti in servizio oppure a soggetti selezionati con le procedure di cui al Codice.</w:t>
      </w:r>
    </w:p>
    <w:p w:rsidR="00677A61" w:rsidRPr="005C66DC" w:rsidRDefault="00677A61" w:rsidP="00945B05">
      <w:pPr>
        <w:pStyle w:val="NormaleWeb"/>
        <w:shd w:val="clear" w:color="auto" w:fill="FFFFFF"/>
        <w:spacing w:before="0" w:beforeAutospacing="0" w:after="262" w:afterAutospacing="0"/>
        <w:rPr>
          <w:rFonts w:ascii="Arial" w:hAnsi="Arial" w:cs="Arial"/>
          <w:color w:val="222222"/>
          <w:sz w:val="22"/>
          <w:szCs w:val="22"/>
        </w:rPr>
      </w:pPr>
      <w:r w:rsidRPr="005C66DC">
        <w:rPr>
          <w:rFonts w:ascii="Arial" w:hAnsi="Arial" w:cs="Arial"/>
          <w:color w:val="222222"/>
          <w:sz w:val="22"/>
          <w:szCs w:val="22"/>
        </w:rPr>
        <w:t xml:space="preserve">Nel caso di appalti complessi il </w:t>
      </w:r>
      <w:proofErr w:type="spellStart"/>
      <w:r w:rsidRPr="005C66DC">
        <w:rPr>
          <w:rFonts w:ascii="Arial" w:hAnsi="Arial" w:cs="Arial"/>
          <w:color w:val="222222"/>
          <w:sz w:val="22"/>
          <w:szCs w:val="22"/>
        </w:rPr>
        <w:t>Rup</w:t>
      </w:r>
      <w:proofErr w:type="spellEnd"/>
      <w:r w:rsidRPr="005C66DC">
        <w:rPr>
          <w:rFonts w:ascii="Arial" w:hAnsi="Arial" w:cs="Arial"/>
          <w:color w:val="222222"/>
          <w:sz w:val="22"/>
          <w:szCs w:val="22"/>
        </w:rPr>
        <w:t xml:space="preserve"> propone in conferimento di </w:t>
      </w:r>
      <w:r w:rsidRPr="005C66DC">
        <w:rPr>
          <w:rStyle w:val="Enfasigrassetto"/>
          <w:rFonts w:ascii="Arial" w:hAnsi="Arial" w:cs="Arial"/>
          <w:color w:val="222222"/>
          <w:sz w:val="22"/>
          <w:szCs w:val="22"/>
        </w:rPr>
        <w:t>incarichi a supporto</w:t>
      </w:r>
      <w:r w:rsidRPr="005C66DC">
        <w:rPr>
          <w:rFonts w:ascii="Arial" w:hAnsi="Arial" w:cs="Arial"/>
          <w:color w:val="222222"/>
          <w:sz w:val="22"/>
          <w:szCs w:val="22"/>
        </w:rPr>
        <w:t> che possono essere affidati anche a soggetti esterni dotati di polizze assicurative.</w:t>
      </w:r>
    </w:p>
    <w:p w:rsidR="00677A61" w:rsidRPr="005C66DC" w:rsidRDefault="00677A61" w:rsidP="00945B05">
      <w:pPr>
        <w:pStyle w:val="NormaleWeb"/>
        <w:shd w:val="clear" w:color="auto" w:fill="FFFFFF"/>
        <w:spacing w:before="0" w:beforeAutospacing="0" w:after="262" w:afterAutospacing="0"/>
        <w:rPr>
          <w:rFonts w:ascii="Arial" w:hAnsi="Arial" w:cs="Arial"/>
          <w:color w:val="222222"/>
          <w:sz w:val="22"/>
          <w:szCs w:val="22"/>
        </w:rPr>
      </w:pPr>
      <w:r w:rsidRPr="005C66DC">
        <w:rPr>
          <w:rFonts w:ascii="Arial" w:hAnsi="Arial" w:cs="Arial"/>
          <w:color w:val="222222"/>
          <w:sz w:val="22"/>
          <w:szCs w:val="22"/>
        </w:rPr>
        <w:t xml:space="preserve">Le centrali di committenza designano un </w:t>
      </w:r>
      <w:proofErr w:type="spellStart"/>
      <w:r w:rsidRPr="005C66DC">
        <w:rPr>
          <w:rFonts w:ascii="Arial" w:hAnsi="Arial" w:cs="Arial"/>
          <w:color w:val="222222"/>
          <w:sz w:val="22"/>
          <w:szCs w:val="22"/>
        </w:rPr>
        <w:t>Rup</w:t>
      </w:r>
      <w:proofErr w:type="spellEnd"/>
      <w:r w:rsidRPr="005C66DC">
        <w:rPr>
          <w:rFonts w:ascii="Arial" w:hAnsi="Arial" w:cs="Arial"/>
          <w:color w:val="222222"/>
          <w:sz w:val="22"/>
          <w:szCs w:val="22"/>
        </w:rPr>
        <w:t xml:space="preserve"> per le attività di propria competenza.</w:t>
      </w:r>
    </w:p>
    <w:p w:rsidR="00677A61" w:rsidRPr="005C66DC" w:rsidRDefault="00677A61" w:rsidP="00945B05">
      <w:pPr>
        <w:pStyle w:val="NormaleWeb"/>
        <w:shd w:val="clear" w:color="auto" w:fill="FFFFFF"/>
        <w:spacing w:before="0" w:beforeAutospacing="0" w:after="262" w:afterAutospacing="0"/>
        <w:rPr>
          <w:rFonts w:ascii="Arial" w:hAnsi="Arial" w:cs="Arial"/>
          <w:color w:val="222222"/>
          <w:sz w:val="22"/>
          <w:szCs w:val="22"/>
        </w:rPr>
      </w:pPr>
      <w:r w:rsidRPr="005C66DC">
        <w:rPr>
          <w:rFonts w:ascii="Arial" w:hAnsi="Arial" w:cs="Arial"/>
          <w:color w:val="222222"/>
          <w:sz w:val="22"/>
          <w:szCs w:val="22"/>
        </w:rPr>
        <w:t xml:space="preserve">Il </w:t>
      </w:r>
      <w:proofErr w:type="spellStart"/>
      <w:r w:rsidRPr="005C66DC">
        <w:rPr>
          <w:rFonts w:ascii="Arial" w:hAnsi="Arial" w:cs="Arial"/>
          <w:color w:val="222222"/>
          <w:sz w:val="22"/>
          <w:szCs w:val="22"/>
        </w:rPr>
        <w:t>Rup</w:t>
      </w:r>
      <w:proofErr w:type="spellEnd"/>
      <w:r w:rsidRPr="005C66DC">
        <w:rPr>
          <w:rFonts w:ascii="Arial" w:hAnsi="Arial" w:cs="Arial"/>
          <w:color w:val="222222"/>
          <w:sz w:val="22"/>
          <w:szCs w:val="22"/>
        </w:rPr>
        <w:t>, nell’esercizio delle sue funzioni è qualificabile come un </w:t>
      </w:r>
      <w:r w:rsidRPr="005C66DC">
        <w:rPr>
          <w:rStyle w:val="Enfasigrassetto"/>
          <w:rFonts w:ascii="Arial" w:hAnsi="Arial" w:cs="Arial"/>
          <w:color w:val="222222"/>
          <w:sz w:val="22"/>
          <w:szCs w:val="22"/>
        </w:rPr>
        <w:t>pubblico ufficiale</w:t>
      </w:r>
      <w:r w:rsidRPr="005C66DC">
        <w:rPr>
          <w:rFonts w:ascii="Arial" w:hAnsi="Arial" w:cs="Arial"/>
          <w:color w:val="222222"/>
          <w:sz w:val="22"/>
          <w:szCs w:val="22"/>
        </w:rPr>
        <w:t xml:space="preserve"> e le funzioni non possono essere assunte da personale che versa nelle ipotesi di cui all’art. 42, comma 2 del Codice (conflitto di interessi). Il ruolo di </w:t>
      </w:r>
      <w:proofErr w:type="spellStart"/>
      <w:r w:rsidRPr="005C66DC">
        <w:rPr>
          <w:rFonts w:ascii="Arial" w:hAnsi="Arial" w:cs="Arial"/>
          <w:color w:val="222222"/>
          <w:sz w:val="22"/>
          <w:szCs w:val="22"/>
        </w:rPr>
        <w:t>Rup</w:t>
      </w:r>
      <w:proofErr w:type="spellEnd"/>
      <w:r w:rsidRPr="005C66DC">
        <w:rPr>
          <w:rFonts w:ascii="Arial" w:hAnsi="Arial" w:cs="Arial"/>
          <w:color w:val="222222"/>
          <w:sz w:val="22"/>
          <w:szCs w:val="22"/>
        </w:rPr>
        <w:t xml:space="preserve"> è incompatibile con le funzioni di commissario di gara.</w:t>
      </w:r>
    </w:p>
    <w:p w:rsidR="002648B4" w:rsidRPr="005C66DC" w:rsidRDefault="002648B4" w:rsidP="00945B05">
      <w:pPr>
        <w:pStyle w:val="NormaleWeb"/>
        <w:shd w:val="clear" w:color="auto" w:fill="FFFFFF"/>
        <w:spacing w:before="0" w:beforeAutospacing="0" w:after="262" w:afterAutospacing="0"/>
        <w:rPr>
          <w:rFonts w:ascii="Arial" w:hAnsi="Arial" w:cs="Arial"/>
          <w:color w:val="222222"/>
          <w:sz w:val="22"/>
          <w:szCs w:val="22"/>
        </w:rPr>
      </w:pPr>
      <w:r w:rsidRPr="005C66DC">
        <w:rPr>
          <w:rFonts w:ascii="Arial" w:hAnsi="Arial" w:cs="Arial"/>
          <w:color w:val="000000"/>
          <w:sz w:val="22"/>
          <w:szCs w:val="22"/>
          <w:shd w:val="clear" w:color="auto" w:fill="F5FDFE"/>
        </w:rPr>
        <w:t>Nel caso in cui l'organico della stazione appaltante presenti carenze accertate o in esso non sia compreso nessun soggetto in possesso della specifica professionalità necessaria per lo svolgimento dei compiti propri del RUP, secondo quanto attestato dal dirigente competente, i compiti di supporto all'attività del RUP possono essere affidati, con le procedure previste dal presente codice, ai soggetti aventi le specifiche competenze di carattere tecnico, economico-finanziario, amministrativo, organizzativo e legale, dotati di adeguata polizza assicurativa a copertura dei rischi professionali, assicurando comunque il rispetto dei principi di pubblicità e di trasparenza.</w:t>
      </w:r>
    </w:p>
    <w:p w:rsidR="002648B4" w:rsidRPr="005C66DC" w:rsidRDefault="002648B4" w:rsidP="00945B05">
      <w:pPr>
        <w:pStyle w:val="NormaleWeb"/>
        <w:shd w:val="clear" w:color="auto" w:fill="F5FDFE"/>
        <w:rPr>
          <w:rFonts w:ascii="Arial" w:hAnsi="Arial" w:cs="Arial"/>
          <w:color w:val="000000"/>
          <w:sz w:val="22"/>
          <w:szCs w:val="22"/>
        </w:rPr>
      </w:pPr>
      <w:r w:rsidRPr="005C66DC">
        <w:rPr>
          <w:rFonts w:ascii="Arial" w:hAnsi="Arial" w:cs="Arial"/>
          <w:color w:val="000000"/>
          <w:sz w:val="22"/>
          <w:szCs w:val="22"/>
        </w:rPr>
        <w:lastRenderedPageBreak/>
        <w:t>l RUP,  svolge tutti i compiti relativi alle procedure di programmazione, progettazione, affidamento ed esecuzione previste dal presente codice, che non siano specificatamente attribuiti ad altri organi o soggetti.</w:t>
      </w:r>
    </w:p>
    <w:p w:rsidR="002648B4" w:rsidRPr="005C66DC" w:rsidRDefault="002648B4" w:rsidP="00945B05">
      <w:pPr>
        <w:pStyle w:val="NormaleWeb"/>
        <w:shd w:val="clear" w:color="auto" w:fill="F5FDFE"/>
        <w:rPr>
          <w:rFonts w:ascii="Arial" w:hAnsi="Arial" w:cs="Arial"/>
          <w:color w:val="000000"/>
          <w:sz w:val="22"/>
          <w:szCs w:val="22"/>
        </w:rPr>
      </w:pPr>
      <w:r w:rsidRPr="005C66DC">
        <w:rPr>
          <w:rFonts w:ascii="Arial" w:hAnsi="Arial" w:cs="Arial"/>
          <w:color w:val="000000"/>
          <w:sz w:val="22"/>
          <w:szCs w:val="22"/>
        </w:rPr>
        <w:t>Oltre ai compiti specificatamente previsti da altre disposizioni del codice, in particolare, il RUP:</w:t>
      </w:r>
    </w:p>
    <w:p w:rsidR="002648B4" w:rsidRPr="005C66DC" w:rsidRDefault="002648B4" w:rsidP="00945B05">
      <w:pPr>
        <w:pStyle w:val="NormaleWeb"/>
        <w:shd w:val="clear" w:color="auto" w:fill="F5FDFE"/>
        <w:rPr>
          <w:rFonts w:ascii="Arial" w:hAnsi="Arial" w:cs="Arial"/>
          <w:color w:val="000000"/>
          <w:sz w:val="22"/>
          <w:szCs w:val="22"/>
        </w:rPr>
      </w:pPr>
      <w:r w:rsidRPr="005C66DC">
        <w:rPr>
          <w:rFonts w:ascii="Arial" w:hAnsi="Arial" w:cs="Arial"/>
          <w:color w:val="000000"/>
          <w:sz w:val="22"/>
          <w:szCs w:val="22"/>
        </w:rPr>
        <w:t xml:space="preserve">a) formula proposte e fornisce dati e informazioni al fine della predisposizione del programma triennale dei lavori pubblici e dei relativi aggiornamenti annuali, nonché al fine della predisposizione di ogni altro atto di programmazione di contratti pubblici di servizi e di forniture e della predisposizione dell'avviso di </w:t>
      </w:r>
      <w:proofErr w:type="spellStart"/>
      <w:r w:rsidRPr="005C66DC">
        <w:rPr>
          <w:rFonts w:ascii="Arial" w:hAnsi="Arial" w:cs="Arial"/>
          <w:color w:val="000000"/>
          <w:sz w:val="22"/>
          <w:szCs w:val="22"/>
        </w:rPr>
        <w:t>preinformazione</w:t>
      </w:r>
      <w:proofErr w:type="spellEnd"/>
      <w:r w:rsidRPr="005C66DC">
        <w:rPr>
          <w:rFonts w:ascii="Arial" w:hAnsi="Arial" w:cs="Arial"/>
          <w:color w:val="000000"/>
          <w:sz w:val="22"/>
          <w:szCs w:val="22"/>
        </w:rPr>
        <w:t>; </w:t>
      </w:r>
      <w:r w:rsidRPr="005C66DC">
        <w:rPr>
          <w:rFonts w:ascii="Arial" w:hAnsi="Arial" w:cs="Arial"/>
          <w:color w:val="000000"/>
          <w:sz w:val="22"/>
          <w:szCs w:val="22"/>
        </w:rPr>
        <w:br/>
        <w:t>b) cura, in ciascuna fase di attuazione degli interventi, il controllo sui livelli di prestazione, di qualità e di prezzo determinati in coerenza alla copertura finanziaria e ai tempi di realizzazione dei programmi; </w:t>
      </w:r>
      <w:r w:rsidRPr="005C66DC">
        <w:rPr>
          <w:rFonts w:ascii="Arial" w:hAnsi="Arial" w:cs="Arial"/>
          <w:color w:val="000000"/>
          <w:sz w:val="22"/>
          <w:szCs w:val="22"/>
        </w:rPr>
        <w:br/>
        <w:t>c) cura il corretto e razionale svolgimento delle procedure; </w:t>
      </w:r>
      <w:r w:rsidRPr="005C66DC">
        <w:rPr>
          <w:rFonts w:ascii="Arial" w:hAnsi="Arial" w:cs="Arial"/>
          <w:color w:val="000000"/>
          <w:sz w:val="22"/>
          <w:szCs w:val="22"/>
        </w:rPr>
        <w:br/>
        <w:t>d) segnala eventuali disfunzioni, impedimenti, ritardi nell'attuazione degli interventi; </w:t>
      </w:r>
      <w:r w:rsidRPr="005C66DC">
        <w:rPr>
          <w:rFonts w:ascii="Arial" w:hAnsi="Arial" w:cs="Arial"/>
          <w:color w:val="000000"/>
          <w:sz w:val="22"/>
          <w:szCs w:val="22"/>
        </w:rPr>
        <w:br/>
        <w:t>e) accerta la libera disponibilità di aree e immobili necessari; </w:t>
      </w:r>
      <w:r w:rsidRPr="005C66DC">
        <w:rPr>
          <w:rFonts w:ascii="Arial" w:hAnsi="Arial" w:cs="Arial"/>
          <w:color w:val="000000"/>
          <w:sz w:val="22"/>
          <w:szCs w:val="22"/>
        </w:rPr>
        <w:br/>
        <w:t>f) fornisce all'amministrazione aggiudicatrice i dati e le informazioni relativi alle principali fasi di svolgimento dell'attuazione dell'intervento, necessari per l'attività di coordinamento, indirizzo e controllo di sua competenza e sorveglia la efficiente gestione economica dell’intervento; </w:t>
      </w:r>
      <w:r w:rsidRPr="005C66DC">
        <w:rPr>
          <w:rFonts w:ascii="Arial" w:hAnsi="Arial" w:cs="Arial"/>
          <w:color w:val="000000"/>
          <w:sz w:val="22"/>
          <w:szCs w:val="22"/>
        </w:rPr>
        <w:br/>
        <w:t>g) propone all'amministrazione aggiudicatrice la conclusione di un accordo di programma, ai sensi delle norme vigenti, quando si rende necessaria l'azione integrata e coordinata di diverse amministrazioni; </w:t>
      </w:r>
      <w:r w:rsidRPr="005C66DC">
        <w:rPr>
          <w:rFonts w:ascii="Arial" w:hAnsi="Arial" w:cs="Arial"/>
          <w:color w:val="000000"/>
          <w:sz w:val="22"/>
          <w:szCs w:val="22"/>
        </w:rPr>
        <w:br/>
        <w:t>h) propone l'indizione o, ove competente, indice la conferenza di servizi quando sia necessario o utile per l'acquisizione di intese, pareri, concessioni, autorizzazioni, permessi, licenze, nulla osta, assensi, comunque denominati;</w:t>
      </w:r>
      <w:r w:rsidRPr="005C66DC">
        <w:rPr>
          <w:rFonts w:ascii="Arial" w:hAnsi="Arial" w:cs="Arial"/>
          <w:color w:val="000000"/>
          <w:sz w:val="22"/>
          <w:szCs w:val="22"/>
        </w:rPr>
        <w:br/>
        <w:t>i) verifica e vigila sul rispetto delle prescrizioni contrattuali nelle concessioni.</w:t>
      </w:r>
    </w:p>
    <w:p w:rsidR="00677A61" w:rsidRPr="005C66DC" w:rsidRDefault="00152D01" w:rsidP="00945B05">
      <w:pPr>
        <w:pStyle w:val="NormaleWeb"/>
        <w:shd w:val="clear" w:color="auto" w:fill="FFFFFF"/>
        <w:spacing w:before="0" w:beforeAutospacing="0" w:after="262" w:afterAutospacing="0"/>
        <w:rPr>
          <w:rFonts w:ascii="Arial" w:hAnsi="Arial" w:cs="Arial"/>
          <w:color w:val="000000"/>
          <w:sz w:val="22"/>
          <w:szCs w:val="22"/>
          <w:shd w:val="clear" w:color="auto" w:fill="F5FDFE"/>
        </w:rPr>
      </w:pPr>
      <w:r w:rsidRPr="005C66DC">
        <w:rPr>
          <w:rFonts w:ascii="Arial" w:hAnsi="Arial" w:cs="Arial"/>
          <w:color w:val="000000"/>
          <w:sz w:val="22"/>
          <w:szCs w:val="22"/>
          <w:shd w:val="clear" w:color="auto" w:fill="F5FDFE"/>
        </w:rPr>
        <w:t xml:space="preserve">La </w:t>
      </w:r>
      <w:r w:rsidR="002648B4" w:rsidRPr="005C66DC">
        <w:rPr>
          <w:rFonts w:ascii="Arial" w:hAnsi="Arial" w:cs="Arial"/>
          <w:color w:val="000000"/>
          <w:sz w:val="22"/>
          <w:szCs w:val="22"/>
          <w:shd w:val="clear" w:color="auto" w:fill="F5FDFE"/>
        </w:rPr>
        <w:t> stazione appaltante, allo scopo di migliorare la qualità della progettazione e della programmazione complessiva, può, nell’ambito della propria autonomia organizzativa e nel rispetto dei limiti previsti dalla vigente normativa, istituire una struttura stabile a supporto dei RUP, anche alle dirette dipendenze del vertice della pubblica amministrazione di riferimento</w:t>
      </w:r>
    </w:p>
    <w:p w:rsidR="00152D01" w:rsidRPr="005C66DC" w:rsidRDefault="00152D01" w:rsidP="00945B05">
      <w:pPr>
        <w:pStyle w:val="NormaleWeb"/>
        <w:shd w:val="clear" w:color="auto" w:fill="FFFFFF"/>
        <w:spacing w:before="0" w:beforeAutospacing="0" w:after="262" w:afterAutospacing="0"/>
        <w:rPr>
          <w:rFonts w:ascii="Arial" w:hAnsi="Arial" w:cs="Arial"/>
          <w:color w:val="222222"/>
          <w:sz w:val="22"/>
          <w:szCs w:val="22"/>
        </w:rPr>
      </w:pPr>
      <w:r w:rsidRPr="005C66DC">
        <w:rPr>
          <w:rFonts w:ascii="Arial" w:hAnsi="Arial" w:cs="Arial"/>
          <w:color w:val="222222"/>
          <w:sz w:val="22"/>
          <w:szCs w:val="22"/>
        </w:rPr>
        <w:t>IL DIRETTORE DEI LAVORI</w:t>
      </w:r>
    </w:p>
    <w:p w:rsidR="00FA5BBE" w:rsidRPr="005C66DC" w:rsidRDefault="00152D01" w:rsidP="00945B05">
      <w:pPr>
        <w:pStyle w:val="NormaleWeb"/>
        <w:shd w:val="clear" w:color="auto" w:fill="FFFFFF"/>
        <w:spacing w:before="0" w:beforeAutospacing="0" w:after="262" w:afterAutospacing="0"/>
        <w:rPr>
          <w:rFonts w:ascii="Arial" w:hAnsi="Arial" w:cs="Arial"/>
          <w:color w:val="222222"/>
          <w:sz w:val="22"/>
          <w:szCs w:val="22"/>
        </w:rPr>
      </w:pPr>
      <w:r w:rsidRPr="005C66DC">
        <w:rPr>
          <w:rFonts w:ascii="Arial" w:hAnsi="Arial" w:cs="Arial"/>
          <w:color w:val="222222"/>
          <w:sz w:val="22"/>
          <w:szCs w:val="22"/>
        </w:rPr>
        <w:t xml:space="preserve">Il direttore dei lavori, individuato dalla stazione appaltante su proposta del RUP prima dell’avvio delle procedure per l’affidamento, ed investito del coordinamento, della direzione e del controllo tecnico- contabile dell’esecuzione. </w:t>
      </w:r>
    </w:p>
    <w:p w:rsidR="00FA5BBE" w:rsidRPr="005C66DC" w:rsidRDefault="00FA5BBE" w:rsidP="00945B05">
      <w:pPr>
        <w:pStyle w:val="NormaleWeb"/>
        <w:shd w:val="clear" w:color="auto" w:fill="F5FDFE"/>
        <w:rPr>
          <w:rFonts w:ascii="Arial" w:hAnsi="Arial" w:cs="Arial"/>
          <w:color w:val="000000"/>
          <w:sz w:val="22"/>
          <w:szCs w:val="22"/>
        </w:rPr>
      </w:pPr>
      <w:r w:rsidRPr="005C66DC">
        <w:rPr>
          <w:rFonts w:ascii="Arial" w:hAnsi="Arial" w:cs="Arial"/>
          <w:color w:val="000000"/>
          <w:sz w:val="22"/>
          <w:szCs w:val="22"/>
        </w:rPr>
        <w:t>Il direttore dei lavori, con l'ufficio di direzione lavori, ove costituito, è preposto al controllo tecnico, contabile e amministrativo dell'esecuzione dell'intervento affinché i lavori siano eseguiti a regola d'arte ed in conformità al progetto e al contratto. Il direttore dei lavori ha la responsabilità del coordinamento e della supervisione dell'attività di tutto l'ufficio di direzione dei lavori, ed interloquisce in via esclusiva con l'esecutore in merito agli aspetti tecnici ed economici del contratto. Il direttore dei lavori ha la specifica responsabilità dell'accettazione dei materiali, sulla base anche del controllo quantitativo e qualitativo degli accertamenti ufficiali delle caratteristiche meccaniche e in aderenza alle disposizioni delle norme tecniche per le costruzioni vigenti. Al direttore dei lavori fanno carico tutte le attività ed i compiti allo stesso espressamente demandati dal codice nonché:</w:t>
      </w:r>
    </w:p>
    <w:p w:rsidR="00FA5BBE" w:rsidRPr="005C66DC" w:rsidRDefault="00FA5BBE" w:rsidP="00945B05">
      <w:pPr>
        <w:pStyle w:val="NormaleWeb"/>
        <w:shd w:val="clear" w:color="auto" w:fill="F5FDFE"/>
        <w:spacing w:before="0" w:beforeAutospacing="0" w:after="0" w:afterAutospacing="0"/>
        <w:rPr>
          <w:rFonts w:ascii="Arial" w:hAnsi="Arial" w:cs="Arial"/>
          <w:color w:val="000000"/>
          <w:sz w:val="22"/>
          <w:szCs w:val="22"/>
        </w:rPr>
      </w:pPr>
      <w:r w:rsidRPr="005C66DC">
        <w:rPr>
          <w:rFonts w:ascii="Arial" w:hAnsi="Arial" w:cs="Arial"/>
          <w:color w:val="000000"/>
          <w:sz w:val="22"/>
          <w:szCs w:val="22"/>
        </w:rPr>
        <w:t>a) verificare periodicamente il possesso e la regolarità da parte dell'esecutore e del subappaltatore della documentazione prevista dalle leggi vigenti in materia di obblighi nei confronti dei dipendenti;</w:t>
      </w:r>
    </w:p>
    <w:p w:rsidR="00FA5BBE" w:rsidRPr="005C66DC" w:rsidRDefault="00FA5BBE" w:rsidP="00945B05">
      <w:pPr>
        <w:pStyle w:val="NormaleWeb"/>
        <w:shd w:val="clear" w:color="auto" w:fill="F5FDFE"/>
        <w:spacing w:before="0" w:beforeAutospacing="0" w:after="0" w:afterAutospacing="0"/>
        <w:rPr>
          <w:rFonts w:ascii="Arial" w:hAnsi="Arial" w:cs="Arial"/>
          <w:color w:val="000000"/>
          <w:sz w:val="22"/>
          <w:szCs w:val="22"/>
        </w:rPr>
      </w:pPr>
      <w:r w:rsidRPr="005C66DC">
        <w:rPr>
          <w:rFonts w:ascii="Arial" w:hAnsi="Arial" w:cs="Arial"/>
          <w:color w:val="000000"/>
          <w:sz w:val="22"/>
          <w:szCs w:val="22"/>
        </w:rPr>
        <w:t>b) curare la costante verifica di validità del programma di manutenzione, dei manuali d'uso e dei manuali di manutenzione, modificandone e aggiornandone i contenuti a lavori ultimati; </w:t>
      </w:r>
      <w:r w:rsidRPr="005C66DC">
        <w:rPr>
          <w:rFonts w:ascii="Arial" w:hAnsi="Arial" w:cs="Arial"/>
          <w:color w:val="000000"/>
          <w:sz w:val="22"/>
          <w:szCs w:val="22"/>
        </w:rPr>
        <w:br/>
        <w:t>c) provvedere alla segnalazione al responsabile del procedimento, dell'inosservanza, da parte dell'esecutore, dell'art 105; </w:t>
      </w:r>
      <w:r w:rsidRPr="005C66DC">
        <w:rPr>
          <w:rFonts w:ascii="Arial" w:hAnsi="Arial" w:cs="Arial"/>
          <w:color w:val="000000"/>
          <w:sz w:val="22"/>
          <w:szCs w:val="22"/>
        </w:rPr>
        <w:br/>
      </w:r>
      <w:r w:rsidRPr="005C66DC">
        <w:rPr>
          <w:rFonts w:ascii="Arial" w:hAnsi="Arial" w:cs="Arial"/>
          <w:color w:val="000000"/>
          <w:sz w:val="22"/>
          <w:szCs w:val="22"/>
        </w:rPr>
        <w:lastRenderedPageBreak/>
        <w:t>d) svolgere, qualora sia in possesso dei requisiti richiesti dalla normativa vigente sulla sicurezza, le funzioni di coordinatore per l’esecuzione dei lavori. Nel caso in cui il direttore dei lavori non svolga tali funzioni le stazioni appaltanti prevedono la presenza di almeno un direttore operativo, in possesso dei requisiti previsti dalla normativa, a cui affidarle.</w:t>
      </w:r>
    </w:p>
    <w:p w:rsidR="00152D01" w:rsidRPr="005C66DC" w:rsidRDefault="00FA5BBE" w:rsidP="00945B05">
      <w:pPr>
        <w:pStyle w:val="NormaleWeb"/>
        <w:shd w:val="clear" w:color="auto" w:fill="FFFFFF"/>
        <w:spacing w:before="0" w:beforeAutospacing="0" w:after="262" w:afterAutospacing="0"/>
        <w:rPr>
          <w:rFonts w:ascii="Arial" w:hAnsi="Arial" w:cs="Arial"/>
          <w:color w:val="222222"/>
          <w:sz w:val="22"/>
          <w:szCs w:val="22"/>
        </w:rPr>
      </w:pPr>
      <w:r w:rsidRPr="005C66DC">
        <w:rPr>
          <w:rFonts w:ascii="Arial" w:hAnsi="Arial" w:cs="Arial"/>
          <w:color w:val="222222"/>
          <w:sz w:val="22"/>
          <w:szCs w:val="22"/>
        </w:rPr>
        <w:t>Si aggiungono inoltre i seguenti compiti:</w:t>
      </w:r>
    </w:p>
    <w:p w:rsidR="00FA5BBE" w:rsidRPr="005C66DC" w:rsidRDefault="00FA5BBE" w:rsidP="00945B05">
      <w:pPr>
        <w:pStyle w:val="NormaleWeb"/>
        <w:shd w:val="clear" w:color="auto" w:fill="FFFFFF"/>
        <w:spacing w:before="0" w:beforeAutospacing="0" w:after="262" w:afterAutospacing="0"/>
        <w:rPr>
          <w:rFonts w:ascii="Arial" w:hAnsi="Arial" w:cs="Arial"/>
          <w:color w:val="222222"/>
          <w:sz w:val="22"/>
          <w:szCs w:val="22"/>
        </w:rPr>
      </w:pPr>
      <w:r w:rsidRPr="005C66DC">
        <w:rPr>
          <w:rFonts w:ascii="Arial" w:hAnsi="Arial" w:cs="Arial"/>
          <w:color w:val="222222"/>
          <w:sz w:val="22"/>
          <w:szCs w:val="22"/>
        </w:rPr>
        <w:t>-rilasciare per i contratti pubblici inferiori alla sog</w:t>
      </w:r>
      <w:r w:rsidR="003F0224" w:rsidRPr="005C66DC">
        <w:rPr>
          <w:rFonts w:ascii="Arial" w:hAnsi="Arial" w:cs="Arial"/>
          <w:color w:val="222222"/>
          <w:sz w:val="22"/>
          <w:szCs w:val="22"/>
        </w:rPr>
        <w:t>l</w:t>
      </w:r>
      <w:r w:rsidRPr="005C66DC">
        <w:rPr>
          <w:rFonts w:ascii="Arial" w:hAnsi="Arial" w:cs="Arial"/>
          <w:color w:val="222222"/>
          <w:sz w:val="22"/>
          <w:szCs w:val="22"/>
        </w:rPr>
        <w:t>ia comunitaria il certificato di regolare esecuzione che sostituisce il certificato di collaudo e il certificato di verifica i conformità</w:t>
      </w:r>
    </w:p>
    <w:p w:rsidR="00FA5BBE" w:rsidRPr="005C66DC" w:rsidRDefault="00FA5BBE" w:rsidP="00945B05">
      <w:pPr>
        <w:pStyle w:val="NormaleWeb"/>
        <w:shd w:val="clear" w:color="auto" w:fill="FFFFFF"/>
        <w:spacing w:before="0" w:beforeAutospacing="0" w:after="262" w:afterAutospacing="0"/>
        <w:rPr>
          <w:rFonts w:ascii="Arial" w:hAnsi="Arial" w:cs="Arial"/>
          <w:color w:val="222222"/>
          <w:sz w:val="22"/>
          <w:szCs w:val="22"/>
        </w:rPr>
      </w:pPr>
      <w:r w:rsidRPr="005C66DC">
        <w:rPr>
          <w:rFonts w:ascii="Arial" w:hAnsi="Arial" w:cs="Arial"/>
          <w:color w:val="222222"/>
          <w:sz w:val="22"/>
          <w:szCs w:val="22"/>
        </w:rPr>
        <w:t>-sospende l’esecuzione dei lavori in tutti i casi in cui ci sono circostanze speciali che impediscono in via temporanea che i lavori procedano utilmente a regola d’arte.</w:t>
      </w:r>
    </w:p>
    <w:p w:rsidR="00A4602C" w:rsidRPr="005C66DC" w:rsidRDefault="00FA5BBE" w:rsidP="00945B05">
      <w:pPr>
        <w:pStyle w:val="NormaleWeb"/>
        <w:shd w:val="clear" w:color="auto" w:fill="FFFFFF"/>
        <w:spacing w:before="0" w:beforeAutospacing="0" w:after="262" w:afterAutospacing="0"/>
        <w:rPr>
          <w:rFonts w:ascii="Arial" w:hAnsi="Arial" w:cs="Arial"/>
          <w:color w:val="222222"/>
          <w:sz w:val="22"/>
          <w:szCs w:val="22"/>
        </w:rPr>
      </w:pPr>
      <w:r w:rsidRPr="005C66DC">
        <w:rPr>
          <w:rFonts w:ascii="Arial" w:hAnsi="Arial" w:cs="Arial"/>
          <w:color w:val="222222"/>
          <w:sz w:val="22"/>
          <w:szCs w:val="22"/>
        </w:rPr>
        <w:t>Nell’esercizio delle sue funzioni può esser coadiuvato da un ufficio di direzione di cui è responsabile . la direzione dei lavori può esser affidata escl</w:t>
      </w:r>
      <w:r w:rsidR="003F0224" w:rsidRPr="005C66DC">
        <w:rPr>
          <w:rFonts w:ascii="Arial" w:hAnsi="Arial" w:cs="Arial"/>
          <w:color w:val="222222"/>
          <w:sz w:val="22"/>
          <w:szCs w:val="22"/>
        </w:rPr>
        <w:t>u</w:t>
      </w:r>
      <w:r w:rsidRPr="005C66DC">
        <w:rPr>
          <w:rFonts w:ascii="Arial" w:hAnsi="Arial" w:cs="Arial"/>
          <w:color w:val="222222"/>
          <w:sz w:val="22"/>
          <w:szCs w:val="22"/>
        </w:rPr>
        <w:t>sivamente a iscritti n</w:t>
      </w:r>
      <w:r w:rsidR="003F0224" w:rsidRPr="005C66DC">
        <w:rPr>
          <w:rFonts w:ascii="Arial" w:hAnsi="Arial" w:cs="Arial"/>
          <w:color w:val="222222"/>
          <w:sz w:val="22"/>
          <w:szCs w:val="22"/>
        </w:rPr>
        <w:t>e</w:t>
      </w:r>
      <w:r w:rsidRPr="005C66DC">
        <w:rPr>
          <w:rFonts w:ascii="Arial" w:hAnsi="Arial" w:cs="Arial"/>
          <w:color w:val="222222"/>
          <w:sz w:val="22"/>
          <w:szCs w:val="22"/>
        </w:rPr>
        <w:t>ll’albo na</w:t>
      </w:r>
      <w:r w:rsidR="003F0224" w:rsidRPr="005C66DC">
        <w:rPr>
          <w:rFonts w:ascii="Arial" w:hAnsi="Arial" w:cs="Arial"/>
          <w:color w:val="222222"/>
          <w:sz w:val="22"/>
          <w:szCs w:val="22"/>
        </w:rPr>
        <w:t>z</w:t>
      </w:r>
      <w:r w:rsidRPr="005C66DC">
        <w:rPr>
          <w:rFonts w:ascii="Arial" w:hAnsi="Arial" w:cs="Arial"/>
          <w:color w:val="222222"/>
          <w:sz w:val="22"/>
          <w:szCs w:val="22"/>
        </w:rPr>
        <w:t>ionale tenuto presso il Ministero IT. Nei contratti relat</w:t>
      </w:r>
      <w:r w:rsidR="003F0224" w:rsidRPr="005C66DC">
        <w:rPr>
          <w:rFonts w:ascii="Arial" w:hAnsi="Arial" w:cs="Arial"/>
          <w:color w:val="222222"/>
          <w:sz w:val="22"/>
          <w:szCs w:val="22"/>
        </w:rPr>
        <w:t>i</w:t>
      </w:r>
      <w:r w:rsidRPr="005C66DC">
        <w:rPr>
          <w:rFonts w:ascii="Arial" w:hAnsi="Arial" w:cs="Arial"/>
          <w:color w:val="222222"/>
          <w:sz w:val="22"/>
          <w:szCs w:val="22"/>
        </w:rPr>
        <w:t>vi a servizi e forniture il direttore dell’esecuzione del contratto è di norma il RUP</w:t>
      </w:r>
    </w:p>
    <w:p w:rsidR="00FA5BBE" w:rsidRPr="005C66DC" w:rsidRDefault="00A4602C" w:rsidP="00945B05">
      <w:pPr>
        <w:pStyle w:val="NormaleWeb"/>
        <w:shd w:val="clear" w:color="auto" w:fill="FFFFFF"/>
        <w:spacing w:before="0" w:beforeAutospacing="0" w:after="262" w:afterAutospacing="0"/>
        <w:rPr>
          <w:rFonts w:ascii="Arial" w:hAnsi="Arial" w:cs="Arial"/>
          <w:color w:val="222222"/>
          <w:sz w:val="22"/>
          <w:szCs w:val="22"/>
        </w:rPr>
      </w:pPr>
      <w:r w:rsidRPr="005C66DC">
        <w:rPr>
          <w:rFonts w:ascii="Arial" w:hAnsi="Arial" w:cs="Arial"/>
          <w:color w:val="222222"/>
          <w:sz w:val="22"/>
          <w:szCs w:val="22"/>
        </w:rPr>
        <w:t>ANAC</w:t>
      </w:r>
    </w:p>
    <w:p w:rsidR="00A4602C" w:rsidRPr="005C66DC" w:rsidRDefault="00A4602C" w:rsidP="00945B05">
      <w:pPr>
        <w:pStyle w:val="NormaleWeb"/>
        <w:shd w:val="clear" w:color="auto" w:fill="FFFFFF"/>
        <w:spacing w:before="0" w:beforeAutospacing="0" w:after="262" w:afterAutospacing="0"/>
        <w:rPr>
          <w:rFonts w:ascii="Arial" w:hAnsi="Arial" w:cs="Arial"/>
          <w:color w:val="000000"/>
          <w:sz w:val="22"/>
          <w:szCs w:val="22"/>
          <w:shd w:val="clear" w:color="auto" w:fill="FFFFFF"/>
        </w:rPr>
      </w:pPr>
      <w:r w:rsidRPr="005C66DC">
        <w:rPr>
          <w:rFonts w:ascii="Arial" w:hAnsi="Arial" w:cs="Arial"/>
          <w:color w:val="000000"/>
          <w:sz w:val="22"/>
          <w:szCs w:val="22"/>
          <w:shd w:val="clear" w:color="auto" w:fill="FFFFFF"/>
        </w:rPr>
        <w:t>L'Autorità nazionale anticorruzione è nata con il decreto legge n.90/2014 convertito in legge n.114/2014 che ha soppresso l'Autorità per la vigilanza sui contratti pubblici di lavori, servizi e forniture (</w:t>
      </w:r>
      <w:proofErr w:type="spellStart"/>
      <w:r w:rsidRPr="005C66DC">
        <w:rPr>
          <w:rFonts w:ascii="Arial" w:hAnsi="Arial" w:cs="Arial"/>
          <w:color w:val="000000"/>
          <w:sz w:val="22"/>
          <w:szCs w:val="22"/>
          <w:shd w:val="clear" w:color="auto" w:fill="FFFFFF"/>
        </w:rPr>
        <w:t>Avcp</w:t>
      </w:r>
      <w:proofErr w:type="spellEnd"/>
      <w:r w:rsidRPr="005C66DC">
        <w:rPr>
          <w:rFonts w:ascii="Arial" w:hAnsi="Arial" w:cs="Arial"/>
          <w:color w:val="000000"/>
          <w:sz w:val="22"/>
          <w:szCs w:val="22"/>
          <w:shd w:val="clear" w:color="auto" w:fill="FFFFFF"/>
        </w:rPr>
        <w:t>). Si tratta di un'autorità amministrativa indipendente.  La sua missione è quella di </w:t>
      </w:r>
      <w:r w:rsidRPr="005C66DC">
        <w:rPr>
          <w:rFonts w:ascii="Arial" w:hAnsi="Arial" w:cs="Arial"/>
          <w:b/>
          <w:bCs/>
          <w:color w:val="000000"/>
          <w:sz w:val="22"/>
          <w:szCs w:val="22"/>
          <w:shd w:val="clear" w:color="auto" w:fill="FFFFFF"/>
        </w:rPr>
        <w:t>prevenire la corruzione nell'ambito delle amministrazioni pubbliche</w:t>
      </w:r>
      <w:r w:rsidRPr="005C66DC">
        <w:rPr>
          <w:rFonts w:ascii="Arial" w:hAnsi="Arial" w:cs="Arial"/>
          <w:color w:val="000000"/>
          <w:sz w:val="22"/>
          <w:szCs w:val="22"/>
          <w:shd w:val="clear" w:color="auto" w:fill="FFFFFF"/>
        </w:rPr>
        <w:t>, nelle società partecipate e controllate anche mediante l'attuazione della trasparenza in tutti gli aspetti gestionali, nonché mediante l'attività di vigilanza nell'ambito dei contratti pubblici, degli incarichi e comunque in ogni settore della pubblica amministrazione che   possa sviluppare fenomeni corruttivi, evitando nel contempo di aggravare i procedimenti con ricadute negative sui cittadini e sulle imprese, orientando i comportamenti e le attività degli impiegati pubblici, con interventi in sede consultiva e di regolazione.</w:t>
      </w:r>
      <w:r w:rsidR="00945B05" w:rsidRPr="005C66DC">
        <w:rPr>
          <w:rFonts w:ascii="Arial" w:hAnsi="Arial" w:cs="Arial"/>
          <w:color w:val="000000"/>
          <w:sz w:val="22"/>
          <w:szCs w:val="22"/>
          <w:shd w:val="clear" w:color="auto" w:fill="FFFFFF"/>
        </w:rPr>
        <w:t xml:space="preserve"> </w:t>
      </w:r>
      <w:r w:rsidRPr="005C66DC">
        <w:rPr>
          <w:rFonts w:ascii="Arial" w:hAnsi="Arial" w:cs="Arial"/>
          <w:color w:val="000000"/>
          <w:sz w:val="22"/>
          <w:szCs w:val="22"/>
          <w:shd w:val="clear" w:color="auto" w:fill="FFFFFF"/>
        </w:rPr>
        <w:t>Svolge un ruolo fondamentale nell’attuazione del nuovo codice, mediante atti di indir</w:t>
      </w:r>
      <w:r w:rsidR="00945B05" w:rsidRPr="005C66DC">
        <w:rPr>
          <w:rFonts w:ascii="Arial" w:hAnsi="Arial" w:cs="Arial"/>
          <w:color w:val="000000"/>
          <w:sz w:val="22"/>
          <w:szCs w:val="22"/>
          <w:shd w:val="clear" w:color="auto" w:fill="FFFFFF"/>
        </w:rPr>
        <w:t>i</w:t>
      </w:r>
      <w:r w:rsidRPr="005C66DC">
        <w:rPr>
          <w:rFonts w:ascii="Arial" w:hAnsi="Arial" w:cs="Arial"/>
          <w:color w:val="000000"/>
          <w:sz w:val="22"/>
          <w:szCs w:val="22"/>
          <w:shd w:val="clear" w:color="auto" w:fill="FFFFFF"/>
        </w:rPr>
        <w:t>zzo e linee guida di carattere generale. Molto importanti sono le funzioni di vigilanza soprattutto nei contratti sotto soglia, nei contratti esclusi, nei contratti secretati che esigono particolari misure di sicurezza; ha funzioni di segnalazione nei confronti sia del Governo che del Parlamento; ha poteri ispettivi e istruttori, nonché poteri sanzionatori nei confronti dei soggetti che omettono  o si rifiutano di fornire documenti  o non veritieri.</w:t>
      </w:r>
      <w:r w:rsidR="005C66DC" w:rsidRPr="005C66DC">
        <w:rPr>
          <w:rFonts w:ascii="Arial" w:hAnsi="Arial" w:cs="Arial"/>
          <w:color w:val="000000"/>
          <w:sz w:val="22"/>
          <w:szCs w:val="22"/>
          <w:shd w:val="clear" w:color="auto" w:fill="FFFFFF"/>
        </w:rPr>
        <w:t xml:space="preserve"> </w:t>
      </w:r>
      <w:r w:rsidRPr="005C66DC">
        <w:rPr>
          <w:rFonts w:ascii="Arial" w:hAnsi="Arial" w:cs="Arial"/>
          <w:color w:val="000000"/>
          <w:sz w:val="22"/>
          <w:szCs w:val="22"/>
          <w:shd w:val="clear" w:color="auto" w:fill="FFFFFF"/>
        </w:rPr>
        <w:t>Ha inoltre funzioni gestionali e di amministrazione attiva quali la qualificazione degli operatori economici e la gestione del sistema SOA, la qualificazione delle stazioni appaltanti  e delle centrali di committenza, la tenuta dell’elenco dei soggetti aggregatori, elenco delle stazioni app</w:t>
      </w:r>
      <w:r w:rsidR="005C66DC" w:rsidRPr="005C66DC">
        <w:rPr>
          <w:rFonts w:ascii="Arial" w:hAnsi="Arial" w:cs="Arial"/>
          <w:color w:val="000000"/>
          <w:sz w:val="22"/>
          <w:szCs w:val="22"/>
          <w:shd w:val="clear" w:color="auto" w:fill="FFFFFF"/>
        </w:rPr>
        <w:t>a</w:t>
      </w:r>
      <w:r w:rsidRPr="005C66DC">
        <w:rPr>
          <w:rFonts w:ascii="Arial" w:hAnsi="Arial" w:cs="Arial"/>
          <w:color w:val="000000"/>
          <w:sz w:val="22"/>
          <w:szCs w:val="22"/>
          <w:shd w:val="clear" w:color="auto" w:fill="FFFFFF"/>
        </w:rPr>
        <w:t>ltanti che fanno affidamenti in house, l’albo dei commissari di gara</w:t>
      </w:r>
    </w:p>
    <w:p w:rsidR="005C66DC" w:rsidRPr="005C66DC" w:rsidRDefault="005C66DC" w:rsidP="00945B05">
      <w:pPr>
        <w:pStyle w:val="NormaleWeb"/>
        <w:shd w:val="clear" w:color="auto" w:fill="FFFFFF"/>
        <w:spacing w:before="0" w:beforeAutospacing="0" w:after="262" w:afterAutospacing="0"/>
        <w:rPr>
          <w:rFonts w:ascii="Arial" w:hAnsi="Arial" w:cs="Arial"/>
          <w:color w:val="000000"/>
          <w:sz w:val="22"/>
          <w:szCs w:val="22"/>
          <w:shd w:val="clear" w:color="auto" w:fill="FFFFFF"/>
        </w:rPr>
      </w:pPr>
      <w:r w:rsidRPr="005C66DC">
        <w:rPr>
          <w:rFonts w:ascii="Arial" w:hAnsi="Arial" w:cs="Arial"/>
          <w:color w:val="000000"/>
          <w:sz w:val="22"/>
          <w:szCs w:val="22"/>
          <w:shd w:val="clear" w:color="auto" w:fill="FFFFFF"/>
        </w:rPr>
        <w:t>MEPA</w:t>
      </w:r>
    </w:p>
    <w:p w:rsidR="005C66DC" w:rsidRPr="005C66DC" w:rsidRDefault="005C66DC" w:rsidP="005C66DC">
      <w:pPr>
        <w:pStyle w:val="NormaleWeb"/>
        <w:shd w:val="clear" w:color="auto" w:fill="FFFFFF"/>
        <w:spacing w:before="120" w:beforeAutospacing="0" w:after="120" w:afterAutospacing="0"/>
        <w:rPr>
          <w:rFonts w:ascii="Arial" w:hAnsi="Arial" w:cs="Arial"/>
          <w:color w:val="222222"/>
          <w:sz w:val="22"/>
          <w:szCs w:val="22"/>
          <w:shd w:val="clear" w:color="auto" w:fill="FFFFFF"/>
        </w:rPr>
      </w:pPr>
      <w:r w:rsidRPr="005C66DC">
        <w:rPr>
          <w:rFonts w:ascii="Arial" w:hAnsi="Arial" w:cs="Arial"/>
          <w:color w:val="222222"/>
          <w:sz w:val="22"/>
          <w:szCs w:val="22"/>
        </w:rPr>
        <w:t>Il </w:t>
      </w:r>
      <w:r w:rsidRPr="005C66DC">
        <w:rPr>
          <w:rFonts w:ascii="Arial" w:hAnsi="Arial" w:cs="Arial"/>
          <w:b/>
          <w:bCs/>
          <w:color w:val="222222"/>
          <w:sz w:val="22"/>
          <w:szCs w:val="22"/>
        </w:rPr>
        <w:t>Mercato elettronico della Pubblica amministrazione</w:t>
      </w:r>
      <w:r w:rsidRPr="005C66DC">
        <w:rPr>
          <w:rFonts w:ascii="Arial" w:hAnsi="Arial" w:cs="Arial"/>
          <w:color w:val="222222"/>
          <w:sz w:val="22"/>
          <w:szCs w:val="22"/>
        </w:rPr>
        <w:t> (</w:t>
      </w:r>
      <w:proofErr w:type="spellStart"/>
      <w:r w:rsidRPr="005C66DC">
        <w:rPr>
          <w:rFonts w:ascii="Arial" w:hAnsi="Arial" w:cs="Arial"/>
          <w:b/>
          <w:bCs/>
          <w:color w:val="222222"/>
          <w:sz w:val="22"/>
          <w:szCs w:val="22"/>
        </w:rPr>
        <w:t>MePA</w:t>
      </w:r>
      <w:proofErr w:type="spellEnd"/>
      <w:r w:rsidRPr="005C66DC">
        <w:rPr>
          <w:rFonts w:ascii="Arial" w:hAnsi="Arial" w:cs="Arial"/>
          <w:color w:val="222222"/>
          <w:sz w:val="22"/>
          <w:szCs w:val="22"/>
        </w:rPr>
        <w:t xml:space="preserve">) è uno strumento di commercio telematico, , a disposizione delle PA per effettuare acquisti di importo inferiore alla soglia comunitaria . Nel </w:t>
      </w:r>
      <w:proofErr w:type="spellStart"/>
      <w:r w:rsidRPr="005C66DC">
        <w:rPr>
          <w:rFonts w:ascii="Arial" w:hAnsi="Arial" w:cs="Arial"/>
          <w:color w:val="222222"/>
          <w:sz w:val="22"/>
          <w:szCs w:val="22"/>
        </w:rPr>
        <w:t>MePA</w:t>
      </w:r>
      <w:proofErr w:type="spellEnd"/>
      <w:r w:rsidRPr="005C66DC">
        <w:rPr>
          <w:rFonts w:ascii="Arial" w:hAnsi="Arial" w:cs="Arial"/>
          <w:color w:val="222222"/>
          <w:sz w:val="22"/>
          <w:szCs w:val="22"/>
        </w:rPr>
        <w:t xml:space="preserve">, le pubbliche amministrazioni registrate possono consultare il catalogo elettronico, confrontare e acquistare i beni e servizi offerti dai fornitori abilitati sul sistema. Le tipologie di beni e servizi e le condizioni generali per la loro fornitura sono definite in specifici </w:t>
      </w:r>
      <w:proofErr w:type="spellStart"/>
      <w:r w:rsidRPr="005C66DC">
        <w:rPr>
          <w:rFonts w:ascii="Arial" w:hAnsi="Arial" w:cs="Arial"/>
          <w:color w:val="222222"/>
          <w:sz w:val="22"/>
          <w:szCs w:val="22"/>
        </w:rPr>
        <w:t>bandi.Il</w:t>
      </w:r>
      <w:proofErr w:type="spellEnd"/>
      <w:r w:rsidRPr="005C66DC">
        <w:rPr>
          <w:rFonts w:ascii="Arial" w:hAnsi="Arial" w:cs="Arial"/>
          <w:color w:val="222222"/>
          <w:sz w:val="22"/>
          <w:szCs w:val="22"/>
        </w:rPr>
        <w:t xml:space="preserve"> Mercato elettronico della PA è uno strumento del MEF</w:t>
      </w:r>
      <w:r w:rsidRPr="005C66DC">
        <w:rPr>
          <w:rFonts w:ascii="Arial" w:hAnsi="Arial" w:cs="Arial"/>
          <w:color w:val="222222"/>
          <w:sz w:val="22"/>
          <w:szCs w:val="22"/>
          <w:vertAlign w:val="superscript"/>
        </w:rPr>
        <w:t xml:space="preserve"> </w:t>
      </w:r>
      <w:hyperlink r:id="rId10" w:anchor="cite_note-1" w:history="1">
        <w:r w:rsidRPr="005C66DC">
          <w:rPr>
            <w:rStyle w:val="Collegamentoipertestuale"/>
            <w:rFonts w:ascii="Arial" w:hAnsi="Arial" w:cs="Arial"/>
            <w:color w:val="0B0080"/>
            <w:sz w:val="22"/>
            <w:szCs w:val="22"/>
            <w:vertAlign w:val="superscript"/>
          </w:rPr>
          <w:t>[1]</w:t>
        </w:r>
      </w:hyperlink>
      <w:r w:rsidRPr="005C66DC">
        <w:rPr>
          <w:rFonts w:ascii="Arial" w:hAnsi="Arial" w:cs="Arial"/>
          <w:color w:val="222222"/>
          <w:sz w:val="22"/>
          <w:szCs w:val="22"/>
        </w:rPr>
        <w:t xml:space="preserve"> avviato e gestito da CONSIP dal 2003. </w:t>
      </w:r>
      <w:r w:rsidRPr="005C66DC">
        <w:rPr>
          <w:rFonts w:ascii="Arial" w:hAnsi="Arial" w:cs="Arial"/>
          <w:color w:val="222222"/>
          <w:sz w:val="22"/>
          <w:szCs w:val="22"/>
          <w:shd w:val="clear" w:color="auto" w:fill="FFFFFF"/>
        </w:rPr>
        <w:t xml:space="preserve">Il </w:t>
      </w:r>
      <w:proofErr w:type="spellStart"/>
      <w:r w:rsidRPr="005C66DC">
        <w:rPr>
          <w:rFonts w:ascii="Arial" w:hAnsi="Arial" w:cs="Arial"/>
          <w:color w:val="222222"/>
          <w:sz w:val="22"/>
          <w:szCs w:val="22"/>
          <w:shd w:val="clear" w:color="auto" w:fill="FFFFFF"/>
        </w:rPr>
        <w:t>MePA</w:t>
      </w:r>
      <w:proofErr w:type="spellEnd"/>
      <w:r w:rsidRPr="005C66DC">
        <w:rPr>
          <w:rFonts w:ascii="Arial" w:hAnsi="Arial" w:cs="Arial"/>
          <w:color w:val="222222"/>
          <w:sz w:val="22"/>
          <w:szCs w:val="22"/>
          <w:shd w:val="clear" w:color="auto" w:fill="FFFFFF"/>
        </w:rPr>
        <w:t xml:space="preserve"> permette alle amministrazioni pubbliche di consultare i cataloghi delle offerte pubblicate ed emettere direttamente ordini d'acquisto (</w:t>
      </w:r>
      <w:proofErr w:type="spellStart"/>
      <w:r w:rsidRPr="005C66DC">
        <w:rPr>
          <w:rFonts w:ascii="Arial" w:hAnsi="Arial" w:cs="Arial"/>
          <w:color w:val="222222"/>
          <w:sz w:val="22"/>
          <w:szCs w:val="22"/>
          <w:shd w:val="clear" w:color="auto" w:fill="FFFFFF"/>
        </w:rPr>
        <w:t>OdA</w:t>
      </w:r>
      <w:proofErr w:type="spellEnd"/>
      <w:r w:rsidRPr="005C66DC">
        <w:rPr>
          <w:rFonts w:ascii="Arial" w:hAnsi="Arial" w:cs="Arial"/>
          <w:color w:val="222222"/>
          <w:sz w:val="22"/>
          <w:szCs w:val="22"/>
          <w:shd w:val="clear" w:color="auto" w:fill="FFFFFF"/>
        </w:rPr>
        <w:t>) o richieste d'offerta (</w:t>
      </w:r>
      <w:proofErr w:type="spellStart"/>
      <w:r w:rsidRPr="005C66DC">
        <w:rPr>
          <w:rFonts w:ascii="Arial" w:hAnsi="Arial" w:cs="Arial"/>
          <w:color w:val="222222"/>
          <w:sz w:val="22"/>
          <w:szCs w:val="22"/>
          <w:shd w:val="clear" w:color="auto" w:fill="FFFFFF"/>
        </w:rPr>
        <w:t>RdO</w:t>
      </w:r>
      <w:proofErr w:type="spellEnd"/>
      <w:r w:rsidRPr="005C66DC">
        <w:rPr>
          <w:rFonts w:ascii="Arial" w:hAnsi="Arial" w:cs="Arial"/>
          <w:color w:val="222222"/>
          <w:sz w:val="22"/>
          <w:szCs w:val="22"/>
          <w:shd w:val="clear" w:color="auto" w:fill="FFFFFF"/>
        </w:rPr>
        <w:t xml:space="preserve">). I fornitori abilitati possono, invece, offrire i propri beni e servizi direttamente online e rispondere alle eventuali richieste di offerta avanzate dalle </w:t>
      </w:r>
      <w:proofErr w:type="spellStart"/>
      <w:r w:rsidRPr="005C66DC">
        <w:rPr>
          <w:rFonts w:ascii="Arial" w:hAnsi="Arial" w:cs="Arial"/>
          <w:color w:val="222222"/>
          <w:sz w:val="22"/>
          <w:szCs w:val="22"/>
          <w:shd w:val="clear" w:color="auto" w:fill="FFFFFF"/>
        </w:rPr>
        <w:t>PA</w:t>
      </w:r>
      <w:proofErr w:type="spellEnd"/>
      <w:r w:rsidRPr="005C66DC">
        <w:rPr>
          <w:rFonts w:ascii="Arial" w:hAnsi="Arial" w:cs="Arial"/>
          <w:color w:val="222222"/>
          <w:sz w:val="22"/>
          <w:szCs w:val="22"/>
          <w:shd w:val="clear" w:color="auto" w:fill="FFFFFF"/>
        </w:rPr>
        <w:t xml:space="preserve">. Per concludere le transazioni, amministrazioni e imprese devono essere dotati di firma digitale. Il </w:t>
      </w:r>
      <w:proofErr w:type="spellStart"/>
      <w:r w:rsidRPr="005C66DC">
        <w:rPr>
          <w:rFonts w:ascii="Arial" w:hAnsi="Arial" w:cs="Arial"/>
          <w:color w:val="222222"/>
          <w:sz w:val="22"/>
          <w:szCs w:val="22"/>
          <w:shd w:val="clear" w:color="auto" w:fill="FFFFFF"/>
        </w:rPr>
        <w:t>MePA</w:t>
      </w:r>
      <w:proofErr w:type="spellEnd"/>
      <w:r w:rsidRPr="005C66DC">
        <w:rPr>
          <w:rFonts w:ascii="Arial" w:hAnsi="Arial" w:cs="Arial"/>
          <w:color w:val="222222"/>
          <w:sz w:val="22"/>
          <w:szCs w:val="22"/>
          <w:shd w:val="clear" w:color="auto" w:fill="FFFFFF"/>
        </w:rPr>
        <w:t xml:space="preserve"> permette dunque l'acquisto online di beni e servizi con caratteristiche di </w:t>
      </w:r>
      <w:proofErr w:type="spellStart"/>
      <w:r w:rsidRPr="005C66DC">
        <w:rPr>
          <w:rFonts w:ascii="Arial" w:hAnsi="Arial" w:cs="Arial"/>
          <w:color w:val="222222"/>
          <w:sz w:val="22"/>
          <w:szCs w:val="22"/>
          <w:shd w:val="clear" w:color="auto" w:fill="FFFFFF"/>
        </w:rPr>
        <w:t>standardizzabilità</w:t>
      </w:r>
      <w:proofErr w:type="spellEnd"/>
      <w:r w:rsidRPr="005C66DC">
        <w:rPr>
          <w:rFonts w:ascii="Arial" w:hAnsi="Arial" w:cs="Arial"/>
          <w:color w:val="222222"/>
          <w:sz w:val="22"/>
          <w:szCs w:val="22"/>
          <w:shd w:val="clear" w:color="auto" w:fill="FFFFFF"/>
        </w:rPr>
        <w:t>, per acquisti ripetitivi e/o per volumi ridotti.</w:t>
      </w:r>
    </w:p>
    <w:p w:rsidR="005C66DC" w:rsidRPr="005C66DC" w:rsidRDefault="005C66DC" w:rsidP="005C66DC">
      <w:pPr>
        <w:pStyle w:val="NormaleWeb"/>
        <w:shd w:val="clear" w:color="auto" w:fill="FFFFFF"/>
        <w:spacing w:before="0" w:beforeAutospacing="0" w:after="0" w:afterAutospacing="0"/>
        <w:rPr>
          <w:rFonts w:ascii="Arial" w:hAnsi="Arial" w:cs="Arial"/>
          <w:color w:val="333333"/>
          <w:sz w:val="22"/>
          <w:szCs w:val="22"/>
        </w:rPr>
      </w:pPr>
      <w:r w:rsidRPr="005C66DC">
        <w:rPr>
          <w:rFonts w:ascii="Arial" w:hAnsi="Arial" w:cs="Arial"/>
          <w:color w:val="333333"/>
          <w:sz w:val="22"/>
          <w:szCs w:val="22"/>
        </w:rPr>
        <w:t xml:space="preserve">Per accedere al </w:t>
      </w:r>
      <w:proofErr w:type="spellStart"/>
      <w:r w:rsidRPr="005C66DC">
        <w:rPr>
          <w:rFonts w:ascii="Arial" w:hAnsi="Arial" w:cs="Arial"/>
          <w:color w:val="333333"/>
          <w:sz w:val="22"/>
          <w:szCs w:val="22"/>
        </w:rPr>
        <w:t>MePA</w:t>
      </w:r>
      <w:proofErr w:type="spellEnd"/>
      <w:r w:rsidRPr="005C66DC">
        <w:rPr>
          <w:rFonts w:ascii="Arial" w:hAnsi="Arial" w:cs="Arial"/>
          <w:color w:val="333333"/>
          <w:sz w:val="22"/>
          <w:szCs w:val="22"/>
        </w:rPr>
        <w:t xml:space="preserve">, gestito dalla </w:t>
      </w:r>
      <w:proofErr w:type="spellStart"/>
      <w:r w:rsidRPr="005C66DC">
        <w:rPr>
          <w:rFonts w:ascii="Arial" w:hAnsi="Arial" w:cs="Arial"/>
          <w:color w:val="333333"/>
          <w:sz w:val="22"/>
          <w:szCs w:val="22"/>
        </w:rPr>
        <w:t>Consip</w:t>
      </w:r>
      <w:proofErr w:type="spellEnd"/>
      <w:r w:rsidRPr="005C66DC">
        <w:rPr>
          <w:rFonts w:ascii="Arial" w:hAnsi="Arial" w:cs="Arial"/>
          <w:color w:val="333333"/>
          <w:sz w:val="22"/>
          <w:szCs w:val="22"/>
        </w:rPr>
        <w:t xml:space="preserve"> per conto del Ministero delle Economie e Finanze, le imprese devono essere in possesso di determinati requisiti e procedere all’iscrizione al </w:t>
      </w:r>
      <w:proofErr w:type="spellStart"/>
      <w:r w:rsidRPr="005C66DC">
        <w:rPr>
          <w:rFonts w:ascii="Arial" w:hAnsi="Arial" w:cs="Arial"/>
          <w:color w:val="333333"/>
          <w:sz w:val="22"/>
          <w:szCs w:val="22"/>
        </w:rPr>
        <w:t>MePa</w:t>
      </w:r>
      <w:proofErr w:type="spellEnd"/>
      <w:r w:rsidRPr="005C66DC">
        <w:rPr>
          <w:rFonts w:ascii="Arial" w:hAnsi="Arial" w:cs="Arial"/>
          <w:color w:val="333333"/>
          <w:sz w:val="22"/>
          <w:szCs w:val="22"/>
        </w:rPr>
        <w:t xml:space="preserve">, </w:t>
      </w:r>
      <w:r w:rsidRPr="005C66DC">
        <w:rPr>
          <w:rFonts w:ascii="Arial" w:hAnsi="Arial" w:cs="Arial"/>
          <w:color w:val="333333"/>
          <w:sz w:val="22"/>
          <w:szCs w:val="22"/>
        </w:rPr>
        <w:lastRenderedPageBreak/>
        <w:t xml:space="preserve">seguendo una specifica procedura, verificare poi che il bene/servizio offerto per la vendita, sia previsto tra quelli negoziabili sul mercato elettronico </w:t>
      </w:r>
      <w:proofErr w:type="spellStart"/>
      <w:r w:rsidRPr="005C66DC">
        <w:rPr>
          <w:rFonts w:ascii="Arial" w:hAnsi="Arial" w:cs="Arial"/>
          <w:color w:val="333333"/>
          <w:sz w:val="22"/>
          <w:szCs w:val="22"/>
        </w:rPr>
        <w:t>PA</w:t>
      </w:r>
      <w:proofErr w:type="spellEnd"/>
      <w:r w:rsidRPr="005C66DC">
        <w:rPr>
          <w:rFonts w:ascii="Arial" w:hAnsi="Arial" w:cs="Arial"/>
          <w:color w:val="333333"/>
          <w:sz w:val="22"/>
          <w:szCs w:val="22"/>
        </w:rPr>
        <w:t>. Tale verifica, si effettua, accedendo alla vetrina del portale e vedere se tra i Bandi attivi alla data di consultazione, che ricordiamo sono differenti per diverse categorie merceologiche, ce ne è uno che fa al caso dell’impresa.</w:t>
      </w:r>
    </w:p>
    <w:p w:rsidR="005C66DC" w:rsidRPr="005C66DC" w:rsidRDefault="005C66DC" w:rsidP="005C66DC">
      <w:pPr>
        <w:pStyle w:val="NormaleWeb"/>
        <w:shd w:val="clear" w:color="auto" w:fill="FFFFFF"/>
        <w:spacing w:before="0" w:beforeAutospacing="0" w:after="0" w:afterAutospacing="0"/>
        <w:rPr>
          <w:rFonts w:ascii="Arial" w:hAnsi="Arial" w:cs="Arial"/>
          <w:color w:val="333333"/>
          <w:sz w:val="22"/>
          <w:szCs w:val="22"/>
        </w:rPr>
      </w:pPr>
      <w:r w:rsidRPr="005C66DC">
        <w:rPr>
          <w:rFonts w:ascii="Arial" w:hAnsi="Arial" w:cs="Arial"/>
          <w:color w:val="333333"/>
          <w:sz w:val="22"/>
          <w:szCs w:val="22"/>
        </w:rPr>
        <w:t xml:space="preserve">Se c’è, allora l’impresa scarica online il bando </w:t>
      </w:r>
      <w:proofErr w:type="spellStart"/>
      <w:r w:rsidRPr="005C66DC">
        <w:rPr>
          <w:rFonts w:ascii="Arial" w:hAnsi="Arial" w:cs="Arial"/>
          <w:color w:val="333333"/>
          <w:sz w:val="22"/>
          <w:szCs w:val="22"/>
        </w:rPr>
        <w:t>MePA</w:t>
      </w:r>
      <w:proofErr w:type="spellEnd"/>
      <w:r w:rsidRPr="005C66DC">
        <w:rPr>
          <w:rFonts w:ascii="Arial" w:hAnsi="Arial" w:cs="Arial"/>
          <w:color w:val="333333"/>
          <w:sz w:val="22"/>
          <w:szCs w:val="22"/>
        </w:rPr>
        <w:t xml:space="preserve"> con la relativa documentazione e procede ad inviare la richiesta di abilitazione al bando individuato.</w:t>
      </w:r>
    </w:p>
    <w:p w:rsidR="005C66DC" w:rsidRPr="005C66DC" w:rsidRDefault="005C66DC" w:rsidP="005C66DC">
      <w:pPr>
        <w:pStyle w:val="NormaleWeb"/>
        <w:shd w:val="clear" w:color="auto" w:fill="FFFFFF"/>
        <w:spacing w:before="120" w:beforeAutospacing="0" w:after="120" w:afterAutospacing="0"/>
        <w:rPr>
          <w:rFonts w:ascii="Arial" w:hAnsi="Arial" w:cs="Arial"/>
          <w:color w:val="222222"/>
          <w:sz w:val="22"/>
          <w:szCs w:val="22"/>
          <w:shd w:val="clear" w:color="auto" w:fill="FFFFFF"/>
        </w:rPr>
      </w:pPr>
    </w:p>
    <w:p w:rsidR="005C66DC" w:rsidRPr="005C66DC" w:rsidRDefault="005C66DC" w:rsidP="005C66DC">
      <w:pPr>
        <w:shd w:val="clear" w:color="auto" w:fill="FFFFFF"/>
        <w:spacing w:before="120" w:after="120" w:line="240" w:lineRule="auto"/>
        <w:rPr>
          <w:rFonts w:ascii="Arial" w:eastAsia="Times New Roman" w:hAnsi="Arial" w:cs="Arial"/>
          <w:color w:val="222222"/>
          <w:lang w:eastAsia="it-IT"/>
        </w:rPr>
      </w:pPr>
      <w:r w:rsidRPr="005C66DC">
        <w:rPr>
          <w:rFonts w:ascii="Arial" w:eastAsia="Times New Roman" w:hAnsi="Arial" w:cs="Arial"/>
          <w:color w:val="222222"/>
          <w:lang w:eastAsia="it-IT"/>
        </w:rPr>
        <w:t>Il mercato elettronico offre alle Amministrazioni registrate la possibilità di concludere contratti attraverso due diverse procedure di acquisto:</w:t>
      </w:r>
    </w:p>
    <w:p w:rsidR="005C66DC" w:rsidRPr="005C66DC" w:rsidRDefault="005C66DC" w:rsidP="005C66DC">
      <w:pPr>
        <w:numPr>
          <w:ilvl w:val="0"/>
          <w:numId w:val="12"/>
        </w:numPr>
        <w:shd w:val="clear" w:color="auto" w:fill="FFFFFF"/>
        <w:spacing w:before="100" w:beforeAutospacing="1" w:after="24" w:line="240" w:lineRule="auto"/>
        <w:ind w:left="384"/>
        <w:rPr>
          <w:rFonts w:ascii="Arial" w:eastAsia="Times New Roman" w:hAnsi="Arial" w:cs="Arial"/>
          <w:color w:val="222222"/>
          <w:lang w:eastAsia="it-IT"/>
        </w:rPr>
      </w:pPr>
      <w:r w:rsidRPr="005C66DC">
        <w:rPr>
          <w:rFonts w:ascii="Arial" w:eastAsia="Times New Roman" w:hAnsi="Arial" w:cs="Arial"/>
          <w:color w:val="222222"/>
          <w:lang w:eastAsia="it-IT"/>
        </w:rPr>
        <w:t>l'ordine d'acquisto: (</w:t>
      </w:r>
      <w:proofErr w:type="spellStart"/>
      <w:r w:rsidRPr="005C66DC">
        <w:rPr>
          <w:rFonts w:ascii="Arial" w:eastAsia="Times New Roman" w:hAnsi="Arial" w:cs="Arial"/>
          <w:color w:val="222222"/>
          <w:lang w:eastAsia="it-IT"/>
        </w:rPr>
        <w:t>OdA</w:t>
      </w:r>
      <w:proofErr w:type="spellEnd"/>
      <w:r w:rsidRPr="005C66DC">
        <w:rPr>
          <w:rFonts w:ascii="Arial" w:eastAsia="Times New Roman" w:hAnsi="Arial" w:cs="Arial"/>
          <w:color w:val="222222"/>
          <w:lang w:eastAsia="it-IT"/>
        </w:rPr>
        <w:t>) l'amministrazione può acquistare beni e servizi direttamente dai cataloghi dei fornitori abilitati al Mercato elettronico. La pubblicazione del catalogo dei prodotti da parte del fornitore costituisce infatti una vera e propria offerta al pubblico riservata alle amministrazioni registrate al Mercato elettronico;</w:t>
      </w:r>
    </w:p>
    <w:p w:rsidR="005C66DC" w:rsidRDefault="005C66DC" w:rsidP="005C66DC">
      <w:pPr>
        <w:numPr>
          <w:ilvl w:val="0"/>
          <w:numId w:val="12"/>
        </w:numPr>
        <w:shd w:val="clear" w:color="auto" w:fill="FFFFFF"/>
        <w:spacing w:before="100" w:beforeAutospacing="1" w:after="24" w:line="240" w:lineRule="auto"/>
        <w:ind w:left="384"/>
        <w:rPr>
          <w:rFonts w:ascii="Arial" w:eastAsia="Times New Roman" w:hAnsi="Arial" w:cs="Arial"/>
          <w:color w:val="222222"/>
          <w:lang w:eastAsia="it-IT"/>
        </w:rPr>
      </w:pPr>
      <w:r w:rsidRPr="005C66DC">
        <w:rPr>
          <w:rFonts w:ascii="Arial" w:eastAsia="Times New Roman" w:hAnsi="Arial" w:cs="Arial"/>
          <w:color w:val="222222"/>
          <w:lang w:eastAsia="it-IT"/>
        </w:rPr>
        <w:t>la richiesta d'offerta (</w:t>
      </w:r>
      <w:proofErr w:type="spellStart"/>
      <w:r w:rsidRPr="005C66DC">
        <w:rPr>
          <w:rFonts w:ascii="Arial" w:eastAsia="Times New Roman" w:hAnsi="Arial" w:cs="Arial"/>
          <w:color w:val="222222"/>
          <w:lang w:eastAsia="it-IT"/>
        </w:rPr>
        <w:t>RdO</w:t>
      </w:r>
      <w:proofErr w:type="spellEnd"/>
      <w:r w:rsidRPr="005C66DC">
        <w:rPr>
          <w:rFonts w:ascii="Arial" w:eastAsia="Times New Roman" w:hAnsi="Arial" w:cs="Arial"/>
          <w:color w:val="222222"/>
          <w:lang w:eastAsia="it-IT"/>
        </w:rPr>
        <w:t>): consente all'amministrazione di richiedere ai fornitori abilitati diverse e ulteriori offerte aventi ad oggetto tutti i prodotti ed i servizi abilitabili sul Mercato elettronico, permette quindi di soddisfare specifiche esigenze. Più semplicemente, tale procedura può essere utilizzata per richiedere più preventivi sullo stesso prodotto/servizio a diversi fornitori, mettendoli in concorrenza tra loro per ottenere migliori caratteristiche tecniche e prezzi più vantaggiosi rispetto a quelli presenti a catalogo.</w:t>
      </w:r>
    </w:p>
    <w:p w:rsidR="00217F9E" w:rsidRDefault="00217F9E" w:rsidP="00217F9E">
      <w:pPr>
        <w:shd w:val="clear" w:color="auto" w:fill="FFFFFF"/>
        <w:spacing w:before="100" w:beforeAutospacing="1" w:after="24" w:line="240" w:lineRule="auto"/>
        <w:ind w:left="24"/>
        <w:rPr>
          <w:rFonts w:ascii="Arial" w:eastAsia="Times New Roman" w:hAnsi="Arial" w:cs="Arial"/>
          <w:color w:val="222222"/>
          <w:lang w:eastAsia="it-IT"/>
        </w:rPr>
      </w:pPr>
      <w:r>
        <w:rPr>
          <w:rFonts w:ascii="Arial" w:eastAsia="Times New Roman" w:hAnsi="Arial" w:cs="Arial"/>
          <w:color w:val="222222"/>
          <w:lang w:eastAsia="it-IT"/>
        </w:rPr>
        <w:t>CONCESSIONI</w:t>
      </w:r>
    </w:p>
    <w:p w:rsidR="00327B0E" w:rsidRDefault="00327B0E" w:rsidP="00217F9E">
      <w:pPr>
        <w:shd w:val="clear" w:color="auto" w:fill="FFFFFF"/>
        <w:spacing w:before="100" w:beforeAutospacing="1" w:after="24" w:line="240" w:lineRule="auto"/>
        <w:ind w:left="24"/>
        <w:rPr>
          <w:rFonts w:ascii="Calibri" w:hAnsi="Calibri"/>
          <w:color w:val="000000"/>
          <w:sz w:val="27"/>
          <w:szCs w:val="27"/>
          <w:shd w:val="clear" w:color="auto" w:fill="F5FDFE"/>
        </w:rPr>
      </w:pPr>
      <w:r>
        <w:rPr>
          <w:rFonts w:ascii="Calibri" w:hAnsi="Calibri"/>
          <w:color w:val="000000"/>
          <w:sz w:val="27"/>
          <w:szCs w:val="27"/>
          <w:shd w:val="clear" w:color="auto" w:fill="F5FDFE"/>
        </w:rPr>
        <w:t xml:space="preserve">Art 3 </w:t>
      </w:r>
      <w:r w:rsidR="000D1DDF">
        <w:rPr>
          <w:rFonts w:ascii="Calibri" w:hAnsi="Calibri"/>
          <w:color w:val="000000"/>
          <w:sz w:val="27"/>
          <w:szCs w:val="27"/>
          <w:shd w:val="clear" w:color="auto" w:fill="F5FDFE"/>
        </w:rPr>
        <w:t>«concessione di lavori», un contratto a titolo oneroso stipulato per iscritto in virtù del quale una o più stazioni appaltanti affidano l'esecuzione di lavori ovvero la progettazione esecutiva e l’esecuzione, ovvero la progettazione definitiva, la progettazione esecutiva e l’esecuzione di lavori ad uno o più operatori economici riconoscendo a titolo di corrispettivo unicamente il diritto di gestire le opere oggetto del contratto o tale diritto accompagnato da un prezzo, con assunzione in capo al concessionario del rischio operativo legato alla gestione delle opere; </w:t>
      </w:r>
    </w:p>
    <w:p w:rsidR="000D1DDF" w:rsidRDefault="000D1DDF" w:rsidP="00217F9E">
      <w:pPr>
        <w:shd w:val="clear" w:color="auto" w:fill="FFFFFF"/>
        <w:spacing w:before="100" w:beforeAutospacing="1" w:after="24" w:line="240" w:lineRule="auto"/>
        <w:ind w:left="24"/>
        <w:rPr>
          <w:rFonts w:ascii="Arial" w:eastAsia="Times New Roman" w:hAnsi="Arial" w:cs="Arial"/>
          <w:color w:val="222222"/>
          <w:lang w:eastAsia="it-IT"/>
        </w:rPr>
      </w:pPr>
      <w:r>
        <w:rPr>
          <w:rFonts w:ascii="Calibri" w:hAnsi="Calibri"/>
          <w:color w:val="000000"/>
          <w:sz w:val="27"/>
          <w:szCs w:val="27"/>
        </w:rPr>
        <w:br/>
      </w:r>
      <w:proofErr w:type="spellStart"/>
      <w:r>
        <w:rPr>
          <w:rFonts w:ascii="Calibri" w:hAnsi="Calibri"/>
          <w:color w:val="000000"/>
          <w:sz w:val="27"/>
          <w:szCs w:val="27"/>
          <w:shd w:val="clear" w:color="auto" w:fill="F5FDFE"/>
        </w:rPr>
        <w:t>vv</w:t>
      </w:r>
      <w:proofErr w:type="spellEnd"/>
      <w:r>
        <w:rPr>
          <w:rFonts w:ascii="Calibri" w:hAnsi="Calibri"/>
          <w:color w:val="000000"/>
          <w:sz w:val="27"/>
          <w:szCs w:val="27"/>
          <w:shd w:val="clear" w:color="auto" w:fill="F5FDFE"/>
        </w:rPr>
        <w:t xml:space="preserve">) «concessione di servizi», un contratto a titolo oneroso stipulato per iscritto in virtù del quale una o più stazioni appaltanti affidano a uno o più operatori economici la fornitura e la gestione di servizi diversi dall'esecuzione di lavori di cui alla lettera </w:t>
      </w:r>
      <w:proofErr w:type="spellStart"/>
      <w:r>
        <w:rPr>
          <w:rFonts w:ascii="Calibri" w:hAnsi="Calibri"/>
          <w:color w:val="000000"/>
          <w:sz w:val="27"/>
          <w:szCs w:val="27"/>
          <w:shd w:val="clear" w:color="auto" w:fill="F5FDFE"/>
        </w:rPr>
        <w:t>ll</w:t>
      </w:r>
      <w:proofErr w:type="spellEnd"/>
      <w:r>
        <w:rPr>
          <w:rFonts w:ascii="Calibri" w:hAnsi="Calibri"/>
          <w:color w:val="000000"/>
          <w:sz w:val="27"/>
          <w:szCs w:val="27"/>
          <w:shd w:val="clear" w:color="auto" w:fill="F5FDFE"/>
        </w:rPr>
        <w:t>) riconoscendo a titolo di corrispettivo unicamente il diritto di gestire i servizi oggetto del contratto o tale diritto accompagnato da un prezzo, con assunzione in capo al concessionario del rischio operativo legato alla gestione dei servizi</w:t>
      </w:r>
    </w:p>
    <w:p w:rsidR="00217F9E" w:rsidRDefault="00217F9E" w:rsidP="00217F9E">
      <w:pPr>
        <w:shd w:val="clear" w:color="auto" w:fill="FFFFFF"/>
        <w:spacing w:before="100" w:beforeAutospacing="1" w:after="24" w:line="240" w:lineRule="auto"/>
        <w:ind w:left="24"/>
        <w:rPr>
          <w:rFonts w:ascii="Arial" w:eastAsia="Times New Roman" w:hAnsi="Arial" w:cs="Arial"/>
          <w:color w:val="222222"/>
          <w:lang w:eastAsia="it-IT"/>
        </w:rPr>
      </w:pPr>
      <w:r>
        <w:rPr>
          <w:rFonts w:ascii="Arial" w:eastAsia="Times New Roman" w:hAnsi="Arial" w:cs="Arial"/>
          <w:color w:val="222222"/>
          <w:lang w:eastAsia="it-IT"/>
        </w:rPr>
        <w:t>L’ART 165 finalmente definisce il criterio distintivo tra appalti e concessioni, cioè il rischio operativo. Nei contratti di concessione gli introiti del concessionario sono connessi alla vendita sul mercato dei servizi resi, e su di lui grava il rischio operativo, cioè il rischio legato alla gestione dei lavori e dei servizi sul lato della domanda o sul lato dell’offerta o di entrambi, trasferito al concessionario. Il concessionario assume il rischio operativo nel caso in cui, in condizioni operative normali, non sia garantito il recupero agli investimenti effettuati o dei costi sostenuti per la gestione dei lavori o dei servizi oggetto della concessione. La parte del rischio trasferita al concessionario deve comportare una reale esposizione alle fluttuazioni del mercato tale per cui ogni potenziale perdita stimata subita dal concessionario non sia trascurabile.</w:t>
      </w:r>
    </w:p>
    <w:p w:rsidR="00217F9E" w:rsidRDefault="00217F9E" w:rsidP="00217F9E">
      <w:pPr>
        <w:shd w:val="clear" w:color="auto" w:fill="FFFFFF"/>
        <w:spacing w:before="100" w:beforeAutospacing="1" w:after="24" w:line="240" w:lineRule="auto"/>
        <w:ind w:left="24"/>
        <w:rPr>
          <w:rFonts w:ascii="Arial" w:eastAsia="Times New Roman" w:hAnsi="Arial" w:cs="Arial"/>
          <w:color w:val="222222"/>
          <w:lang w:eastAsia="it-IT"/>
        </w:rPr>
      </w:pPr>
      <w:r>
        <w:rPr>
          <w:rFonts w:ascii="Arial" w:eastAsia="Times New Roman" w:hAnsi="Arial" w:cs="Arial"/>
          <w:color w:val="222222"/>
          <w:lang w:eastAsia="it-IT"/>
        </w:rPr>
        <w:lastRenderedPageBreak/>
        <w:t xml:space="preserve">Il trasferimento in capo al privato del rischio operativo presuppone a sua volta l’equilibrio economico finanziario definito dall’art 3 </w:t>
      </w:r>
      <w:proofErr w:type="spellStart"/>
      <w:r>
        <w:rPr>
          <w:rFonts w:ascii="Arial" w:eastAsia="Times New Roman" w:hAnsi="Arial" w:cs="Arial"/>
          <w:color w:val="222222"/>
          <w:lang w:eastAsia="it-IT"/>
        </w:rPr>
        <w:t>fff</w:t>
      </w:r>
      <w:proofErr w:type="spellEnd"/>
      <w:r>
        <w:rPr>
          <w:rFonts w:ascii="Arial" w:eastAsia="Times New Roman" w:hAnsi="Arial" w:cs="Arial"/>
          <w:color w:val="222222"/>
          <w:lang w:eastAsia="it-IT"/>
        </w:rPr>
        <w:t xml:space="preserve"> come </w:t>
      </w:r>
      <w:r>
        <w:rPr>
          <w:rFonts w:ascii="Calibri" w:hAnsi="Calibri"/>
          <w:color w:val="000000"/>
          <w:sz w:val="27"/>
          <w:szCs w:val="27"/>
          <w:shd w:val="clear" w:color="auto" w:fill="F5FDFE"/>
        </w:rPr>
        <w:t>la contemporanea presenza delle condizioni di convenienza economica e sostenibilità finanziaria. Per convenienza economica si intende la capacità del progetto di creare valore nell’arco dell'efficacia del contratto e di generare un livello di redditività adeguato per il capitale investito; per sostenibilità finanziaria si intende la capacità del progetto di generare flussi di cassa sufficienti a garantire il rimborso del finanziamento</w:t>
      </w:r>
      <w:r>
        <w:rPr>
          <w:rFonts w:ascii="Arial" w:eastAsia="Times New Roman" w:hAnsi="Arial" w:cs="Arial"/>
          <w:color w:val="222222"/>
          <w:lang w:eastAsia="it-IT"/>
        </w:rPr>
        <w:t xml:space="preserve"> </w:t>
      </w:r>
    </w:p>
    <w:p w:rsidR="000D1DDF" w:rsidRDefault="000D1DDF" w:rsidP="00217F9E">
      <w:pPr>
        <w:shd w:val="clear" w:color="auto" w:fill="FFFFFF"/>
        <w:spacing w:before="100" w:beforeAutospacing="1" w:after="24" w:line="240" w:lineRule="auto"/>
        <w:ind w:left="24"/>
        <w:rPr>
          <w:rFonts w:ascii="Arial" w:eastAsia="Times New Roman" w:hAnsi="Arial" w:cs="Arial"/>
          <w:color w:val="222222"/>
          <w:lang w:eastAsia="it-IT"/>
        </w:rPr>
      </w:pPr>
      <w:r>
        <w:rPr>
          <w:rFonts w:ascii="Arial" w:eastAsia="Times New Roman" w:hAnsi="Arial" w:cs="Arial"/>
          <w:color w:val="222222"/>
          <w:lang w:eastAsia="it-IT"/>
        </w:rPr>
        <w:t>Lo schema base della concessione appare quindi il seguente : l’</w:t>
      </w:r>
      <w:proofErr w:type="spellStart"/>
      <w:r>
        <w:rPr>
          <w:rFonts w:ascii="Arial" w:eastAsia="Times New Roman" w:hAnsi="Arial" w:cs="Arial"/>
          <w:color w:val="222222"/>
          <w:lang w:eastAsia="it-IT"/>
        </w:rPr>
        <w:t>ammiistrazione</w:t>
      </w:r>
      <w:proofErr w:type="spellEnd"/>
      <w:r>
        <w:rPr>
          <w:rFonts w:ascii="Arial" w:eastAsia="Times New Roman" w:hAnsi="Arial" w:cs="Arial"/>
          <w:color w:val="222222"/>
          <w:lang w:eastAsia="it-IT"/>
        </w:rPr>
        <w:t xml:space="preserve"> può dar vita ad una gara in cui sia possibile il recupero delle spese e l’acquisizione di introiti fino alla scadenza del rapporto. Sarà poi l’abilità del concessionario a determinare il quantum di tali guadagni in base al rischio operativo.</w:t>
      </w:r>
    </w:p>
    <w:p w:rsidR="000D1DDF" w:rsidRDefault="000D1DDF" w:rsidP="00217F9E">
      <w:pPr>
        <w:shd w:val="clear" w:color="auto" w:fill="FFFFFF"/>
        <w:spacing w:before="100" w:beforeAutospacing="1" w:after="24" w:line="240" w:lineRule="auto"/>
        <w:ind w:left="24"/>
        <w:rPr>
          <w:rFonts w:ascii="Arial" w:eastAsia="Times New Roman" w:hAnsi="Arial" w:cs="Arial"/>
          <w:color w:val="222222"/>
          <w:lang w:eastAsia="it-IT"/>
        </w:rPr>
      </w:pPr>
      <w:r>
        <w:rPr>
          <w:rFonts w:ascii="Arial" w:eastAsia="Times New Roman" w:hAnsi="Arial" w:cs="Arial"/>
          <w:color w:val="222222"/>
          <w:lang w:eastAsia="it-IT"/>
        </w:rPr>
        <w:t>L’amministrazione concedente può prevedere in caso di forte rischio operativo, ai fini dell’equilibrio economico-finanziario, un contributo pubblico in tutti i casi in cui l’opera da realizzare rischi di essere un investimento a perdere per il privato, entro il limite del 30% del costo dell’investimento complessivo.</w:t>
      </w:r>
    </w:p>
    <w:p w:rsidR="000D1DDF" w:rsidRDefault="000D1DDF" w:rsidP="00217F9E">
      <w:pPr>
        <w:shd w:val="clear" w:color="auto" w:fill="FFFFFF"/>
        <w:spacing w:before="100" w:beforeAutospacing="1" w:after="24" w:line="240" w:lineRule="auto"/>
        <w:ind w:left="24"/>
        <w:rPr>
          <w:rFonts w:ascii="Calibri" w:hAnsi="Calibri"/>
          <w:color w:val="000000"/>
          <w:sz w:val="27"/>
          <w:szCs w:val="27"/>
          <w:shd w:val="clear" w:color="auto" w:fill="F5FDFE"/>
        </w:rPr>
      </w:pPr>
      <w:r>
        <w:rPr>
          <w:rFonts w:ascii="Calibri" w:hAnsi="Calibri"/>
          <w:color w:val="000000"/>
          <w:sz w:val="27"/>
          <w:szCs w:val="27"/>
          <w:shd w:val="clear" w:color="auto" w:fill="F5FDFE"/>
        </w:rPr>
        <w:t>la durata delle concessioni è limitata ed è determinata nel bando di gara dall'amministrazione aggiudicatrice o dall'ente aggiudicatore in funzione dei lavori o servizi richiesti al concessionario. La stessa è commisurata al valore della concessione, nonché alla complessità organizzativa dell'oggetto della stessa</w:t>
      </w:r>
    </w:p>
    <w:p w:rsidR="000D1DDF" w:rsidRDefault="000D1DDF" w:rsidP="00217F9E">
      <w:pPr>
        <w:shd w:val="clear" w:color="auto" w:fill="FFFFFF"/>
        <w:spacing w:before="100" w:beforeAutospacing="1" w:after="24" w:line="240" w:lineRule="auto"/>
        <w:ind w:left="24"/>
        <w:rPr>
          <w:rFonts w:ascii="Calibri" w:hAnsi="Calibri"/>
          <w:color w:val="000000"/>
          <w:sz w:val="27"/>
          <w:szCs w:val="27"/>
          <w:shd w:val="clear" w:color="auto" w:fill="F5FDFE"/>
        </w:rPr>
      </w:pPr>
      <w:r>
        <w:rPr>
          <w:rFonts w:ascii="Calibri" w:hAnsi="Calibri"/>
          <w:color w:val="000000"/>
          <w:sz w:val="27"/>
          <w:szCs w:val="27"/>
          <w:shd w:val="clear" w:color="auto" w:fill="F5FDFE"/>
        </w:rPr>
        <w:t>Le concessioni aventi per oggetto sia lavori che servizi sono aggiudicate secondo le disposizioni applicabili al tipo di concessione che caratterizza l'oggetto principale del contratto.</w:t>
      </w:r>
    </w:p>
    <w:p w:rsidR="000D1DDF" w:rsidRPr="005C66DC" w:rsidRDefault="000D1DDF" w:rsidP="00217F9E">
      <w:pPr>
        <w:shd w:val="clear" w:color="auto" w:fill="FFFFFF"/>
        <w:spacing w:before="100" w:beforeAutospacing="1" w:after="24" w:line="240" w:lineRule="auto"/>
        <w:ind w:left="24"/>
        <w:rPr>
          <w:rFonts w:ascii="Arial" w:eastAsia="Times New Roman" w:hAnsi="Arial" w:cs="Arial"/>
          <w:color w:val="222222"/>
          <w:lang w:eastAsia="it-IT"/>
        </w:rPr>
      </w:pPr>
    </w:p>
    <w:p w:rsidR="005C66DC" w:rsidRPr="005C66DC" w:rsidRDefault="005C66DC" w:rsidP="005C66DC">
      <w:pPr>
        <w:pStyle w:val="NormaleWeb"/>
        <w:shd w:val="clear" w:color="auto" w:fill="FFFFFF"/>
        <w:spacing w:before="120" w:beforeAutospacing="0" w:after="120" w:afterAutospacing="0"/>
        <w:rPr>
          <w:rFonts w:ascii="Arial" w:hAnsi="Arial" w:cs="Arial"/>
          <w:color w:val="222222"/>
          <w:sz w:val="22"/>
          <w:szCs w:val="22"/>
        </w:rPr>
      </w:pPr>
    </w:p>
    <w:p w:rsidR="005C66DC" w:rsidRPr="005C66DC" w:rsidRDefault="005C66DC" w:rsidP="00945B05">
      <w:pPr>
        <w:pStyle w:val="NormaleWeb"/>
        <w:shd w:val="clear" w:color="auto" w:fill="FFFFFF"/>
        <w:spacing w:before="0" w:beforeAutospacing="0" w:after="262" w:afterAutospacing="0"/>
        <w:rPr>
          <w:rFonts w:ascii="Arial" w:hAnsi="Arial" w:cs="Arial"/>
          <w:color w:val="222222"/>
          <w:sz w:val="22"/>
          <w:szCs w:val="22"/>
        </w:rPr>
      </w:pPr>
    </w:p>
    <w:sectPr w:rsidR="005C66DC" w:rsidRPr="005C66DC" w:rsidSect="00415505">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cmeFont">
    <w:panose1 w:val="00000000000000000000"/>
    <w:charset w:val="00"/>
    <w:family w:val="auto"/>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554125"/>
    <w:multiLevelType w:val="multilevel"/>
    <w:tmpl w:val="B1708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21A858BB"/>
    <w:multiLevelType w:val="hybridMultilevel"/>
    <w:tmpl w:val="6E760A94"/>
    <w:lvl w:ilvl="0" w:tplc="04100001">
      <w:start w:val="1"/>
      <w:numFmt w:val="bullet"/>
      <w:lvlText w:val=""/>
      <w:lvlJc w:val="left"/>
      <w:pPr>
        <w:ind w:left="770" w:hanging="360"/>
      </w:pPr>
      <w:rPr>
        <w:rFonts w:ascii="Symbol" w:hAnsi="Symbol" w:hint="default"/>
      </w:rPr>
    </w:lvl>
    <w:lvl w:ilvl="1" w:tplc="04100003" w:tentative="1">
      <w:start w:val="1"/>
      <w:numFmt w:val="bullet"/>
      <w:lvlText w:val="o"/>
      <w:lvlJc w:val="left"/>
      <w:pPr>
        <w:ind w:left="1490" w:hanging="360"/>
      </w:pPr>
      <w:rPr>
        <w:rFonts w:ascii="Courier New" w:hAnsi="Courier New" w:cs="Courier New" w:hint="default"/>
      </w:rPr>
    </w:lvl>
    <w:lvl w:ilvl="2" w:tplc="04100005" w:tentative="1">
      <w:start w:val="1"/>
      <w:numFmt w:val="bullet"/>
      <w:lvlText w:val=""/>
      <w:lvlJc w:val="left"/>
      <w:pPr>
        <w:ind w:left="2210" w:hanging="360"/>
      </w:pPr>
      <w:rPr>
        <w:rFonts w:ascii="Wingdings" w:hAnsi="Wingdings" w:hint="default"/>
      </w:rPr>
    </w:lvl>
    <w:lvl w:ilvl="3" w:tplc="04100001" w:tentative="1">
      <w:start w:val="1"/>
      <w:numFmt w:val="bullet"/>
      <w:lvlText w:val=""/>
      <w:lvlJc w:val="left"/>
      <w:pPr>
        <w:ind w:left="2930" w:hanging="360"/>
      </w:pPr>
      <w:rPr>
        <w:rFonts w:ascii="Symbol" w:hAnsi="Symbol" w:hint="default"/>
      </w:rPr>
    </w:lvl>
    <w:lvl w:ilvl="4" w:tplc="04100003" w:tentative="1">
      <w:start w:val="1"/>
      <w:numFmt w:val="bullet"/>
      <w:lvlText w:val="o"/>
      <w:lvlJc w:val="left"/>
      <w:pPr>
        <w:ind w:left="3650" w:hanging="360"/>
      </w:pPr>
      <w:rPr>
        <w:rFonts w:ascii="Courier New" w:hAnsi="Courier New" w:cs="Courier New" w:hint="default"/>
      </w:rPr>
    </w:lvl>
    <w:lvl w:ilvl="5" w:tplc="04100005" w:tentative="1">
      <w:start w:val="1"/>
      <w:numFmt w:val="bullet"/>
      <w:lvlText w:val=""/>
      <w:lvlJc w:val="left"/>
      <w:pPr>
        <w:ind w:left="4370" w:hanging="360"/>
      </w:pPr>
      <w:rPr>
        <w:rFonts w:ascii="Wingdings" w:hAnsi="Wingdings" w:hint="default"/>
      </w:rPr>
    </w:lvl>
    <w:lvl w:ilvl="6" w:tplc="04100001" w:tentative="1">
      <w:start w:val="1"/>
      <w:numFmt w:val="bullet"/>
      <w:lvlText w:val=""/>
      <w:lvlJc w:val="left"/>
      <w:pPr>
        <w:ind w:left="5090" w:hanging="360"/>
      </w:pPr>
      <w:rPr>
        <w:rFonts w:ascii="Symbol" w:hAnsi="Symbol" w:hint="default"/>
      </w:rPr>
    </w:lvl>
    <w:lvl w:ilvl="7" w:tplc="04100003" w:tentative="1">
      <w:start w:val="1"/>
      <w:numFmt w:val="bullet"/>
      <w:lvlText w:val="o"/>
      <w:lvlJc w:val="left"/>
      <w:pPr>
        <w:ind w:left="5810" w:hanging="360"/>
      </w:pPr>
      <w:rPr>
        <w:rFonts w:ascii="Courier New" w:hAnsi="Courier New" w:cs="Courier New" w:hint="default"/>
      </w:rPr>
    </w:lvl>
    <w:lvl w:ilvl="8" w:tplc="04100005" w:tentative="1">
      <w:start w:val="1"/>
      <w:numFmt w:val="bullet"/>
      <w:lvlText w:val=""/>
      <w:lvlJc w:val="left"/>
      <w:pPr>
        <w:ind w:left="6530" w:hanging="360"/>
      </w:pPr>
      <w:rPr>
        <w:rFonts w:ascii="Wingdings" w:hAnsi="Wingdings" w:hint="default"/>
      </w:rPr>
    </w:lvl>
  </w:abstractNum>
  <w:abstractNum w:abstractNumId="2">
    <w:nsid w:val="237860BE"/>
    <w:multiLevelType w:val="multilevel"/>
    <w:tmpl w:val="66C4E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6F96B4E"/>
    <w:multiLevelType w:val="multilevel"/>
    <w:tmpl w:val="D7962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2CB720F0"/>
    <w:multiLevelType w:val="multilevel"/>
    <w:tmpl w:val="B19C5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99A1045"/>
    <w:multiLevelType w:val="hybridMultilevel"/>
    <w:tmpl w:val="A248276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42753324"/>
    <w:multiLevelType w:val="multilevel"/>
    <w:tmpl w:val="31EA6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3E32956"/>
    <w:multiLevelType w:val="multilevel"/>
    <w:tmpl w:val="0A3AA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448C7BF5"/>
    <w:multiLevelType w:val="hybridMultilevel"/>
    <w:tmpl w:val="7B70F53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nsid w:val="5FA03B4D"/>
    <w:multiLevelType w:val="multilevel"/>
    <w:tmpl w:val="6A68A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3AF02A4"/>
    <w:multiLevelType w:val="multilevel"/>
    <w:tmpl w:val="1D92C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8543C29"/>
    <w:multiLevelType w:val="hybridMultilevel"/>
    <w:tmpl w:val="C16CCE96"/>
    <w:lvl w:ilvl="0" w:tplc="04100001">
      <w:start w:val="1"/>
      <w:numFmt w:val="bullet"/>
      <w:lvlText w:val=""/>
      <w:lvlJc w:val="left"/>
      <w:pPr>
        <w:ind w:left="744" w:hanging="360"/>
      </w:pPr>
      <w:rPr>
        <w:rFonts w:ascii="Symbol" w:hAnsi="Symbol" w:hint="default"/>
      </w:rPr>
    </w:lvl>
    <w:lvl w:ilvl="1" w:tplc="04100003" w:tentative="1">
      <w:start w:val="1"/>
      <w:numFmt w:val="bullet"/>
      <w:lvlText w:val="o"/>
      <w:lvlJc w:val="left"/>
      <w:pPr>
        <w:ind w:left="1464" w:hanging="360"/>
      </w:pPr>
      <w:rPr>
        <w:rFonts w:ascii="Courier New" w:hAnsi="Courier New" w:cs="Courier New" w:hint="default"/>
      </w:rPr>
    </w:lvl>
    <w:lvl w:ilvl="2" w:tplc="04100005" w:tentative="1">
      <w:start w:val="1"/>
      <w:numFmt w:val="bullet"/>
      <w:lvlText w:val=""/>
      <w:lvlJc w:val="left"/>
      <w:pPr>
        <w:ind w:left="2184" w:hanging="360"/>
      </w:pPr>
      <w:rPr>
        <w:rFonts w:ascii="Wingdings" w:hAnsi="Wingdings" w:hint="default"/>
      </w:rPr>
    </w:lvl>
    <w:lvl w:ilvl="3" w:tplc="04100001" w:tentative="1">
      <w:start w:val="1"/>
      <w:numFmt w:val="bullet"/>
      <w:lvlText w:val=""/>
      <w:lvlJc w:val="left"/>
      <w:pPr>
        <w:ind w:left="2904" w:hanging="360"/>
      </w:pPr>
      <w:rPr>
        <w:rFonts w:ascii="Symbol" w:hAnsi="Symbol" w:hint="default"/>
      </w:rPr>
    </w:lvl>
    <w:lvl w:ilvl="4" w:tplc="04100003" w:tentative="1">
      <w:start w:val="1"/>
      <w:numFmt w:val="bullet"/>
      <w:lvlText w:val="o"/>
      <w:lvlJc w:val="left"/>
      <w:pPr>
        <w:ind w:left="3624" w:hanging="360"/>
      </w:pPr>
      <w:rPr>
        <w:rFonts w:ascii="Courier New" w:hAnsi="Courier New" w:cs="Courier New" w:hint="default"/>
      </w:rPr>
    </w:lvl>
    <w:lvl w:ilvl="5" w:tplc="04100005" w:tentative="1">
      <w:start w:val="1"/>
      <w:numFmt w:val="bullet"/>
      <w:lvlText w:val=""/>
      <w:lvlJc w:val="left"/>
      <w:pPr>
        <w:ind w:left="4344" w:hanging="360"/>
      </w:pPr>
      <w:rPr>
        <w:rFonts w:ascii="Wingdings" w:hAnsi="Wingdings" w:hint="default"/>
      </w:rPr>
    </w:lvl>
    <w:lvl w:ilvl="6" w:tplc="04100001" w:tentative="1">
      <w:start w:val="1"/>
      <w:numFmt w:val="bullet"/>
      <w:lvlText w:val=""/>
      <w:lvlJc w:val="left"/>
      <w:pPr>
        <w:ind w:left="5064" w:hanging="360"/>
      </w:pPr>
      <w:rPr>
        <w:rFonts w:ascii="Symbol" w:hAnsi="Symbol" w:hint="default"/>
      </w:rPr>
    </w:lvl>
    <w:lvl w:ilvl="7" w:tplc="04100003" w:tentative="1">
      <w:start w:val="1"/>
      <w:numFmt w:val="bullet"/>
      <w:lvlText w:val="o"/>
      <w:lvlJc w:val="left"/>
      <w:pPr>
        <w:ind w:left="5784" w:hanging="360"/>
      </w:pPr>
      <w:rPr>
        <w:rFonts w:ascii="Courier New" w:hAnsi="Courier New" w:cs="Courier New" w:hint="default"/>
      </w:rPr>
    </w:lvl>
    <w:lvl w:ilvl="8" w:tplc="04100005" w:tentative="1">
      <w:start w:val="1"/>
      <w:numFmt w:val="bullet"/>
      <w:lvlText w:val=""/>
      <w:lvlJc w:val="left"/>
      <w:pPr>
        <w:ind w:left="6504" w:hanging="360"/>
      </w:pPr>
      <w:rPr>
        <w:rFonts w:ascii="Wingdings" w:hAnsi="Wingdings" w:hint="default"/>
      </w:rPr>
    </w:lvl>
  </w:abstractNum>
  <w:num w:numId="1">
    <w:abstractNumId w:val="1"/>
  </w:num>
  <w:num w:numId="2">
    <w:abstractNumId w:val="6"/>
    <w:lvlOverride w:ilvl="0">
      <w:lvl w:ilvl="0">
        <w:numFmt w:val="bullet"/>
        <w:lvlText w:val=""/>
        <w:lvlJc w:val="left"/>
        <w:pPr>
          <w:tabs>
            <w:tab w:val="num" w:pos="720"/>
          </w:tabs>
          <w:ind w:left="720" w:hanging="360"/>
        </w:pPr>
        <w:rPr>
          <w:rFonts w:ascii="Wingdings" w:hAnsi="Wingdings" w:hint="default"/>
          <w:sz w:val="20"/>
        </w:rPr>
      </w:lvl>
    </w:lvlOverride>
  </w:num>
  <w:num w:numId="3">
    <w:abstractNumId w:val="10"/>
    <w:lvlOverride w:ilvl="0">
      <w:lvl w:ilvl="0">
        <w:numFmt w:val="bullet"/>
        <w:lvlText w:val=""/>
        <w:lvlJc w:val="left"/>
        <w:pPr>
          <w:tabs>
            <w:tab w:val="num" w:pos="720"/>
          </w:tabs>
          <w:ind w:left="720" w:hanging="360"/>
        </w:pPr>
        <w:rPr>
          <w:rFonts w:ascii="Wingdings" w:hAnsi="Wingdings" w:hint="default"/>
          <w:sz w:val="20"/>
        </w:rPr>
      </w:lvl>
    </w:lvlOverride>
  </w:num>
  <w:num w:numId="4">
    <w:abstractNumId w:val="9"/>
  </w:num>
  <w:num w:numId="5">
    <w:abstractNumId w:val="2"/>
  </w:num>
  <w:num w:numId="6">
    <w:abstractNumId w:val="3"/>
  </w:num>
  <w:num w:numId="7">
    <w:abstractNumId w:val="0"/>
  </w:num>
  <w:num w:numId="8">
    <w:abstractNumId w:val="11"/>
  </w:num>
  <w:num w:numId="9">
    <w:abstractNumId w:val="4"/>
  </w:num>
  <w:num w:numId="10">
    <w:abstractNumId w:val="5"/>
  </w:num>
  <w:num w:numId="11">
    <w:abstractNumId w:val="8"/>
  </w:num>
  <w:num w:numId="12">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9"/>
  <w:proofState w:spelling="clean"/>
  <w:defaultTabStop w:val="708"/>
  <w:hyphenationZone w:val="283"/>
  <w:characterSpacingControl w:val="doNotCompress"/>
  <w:compat/>
  <w:rsids>
    <w:rsidRoot w:val="00B26354"/>
    <w:rsid w:val="00020334"/>
    <w:rsid w:val="00071BE3"/>
    <w:rsid w:val="000B1CA5"/>
    <w:rsid w:val="000D1DDF"/>
    <w:rsid w:val="00126BDB"/>
    <w:rsid w:val="00152D01"/>
    <w:rsid w:val="00154B2D"/>
    <w:rsid w:val="00165D06"/>
    <w:rsid w:val="00195C11"/>
    <w:rsid w:val="0020519D"/>
    <w:rsid w:val="00217F9E"/>
    <w:rsid w:val="00224312"/>
    <w:rsid w:val="002648B4"/>
    <w:rsid w:val="002D2EF6"/>
    <w:rsid w:val="00314B79"/>
    <w:rsid w:val="00327B0E"/>
    <w:rsid w:val="003F0224"/>
    <w:rsid w:val="00403D8C"/>
    <w:rsid w:val="00415505"/>
    <w:rsid w:val="00445673"/>
    <w:rsid w:val="00507C60"/>
    <w:rsid w:val="005647DA"/>
    <w:rsid w:val="005A636F"/>
    <w:rsid w:val="005C66DC"/>
    <w:rsid w:val="005D2A98"/>
    <w:rsid w:val="005E13CC"/>
    <w:rsid w:val="006460A5"/>
    <w:rsid w:val="00677A61"/>
    <w:rsid w:val="006909AB"/>
    <w:rsid w:val="006F5386"/>
    <w:rsid w:val="00745BC1"/>
    <w:rsid w:val="00770AB7"/>
    <w:rsid w:val="007A76DB"/>
    <w:rsid w:val="008B135A"/>
    <w:rsid w:val="00941479"/>
    <w:rsid w:val="00945B05"/>
    <w:rsid w:val="00981B62"/>
    <w:rsid w:val="009B4779"/>
    <w:rsid w:val="009C46DD"/>
    <w:rsid w:val="00A4602C"/>
    <w:rsid w:val="00A77E61"/>
    <w:rsid w:val="00B02864"/>
    <w:rsid w:val="00B22444"/>
    <w:rsid w:val="00B26354"/>
    <w:rsid w:val="00BC3075"/>
    <w:rsid w:val="00C12084"/>
    <w:rsid w:val="00C12677"/>
    <w:rsid w:val="00C53056"/>
    <w:rsid w:val="00C7195F"/>
    <w:rsid w:val="00CA5DB5"/>
    <w:rsid w:val="00DA1724"/>
    <w:rsid w:val="00DD3409"/>
    <w:rsid w:val="00E46233"/>
    <w:rsid w:val="00E675CE"/>
    <w:rsid w:val="00F15AF4"/>
    <w:rsid w:val="00FA5BBE"/>
    <w:rsid w:val="00FA6C5E"/>
    <w:rsid w:val="00FF5523"/>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415505"/>
  </w:style>
  <w:style w:type="paragraph" w:styleId="Titolo2">
    <w:name w:val="heading 2"/>
    <w:basedOn w:val="Normale"/>
    <w:link w:val="Titolo2Carattere"/>
    <w:uiPriority w:val="9"/>
    <w:qFormat/>
    <w:rsid w:val="006460A5"/>
    <w:pPr>
      <w:spacing w:before="100" w:beforeAutospacing="1" w:after="100" w:afterAutospacing="1" w:line="240" w:lineRule="auto"/>
      <w:outlineLvl w:val="1"/>
    </w:pPr>
    <w:rPr>
      <w:rFonts w:ascii="Times New Roman" w:eastAsia="Times New Roman" w:hAnsi="Times New Roman" w:cs="Times New Roman"/>
      <w:b/>
      <w:bCs/>
      <w:sz w:val="36"/>
      <w:szCs w:val="36"/>
      <w:lang w:eastAsia="it-IT"/>
    </w:rPr>
  </w:style>
  <w:style w:type="paragraph" w:styleId="Titolo3">
    <w:name w:val="heading 3"/>
    <w:basedOn w:val="Normale"/>
    <w:next w:val="Normale"/>
    <w:link w:val="Titolo3Carattere"/>
    <w:uiPriority w:val="9"/>
    <w:semiHidden/>
    <w:unhideWhenUsed/>
    <w:qFormat/>
    <w:rsid w:val="00677A61"/>
    <w:pPr>
      <w:keepNext/>
      <w:keepLines/>
      <w:spacing w:before="200" w:after="0"/>
      <w:outlineLvl w:val="2"/>
    </w:pPr>
    <w:rPr>
      <w:rFonts w:asciiTheme="majorHAnsi" w:eastAsiaTheme="majorEastAsia" w:hAnsiTheme="majorHAnsi" w:cstheme="majorBidi"/>
      <w:b/>
      <w:bCs/>
      <w:color w:val="4F81BD" w:themeColor="accent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semiHidden/>
    <w:unhideWhenUsed/>
    <w:rsid w:val="00445673"/>
    <w:rPr>
      <w:color w:val="0000FF"/>
      <w:u w:val="single"/>
    </w:rPr>
  </w:style>
  <w:style w:type="paragraph" w:styleId="Paragrafoelenco">
    <w:name w:val="List Paragraph"/>
    <w:basedOn w:val="Normale"/>
    <w:uiPriority w:val="34"/>
    <w:qFormat/>
    <w:rsid w:val="00941479"/>
    <w:pPr>
      <w:ind w:left="720"/>
      <w:contextualSpacing/>
    </w:pPr>
  </w:style>
  <w:style w:type="paragraph" w:styleId="NormaleWeb">
    <w:name w:val="Normal (Web)"/>
    <w:basedOn w:val="Normale"/>
    <w:uiPriority w:val="99"/>
    <w:unhideWhenUsed/>
    <w:rsid w:val="00FA6C5E"/>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FA6C5E"/>
    <w:rPr>
      <w:b/>
      <w:bCs/>
    </w:rPr>
  </w:style>
  <w:style w:type="character" w:customStyle="1" w:styleId="Titolo2Carattere">
    <w:name w:val="Titolo 2 Carattere"/>
    <w:basedOn w:val="Carpredefinitoparagrafo"/>
    <w:link w:val="Titolo2"/>
    <w:uiPriority w:val="9"/>
    <w:rsid w:val="006460A5"/>
    <w:rPr>
      <w:rFonts w:ascii="Times New Roman" w:eastAsia="Times New Roman" w:hAnsi="Times New Roman" w:cs="Times New Roman"/>
      <w:b/>
      <w:bCs/>
      <w:sz w:val="36"/>
      <w:szCs w:val="36"/>
      <w:lang w:eastAsia="it-IT"/>
    </w:rPr>
  </w:style>
  <w:style w:type="character" w:styleId="Enfasicorsivo">
    <w:name w:val="Emphasis"/>
    <w:basedOn w:val="Carpredefinitoparagrafo"/>
    <w:uiPriority w:val="20"/>
    <w:qFormat/>
    <w:rsid w:val="006460A5"/>
    <w:rPr>
      <w:i/>
      <w:iCs/>
    </w:rPr>
  </w:style>
  <w:style w:type="character" w:customStyle="1" w:styleId="mw-headline">
    <w:name w:val="mw-headline"/>
    <w:basedOn w:val="Carpredefinitoparagrafo"/>
    <w:rsid w:val="008B135A"/>
  </w:style>
  <w:style w:type="character" w:customStyle="1" w:styleId="mw-editsection">
    <w:name w:val="mw-editsection"/>
    <w:basedOn w:val="Carpredefinitoparagrafo"/>
    <w:rsid w:val="008B135A"/>
  </w:style>
  <w:style w:type="character" w:customStyle="1" w:styleId="mw-editsection-bracket">
    <w:name w:val="mw-editsection-bracket"/>
    <w:basedOn w:val="Carpredefinitoparagrafo"/>
    <w:rsid w:val="008B135A"/>
  </w:style>
  <w:style w:type="character" w:customStyle="1" w:styleId="mw-editsection-divider">
    <w:name w:val="mw-editsection-divider"/>
    <w:basedOn w:val="Carpredefinitoparagrafo"/>
    <w:rsid w:val="008B135A"/>
  </w:style>
  <w:style w:type="character" w:customStyle="1" w:styleId="Titolo3Carattere">
    <w:name w:val="Titolo 3 Carattere"/>
    <w:basedOn w:val="Carpredefinitoparagrafo"/>
    <w:link w:val="Titolo3"/>
    <w:uiPriority w:val="9"/>
    <w:semiHidden/>
    <w:rsid w:val="00677A61"/>
    <w:rPr>
      <w:rFonts w:asciiTheme="majorHAnsi" w:eastAsiaTheme="majorEastAsia" w:hAnsiTheme="majorHAnsi" w:cstheme="majorBidi"/>
      <w:b/>
      <w:bCs/>
      <w:color w:val="4F81BD" w:themeColor="accent1"/>
    </w:rPr>
  </w:style>
  <w:style w:type="paragraph" w:styleId="Testofumetto">
    <w:name w:val="Balloon Text"/>
    <w:basedOn w:val="Normale"/>
    <w:link w:val="TestofumettoCarattere"/>
    <w:uiPriority w:val="99"/>
    <w:semiHidden/>
    <w:unhideWhenUsed/>
    <w:rsid w:val="005C66DC"/>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5C66D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37327941">
      <w:bodyDiv w:val="1"/>
      <w:marLeft w:val="0"/>
      <w:marRight w:val="0"/>
      <w:marTop w:val="0"/>
      <w:marBottom w:val="0"/>
      <w:divBdr>
        <w:top w:val="none" w:sz="0" w:space="0" w:color="auto"/>
        <w:left w:val="none" w:sz="0" w:space="0" w:color="auto"/>
        <w:bottom w:val="none" w:sz="0" w:space="0" w:color="auto"/>
        <w:right w:val="none" w:sz="0" w:space="0" w:color="auto"/>
      </w:divBdr>
      <w:divsChild>
        <w:div w:id="17896356">
          <w:blockQuote w:val="1"/>
          <w:marLeft w:val="0"/>
          <w:marRight w:val="0"/>
          <w:marTop w:val="0"/>
          <w:marBottom w:val="292"/>
          <w:divBdr>
            <w:top w:val="none" w:sz="0" w:space="8" w:color="B51111"/>
            <w:left w:val="single" w:sz="8" w:space="12" w:color="B51111"/>
            <w:bottom w:val="none" w:sz="0" w:space="0" w:color="B51111"/>
            <w:right w:val="none" w:sz="0" w:space="12" w:color="B51111"/>
          </w:divBdr>
        </w:div>
      </w:divsChild>
    </w:div>
    <w:div w:id="262764240">
      <w:bodyDiv w:val="1"/>
      <w:marLeft w:val="0"/>
      <w:marRight w:val="0"/>
      <w:marTop w:val="0"/>
      <w:marBottom w:val="0"/>
      <w:divBdr>
        <w:top w:val="none" w:sz="0" w:space="0" w:color="auto"/>
        <w:left w:val="none" w:sz="0" w:space="0" w:color="auto"/>
        <w:bottom w:val="none" w:sz="0" w:space="0" w:color="auto"/>
        <w:right w:val="none" w:sz="0" w:space="0" w:color="auto"/>
      </w:divBdr>
    </w:div>
    <w:div w:id="332300206">
      <w:bodyDiv w:val="1"/>
      <w:marLeft w:val="0"/>
      <w:marRight w:val="0"/>
      <w:marTop w:val="0"/>
      <w:marBottom w:val="0"/>
      <w:divBdr>
        <w:top w:val="none" w:sz="0" w:space="0" w:color="auto"/>
        <w:left w:val="none" w:sz="0" w:space="0" w:color="auto"/>
        <w:bottom w:val="none" w:sz="0" w:space="0" w:color="auto"/>
        <w:right w:val="none" w:sz="0" w:space="0" w:color="auto"/>
      </w:divBdr>
    </w:div>
    <w:div w:id="442461756">
      <w:bodyDiv w:val="1"/>
      <w:marLeft w:val="0"/>
      <w:marRight w:val="0"/>
      <w:marTop w:val="0"/>
      <w:marBottom w:val="0"/>
      <w:divBdr>
        <w:top w:val="none" w:sz="0" w:space="0" w:color="auto"/>
        <w:left w:val="none" w:sz="0" w:space="0" w:color="auto"/>
        <w:bottom w:val="none" w:sz="0" w:space="0" w:color="auto"/>
        <w:right w:val="none" w:sz="0" w:space="0" w:color="auto"/>
      </w:divBdr>
    </w:div>
    <w:div w:id="681664181">
      <w:bodyDiv w:val="1"/>
      <w:marLeft w:val="0"/>
      <w:marRight w:val="0"/>
      <w:marTop w:val="0"/>
      <w:marBottom w:val="0"/>
      <w:divBdr>
        <w:top w:val="none" w:sz="0" w:space="0" w:color="auto"/>
        <w:left w:val="none" w:sz="0" w:space="0" w:color="auto"/>
        <w:bottom w:val="none" w:sz="0" w:space="0" w:color="auto"/>
        <w:right w:val="none" w:sz="0" w:space="0" w:color="auto"/>
      </w:divBdr>
      <w:divsChild>
        <w:div w:id="14282355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5106421">
      <w:bodyDiv w:val="1"/>
      <w:marLeft w:val="0"/>
      <w:marRight w:val="0"/>
      <w:marTop w:val="0"/>
      <w:marBottom w:val="0"/>
      <w:divBdr>
        <w:top w:val="none" w:sz="0" w:space="0" w:color="auto"/>
        <w:left w:val="none" w:sz="0" w:space="0" w:color="auto"/>
        <w:bottom w:val="none" w:sz="0" w:space="0" w:color="auto"/>
        <w:right w:val="none" w:sz="0" w:space="0" w:color="auto"/>
      </w:divBdr>
    </w:div>
    <w:div w:id="868761311">
      <w:bodyDiv w:val="1"/>
      <w:marLeft w:val="0"/>
      <w:marRight w:val="0"/>
      <w:marTop w:val="0"/>
      <w:marBottom w:val="0"/>
      <w:divBdr>
        <w:top w:val="none" w:sz="0" w:space="0" w:color="auto"/>
        <w:left w:val="none" w:sz="0" w:space="0" w:color="auto"/>
        <w:bottom w:val="none" w:sz="0" w:space="0" w:color="auto"/>
        <w:right w:val="none" w:sz="0" w:space="0" w:color="auto"/>
      </w:divBdr>
    </w:div>
    <w:div w:id="903680876">
      <w:bodyDiv w:val="1"/>
      <w:marLeft w:val="0"/>
      <w:marRight w:val="0"/>
      <w:marTop w:val="0"/>
      <w:marBottom w:val="0"/>
      <w:divBdr>
        <w:top w:val="none" w:sz="0" w:space="0" w:color="auto"/>
        <w:left w:val="none" w:sz="0" w:space="0" w:color="auto"/>
        <w:bottom w:val="none" w:sz="0" w:space="0" w:color="auto"/>
        <w:right w:val="none" w:sz="0" w:space="0" w:color="auto"/>
      </w:divBdr>
    </w:div>
    <w:div w:id="905995108">
      <w:bodyDiv w:val="1"/>
      <w:marLeft w:val="0"/>
      <w:marRight w:val="0"/>
      <w:marTop w:val="0"/>
      <w:marBottom w:val="0"/>
      <w:divBdr>
        <w:top w:val="none" w:sz="0" w:space="0" w:color="auto"/>
        <w:left w:val="none" w:sz="0" w:space="0" w:color="auto"/>
        <w:bottom w:val="none" w:sz="0" w:space="0" w:color="auto"/>
        <w:right w:val="none" w:sz="0" w:space="0" w:color="auto"/>
      </w:divBdr>
    </w:div>
    <w:div w:id="959914577">
      <w:bodyDiv w:val="1"/>
      <w:marLeft w:val="0"/>
      <w:marRight w:val="0"/>
      <w:marTop w:val="0"/>
      <w:marBottom w:val="0"/>
      <w:divBdr>
        <w:top w:val="none" w:sz="0" w:space="0" w:color="auto"/>
        <w:left w:val="none" w:sz="0" w:space="0" w:color="auto"/>
        <w:bottom w:val="none" w:sz="0" w:space="0" w:color="auto"/>
        <w:right w:val="none" w:sz="0" w:space="0" w:color="auto"/>
      </w:divBdr>
      <w:divsChild>
        <w:div w:id="15196556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82283401">
      <w:bodyDiv w:val="1"/>
      <w:marLeft w:val="0"/>
      <w:marRight w:val="0"/>
      <w:marTop w:val="0"/>
      <w:marBottom w:val="0"/>
      <w:divBdr>
        <w:top w:val="none" w:sz="0" w:space="0" w:color="auto"/>
        <w:left w:val="none" w:sz="0" w:space="0" w:color="auto"/>
        <w:bottom w:val="none" w:sz="0" w:space="0" w:color="auto"/>
        <w:right w:val="none" w:sz="0" w:space="0" w:color="auto"/>
      </w:divBdr>
      <w:divsChild>
        <w:div w:id="1754550359">
          <w:marLeft w:val="0"/>
          <w:marRight w:val="0"/>
          <w:marTop w:val="0"/>
          <w:marBottom w:val="0"/>
          <w:divBdr>
            <w:top w:val="single" w:sz="4" w:space="0" w:color="EFEFEF"/>
            <w:left w:val="single" w:sz="4" w:space="8" w:color="EFEFEF"/>
            <w:bottom w:val="single" w:sz="4" w:space="0" w:color="EFEFEF"/>
            <w:right w:val="single" w:sz="4" w:space="8" w:color="EFEFEF"/>
          </w:divBdr>
          <w:divsChild>
            <w:div w:id="664163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2179417">
      <w:bodyDiv w:val="1"/>
      <w:marLeft w:val="0"/>
      <w:marRight w:val="0"/>
      <w:marTop w:val="0"/>
      <w:marBottom w:val="0"/>
      <w:divBdr>
        <w:top w:val="none" w:sz="0" w:space="0" w:color="auto"/>
        <w:left w:val="none" w:sz="0" w:space="0" w:color="auto"/>
        <w:bottom w:val="none" w:sz="0" w:space="0" w:color="auto"/>
        <w:right w:val="none" w:sz="0" w:space="0" w:color="auto"/>
      </w:divBdr>
    </w:div>
    <w:div w:id="1358316820">
      <w:bodyDiv w:val="1"/>
      <w:marLeft w:val="0"/>
      <w:marRight w:val="0"/>
      <w:marTop w:val="0"/>
      <w:marBottom w:val="0"/>
      <w:divBdr>
        <w:top w:val="none" w:sz="0" w:space="0" w:color="auto"/>
        <w:left w:val="none" w:sz="0" w:space="0" w:color="auto"/>
        <w:bottom w:val="none" w:sz="0" w:space="0" w:color="auto"/>
        <w:right w:val="none" w:sz="0" w:space="0" w:color="auto"/>
      </w:divBdr>
    </w:div>
    <w:div w:id="1432748920">
      <w:bodyDiv w:val="1"/>
      <w:marLeft w:val="0"/>
      <w:marRight w:val="0"/>
      <w:marTop w:val="0"/>
      <w:marBottom w:val="0"/>
      <w:divBdr>
        <w:top w:val="none" w:sz="0" w:space="0" w:color="auto"/>
        <w:left w:val="none" w:sz="0" w:space="0" w:color="auto"/>
        <w:bottom w:val="none" w:sz="0" w:space="0" w:color="auto"/>
        <w:right w:val="none" w:sz="0" w:space="0" w:color="auto"/>
      </w:divBdr>
      <w:divsChild>
        <w:div w:id="1647975118">
          <w:marLeft w:val="336"/>
          <w:marRight w:val="0"/>
          <w:marTop w:val="120"/>
          <w:marBottom w:val="312"/>
          <w:divBdr>
            <w:top w:val="none" w:sz="0" w:space="0" w:color="auto"/>
            <w:left w:val="none" w:sz="0" w:space="0" w:color="auto"/>
            <w:bottom w:val="none" w:sz="0" w:space="0" w:color="auto"/>
            <w:right w:val="none" w:sz="0" w:space="0" w:color="auto"/>
          </w:divBdr>
          <w:divsChild>
            <w:div w:id="1063287005">
              <w:marLeft w:val="0"/>
              <w:marRight w:val="0"/>
              <w:marTop w:val="0"/>
              <w:marBottom w:val="0"/>
              <w:divBdr>
                <w:top w:val="single" w:sz="4" w:space="2" w:color="C8CCD1"/>
                <w:left w:val="single" w:sz="4" w:space="2" w:color="C8CCD1"/>
                <w:bottom w:val="single" w:sz="4" w:space="2" w:color="C8CCD1"/>
                <w:right w:val="single" w:sz="4" w:space="2" w:color="C8CCD1"/>
              </w:divBdr>
            </w:div>
          </w:divsChild>
        </w:div>
      </w:divsChild>
    </w:div>
    <w:div w:id="1492722252">
      <w:bodyDiv w:val="1"/>
      <w:marLeft w:val="0"/>
      <w:marRight w:val="0"/>
      <w:marTop w:val="0"/>
      <w:marBottom w:val="0"/>
      <w:divBdr>
        <w:top w:val="none" w:sz="0" w:space="0" w:color="auto"/>
        <w:left w:val="none" w:sz="0" w:space="0" w:color="auto"/>
        <w:bottom w:val="none" w:sz="0" w:space="0" w:color="auto"/>
        <w:right w:val="none" w:sz="0" w:space="0" w:color="auto"/>
      </w:divBdr>
    </w:div>
    <w:div w:id="1502624431">
      <w:bodyDiv w:val="1"/>
      <w:marLeft w:val="0"/>
      <w:marRight w:val="0"/>
      <w:marTop w:val="0"/>
      <w:marBottom w:val="0"/>
      <w:divBdr>
        <w:top w:val="none" w:sz="0" w:space="0" w:color="auto"/>
        <w:left w:val="none" w:sz="0" w:space="0" w:color="auto"/>
        <w:bottom w:val="none" w:sz="0" w:space="0" w:color="auto"/>
        <w:right w:val="none" w:sz="0" w:space="0" w:color="auto"/>
      </w:divBdr>
    </w:div>
    <w:div w:id="1569263026">
      <w:bodyDiv w:val="1"/>
      <w:marLeft w:val="0"/>
      <w:marRight w:val="0"/>
      <w:marTop w:val="0"/>
      <w:marBottom w:val="0"/>
      <w:divBdr>
        <w:top w:val="none" w:sz="0" w:space="0" w:color="auto"/>
        <w:left w:val="none" w:sz="0" w:space="0" w:color="auto"/>
        <w:bottom w:val="none" w:sz="0" w:space="0" w:color="auto"/>
        <w:right w:val="none" w:sz="0" w:space="0" w:color="auto"/>
      </w:divBdr>
    </w:div>
    <w:div w:id="1638611854">
      <w:bodyDiv w:val="1"/>
      <w:marLeft w:val="0"/>
      <w:marRight w:val="0"/>
      <w:marTop w:val="0"/>
      <w:marBottom w:val="0"/>
      <w:divBdr>
        <w:top w:val="none" w:sz="0" w:space="0" w:color="auto"/>
        <w:left w:val="none" w:sz="0" w:space="0" w:color="auto"/>
        <w:bottom w:val="none" w:sz="0" w:space="0" w:color="auto"/>
        <w:right w:val="none" w:sz="0" w:space="0" w:color="auto"/>
      </w:divBdr>
      <w:divsChild>
        <w:div w:id="16960312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62408151">
      <w:bodyDiv w:val="1"/>
      <w:marLeft w:val="0"/>
      <w:marRight w:val="0"/>
      <w:marTop w:val="0"/>
      <w:marBottom w:val="0"/>
      <w:divBdr>
        <w:top w:val="none" w:sz="0" w:space="0" w:color="auto"/>
        <w:left w:val="none" w:sz="0" w:space="0" w:color="auto"/>
        <w:bottom w:val="none" w:sz="0" w:space="0" w:color="auto"/>
        <w:right w:val="none" w:sz="0" w:space="0" w:color="auto"/>
      </w:divBdr>
    </w:div>
    <w:div w:id="1872645980">
      <w:bodyDiv w:val="1"/>
      <w:marLeft w:val="0"/>
      <w:marRight w:val="0"/>
      <w:marTop w:val="0"/>
      <w:marBottom w:val="0"/>
      <w:divBdr>
        <w:top w:val="none" w:sz="0" w:space="0" w:color="auto"/>
        <w:left w:val="none" w:sz="0" w:space="0" w:color="auto"/>
        <w:bottom w:val="none" w:sz="0" w:space="0" w:color="auto"/>
        <w:right w:val="none" w:sz="0" w:space="0" w:color="auto"/>
      </w:divBdr>
    </w:div>
    <w:div w:id="1906451373">
      <w:bodyDiv w:val="1"/>
      <w:marLeft w:val="0"/>
      <w:marRight w:val="0"/>
      <w:marTop w:val="0"/>
      <w:marBottom w:val="0"/>
      <w:divBdr>
        <w:top w:val="none" w:sz="0" w:space="0" w:color="auto"/>
        <w:left w:val="none" w:sz="0" w:space="0" w:color="auto"/>
        <w:bottom w:val="none" w:sz="0" w:space="0" w:color="auto"/>
        <w:right w:val="none" w:sz="0" w:space="0" w:color="auto"/>
      </w:divBdr>
    </w:div>
    <w:div w:id="1982616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ur-lex.europa.eu/legal-content/IT/TXT/PDF/?uri=CELEX:32017R2366&amp;from=IT" TargetMode="External"/><Relationship Id="rId3" Type="http://schemas.openxmlformats.org/officeDocument/2006/relationships/styles" Target="styles.xml"/><Relationship Id="rId7" Type="http://schemas.openxmlformats.org/officeDocument/2006/relationships/hyperlink" Target="http://eur-lex.europa.eu/legal-content/IT/TXT/PDF/?uri=CELEX:32017R2365&amp;from=IT"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eur-lex.europa.eu/legal-content/IT/TXT/PDF/?uri=CELEX:32017R2364&amp;from=IT"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it.wikipedia.org/wiki/Mercato_elettronico_della_pubblica_amministrazione" TargetMode="External"/><Relationship Id="rId4" Type="http://schemas.openxmlformats.org/officeDocument/2006/relationships/settings" Target="settings.xml"/><Relationship Id="rId9" Type="http://schemas.openxmlformats.org/officeDocument/2006/relationships/hyperlink" Target="http://www.altalex.com/documents/news/2015/01/02/della-tutela-dei-diritti-delle-prove"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F4B8A1B-AF7F-4F67-88DC-ACA7EFB1CC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3291</TotalTime>
  <Pages>1</Pages>
  <Words>14710</Words>
  <Characters>83848</Characters>
  <Application>Microsoft Office Word</Application>
  <DocSecurity>0</DocSecurity>
  <Lines>698</Lines>
  <Paragraphs>196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98362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21</cp:revision>
  <dcterms:created xsi:type="dcterms:W3CDTF">2018-05-31T16:53:00Z</dcterms:created>
  <dcterms:modified xsi:type="dcterms:W3CDTF">2018-06-07T14:03:00Z</dcterms:modified>
</cp:coreProperties>
</file>