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03D4" w:rsidRPr="001C56E9" w:rsidRDefault="00C603D4" w:rsidP="00C603D4">
      <w:pPr>
        <w:rPr>
          <w:rFonts w:ascii="Arial" w:eastAsia="Calibri" w:hAnsi="Arial" w:cs="Arial"/>
          <w:sz w:val="24"/>
          <w:szCs w:val="24"/>
        </w:rPr>
      </w:pPr>
      <w:r w:rsidRPr="001C56E9">
        <w:rPr>
          <w:rFonts w:ascii="Arial" w:eastAsia="Calibri" w:hAnsi="Arial" w:cs="Arial"/>
          <w:sz w:val="24"/>
          <w:szCs w:val="24"/>
        </w:rPr>
        <w:t xml:space="preserve">La programmazione è il processo di analisi e valutazione che, comparando e ordinando coerentemente tra </w:t>
      </w:r>
      <w:r w:rsidRPr="001C56E9">
        <w:rPr>
          <w:rFonts w:ascii="Arial" w:eastAsia="Calibri" w:hAnsi="Arial" w:cs="Arial"/>
          <w:color w:val="000000"/>
          <w:sz w:val="24"/>
          <w:szCs w:val="24"/>
        </w:rPr>
        <w:t>loro le politiche e i piani per il</w:t>
      </w:r>
      <w:r w:rsidRPr="001C56E9">
        <w:rPr>
          <w:rFonts w:ascii="Arial" w:eastAsia="Calibri" w:hAnsi="Arial" w:cs="Arial"/>
          <w:sz w:val="24"/>
          <w:szCs w:val="24"/>
        </w:rPr>
        <w:t xml:space="preserve"> governo del territorio, consente di organizzare, in una dimensione temporale predefinita, le attività e le risorse necessarie per la realizzazione di fini sociali e la promozione dello sviluppo economico e civile delle comunità di riferimento e deve esser declinata in coerenza con il programma di governo e gli indirizzi di finanza pubblica definiti sia in ambito comunitario che nazional. Le sue funzioni sono:</w:t>
      </w:r>
    </w:p>
    <w:p w:rsidR="00C603D4" w:rsidRPr="001C56E9" w:rsidRDefault="00C603D4" w:rsidP="00C603D4">
      <w:pPr>
        <w:pStyle w:val="Paragrafoelenco"/>
        <w:numPr>
          <w:ilvl w:val="0"/>
          <w:numId w:val="2"/>
        </w:numPr>
        <w:rPr>
          <w:rFonts w:ascii="Arial" w:eastAsia="Calibri" w:hAnsi="Arial" w:cs="Arial"/>
          <w:sz w:val="24"/>
          <w:szCs w:val="24"/>
        </w:rPr>
      </w:pPr>
      <w:r w:rsidRPr="001C56E9">
        <w:rPr>
          <w:rFonts w:ascii="Arial" w:eastAsia="Calibri" w:hAnsi="Arial" w:cs="Arial"/>
          <w:sz w:val="24"/>
          <w:szCs w:val="24"/>
        </w:rPr>
        <w:t xml:space="preserve">politico–amministrativa, </w:t>
      </w:r>
    </w:p>
    <w:p w:rsidR="00C603D4" w:rsidRPr="001C56E9" w:rsidRDefault="00C603D4" w:rsidP="00C603D4">
      <w:pPr>
        <w:pStyle w:val="Paragrafoelenco"/>
        <w:numPr>
          <w:ilvl w:val="0"/>
          <w:numId w:val="2"/>
        </w:numPr>
        <w:rPr>
          <w:rFonts w:ascii="Arial" w:eastAsia="Calibri" w:hAnsi="Arial" w:cs="Arial"/>
          <w:sz w:val="24"/>
          <w:szCs w:val="24"/>
        </w:rPr>
      </w:pPr>
      <w:r w:rsidRPr="001C56E9">
        <w:rPr>
          <w:rFonts w:ascii="Arial" w:eastAsia="Calibri" w:hAnsi="Arial" w:cs="Arial"/>
          <w:sz w:val="24"/>
          <w:szCs w:val="24"/>
        </w:rPr>
        <w:t xml:space="preserve">economico-finanziaria </w:t>
      </w:r>
    </w:p>
    <w:p w:rsidR="00C603D4" w:rsidRPr="001C56E9" w:rsidRDefault="00C603D4" w:rsidP="00C603D4">
      <w:pPr>
        <w:pStyle w:val="Paragrafoelenco"/>
        <w:numPr>
          <w:ilvl w:val="0"/>
          <w:numId w:val="2"/>
        </w:numPr>
        <w:rPr>
          <w:rFonts w:ascii="Arial" w:eastAsia="Calibri" w:hAnsi="Arial" w:cs="Arial"/>
          <w:sz w:val="24"/>
          <w:szCs w:val="24"/>
        </w:rPr>
      </w:pPr>
      <w:r w:rsidRPr="001C56E9">
        <w:rPr>
          <w:rFonts w:ascii="Arial" w:eastAsia="Calibri" w:hAnsi="Arial" w:cs="Arial"/>
          <w:sz w:val="24"/>
          <w:szCs w:val="24"/>
        </w:rPr>
        <w:t>informativa</w:t>
      </w:r>
    </w:p>
    <w:p w:rsidR="00C603D4" w:rsidRPr="001C56E9" w:rsidRDefault="00C603D4" w:rsidP="00C603D4">
      <w:pPr>
        <w:contextualSpacing/>
        <w:rPr>
          <w:rFonts w:ascii="Arial" w:hAnsi="Arial" w:cs="Arial"/>
          <w:b/>
          <w:sz w:val="24"/>
          <w:szCs w:val="24"/>
        </w:rPr>
      </w:pPr>
      <w:r w:rsidRPr="001C56E9">
        <w:rPr>
          <w:rFonts w:ascii="Arial" w:hAnsi="Arial" w:cs="Arial"/>
          <w:b/>
          <w:sz w:val="24"/>
          <w:szCs w:val="24"/>
        </w:rPr>
        <w:t>La programmazione negli enti locali</w:t>
      </w:r>
    </w:p>
    <w:p w:rsidR="00C603D4" w:rsidRPr="001C56E9" w:rsidRDefault="00C603D4" w:rsidP="00C603D4">
      <w:pPr>
        <w:autoSpaceDE w:val="0"/>
        <w:autoSpaceDN w:val="0"/>
        <w:adjustRightInd w:val="0"/>
        <w:rPr>
          <w:rFonts w:ascii="Arial" w:hAnsi="Arial" w:cs="Arial"/>
          <w:sz w:val="24"/>
          <w:szCs w:val="24"/>
        </w:rPr>
      </w:pPr>
      <w:r w:rsidRPr="001C56E9">
        <w:rPr>
          <w:rFonts w:ascii="Arial" w:hAnsi="Arial" w:cs="Arial"/>
          <w:sz w:val="24"/>
          <w:szCs w:val="24"/>
        </w:rPr>
        <w:t>a) il</w:t>
      </w:r>
      <w:r w:rsidRPr="001C56E9">
        <w:rPr>
          <w:rFonts w:ascii="Arial" w:hAnsi="Arial" w:cs="Arial"/>
          <w:iCs/>
          <w:sz w:val="24"/>
          <w:szCs w:val="24"/>
        </w:rPr>
        <w:t xml:space="preserve"> Documento unico di programmazione</w:t>
      </w:r>
      <w:r w:rsidRPr="001C56E9">
        <w:rPr>
          <w:rFonts w:ascii="Arial" w:hAnsi="Arial" w:cs="Arial"/>
          <w:sz w:val="24"/>
          <w:szCs w:val="24"/>
        </w:rPr>
        <w:t xml:space="preserve"> (DUP), presentato al Consiglio, entro il 31 luglio di ciascun anno,  per le conseguenti deliberazioni;</w:t>
      </w:r>
    </w:p>
    <w:p w:rsidR="00C603D4" w:rsidRPr="001C56E9" w:rsidRDefault="00C603D4" w:rsidP="00C603D4">
      <w:pPr>
        <w:autoSpaceDE w:val="0"/>
        <w:autoSpaceDN w:val="0"/>
        <w:adjustRightInd w:val="0"/>
        <w:ind w:right="-1"/>
        <w:contextualSpacing/>
        <w:rPr>
          <w:rFonts w:ascii="Arial" w:hAnsi="Arial" w:cs="Arial"/>
          <w:sz w:val="24"/>
          <w:szCs w:val="24"/>
        </w:rPr>
      </w:pPr>
      <w:r w:rsidRPr="001C56E9">
        <w:rPr>
          <w:rFonts w:ascii="Arial" w:hAnsi="Arial" w:cs="Arial"/>
          <w:sz w:val="24"/>
          <w:szCs w:val="24"/>
        </w:rPr>
        <w:t xml:space="preserve">b) l’eventuale nota di aggiornamento del  DUP, da presentare al Consiglio entro il 15 novembre di ogni anno, per le conseguenti deliberazioni; </w:t>
      </w:r>
    </w:p>
    <w:p w:rsidR="00907E51" w:rsidRPr="001C56E9" w:rsidRDefault="00907E51" w:rsidP="00C603D4">
      <w:pPr>
        <w:autoSpaceDE w:val="0"/>
        <w:autoSpaceDN w:val="0"/>
        <w:adjustRightInd w:val="0"/>
        <w:ind w:right="-1"/>
        <w:contextualSpacing/>
        <w:rPr>
          <w:rFonts w:ascii="Arial" w:hAnsi="Arial" w:cs="Arial"/>
          <w:sz w:val="24"/>
          <w:szCs w:val="24"/>
        </w:rPr>
      </w:pPr>
    </w:p>
    <w:p w:rsidR="00C603D4" w:rsidRPr="001C56E9" w:rsidRDefault="00C603D4" w:rsidP="00C603D4">
      <w:pPr>
        <w:autoSpaceDE w:val="0"/>
        <w:autoSpaceDN w:val="0"/>
        <w:adjustRightInd w:val="0"/>
        <w:contextualSpacing/>
        <w:rPr>
          <w:rFonts w:ascii="Arial" w:hAnsi="Arial" w:cs="Arial"/>
          <w:sz w:val="24"/>
          <w:szCs w:val="24"/>
        </w:rPr>
      </w:pPr>
      <w:r w:rsidRPr="001C56E9">
        <w:rPr>
          <w:rFonts w:ascii="Arial" w:hAnsi="Arial" w:cs="Arial"/>
          <w:sz w:val="24"/>
          <w:szCs w:val="24"/>
        </w:rPr>
        <w:t>c) lo schema di bilancio di previsione finanziario, da presentare al Consiglio entro il 15 novembre di ogni anno. A seguito di variazioni del quadro normativo di riferimento  la Giunta aggiorna lo schema di bilancio di previsione in corso di approvazione unitamente al DUP</w:t>
      </w:r>
    </w:p>
    <w:p w:rsidR="00C603D4" w:rsidRPr="001C56E9" w:rsidRDefault="00C603D4" w:rsidP="00C603D4">
      <w:pPr>
        <w:autoSpaceDE w:val="0"/>
        <w:autoSpaceDN w:val="0"/>
        <w:adjustRightInd w:val="0"/>
        <w:contextualSpacing/>
        <w:rPr>
          <w:rFonts w:ascii="Arial" w:hAnsi="Arial" w:cs="Arial"/>
          <w:sz w:val="24"/>
          <w:szCs w:val="24"/>
        </w:rPr>
      </w:pPr>
    </w:p>
    <w:p w:rsidR="00C603D4" w:rsidRPr="001C56E9" w:rsidRDefault="00C603D4" w:rsidP="00C603D4">
      <w:pPr>
        <w:autoSpaceDE w:val="0"/>
        <w:autoSpaceDN w:val="0"/>
        <w:adjustRightInd w:val="0"/>
        <w:contextualSpacing/>
        <w:rPr>
          <w:rFonts w:ascii="Arial" w:hAnsi="Arial" w:cs="Arial"/>
          <w:sz w:val="24"/>
          <w:szCs w:val="24"/>
        </w:rPr>
      </w:pPr>
      <w:r w:rsidRPr="001C56E9">
        <w:rPr>
          <w:rFonts w:ascii="Arial" w:hAnsi="Arial" w:cs="Arial"/>
          <w:sz w:val="24"/>
          <w:szCs w:val="24"/>
        </w:rPr>
        <w:t>d) il piano esecutivo di gestione e delle performances approvato dalla Giunta entro 20 giorni dall’approvazione del bilancio ;</w:t>
      </w:r>
    </w:p>
    <w:p w:rsidR="00C603D4" w:rsidRPr="001C56E9" w:rsidRDefault="00C603D4" w:rsidP="00C603D4">
      <w:pPr>
        <w:autoSpaceDE w:val="0"/>
        <w:autoSpaceDN w:val="0"/>
        <w:adjustRightInd w:val="0"/>
        <w:contextualSpacing/>
        <w:rPr>
          <w:rFonts w:ascii="Arial" w:hAnsi="Arial" w:cs="Arial"/>
          <w:sz w:val="24"/>
          <w:szCs w:val="24"/>
        </w:rPr>
      </w:pPr>
    </w:p>
    <w:p w:rsidR="00C603D4" w:rsidRPr="001C56E9" w:rsidRDefault="00C603D4" w:rsidP="00C603D4">
      <w:pPr>
        <w:autoSpaceDE w:val="0"/>
        <w:autoSpaceDN w:val="0"/>
        <w:adjustRightInd w:val="0"/>
        <w:contextualSpacing/>
        <w:rPr>
          <w:rFonts w:ascii="Arial" w:hAnsi="Arial" w:cs="Arial"/>
          <w:sz w:val="24"/>
          <w:szCs w:val="24"/>
        </w:rPr>
      </w:pPr>
      <w:r w:rsidRPr="001C56E9">
        <w:rPr>
          <w:rFonts w:ascii="Arial" w:hAnsi="Arial" w:cs="Arial"/>
          <w:sz w:val="24"/>
          <w:szCs w:val="24"/>
        </w:rPr>
        <w:t>f) il piano degli indicatori di bilancio presentato al Consiglio unitamente al bilancio di previsione e al rendiconto;</w:t>
      </w:r>
    </w:p>
    <w:p w:rsidR="00C603D4" w:rsidRPr="001C56E9" w:rsidRDefault="00C603D4" w:rsidP="00C603D4">
      <w:pPr>
        <w:autoSpaceDE w:val="0"/>
        <w:autoSpaceDN w:val="0"/>
        <w:adjustRightInd w:val="0"/>
        <w:contextualSpacing/>
        <w:rPr>
          <w:rFonts w:ascii="Arial" w:hAnsi="Arial" w:cs="Arial"/>
          <w:sz w:val="24"/>
          <w:szCs w:val="24"/>
        </w:rPr>
      </w:pPr>
    </w:p>
    <w:p w:rsidR="00C603D4" w:rsidRPr="001C56E9" w:rsidRDefault="00C603D4" w:rsidP="00C603D4">
      <w:pPr>
        <w:autoSpaceDE w:val="0"/>
        <w:autoSpaceDN w:val="0"/>
        <w:adjustRightInd w:val="0"/>
        <w:contextualSpacing/>
        <w:rPr>
          <w:rFonts w:ascii="Arial" w:hAnsi="Arial" w:cs="Arial"/>
          <w:sz w:val="24"/>
          <w:szCs w:val="24"/>
        </w:rPr>
      </w:pPr>
      <w:r w:rsidRPr="001C56E9">
        <w:rPr>
          <w:rFonts w:ascii="Arial" w:hAnsi="Arial" w:cs="Arial"/>
          <w:sz w:val="24"/>
          <w:szCs w:val="24"/>
        </w:rPr>
        <w:t xml:space="preserve">g) </w:t>
      </w:r>
      <w:r w:rsidRPr="001C56E9">
        <w:rPr>
          <w:rFonts w:ascii="Arial" w:hAnsi="Arial" w:cs="Arial"/>
          <w:i/>
          <w:iCs/>
          <w:sz w:val="24"/>
          <w:szCs w:val="24"/>
        </w:rPr>
        <w:t xml:space="preserve"> </w:t>
      </w:r>
      <w:r w:rsidRPr="001C56E9">
        <w:rPr>
          <w:rFonts w:ascii="Arial" w:hAnsi="Arial" w:cs="Arial"/>
          <w:sz w:val="24"/>
          <w:szCs w:val="24"/>
        </w:rPr>
        <w:t xml:space="preserve">lo schema di delibera di assestamento del bilancio, comprendente lo stato di attuazione dei programmi e il controllo della salvaguardia degli equilibri di bilancio, da presentare al Consiglio entro il 31 luglio di ogni anno; </w:t>
      </w:r>
    </w:p>
    <w:p w:rsidR="00C603D4" w:rsidRPr="001C56E9" w:rsidRDefault="00C603D4" w:rsidP="00C603D4">
      <w:pPr>
        <w:autoSpaceDE w:val="0"/>
        <w:autoSpaceDN w:val="0"/>
        <w:adjustRightInd w:val="0"/>
        <w:contextualSpacing/>
        <w:rPr>
          <w:rFonts w:ascii="Arial" w:hAnsi="Arial" w:cs="Arial"/>
          <w:sz w:val="24"/>
          <w:szCs w:val="24"/>
        </w:rPr>
      </w:pPr>
    </w:p>
    <w:p w:rsidR="00C603D4" w:rsidRPr="001C56E9" w:rsidRDefault="00C603D4" w:rsidP="00C603D4">
      <w:pPr>
        <w:autoSpaceDE w:val="0"/>
        <w:autoSpaceDN w:val="0"/>
        <w:adjustRightInd w:val="0"/>
        <w:contextualSpacing/>
        <w:rPr>
          <w:rFonts w:ascii="Arial" w:hAnsi="Arial" w:cs="Arial"/>
          <w:sz w:val="24"/>
          <w:szCs w:val="24"/>
        </w:rPr>
      </w:pPr>
      <w:r w:rsidRPr="001C56E9">
        <w:rPr>
          <w:rFonts w:ascii="Arial" w:hAnsi="Arial" w:cs="Arial"/>
          <w:sz w:val="24"/>
          <w:szCs w:val="24"/>
        </w:rPr>
        <w:t>h) le variazioni di bilancio;</w:t>
      </w:r>
    </w:p>
    <w:p w:rsidR="00C603D4" w:rsidRPr="001C56E9" w:rsidRDefault="00C603D4" w:rsidP="00C603D4">
      <w:pPr>
        <w:autoSpaceDE w:val="0"/>
        <w:autoSpaceDN w:val="0"/>
        <w:adjustRightInd w:val="0"/>
        <w:ind w:left="142"/>
        <w:contextualSpacing/>
        <w:rPr>
          <w:rFonts w:ascii="Arial" w:hAnsi="Arial" w:cs="Arial"/>
          <w:sz w:val="24"/>
          <w:szCs w:val="24"/>
        </w:rPr>
      </w:pPr>
    </w:p>
    <w:p w:rsidR="00C603D4" w:rsidRPr="001C56E9" w:rsidRDefault="00C603D4" w:rsidP="00C603D4">
      <w:pPr>
        <w:contextualSpacing/>
        <w:rPr>
          <w:rFonts w:ascii="Arial" w:hAnsi="Arial" w:cs="Arial"/>
          <w:b/>
          <w:sz w:val="24"/>
          <w:szCs w:val="24"/>
        </w:rPr>
      </w:pPr>
      <w:r w:rsidRPr="001C56E9">
        <w:rPr>
          <w:rFonts w:ascii="Arial" w:hAnsi="Arial" w:cs="Arial"/>
          <w:sz w:val="24"/>
          <w:szCs w:val="24"/>
        </w:rPr>
        <w:t>i) lo schema di rendiconto sulla gestione, che conclude il sistema di bilancio dell’ente,</w:t>
      </w:r>
    </w:p>
    <w:p w:rsidR="00DA76CA" w:rsidRPr="001C56E9" w:rsidRDefault="00DA76CA" w:rsidP="00C603D4">
      <w:pPr>
        <w:rPr>
          <w:rFonts w:ascii="Arial" w:hAnsi="Arial" w:cs="Arial"/>
          <w:sz w:val="24"/>
          <w:szCs w:val="24"/>
        </w:rPr>
      </w:pPr>
    </w:p>
    <w:p w:rsidR="00F46E32" w:rsidRPr="001C56E9" w:rsidRDefault="00F46E32" w:rsidP="00F46E32">
      <w:pPr>
        <w:autoSpaceDE w:val="0"/>
        <w:autoSpaceDN w:val="0"/>
        <w:adjustRightInd w:val="0"/>
        <w:ind w:left="142"/>
        <w:rPr>
          <w:rFonts w:ascii="Arial" w:hAnsi="Arial" w:cs="Arial"/>
          <w:color w:val="000000"/>
          <w:sz w:val="24"/>
          <w:szCs w:val="24"/>
        </w:rPr>
      </w:pPr>
      <w:r w:rsidRPr="001C56E9">
        <w:rPr>
          <w:rFonts w:ascii="Arial" w:hAnsi="Arial" w:cs="Arial"/>
          <w:color w:val="000000"/>
          <w:sz w:val="24"/>
          <w:szCs w:val="24"/>
        </w:rPr>
        <w:t>DUP DOCUMENTO UNICO DI PROGRAMMAZIONE ENTI LOCALI</w:t>
      </w:r>
    </w:p>
    <w:p w:rsidR="00F46E32" w:rsidRPr="001C56E9" w:rsidRDefault="00F46E32" w:rsidP="00F46E32">
      <w:pPr>
        <w:ind w:left="360"/>
        <w:rPr>
          <w:rFonts w:ascii="Arial" w:hAnsi="Arial" w:cs="Arial"/>
          <w:sz w:val="24"/>
          <w:szCs w:val="24"/>
        </w:rPr>
      </w:pPr>
      <w:r w:rsidRPr="001C56E9">
        <w:rPr>
          <w:rFonts w:ascii="Arial" w:hAnsi="Arial" w:cs="Arial"/>
          <w:sz w:val="24"/>
          <w:szCs w:val="24"/>
        </w:rPr>
        <w:t xml:space="preserve"> Il DUP è la principale innovazione introdotta nel sistema di programmazione degli Enti locali. L’aggettivo “unico” ben chiarisce l’obiettivo primario individuato nel principio applicato (d’ora in poi, per brevità, principio): riunire in un solo documento, posto a monte del BPF, le analisi, gli indirizzi e gli obiettivi che devono guidare la predisposizione del BPF, del PEG e la loro successiva gestione. Il DUP ha carattere </w:t>
      </w:r>
      <w:r w:rsidRPr="001C56E9">
        <w:rPr>
          <w:rFonts w:ascii="Arial" w:hAnsi="Arial" w:cs="Arial"/>
          <w:sz w:val="24"/>
          <w:szCs w:val="24"/>
        </w:rPr>
        <w:lastRenderedPageBreak/>
        <w:t>generale, funge da guida strategica ed operativa dell’Amministrazione e consente di fronteggiare in modo permanente, sistemico e unitario le discontinuità ambientali e organizzative.</w:t>
      </w:r>
    </w:p>
    <w:p w:rsidR="00F46E32" w:rsidRPr="001C56E9" w:rsidRDefault="00F46E32" w:rsidP="00F46E32">
      <w:pPr>
        <w:ind w:left="360"/>
        <w:rPr>
          <w:rFonts w:ascii="Arial" w:hAnsi="Arial" w:cs="Arial"/>
          <w:sz w:val="24"/>
          <w:szCs w:val="24"/>
        </w:rPr>
      </w:pPr>
      <w:r w:rsidRPr="001C56E9">
        <w:rPr>
          <w:rFonts w:ascii="Arial" w:hAnsi="Arial" w:cs="Arial"/>
          <w:sz w:val="24"/>
          <w:szCs w:val="24"/>
        </w:rPr>
        <w:t>Il DUP, diversamente dalla vecchia Relazione previsionale e programmatica, non è un allegato del bilancio e costituisce presupposto indispensabile per l’approvazione del BPF;  sono definite le linee strategiche su cui si basano le previsioni finanziarie contenute nel BPF. Conseguentemente, anche il contenuto del PEG deve essere coerente con il DUP oltre che con il BPF. Il DUP assorbe sia la Relazione previsionale e programmatica sia il Piano generale di sviluppo. Nel DUP è compresa la programmazione in materia di lavori pubblici, personale e patrimonio. Nel DUP dovrebbero essere inseriti e integrati gli ulteriori strumenti di programmazione relativi all’attività istituzionale dell’Ente di cui il legislatore prevedrà la redazione e approvazione</w:t>
      </w:r>
    </w:p>
    <w:p w:rsidR="00F46E32" w:rsidRPr="001C56E9" w:rsidRDefault="00F46E32" w:rsidP="00F46E32">
      <w:pPr>
        <w:ind w:left="360"/>
        <w:rPr>
          <w:rFonts w:ascii="Arial" w:hAnsi="Arial" w:cs="Arial"/>
          <w:sz w:val="24"/>
          <w:szCs w:val="24"/>
        </w:rPr>
      </w:pPr>
      <w:r w:rsidRPr="001C56E9">
        <w:rPr>
          <w:rFonts w:ascii="Arial" w:hAnsi="Arial" w:cs="Arial"/>
          <w:sz w:val="24"/>
          <w:szCs w:val="24"/>
        </w:rPr>
        <w:t>Il DUP sviluppa e concretizza le linee programmatiche relative alle azioni e ai progetti da realizzare nel corso del mandato presentate al Consiglio dal Sindaco ai sensi dell’articolo 46, comma 3 del TUEL. Di fatto, “le linee programmatiche” dovrebbero restare l’unico documento di indirizzo strategico “a monte” del DUP. Il DUP è proposto ogni anno, entro il 30 giugno, dalla Giunta al Consiglio che adotta le conseguenti deliberazioni entro il 31 luglio</w:t>
      </w:r>
    </w:p>
    <w:p w:rsidR="00F46E32" w:rsidRPr="001C56E9" w:rsidRDefault="00F46E32" w:rsidP="00F46E32">
      <w:pPr>
        <w:ind w:left="360"/>
        <w:rPr>
          <w:rFonts w:ascii="Arial" w:hAnsi="Arial" w:cs="Arial"/>
          <w:sz w:val="24"/>
          <w:szCs w:val="24"/>
        </w:rPr>
      </w:pPr>
      <w:r w:rsidRPr="001C56E9">
        <w:rPr>
          <w:rFonts w:ascii="Arial" w:hAnsi="Arial" w:cs="Arial"/>
          <w:sz w:val="24"/>
          <w:szCs w:val="24"/>
        </w:rPr>
        <w:t>Se  nel corso dell’esercizio si renda necessario attuare nuovi investimenti o variare quelli già in atto, l’organo consiliare, fermo restando l’adempimento degli obblighi previsti dal TUEL, adotta la necessaria variazione al BPF, adegua il DUP e, di conseguenza, le previsioni del bilancio degli esercizi successivi per la copertura degli oneri derivanti dall’indebitamento e per la copertura delle spese di gestione.</w:t>
      </w:r>
    </w:p>
    <w:p w:rsidR="00F46E32" w:rsidRPr="001C56E9" w:rsidRDefault="00F46E32" w:rsidP="00F46E32">
      <w:pPr>
        <w:ind w:left="360"/>
        <w:rPr>
          <w:rFonts w:ascii="Arial" w:hAnsi="Arial" w:cs="Arial"/>
          <w:sz w:val="24"/>
          <w:szCs w:val="24"/>
        </w:rPr>
      </w:pPr>
      <w:r w:rsidRPr="001C56E9">
        <w:rPr>
          <w:rFonts w:ascii="Arial" w:hAnsi="Arial" w:cs="Arial"/>
          <w:sz w:val="24"/>
          <w:szCs w:val="24"/>
        </w:rPr>
        <w:t>La sezione strategica del DUP (SeS) definisce gli indirizzi strategici dell’amministrazione sviluppando e concretizzando le linee programmatiche di mandato di cui all’articolo 46, comma 3 del decreto legislativo n. 267 del 18 agosto 2000. Ciò concretamente significa sforzarsi di definire quali siano gli effetti in termini di impatto di medio e lungo periodo che l’Amministrazione si impegna a produrre mettendo in atto le politiche che caratterizzano il programma dell’amministrazione da realizzare nel corso del mandato amministrativo.</w:t>
      </w:r>
    </w:p>
    <w:p w:rsidR="00F46E32" w:rsidRPr="001C56E9" w:rsidRDefault="00F46E32" w:rsidP="00F46E32">
      <w:pPr>
        <w:ind w:left="360"/>
        <w:rPr>
          <w:rFonts w:ascii="Arial" w:hAnsi="Arial" w:cs="Arial"/>
          <w:sz w:val="24"/>
          <w:szCs w:val="24"/>
        </w:rPr>
      </w:pPr>
      <w:r w:rsidRPr="001C56E9">
        <w:rPr>
          <w:rFonts w:ascii="Arial" w:hAnsi="Arial" w:cs="Arial"/>
          <w:sz w:val="24"/>
          <w:szCs w:val="24"/>
        </w:rPr>
        <w:t>La Sezione operativa del DUP (SeO) concerne la programmazione operativa pluriennale e annuale dell’Ente e si pone in continuità e complementarietà organica con la SeS quanto a struttura e contenuti definire, con riferimento all’Ente e al gruppo amministrazione pubblica, gli obiettivi dei programmi all’interno delle singole missioni. Con specifico riferimento all’Ente devono essere indicati anche i fabbisogni di spesa e le relative modalità di finanziamento; b) orientare e guidare le successive deliberazioni del Consiglio e della Giunta; c) costituire il presupposto dell’attività di controllo strategico e dei risultati conseguiti dall’Ente, con particolare riferimento allo stato di attuazione dei programmi nell’ambito delle missioni e alla relazione al rendiconto di gestione.</w:t>
      </w:r>
    </w:p>
    <w:p w:rsidR="00F46E32" w:rsidRPr="001C56E9" w:rsidRDefault="00F46E32" w:rsidP="00F46E32">
      <w:pPr>
        <w:ind w:left="360"/>
        <w:rPr>
          <w:rFonts w:ascii="Arial" w:hAnsi="Arial" w:cs="Arial"/>
          <w:sz w:val="24"/>
          <w:szCs w:val="24"/>
        </w:rPr>
      </w:pPr>
      <w:r w:rsidRPr="001C56E9">
        <w:rPr>
          <w:rFonts w:ascii="Arial" w:hAnsi="Arial" w:cs="Arial"/>
          <w:sz w:val="24"/>
          <w:szCs w:val="24"/>
        </w:rPr>
        <w:lastRenderedPageBreak/>
        <w:t>La SeO, di conseguenza, guida e vincola i processi di redazione del BPF  L’armonizzazione dei sistemi contabili. Verso l’attuazione della riforma definendo gli effetti economico-finanziari delle attività necessarie per conseguire gli obiettivi strategici. A tal fine, la SeO individua: 1) per ogni singola missione, i programmi che l’Ente intende realizzare per conseguire gli obiettivi strategici definiti nella SeS; 2) per ogni programma, e per tutto il periodo di riferimento del DUP, gli obiettivi operativi annuali da raggiungere e i contenuti finanziari, sia in termini di competenza che di cassa, della manovra di bilancio con un orizzonte temporale annuale e pluriennale.</w:t>
      </w:r>
    </w:p>
    <w:p w:rsidR="00F46E32" w:rsidRPr="001C56E9" w:rsidRDefault="00F46E32" w:rsidP="00F46E32">
      <w:pPr>
        <w:autoSpaceDE w:val="0"/>
        <w:autoSpaceDN w:val="0"/>
        <w:adjustRightInd w:val="0"/>
        <w:ind w:left="142"/>
        <w:rPr>
          <w:rFonts w:ascii="Arial" w:hAnsi="Arial" w:cs="Arial"/>
          <w:sz w:val="24"/>
          <w:szCs w:val="24"/>
        </w:rPr>
      </w:pPr>
      <w:r w:rsidRPr="001C56E9">
        <w:rPr>
          <w:rFonts w:ascii="Arial" w:hAnsi="Arial" w:cs="Arial"/>
          <w:sz w:val="24"/>
          <w:szCs w:val="24"/>
        </w:rPr>
        <w:t>DOCUMENTO UNICO DI PROGRAMMAZIONE SEMPLIFICATO</w:t>
      </w:r>
    </w:p>
    <w:p w:rsidR="00F46E32" w:rsidRPr="001C56E9" w:rsidRDefault="00F46E32" w:rsidP="00F46E32">
      <w:pPr>
        <w:autoSpaceDE w:val="0"/>
        <w:autoSpaceDN w:val="0"/>
        <w:adjustRightInd w:val="0"/>
        <w:ind w:left="142"/>
        <w:rPr>
          <w:rFonts w:ascii="Arial" w:hAnsi="Arial" w:cs="Arial"/>
          <w:sz w:val="24"/>
          <w:szCs w:val="24"/>
        </w:rPr>
      </w:pPr>
      <w:r w:rsidRPr="001C56E9">
        <w:rPr>
          <w:rFonts w:ascii="Arial" w:hAnsi="Arial" w:cs="Arial"/>
          <w:sz w:val="24"/>
          <w:szCs w:val="24"/>
        </w:rPr>
        <w:t xml:space="preserve">Il Documento unico di programmazione semplificato, predisposto dagli enti locali con popolazione fino a 5.000 abitanti, individua, in coerenza con il quadro normativo di riferimento e con gli obiettivi generali di finanza pubblica, tenendo conto della situazione socio economica del proprio territorio, le principali scelte che caratterizzano il programma dell’amministrazione da realizzare nel corso del mandato amministrativo e gli indirizzi generali di programmazione riferiti al periodo di mandato. Ogni anno sono verificati gli indirizzi generali e i contenuti della programmazione con particolare riferimento al reperimento e impiego delle risorse finanziarie e alla sostenibilità economico – finanziaria, come sopra esplicitati. A seguito della verifica è possibile operare motivatamente un aggiornamento degli indirizzi generali approvati. Il DUP semplificato, quale guida e vincolo ai processi di redazione dei documenti contabili di previsione dell’ente, indica, per ogni singola missione/programma del bilancio, gli obiettivi che l’ente intende realizzare negli esercizi considerati nel bilancio di previsione. Per ogni singola missione/programma sono altresì indicati gli impegni pluriennali di spesa già assunti e le relative forme di finanziamento. Gli obiettivi individuati per ogni missione / programma rappresentano la declinazione annuale e pluriennale degli indirizzi generali e costituiscono indirizzo vincolante per i successivi atti di programmazione, in applicazione del principio della coerenza tra i documenti di programmazione. L’individuazione delle finalità e la fissazione degli obiettivi per ogni missione / programma deve “guidare”, negli altri strumenti di programmazione, l’individuazione dei progetti strumentali alla loro realizzazione e l’affidamento di obiettivi e risorse ai responsabili dei servizi. Gli obiettivi devono essere controllati annualmente a fine di verificarne il grado di raggiungimento e, laddove necessario, modificati, dandone adeguata giustificazione, per dare una rappresentazione veritiera e corretta dei futuri andamenti dell’ente e del processo di formulazione dei programmi all’interno delle missioni. Il DUP semplificato comprende inoltre, relativamente all'arco temporale di riferimento del bilancio di previsione : a) gli obiettivi degli organismi facenti parte del gruppo amministrazione pubblica; b) l’analisi della coerenza delle previsioni di bilancio con gli strumenti urbanistici vigenti; c) la programmazione dei lavori pubblici, d) la programmazione del fabbisogno di personale; e) la programmazione delle alienazioni e della valorizzazione dei beni patrimoniali. La realizzazione dei lavori pubblici degli enti locali deve essere svolta in conformità ad un programma triennale e ai suoi aggiornamenti annuali che sono ricompresi nel DUP. I lavori da realizzare nel primo anno del triennio sono compresi nell’elenco annuale che costituisce il documento di previsione per gli investimenti in lavori pubblici e il loro </w:t>
      </w:r>
      <w:r w:rsidRPr="001C56E9">
        <w:rPr>
          <w:rFonts w:ascii="Arial" w:hAnsi="Arial" w:cs="Arial"/>
          <w:sz w:val="24"/>
          <w:szCs w:val="24"/>
        </w:rPr>
        <w:lastRenderedPageBreak/>
        <w:t>finanziamento. La programmazione del fabbisogno di personale che gli organi di vertice degli enti sono tenuti ad approvare, ai sensi di legge, deve assicurare le esigenze di funzionalità e di ottimizzazione delle risorse per il miglior funzionamento dei servizi compatibilmente con le disponibilità finanziarie e i vincoli di finanza pubblica. Al fine di procedere al riordino, gestione e valorizzazione del proprio patrimonio immobiliare l’ente, con apposita delibera dell’organo di governo individua, redigendo apposito elenco, i singoli immobili di proprietà dell'ente. Tra questi devono essere individuati quelli non strumentali all’esercizio delle proprie funzioni istituzionali e quelli suscettibili di valorizzazione ovvero di dismissione. Sulla base delle informazioni contenute nell’elenco deve essere predisposto il “Piano delle alienazioni e valorizzazioni patrimoniali” quale parte integrante del DUP. La ricognizione degli immobili è operata sulla base, e nei limiti, della documentazione esistente presso i propri archivi e uffici. L’iscrizione degli immobili nel piano determina una serie di effetti di natura giuridico – amministrativa previsti e disciplinati dalla legge. Infine, nel DUP devono essere inseriti tutti quegli ulteriori strumenti di programmazione relativi all’attività istituzionale dell’ente richiesti dal legislatore. Si fa riferimento ad esempio alla possibilità di redigere piani triennali di razionalizzazione e riqualificazione della spesa di cui all’art. 16, comma 4, del D.L. 98/2011 – L. 111/2011.</w:t>
      </w:r>
    </w:p>
    <w:p w:rsidR="00907E51" w:rsidRPr="001C56E9" w:rsidRDefault="00907E51" w:rsidP="00907E51">
      <w:pPr>
        <w:autoSpaceDE w:val="0"/>
        <w:autoSpaceDN w:val="0"/>
        <w:adjustRightInd w:val="0"/>
        <w:rPr>
          <w:rFonts w:ascii="Arial" w:hAnsi="Arial" w:cs="Arial"/>
          <w:sz w:val="24"/>
          <w:szCs w:val="24"/>
        </w:rPr>
      </w:pPr>
      <w:r w:rsidRPr="001C56E9">
        <w:rPr>
          <w:rFonts w:ascii="Arial" w:hAnsi="Arial" w:cs="Arial"/>
          <w:sz w:val="24"/>
          <w:szCs w:val="24"/>
        </w:rPr>
        <w:t>BILANCIO DI PREVISIONE</w:t>
      </w:r>
    </w:p>
    <w:p w:rsidR="00907E51" w:rsidRPr="001C56E9" w:rsidRDefault="00907E51" w:rsidP="00907E51">
      <w:pPr>
        <w:pStyle w:val="Default"/>
        <w:spacing w:after="0"/>
        <w:ind w:left="0"/>
        <w:contextualSpacing/>
        <w:rPr>
          <w:rFonts w:ascii="Arial" w:hAnsi="Arial" w:cs="Arial"/>
        </w:rPr>
      </w:pPr>
      <w:r w:rsidRPr="001C56E9">
        <w:rPr>
          <w:rFonts w:ascii="Arial" w:hAnsi="Arial" w:cs="Arial"/>
        </w:rPr>
        <w:t>Le regioni ispirano la propria gestione al principio della programmazione. A tal fine adottano ogni anno il bilancio di previsione finanziario, le cui previsioni, riferite ad un orizzonte temporale almeno triennale, sono elaborate sulla base delle linee strategiche e delle politiche contenute nel documento di economia e finanza regionale (DEFR)</w:t>
      </w:r>
    </w:p>
    <w:p w:rsidR="00907E51" w:rsidRPr="001C56E9" w:rsidRDefault="00907E51" w:rsidP="00907E51">
      <w:pPr>
        <w:pStyle w:val="Default"/>
        <w:spacing w:after="0"/>
        <w:ind w:left="0"/>
        <w:contextualSpacing/>
        <w:rPr>
          <w:rFonts w:ascii="Arial" w:hAnsi="Arial" w:cs="Arial"/>
        </w:rPr>
      </w:pPr>
      <w:r w:rsidRPr="001C56E9">
        <w:rPr>
          <w:rFonts w:ascii="Arial" w:hAnsi="Arial" w:cs="Arial"/>
        </w:rPr>
        <w:t>Entro il 31 ottobre di ogni anno, e comunque non oltre 30 giorni dalla presentazione del disegno di bilancio dello Stato,  la giunta approva lo schema della delibera di approvazione del bilancio di previsione finanziario relativa almeno al triennio successivo, da sottoporre all’approvazione del Consiglio. Unitamente allo schema di delibera di approvazione del bilancio, la Giunta trasmette, a fini conoscitivi, anche la proposta di articolazione delle tipologie in categorie e dei programmi in macroaggregati</w:t>
      </w:r>
    </w:p>
    <w:p w:rsidR="00907E51" w:rsidRPr="001C56E9" w:rsidRDefault="00907E51" w:rsidP="00907E51">
      <w:pPr>
        <w:pStyle w:val="Default"/>
        <w:spacing w:after="0"/>
        <w:ind w:left="0"/>
        <w:contextualSpacing/>
        <w:rPr>
          <w:rFonts w:ascii="Arial" w:eastAsia="PMingLiU" w:hAnsi="Arial" w:cs="Arial"/>
          <w:lang w:eastAsia="zh-TW"/>
        </w:rPr>
      </w:pPr>
      <w:r w:rsidRPr="001C56E9">
        <w:rPr>
          <w:rFonts w:ascii="Arial" w:eastAsia="PMingLiU" w:hAnsi="Arial" w:cs="Arial"/>
          <w:lang w:eastAsia="zh-TW"/>
        </w:rPr>
        <w:t>Entro il 31 dicembre di ciascun anno il Consiglio approva il bilancio di previsione riguardante le previsioni di entrata e di spesa riguardanti almeno il triennio successivo ed è redatto secondo gli schemi previsti dall’allegato 9.</w:t>
      </w:r>
    </w:p>
    <w:p w:rsidR="00907E51" w:rsidRPr="001C56E9" w:rsidRDefault="00907E51" w:rsidP="00907E51">
      <w:pPr>
        <w:pStyle w:val="Default"/>
        <w:spacing w:after="0"/>
        <w:ind w:left="0"/>
        <w:contextualSpacing/>
        <w:rPr>
          <w:rFonts w:ascii="Arial" w:hAnsi="Arial" w:cs="Arial"/>
        </w:rPr>
      </w:pPr>
      <w:r w:rsidRPr="001C56E9">
        <w:rPr>
          <w:rFonts w:ascii="Arial" w:hAnsi="Arial" w:cs="Arial"/>
        </w:rPr>
        <w:t>Il bilancio di previsione finanziario comprende le previsioni di competenza e di cassa del primo esercizio del periodo considerato e le previsioni di competenza degli esercizi successivi e le previsioni riguardanti il primo esercizio costituiscono il bilancio di previsione finanziario annuale.</w:t>
      </w:r>
    </w:p>
    <w:p w:rsidR="00907E51" w:rsidRPr="001C56E9" w:rsidRDefault="00907E51" w:rsidP="00907E51">
      <w:pPr>
        <w:pStyle w:val="Default"/>
        <w:spacing w:after="0"/>
        <w:ind w:left="0"/>
        <w:contextualSpacing/>
        <w:rPr>
          <w:rFonts w:ascii="Arial" w:hAnsi="Arial" w:cs="Arial"/>
        </w:rPr>
      </w:pPr>
      <w:r w:rsidRPr="001C56E9">
        <w:rPr>
          <w:rFonts w:ascii="Arial" w:hAnsi="Arial" w:cs="Arial"/>
        </w:rPr>
        <w:t xml:space="preserve">Il bilancio di previsione finanziario </w:t>
      </w:r>
      <w:r w:rsidRPr="001C56E9">
        <w:rPr>
          <w:rFonts w:ascii="Arial" w:hAnsi="Arial" w:cs="Arial"/>
          <w:color w:val="auto"/>
        </w:rPr>
        <w:t xml:space="preserve">è il documento nel quale vengono rappresentate contabilmente le previsioni di natura finanziaria riferite a ciascun esercizio compreso nell’arco temporale considerato nei Documenti di programmazione dell’ente (il DEFR regionale e il DUP degli enti locali), </w:t>
      </w:r>
      <w:r w:rsidRPr="001C56E9">
        <w:rPr>
          <w:rFonts w:ascii="Arial" w:hAnsi="Arial" w:cs="Arial"/>
        </w:rPr>
        <w:t>attraverso  il quale gli organi di governo di un ente, nell’ambito dell’esercizio della propria funzione di indirizzo e di programmazione, definiscono la distribuzione delle risorse finanziarie tra i programmi e le attività che l’amministrazione deve realizzare, in coerenza con quanto previsto nel documento di programmazione.</w:t>
      </w:r>
    </w:p>
    <w:p w:rsidR="00907E51" w:rsidRPr="001C56E9" w:rsidRDefault="00907E51" w:rsidP="00907E51">
      <w:pPr>
        <w:pStyle w:val="Rientrocorpodeltesto2"/>
        <w:spacing w:line="240" w:lineRule="auto"/>
        <w:ind w:left="0"/>
        <w:rPr>
          <w:rFonts w:ascii="Arial" w:hAnsi="Arial" w:cs="Arial"/>
          <w:color w:val="000000"/>
          <w:sz w:val="24"/>
          <w:szCs w:val="24"/>
          <w:shd w:val="clear" w:color="auto" w:fill="F5FDFE"/>
        </w:rPr>
      </w:pPr>
      <w:r w:rsidRPr="001C56E9">
        <w:rPr>
          <w:rFonts w:ascii="Arial" w:hAnsi="Arial" w:cs="Arial"/>
          <w:color w:val="000000"/>
          <w:sz w:val="24"/>
          <w:szCs w:val="24"/>
          <w:shd w:val="clear" w:color="auto" w:fill="F5FDFE"/>
        </w:rPr>
        <w:t xml:space="preserve">Gli enti  deliberano annualmente il bilancio di previsione finanziario riferito ad almeno un triennio, comprendente le previsioni di competenza e di cassa del primo esercizio del </w:t>
      </w:r>
      <w:r w:rsidRPr="001C56E9">
        <w:rPr>
          <w:rFonts w:ascii="Arial" w:hAnsi="Arial" w:cs="Arial"/>
          <w:color w:val="000000"/>
          <w:sz w:val="24"/>
          <w:szCs w:val="24"/>
          <w:shd w:val="clear" w:color="auto" w:fill="F5FDFE"/>
        </w:rPr>
        <w:lastRenderedPageBreak/>
        <w:t>periodo considerato e le previsioni di competenza degli esercizi successivi utilizzando un metodo scorrevole nella redazione del bilancio di previsione finanziario .</w:t>
      </w:r>
    </w:p>
    <w:p w:rsidR="00907E51" w:rsidRPr="001C56E9" w:rsidRDefault="00907E51" w:rsidP="00907E51">
      <w:pPr>
        <w:pStyle w:val="Rientrocorpodeltesto2"/>
        <w:spacing w:line="240" w:lineRule="auto"/>
        <w:ind w:left="0"/>
        <w:rPr>
          <w:rFonts w:ascii="Arial" w:hAnsi="Arial" w:cs="Arial"/>
          <w:sz w:val="24"/>
          <w:szCs w:val="24"/>
        </w:rPr>
      </w:pPr>
      <w:r w:rsidRPr="001C56E9">
        <w:rPr>
          <w:rFonts w:ascii="Arial" w:hAnsi="Arial" w:cs="Arial"/>
          <w:color w:val="000000"/>
          <w:sz w:val="24"/>
          <w:szCs w:val="24"/>
          <w:shd w:val="clear" w:color="auto" w:fill="F5FDFE"/>
        </w:rPr>
        <w:t xml:space="preserve"> </w:t>
      </w:r>
      <w:r w:rsidRPr="001C56E9">
        <w:rPr>
          <w:rFonts w:ascii="Arial" w:hAnsi="Arial" w:cs="Arial"/>
          <w:sz w:val="24"/>
          <w:szCs w:val="24"/>
        </w:rPr>
        <w:t>Pertanto, ogni anno risulta necessario aggiornare il bilancio di previsione:</w:t>
      </w:r>
    </w:p>
    <w:p w:rsidR="00907E51" w:rsidRPr="001C56E9" w:rsidRDefault="00907E51" w:rsidP="00907E51">
      <w:pPr>
        <w:pStyle w:val="Rientrocorpodeltesto2"/>
        <w:spacing w:line="240" w:lineRule="auto"/>
        <w:ind w:left="142" w:hanging="142"/>
        <w:rPr>
          <w:rFonts w:ascii="Arial" w:hAnsi="Arial" w:cs="Arial"/>
          <w:sz w:val="24"/>
          <w:szCs w:val="24"/>
        </w:rPr>
      </w:pPr>
      <w:r w:rsidRPr="001C56E9">
        <w:rPr>
          <w:rFonts w:ascii="Arial" w:hAnsi="Arial" w:cs="Arial"/>
          <w:sz w:val="24"/>
          <w:szCs w:val="24"/>
        </w:rPr>
        <w:t>- con l’inserimento delle previsioni relative ad un ulteriore esercizio;</w:t>
      </w:r>
    </w:p>
    <w:p w:rsidR="00907E51" w:rsidRPr="001C56E9" w:rsidRDefault="00907E51" w:rsidP="00907E51">
      <w:pPr>
        <w:pStyle w:val="Rientrocorpodeltesto2"/>
        <w:spacing w:line="240" w:lineRule="auto"/>
        <w:ind w:left="142" w:hanging="142"/>
        <w:rPr>
          <w:rFonts w:ascii="Arial" w:hAnsi="Arial" w:cs="Arial"/>
          <w:sz w:val="24"/>
          <w:szCs w:val="24"/>
        </w:rPr>
      </w:pPr>
      <w:r w:rsidRPr="001C56E9">
        <w:rPr>
          <w:rFonts w:ascii="Arial" w:hAnsi="Arial" w:cs="Arial"/>
          <w:sz w:val="24"/>
          <w:szCs w:val="24"/>
        </w:rPr>
        <w:t xml:space="preserve">- adeguando le previsioni relative a tutti gli esercizi considerati nel bilancio, in considerazione delle indicazioni del documento di programmazione aggiornato, dei risultati presunti della gestione dell’esercizio precedente, anche con riferimento agli impegni già assunti, all’evoluzione normativa; </w:t>
      </w:r>
    </w:p>
    <w:p w:rsidR="00907E51" w:rsidRPr="001C56E9" w:rsidRDefault="00907E51" w:rsidP="00907E51">
      <w:pPr>
        <w:pStyle w:val="Rientrocorpodeltesto2"/>
        <w:spacing w:line="240" w:lineRule="auto"/>
        <w:ind w:left="142" w:hanging="142"/>
        <w:rPr>
          <w:rFonts w:ascii="Arial" w:hAnsi="Arial" w:cs="Arial"/>
          <w:sz w:val="24"/>
          <w:szCs w:val="24"/>
        </w:rPr>
      </w:pPr>
      <w:r w:rsidRPr="001C56E9">
        <w:rPr>
          <w:rFonts w:ascii="Arial" w:hAnsi="Arial" w:cs="Arial"/>
          <w:sz w:val="24"/>
          <w:szCs w:val="24"/>
        </w:rPr>
        <w:t>- con l’indicazione, per tutti i programmi di spesa considerati in ciascuno degli esercizi in cui il bilancio è articolato, degli “impegni già assunti” alla data di elaborazione del documento.</w:t>
      </w:r>
    </w:p>
    <w:p w:rsidR="00907E51" w:rsidRPr="001C56E9" w:rsidRDefault="00907E51" w:rsidP="00907E51">
      <w:pPr>
        <w:pStyle w:val="Default"/>
        <w:ind w:left="0"/>
        <w:rPr>
          <w:rFonts w:ascii="Arial" w:hAnsi="Arial" w:cs="Arial"/>
          <w:color w:val="auto"/>
        </w:rPr>
      </w:pPr>
      <w:r w:rsidRPr="001C56E9">
        <w:rPr>
          <w:rFonts w:ascii="Arial" w:hAnsi="Arial" w:cs="Arial"/>
          <w:color w:val="auto"/>
        </w:rPr>
        <w:t xml:space="preserve">Il bilancio di previsione finanziario svolge le seguenti finalità: </w:t>
      </w:r>
    </w:p>
    <w:p w:rsidR="00907E51" w:rsidRPr="001C56E9" w:rsidRDefault="00907E51" w:rsidP="00907E51">
      <w:pPr>
        <w:pStyle w:val="Default"/>
        <w:numPr>
          <w:ilvl w:val="1"/>
          <w:numId w:val="14"/>
        </w:numPr>
        <w:tabs>
          <w:tab w:val="left" w:pos="567"/>
        </w:tabs>
        <w:spacing w:after="206"/>
        <w:ind w:left="425" w:hanging="283"/>
        <w:contextualSpacing/>
        <w:rPr>
          <w:rFonts w:ascii="Arial" w:hAnsi="Arial" w:cs="Arial"/>
          <w:color w:val="auto"/>
        </w:rPr>
      </w:pPr>
      <w:r w:rsidRPr="001C56E9">
        <w:rPr>
          <w:rFonts w:ascii="Arial" w:hAnsi="Arial" w:cs="Arial"/>
          <w:i/>
          <w:iCs/>
          <w:color w:val="auto"/>
        </w:rPr>
        <w:t xml:space="preserve">politico-amministrative </w:t>
      </w:r>
      <w:r w:rsidRPr="001C56E9">
        <w:rPr>
          <w:rFonts w:ascii="Arial" w:hAnsi="Arial" w:cs="Arial"/>
          <w:color w:val="auto"/>
        </w:rPr>
        <w:t xml:space="preserve">in quanto consente l’esercizio delle prerogative di indirizzo e di controllo che gli organi di governance esercitano sull’organo esecutivo ed è lo strumento fondamentale per la gestione amministrativa nel corso dell’esercizio; </w:t>
      </w:r>
    </w:p>
    <w:p w:rsidR="00907E51" w:rsidRPr="001C56E9" w:rsidRDefault="00907E51" w:rsidP="00907E51">
      <w:pPr>
        <w:pStyle w:val="Default"/>
        <w:numPr>
          <w:ilvl w:val="1"/>
          <w:numId w:val="14"/>
        </w:numPr>
        <w:tabs>
          <w:tab w:val="left" w:pos="567"/>
        </w:tabs>
        <w:spacing w:after="206"/>
        <w:ind w:left="425" w:hanging="283"/>
        <w:contextualSpacing/>
        <w:rPr>
          <w:rFonts w:ascii="Arial" w:hAnsi="Arial" w:cs="Arial"/>
          <w:color w:val="auto"/>
        </w:rPr>
      </w:pPr>
      <w:r w:rsidRPr="001C56E9">
        <w:rPr>
          <w:rFonts w:ascii="Arial" w:hAnsi="Arial" w:cs="Arial"/>
          <w:color w:val="auto"/>
        </w:rPr>
        <w:t xml:space="preserve">di </w:t>
      </w:r>
      <w:r w:rsidRPr="001C56E9">
        <w:rPr>
          <w:rFonts w:ascii="Arial" w:hAnsi="Arial" w:cs="Arial"/>
          <w:i/>
          <w:iCs/>
          <w:color w:val="auto"/>
        </w:rPr>
        <w:t xml:space="preserve">programmazione finanziaria </w:t>
      </w:r>
      <w:r w:rsidRPr="001C56E9">
        <w:rPr>
          <w:rFonts w:ascii="Arial" w:hAnsi="Arial" w:cs="Arial"/>
          <w:color w:val="auto"/>
        </w:rPr>
        <w:t>poiché descrive finanziariamente le informazioni necessarie a sostenere le amministrazioni pubbliche</w:t>
      </w:r>
      <w:r w:rsidRPr="001C56E9">
        <w:rPr>
          <w:rFonts w:ascii="Arial" w:hAnsi="Arial" w:cs="Arial"/>
          <w:color w:val="FF0000"/>
        </w:rPr>
        <w:t xml:space="preserve"> </w:t>
      </w:r>
      <w:r w:rsidRPr="001C56E9">
        <w:rPr>
          <w:rFonts w:ascii="Arial" w:hAnsi="Arial" w:cs="Arial"/>
          <w:color w:val="auto"/>
        </w:rPr>
        <w:t>nel processo di decisione politica, sociale ed economica;</w:t>
      </w:r>
    </w:p>
    <w:p w:rsidR="00907E51" w:rsidRPr="001C56E9" w:rsidRDefault="00907E51" w:rsidP="00907E51">
      <w:pPr>
        <w:pStyle w:val="Default"/>
        <w:numPr>
          <w:ilvl w:val="0"/>
          <w:numId w:val="15"/>
        </w:numPr>
        <w:tabs>
          <w:tab w:val="left" w:pos="426"/>
        </w:tabs>
        <w:spacing w:after="206"/>
        <w:ind w:left="425" w:hanging="283"/>
        <w:contextualSpacing/>
        <w:rPr>
          <w:rFonts w:ascii="Arial" w:hAnsi="Arial" w:cs="Arial"/>
        </w:rPr>
      </w:pPr>
      <w:r w:rsidRPr="001C56E9">
        <w:rPr>
          <w:rFonts w:ascii="Arial" w:hAnsi="Arial" w:cs="Arial"/>
          <w:color w:val="auto"/>
        </w:rPr>
        <w:t xml:space="preserve">  di </w:t>
      </w:r>
      <w:r w:rsidRPr="001C56E9">
        <w:rPr>
          <w:rFonts w:ascii="Arial" w:hAnsi="Arial" w:cs="Arial"/>
          <w:i/>
          <w:color w:val="auto"/>
        </w:rPr>
        <w:t>destinazione delle risorse</w:t>
      </w:r>
      <w:r w:rsidRPr="001C56E9">
        <w:rPr>
          <w:rFonts w:ascii="Arial" w:hAnsi="Arial" w:cs="Arial"/>
          <w:color w:val="auto"/>
        </w:rPr>
        <w:t xml:space="preserve"> a preventivo attraverso la funzione </w:t>
      </w:r>
      <w:r w:rsidRPr="001C56E9">
        <w:rPr>
          <w:rFonts w:ascii="Arial" w:hAnsi="Arial" w:cs="Arial"/>
          <w:i/>
          <w:color w:val="auto"/>
        </w:rPr>
        <w:t>autorizzatoria</w:t>
      </w:r>
      <w:r w:rsidRPr="001C56E9">
        <w:rPr>
          <w:rFonts w:ascii="Arial" w:hAnsi="Arial" w:cs="Arial"/>
          <w:color w:val="auto"/>
        </w:rPr>
        <w:t xml:space="preserve">, connessa alla natura finanziaria del bilancio; </w:t>
      </w:r>
    </w:p>
    <w:p w:rsidR="00907E51" w:rsidRPr="001C56E9" w:rsidRDefault="00907E51" w:rsidP="00907E51">
      <w:pPr>
        <w:pStyle w:val="Default"/>
        <w:numPr>
          <w:ilvl w:val="0"/>
          <w:numId w:val="15"/>
        </w:numPr>
        <w:tabs>
          <w:tab w:val="left" w:pos="567"/>
        </w:tabs>
        <w:spacing w:after="206"/>
        <w:ind w:left="425" w:hanging="283"/>
        <w:contextualSpacing/>
        <w:rPr>
          <w:rFonts w:ascii="Arial" w:hAnsi="Arial" w:cs="Arial"/>
        </w:rPr>
      </w:pPr>
      <w:r w:rsidRPr="001C56E9">
        <w:rPr>
          <w:rFonts w:ascii="Arial" w:hAnsi="Arial" w:cs="Arial"/>
          <w:i/>
        </w:rPr>
        <w:t>di verifica degli equilibri finanziari</w:t>
      </w:r>
      <w:r w:rsidRPr="001C56E9">
        <w:rPr>
          <w:rFonts w:ascii="Arial" w:hAnsi="Arial" w:cs="Arial"/>
        </w:rPr>
        <w:t xml:space="preserve"> nel tempo e, in particolare, della copertura delle spese di funzionamento e di investimento programmate. Per le regioni il bilancio  di previsione costituisce sede per il riscontro della copertura finanziaria di nuove o maggiori spese stabilite da leggi della regione a carico di esercizi futuri;</w:t>
      </w:r>
    </w:p>
    <w:p w:rsidR="00907E51" w:rsidRPr="001C56E9" w:rsidRDefault="00907E51" w:rsidP="00907E51">
      <w:pPr>
        <w:pStyle w:val="Default"/>
        <w:numPr>
          <w:ilvl w:val="4"/>
          <w:numId w:val="17"/>
        </w:numPr>
        <w:tabs>
          <w:tab w:val="left" w:pos="567"/>
        </w:tabs>
        <w:spacing w:after="206"/>
        <w:ind w:left="0" w:hanging="283"/>
        <w:contextualSpacing/>
        <w:rPr>
          <w:rFonts w:ascii="Arial" w:hAnsi="Arial" w:cs="Arial"/>
        </w:rPr>
      </w:pPr>
      <w:r w:rsidRPr="001C56E9">
        <w:rPr>
          <w:rFonts w:ascii="Arial" w:hAnsi="Arial" w:cs="Arial"/>
          <w:i/>
          <w:iCs/>
          <w:color w:val="auto"/>
        </w:rPr>
        <w:t xml:space="preserve">informative </w:t>
      </w:r>
      <w:r w:rsidRPr="001C56E9">
        <w:rPr>
          <w:rFonts w:ascii="Arial" w:hAnsi="Arial" w:cs="Arial"/>
          <w:color w:val="auto"/>
        </w:rPr>
        <w:t>in quanto fornisce informazioni agli utilizzatori interni (consiglieri ed amministratori, dirigenti, dipendenti, organi di revisione, ecc.) ed esterni (organi di controllo, altri organi pubblici, fornitori e creditori, finanziatori, cittadini, ecc.) in merito ai programmi in corso di realizzazione, nonché in merito all’andamento finanziario della amministrazione</w:t>
      </w:r>
    </w:p>
    <w:p w:rsidR="00907E51" w:rsidRPr="001C56E9" w:rsidRDefault="00907E51" w:rsidP="00907E51">
      <w:pPr>
        <w:pStyle w:val="Default"/>
        <w:tabs>
          <w:tab w:val="left" w:pos="567"/>
        </w:tabs>
        <w:spacing w:after="206"/>
        <w:ind w:left="-283"/>
        <w:contextualSpacing/>
        <w:rPr>
          <w:rFonts w:ascii="Arial" w:hAnsi="Arial" w:cs="Arial"/>
          <w:i/>
          <w:iCs/>
          <w:color w:val="auto"/>
        </w:rPr>
      </w:pPr>
      <w:r w:rsidRPr="001C56E9">
        <w:rPr>
          <w:rFonts w:ascii="Arial" w:hAnsi="Arial" w:cs="Arial"/>
          <w:i/>
          <w:iCs/>
          <w:color w:val="auto"/>
        </w:rPr>
        <w:t>ALLEGATI:</w:t>
      </w:r>
    </w:p>
    <w:p w:rsidR="00907E51" w:rsidRPr="001C56E9" w:rsidRDefault="00907E51" w:rsidP="00907E51">
      <w:pPr>
        <w:pStyle w:val="Paragrafoelenco"/>
        <w:numPr>
          <w:ilvl w:val="0"/>
          <w:numId w:val="16"/>
        </w:numPr>
        <w:spacing w:line="240" w:lineRule="auto"/>
        <w:ind w:left="851" w:hanging="284"/>
        <w:jc w:val="both"/>
        <w:rPr>
          <w:rFonts w:ascii="Arial" w:hAnsi="Arial" w:cs="Arial"/>
          <w:sz w:val="24"/>
          <w:szCs w:val="24"/>
        </w:rPr>
      </w:pPr>
      <w:r w:rsidRPr="001C56E9">
        <w:rPr>
          <w:rFonts w:ascii="Arial" w:hAnsi="Arial" w:cs="Arial"/>
          <w:sz w:val="24"/>
          <w:szCs w:val="24"/>
        </w:rPr>
        <w:t>il prospetto esplicativo del presunto risultato di amministrazione;</w:t>
      </w:r>
    </w:p>
    <w:p w:rsidR="00907E51" w:rsidRPr="001C56E9" w:rsidRDefault="00907E51" w:rsidP="00907E51">
      <w:pPr>
        <w:pStyle w:val="Paragrafoelenco"/>
        <w:numPr>
          <w:ilvl w:val="0"/>
          <w:numId w:val="16"/>
        </w:numPr>
        <w:spacing w:line="240" w:lineRule="auto"/>
        <w:ind w:left="851" w:hanging="284"/>
        <w:jc w:val="both"/>
        <w:rPr>
          <w:rFonts w:ascii="Arial" w:hAnsi="Arial" w:cs="Arial"/>
          <w:sz w:val="24"/>
          <w:szCs w:val="24"/>
        </w:rPr>
      </w:pPr>
      <w:r w:rsidRPr="001C56E9">
        <w:rPr>
          <w:rFonts w:ascii="Arial" w:hAnsi="Arial" w:cs="Arial"/>
          <w:sz w:val="24"/>
          <w:szCs w:val="24"/>
        </w:rPr>
        <w:t>il prospetto concernente la composizione, per missioni e programmi, del fondo pluriennale vincolato;</w:t>
      </w:r>
    </w:p>
    <w:p w:rsidR="00907E51" w:rsidRPr="001C56E9" w:rsidRDefault="00907E51" w:rsidP="00907E51">
      <w:pPr>
        <w:pStyle w:val="Paragrafoelenco"/>
        <w:numPr>
          <w:ilvl w:val="0"/>
          <w:numId w:val="16"/>
        </w:numPr>
        <w:spacing w:line="240" w:lineRule="auto"/>
        <w:ind w:left="851" w:hanging="284"/>
        <w:jc w:val="both"/>
        <w:rPr>
          <w:rFonts w:ascii="Arial" w:hAnsi="Arial" w:cs="Arial"/>
          <w:sz w:val="24"/>
          <w:szCs w:val="24"/>
        </w:rPr>
      </w:pPr>
      <w:r w:rsidRPr="001C56E9">
        <w:rPr>
          <w:rFonts w:ascii="Arial" w:hAnsi="Arial" w:cs="Arial"/>
          <w:sz w:val="24"/>
          <w:szCs w:val="24"/>
        </w:rPr>
        <w:t>il prospetto concernente la composizione del fondo crediti di dubbia esigibilità;</w:t>
      </w:r>
    </w:p>
    <w:p w:rsidR="00907E51" w:rsidRPr="001C56E9" w:rsidRDefault="00907E51" w:rsidP="00907E51">
      <w:pPr>
        <w:pStyle w:val="Paragrafoelenco"/>
        <w:numPr>
          <w:ilvl w:val="0"/>
          <w:numId w:val="16"/>
        </w:numPr>
        <w:spacing w:line="240" w:lineRule="auto"/>
        <w:ind w:left="851" w:hanging="284"/>
        <w:jc w:val="both"/>
        <w:rPr>
          <w:rFonts w:ascii="Arial" w:hAnsi="Arial" w:cs="Arial"/>
          <w:sz w:val="24"/>
          <w:szCs w:val="24"/>
        </w:rPr>
      </w:pPr>
      <w:r w:rsidRPr="001C56E9">
        <w:rPr>
          <w:rFonts w:ascii="Arial" w:hAnsi="Arial" w:cs="Arial"/>
          <w:sz w:val="24"/>
          <w:szCs w:val="24"/>
        </w:rPr>
        <w:t xml:space="preserve">il prospetto dimostrativo del rispetto dei vincoli di indebitamento; </w:t>
      </w:r>
    </w:p>
    <w:p w:rsidR="00907E51" w:rsidRPr="001C56E9" w:rsidRDefault="00907E51" w:rsidP="00907E51">
      <w:pPr>
        <w:pStyle w:val="Paragrafoelenco1"/>
        <w:numPr>
          <w:ilvl w:val="0"/>
          <w:numId w:val="16"/>
        </w:numPr>
        <w:suppressAutoHyphens/>
        <w:spacing w:line="100" w:lineRule="atLeast"/>
        <w:ind w:left="851" w:hanging="284"/>
        <w:contextualSpacing w:val="0"/>
        <w:rPr>
          <w:rFonts w:ascii="Arial" w:hAnsi="Arial" w:cs="Arial"/>
          <w:color w:val="000000"/>
        </w:rPr>
      </w:pPr>
      <w:r w:rsidRPr="001C56E9">
        <w:rPr>
          <w:rFonts w:ascii="Arial" w:hAnsi="Arial" w:cs="Arial"/>
        </w:rPr>
        <w:t>l’elenco dei capitoli che riguardano le spese obbligatorie;</w:t>
      </w:r>
    </w:p>
    <w:p w:rsidR="00907E51" w:rsidRPr="001C56E9" w:rsidRDefault="00907E51" w:rsidP="00907E51">
      <w:pPr>
        <w:pStyle w:val="Paragrafoelenco1"/>
        <w:numPr>
          <w:ilvl w:val="0"/>
          <w:numId w:val="16"/>
        </w:numPr>
        <w:suppressAutoHyphens/>
        <w:spacing w:line="100" w:lineRule="atLeast"/>
        <w:ind w:left="851" w:hanging="284"/>
        <w:contextualSpacing w:val="0"/>
        <w:rPr>
          <w:rFonts w:ascii="Arial" w:hAnsi="Arial" w:cs="Arial"/>
        </w:rPr>
      </w:pPr>
      <w:r w:rsidRPr="001C56E9">
        <w:rPr>
          <w:rFonts w:ascii="Arial" w:hAnsi="Arial" w:cs="Arial"/>
        </w:rPr>
        <w:t>l’elenco delle spese che possono essere finanziate con il fondo di riserva per spese impreviste di cui all’articolo 48, comma 1, lettera b);</w:t>
      </w:r>
    </w:p>
    <w:p w:rsidR="00907E51" w:rsidRPr="001C56E9" w:rsidRDefault="00907E51" w:rsidP="00907E51">
      <w:pPr>
        <w:pStyle w:val="Paragrafoelenco"/>
        <w:numPr>
          <w:ilvl w:val="0"/>
          <w:numId w:val="16"/>
        </w:numPr>
        <w:suppressAutoHyphens/>
        <w:spacing w:line="100" w:lineRule="atLeast"/>
        <w:ind w:left="851" w:hanging="284"/>
        <w:jc w:val="both"/>
        <w:rPr>
          <w:rFonts w:ascii="Arial" w:hAnsi="Arial" w:cs="Arial"/>
          <w:sz w:val="24"/>
          <w:szCs w:val="24"/>
        </w:rPr>
      </w:pPr>
      <w:r w:rsidRPr="001C56E9">
        <w:rPr>
          <w:rFonts w:ascii="Arial" w:hAnsi="Arial" w:cs="Arial"/>
          <w:sz w:val="24"/>
          <w:szCs w:val="24"/>
        </w:rPr>
        <w:t>l’elenco dei capitoli che riguardano le spese obbligatorie;</w:t>
      </w:r>
    </w:p>
    <w:p w:rsidR="00907E51" w:rsidRPr="001C56E9" w:rsidRDefault="00907E51" w:rsidP="00907E51">
      <w:pPr>
        <w:pStyle w:val="Paragrafoelenco"/>
        <w:numPr>
          <w:ilvl w:val="0"/>
          <w:numId w:val="16"/>
        </w:numPr>
        <w:spacing w:line="240" w:lineRule="auto"/>
        <w:ind w:left="851" w:hanging="284"/>
        <w:jc w:val="both"/>
        <w:rPr>
          <w:rFonts w:ascii="Arial" w:hAnsi="Arial" w:cs="Arial"/>
          <w:sz w:val="24"/>
          <w:szCs w:val="24"/>
        </w:rPr>
      </w:pPr>
      <w:r w:rsidRPr="001C56E9">
        <w:rPr>
          <w:rFonts w:ascii="Arial" w:hAnsi="Arial" w:cs="Arial"/>
          <w:sz w:val="24"/>
          <w:szCs w:val="24"/>
        </w:rPr>
        <w:t xml:space="preserve">la nota integrativa; </w:t>
      </w:r>
    </w:p>
    <w:p w:rsidR="00907E51" w:rsidRPr="001C56E9" w:rsidRDefault="00907E51" w:rsidP="00907E51">
      <w:pPr>
        <w:pStyle w:val="Paragrafoelenco"/>
        <w:numPr>
          <w:ilvl w:val="0"/>
          <w:numId w:val="16"/>
        </w:numPr>
        <w:spacing w:line="240" w:lineRule="auto"/>
        <w:ind w:left="851" w:hanging="284"/>
        <w:jc w:val="both"/>
        <w:rPr>
          <w:rFonts w:ascii="Arial" w:hAnsi="Arial" w:cs="Arial"/>
          <w:sz w:val="24"/>
          <w:szCs w:val="24"/>
        </w:rPr>
      </w:pPr>
      <w:r w:rsidRPr="001C56E9">
        <w:rPr>
          <w:rFonts w:ascii="Arial" w:hAnsi="Arial" w:cs="Arial"/>
          <w:sz w:val="24"/>
          <w:szCs w:val="24"/>
        </w:rPr>
        <w:t>la relazione del collegio dei revisori dei conti.</w:t>
      </w:r>
    </w:p>
    <w:p w:rsidR="00907E51" w:rsidRPr="001C56E9" w:rsidRDefault="00907E51" w:rsidP="00907E51">
      <w:pPr>
        <w:pStyle w:val="Paragrafoelenco"/>
        <w:autoSpaceDE w:val="0"/>
        <w:autoSpaceDN w:val="0"/>
        <w:adjustRightInd w:val="0"/>
        <w:spacing w:after="0" w:line="240" w:lineRule="auto"/>
        <w:ind w:left="851" w:hanging="284"/>
        <w:rPr>
          <w:rFonts w:ascii="Arial" w:hAnsi="Arial" w:cs="Arial"/>
          <w:sz w:val="24"/>
          <w:szCs w:val="24"/>
        </w:rPr>
      </w:pPr>
    </w:p>
    <w:p w:rsidR="00907E51" w:rsidRPr="001C56E9" w:rsidRDefault="00907E51" w:rsidP="00907E51">
      <w:pPr>
        <w:ind w:left="142"/>
        <w:contextualSpacing/>
        <w:rPr>
          <w:rFonts w:ascii="Arial" w:eastAsia="PMingLiU" w:hAnsi="Arial" w:cs="Arial"/>
          <w:sz w:val="24"/>
          <w:szCs w:val="24"/>
          <w:lang w:eastAsia="zh-TW"/>
        </w:rPr>
      </w:pPr>
      <w:r w:rsidRPr="001C56E9">
        <w:rPr>
          <w:rFonts w:ascii="Arial" w:eastAsia="PMingLiU" w:hAnsi="Arial" w:cs="Arial"/>
          <w:sz w:val="24"/>
          <w:szCs w:val="24"/>
          <w:lang w:eastAsia="zh-TW"/>
        </w:rPr>
        <w:t xml:space="preserve">Contestualmente all’approvazione del bilancio da parte del Consiglio, la Giunta approva la ripartizione delle tipologie in categorie e dei programmi in macroaggregati  per ciascuno degli anni considerati nel bilancio, che costituisce il Documento Tecnico di accompagnamento.  </w:t>
      </w:r>
    </w:p>
    <w:p w:rsidR="00907E51" w:rsidRPr="001C56E9" w:rsidRDefault="00907E51" w:rsidP="00907E51">
      <w:pPr>
        <w:tabs>
          <w:tab w:val="left" w:pos="142"/>
        </w:tabs>
        <w:ind w:left="142"/>
        <w:contextualSpacing/>
        <w:rPr>
          <w:rFonts w:ascii="Arial" w:eastAsia="Times New Roman" w:hAnsi="Arial" w:cs="Arial"/>
          <w:strike/>
          <w:sz w:val="24"/>
          <w:szCs w:val="24"/>
          <w:lang w:eastAsia="zh-TW"/>
        </w:rPr>
      </w:pPr>
      <w:r w:rsidRPr="001C56E9">
        <w:rPr>
          <w:rFonts w:ascii="Arial" w:eastAsia="Times New Roman" w:hAnsi="Arial" w:cs="Arial"/>
          <w:sz w:val="24"/>
          <w:szCs w:val="24"/>
          <w:lang w:eastAsia="zh-TW"/>
        </w:rPr>
        <w:lastRenderedPageBreak/>
        <w:t xml:space="preserve">Al </w:t>
      </w:r>
      <w:r w:rsidRPr="001C56E9">
        <w:rPr>
          <w:rFonts w:ascii="Arial" w:eastAsia="PMingLiU" w:hAnsi="Arial" w:cs="Arial"/>
          <w:sz w:val="24"/>
          <w:szCs w:val="24"/>
          <w:lang w:eastAsia="zh-TW"/>
        </w:rPr>
        <w:t>Documento Tecnico di accompagnamento</w:t>
      </w:r>
      <w:r w:rsidRPr="001C56E9">
        <w:rPr>
          <w:rFonts w:ascii="Arial" w:eastAsia="Times New Roman" w:hAnsi="Arial" w:cs="Arial"/>
          <w:sz w:val="24"/>
          <w:szCs w:val="24"/>
          <w:lang w:eastAsia="zh-TW"/>
        </w:rPr>
        <w:t xml:space="preserve">  sono allegati, nel rispetto dello schema  indicato nell’allegato 12:</w:t>
      </w:r>
    </w:p>
    <w:p w:rsidR="00907E51" w:rsidRPr="001C56E9" w:rsidRDefault="00907E51" w:rsidP="00907E51">
      <w:pPr>
        <w:tabs>
          <w:tab w:val="left" w:pos="142"/>
        </w:tabs>
        <w:ind w:left="142"/>
        <w:contextualSpacing/>
        <w:rPr>
          <w:rFonts w:ascii="Arial" w:eastAsia="Times New Roman" w:hAnsi="Arial" w:cs="Arial"/>
          <w:strike/>
          <w:sz w:val="24"/>
          <w:szCs w:val="24"/>
          <w:lang w:eastAsia="zh-TW"/>
        </w:rPr>
      </w:pPr>
      <w:r w:rsidRPr="001C56E9">
        <w:rPr>
          <w:rFonts w:ascii="Arial" w:eastAsia="Times New Roman" w:hAnsi="Arial" w:cs="Arial"/>
          <w:sz w:val="24"/>
          <w:szCs w:val="24"/>
          <w:lang w:eastAsia="zh-TW"/>
        </w:rPr>
        <w:t>a) il  prospetto delle previsioni di entrata per titoli, tipologie e categorie,</w:t>
      </w:r>
    </w:p>
    <w:p w:rsidR="00907E51" w:rsidRPr="001C56E9" w:rsidRDefault="00907E51" w:rsidP="00907E51">
      <w:pPr>
        <w:tabs>
          <w:tab w:val="left" w:pos="142"/>
        </w:tabs>
        <w:autoSpaceDE w:val="0"/>
        <w:autoSpaceDN w:val="0"/>
        <w:adjustRightInd w:val="0"/>
        <w:spacing w:after="0"/>
        <w:ind w:left="142"/>
        <w:contextualSpacing/>
        <w:rPr>
          <w:rFonts w:ascii="Arial" w:eastAsia="Times New Roman" w:hAnsi="Arial" w:cs="Arial"/>
          <w:strike/>
          <w:sz w:val="24"/>
          <w:szCs w:val="24"/>
          <w:lang w:eastAsia="zh-TW"/>
        </w:rPr>
      </w:pPr>
      <w:r w:rsidRPr="001C56E9">
        <w:rPr>
          <w:rFonts w:ascii="Arial" w:eastAsia="Times New Roman" w:hAnsi="Arial" w:cs="Arial"/>
          <w:sz w:val="24"/>
          <w:szCs w:val="24"/>
          <w:lang w:eastAsia="zh-TW"/>
        </w:rPr>
        <w:t>b)il prospetto delle previsioni di spesa per missioni, programmi e macroaggregati per ciascuno degli anni considerati nel bilancio di previsione.</w:t>
      </w:r>
    </w:p>
    <w:p w:rsidR="00907E51" w:rsidRPr="001C56E9" w:rsidRDefault="00907E51" w:rsidP="00907E51">
      <w:pPr>
        <w:pStyle w:val="Paragrafoelenco"/>
        <w:spacing w:line="240" w:lineRule="auto"/>
        <w:ind w:left="142"/>
        <w:rPr>
          <w:rFonts w:ascii="Arial" w:eastAsia="PMingLiU" w:hAnsi="Arial" w:cs="Arial"/>
          <w:sz w:val="24"/>
          <w:szCs w:val="24"/>
          <w:lang w:eastAsia="zh-TW"/>
        </w:rPr>
      </w:pPr>
    </w:p>
    <w:p w:rsidR="00907E51" w:rsidRPr="001C56E9" w:rsidRDefault="00907E51" w:rsidP="00907E51">
      <w:pPr>
        <w:pStyle w:val="Paragrafoelenco"/>
        <w:spacing w:line="240" w:lineRule="auto"/>
        <w:ind w:left="142"/>
        <w:rPr>
          <w:rFonts w:ascii="Arial" w:eastAsia="PMingLiU" w:hAnsi="Arial" w:cs="Arial"/>
          <w:sz w:val="24"/>
          <w:szCs w:val="24"/>
          <w:lang w:eastAsia="zh-TW"/>
        </w:rPr>
      </w:pPr>
      <w:r w:rsidRPr="001C56E9">
        <w:rPr>
          <w:rFonts w:ascii="Arial" w:eastAsia="PMingLiU" w:hAnsi="Arial" w:cs="Arial"/>
          <w:sz w:val="24"/>
          <w:szCs w:val="24"/>
          <w:lang w:eastAsia="zh-TW"/>
        </w:rPr>
        <w:t>Contestualmente all’approvazione del Documento tecnico di accompagnamento, la Giunta, o il Segretario generale (secondo quanto previsto dal regolamento di contabilità), approva la ripartizione delle categorie e dei macroaggregati in capitoli ed eventualmente in articoli, per ciascuno degli esercizi considerati nel bilancio, che costituisce il bilancio finanziario gestionale.</w:t>
      </w:r>
    </w:p>
    <w:p w:rsidR="00907E51" w:rsidRPr="001C56E9" w:rsidRDefault="00907E51" w:rsidP="00907E51">
      <w:pPr>
        <w:pStyle w:val="Paragrafoelenco"/>
        <w:spacing w:line="240" w:lineRule="auto"/>
        <w:ind w:left="142"/>
        <w:rPr>
          <w:rFonts w:ascii="Arial" w:eastAsia="PMingLiU" w:hAnsi="Arial" w:cs="Arial"/>
          <w:sz w:val="24"/>
          <w:szCs w:val="24"/>
          <w:lang w:eastAsia="zh-TW"/>
        </w:rPr>
      </w:pPr>
      <w:r w:rsidRPr="001C56E9">
        <w:rPr>
          <w:rFonts w:ascii="Arial" w:eastAsia="PMingLiU" w:hAnsi="Arial" w:cs="Arial"/>
          <w:sz w:val="24"/>
          <w:szCs w:val="24"/>
          <w:lang w:eastAsia="zh-TW"/>
        </w:rPr>
        <w:t>I capitoli e gli eventuali articoli sono raccordati al quarto livello del piano dei conti finanziario.</w:t>
      </w:r>
    </w:p>
    <w:p w:rsidR="00907E51" w:rsidRPr="001C56E9" w:rsidRDefault="00907E51" w:rsidP="00907E51">
      <w:pPr>
        <w:pStyle w:val="Paragrafoelenco"/>
        <w:spacing w:line="240" w:lineRule="auto"/>
        <w:ind w:left="142"/>
        <w:rPr>
          <w:rFonts w:ascii="Arial" w:eastAsia="PMingLiU" w:hAnsi="Arial" w:cs="Arial"/>
          <w:sz w:val="24"/>
          <w:szCs w:val="24"/>
          <w:lang w:eastAsia="zh-TW"/>
        </w:rPr>
      </w:pPr>
      <w:r w:rsidRPr="001C56E9">
        <w:rPr>
          <w:rFonts w:ascii="Arial" w:eastAsia="PMingLiU" w:hAnsi="Arial" w:cs="Arial"/>
          <w:sz w:val="24"/>
          <w:szCs w:val="24"/>
          <w:lang w:eastAsia="zh-TW"/>
        </w:rPr>
        <w:t>Al bilancio gestionale è allegato il prospetto riguardante le previsioni di competenza e di cassa dei capitoli di entrata e di spesa della gestione sanitaria accentrata articolato, per quanto riguarda le entrate in  titoli, tipologie, categorie e capitoli e per quanto riguarda le spese, in titoli, macroaggregati e capitoli. Se il bilancio gestionale della regione risulta articolato in modo da distinguere la gestione ordinaria dalla gestione sanitaria, tale allegato non è necessario.</w:t>
      </w:r>
    </w:p>
    <w:p w:rsidR="00907E51" w:rsidRPr="001C56E9" w:rsidRDefault="00907E51" w:rsidP="00907E51">
      <w:pPr>
        <w:pStyle w:val="Default"/>
        <w:ind w:left="142"/>
        <w:rPr>
          <w:rFonts w:ascii="Arial" w:hAnsi="Arial" w:cs="Arial"/>
        </w:rPr>
      </w:pPr>
      <w:r w:rsidRPr="001C56E9">
        <w:rPr>
          <w:rFonts w:ascii="Arial" w:hAnsi="Arial" w:cs="Arial"/>
        </w:rPr>
        <w:t>Per “contestualmente” si intende la prima seduta di giunta successiva all’approvazione del bilancio da parte del Consiglio. Nei casi in cui il regolamento della regione prevede l’approvazione del bilancio finanziario gestionale da parte del segretario, per “contestualmente” si intende entro  i cinque giorni lavorativi successivi all’approvazione del documento tecnico di accompagnamento.</w:t>
      </w:r>
    </w:p>
    <w:p w:rsidR="00907E51" w:rsidRPr="001C56E9" w:rsidRDefault="00907E51" w:rsidP="00907E51">
      <w:pPr>
        <w:spacing w:line="240" w:lineRule="auto"/>
        <w:jc w:val="both"/>
        <w:rPr>
          <w:rFonts w:ascii="Arial" w:hAnsi="Arial" w:cs="Arial"/>
          <w:sz w:val="24"/>
          <w:szCs w:val="24"/>
        </w:rPr>
      </w:pPr>
      <w:r w:rsidRPr="001C56E9">
        <w:rPr>
          <w:rFonts w:ascii="Arial" w:hAnsi="Arial" w:cs="Arial"/>
          <w:sz w:val="24"/>
          <w:szCs w:val="24"/>
        </w:rPr>
        <w:t>Il bilancio di previsione finanziario, il relativo documento tecnico di accompagnamento e il bilancio gestionale sono pubblicati contestualmente nel sito internet della regione. Nel sito internet dell’ente sono pubblicate anche l</w:t>
      </w:r>
      <w:r w:rsidRPr="001C56E9">
        <w:rPr>
          <w:rFonts w:ascii="Arial" w:hAnsi="Arial" w:cs="Arial"/>
          <w:bCs/>
          <w:sz w:val="24"/>
          <w:szCs w:val="24"/>
        </w:rPr>
        <w:t>e variazioni del bilancio di previsione, le variazioni del documento tecnico di accompagnamento, il bilancio di previsione assestato, il documento tecnico di accompagnamento assestato e il bilancio gestionale assestato.</w:t>
      </w:r>
      <w:r w:rsidRPr="001C56E9">
        <w:rPr>
          <w:rFonts w:ascii="Arial" w:hAnsi="Arial" w:cs="Arial"/>
          <w:sz w:val="24"/>
          <w:szCs w:val="24"/>
        </w:rPr>
        <w:t xml:space="preserve"> Il sistema informativo dell’ente garantisce l’invio alla banca dati unitaria di cui all’articolo 13 della legge n. 196 del 2009, del bilancio di previsione finanziario, completo di allegati, unitamente alle  previsioni del documento tecnico di accompagnamento e delle previsioni del bilancio gestionale aggregate secondo l’articolazione del piano dei conti di quarto livello. Tali documenti sono pubblicati anche nel sito internet della regione</w:t>
      </w:r>
    </w:p>
    <w:p w:rsidR="00907E51" w:rsidRPr="001C56E9" w:rsidRDefault="00907E51" w:rsidP="00907E51">
      <w:pPr>
        <w:spacing w:line="240" w:lineRule="auto"/>
        <w:jc w:val="both"/>
        <w:rPr>
          <w:rFonts w:ascii="Arial" w:hAnsi="Arial" w:cs="Arial"/>
          <w:bCs/>
          <w:sz w:val="24"/>
          <w:szCs w:val="24"/>
        </w:rPr>
      </w:pPr>
      <w:r w:rsidRPr="001C56E9">
        <w:rPr>
          <w:rFonts w:ascii="Arial" w:hAnsi="Arial" w:cs="Arial"/>
          <w:sz w:val="24"/>
          <w:szCs w:val="24"/>
        </w:rPr>
        <w:t>Il bilancio di previsione finanziario, il relativo documento tecnico di accompagnamento e il bilancio gestionale sono pubblicati contestualmente nel sito internet della regione. Nel sito internet dell’ente sono pubblicate anche l</w:t>
      </w:r>
      <w:r w:rsidRPr="001C56E9">
        <w:rPr>
          <w:rFonts w:ascii="Arial" w:hAnsi="Arial" w:cs="Arial"/>
          <w:bCs/>
          <w:sz w:val="24"/>
          <w:szCs w:val="24"/>
        </w:rPr>
        <w:t>e variazioni del bilancio di previsione</w:t>
      </w:r>
    </w:p>
    <w:p w:rsidR="00907E51" w:rsidRPr="001C56E9" w:rsidRDefault="00907E51" w:rsidP="00907E51">
      <w:pPr>
        <w:pStyle w:val="Paragrafoelenco"/>
        <w:spacing w:line="240" w:lineRule="auto"/>
        <w:ind w:left="142"/>
        <w:rPr>
          <w:rFonts w:ascii="Arial" w:eastAsia="Times New Roman" w:hAnsi="Arial" w:cs="Arial"/>
          <w:color w:val="000000"/>
          <w:sz w:val="24"/>
          <w:szCs w:val="24"/>
          <w:lang w:eastAsia="it-IT"/>
        </w:rPr>
      </w:pPr>
      <w:r w:rsidRPr="001C56E9">
        <w:rPr>
          <w:rFonts w:ascii="Arial" w:eastAsia="Times New Roman" w:hAnsi="Arial" w:cs="Arial"/>
          <w:color w:val="000000"/>
          <w:sz w:val="24"/>
          <w:szCs w:val="24"/>
          <w:lang w:eastAsia="it-IT"/>
        </w:rPr>
        <w:t>PER GLI ENTI LOCALI</w:t>
      </w:r>
    </w:p>
    <w:p w:rsidR="00907E51" w:rsidRPr="001C56E9" w:rsidRDefault="00907E51" w:rsidP="00907E51">
      <w:pPr>
        <w:pStyle w:val="Paragrafoelenco"/>
        <w:spacing w:line="240" w:lineRule="auto"/>
        <w:ind w:left="142"/>
        <w:rPr>
          <w:rFonts w:ascii="Arial" w:eastAsia="Times New Roman" w:hAnsi="Arial" w:cs="Arial"/>
          <w:color w:val="000000"/>
          <w:sz w:val="24"/>
          <w:szCs w:val="24"/>
          <w:lang w:eastAsia="it-IT"/>
        </w:rPr>
      </w:pPr>
      <w:r w:rsidRPr="001C56E9">
        <w:rPr>
          <w:rFonts w:ascii="Arial" w:eastAsia="Times New Roman" w:hAnsi="Arial" w:cs="Arial"/>
          <w:color w:val="000000"/>
          <w:sz w:val="24"/>
          <w:szCs w:val="24"/>
          <w:lang w:eastAsia="it-IT"/>
        </w:rPr>
        <w:t>Entro il 15 novembre di ogni anno la giunta approva lo schema della delibera  del bilancio di previsione finanziario relativa almeno al triennio successivo, da sottoporre all’approvazione del Consiglio. Unitamente allo schema di delibera di approvazione del bilancio, la Giunta trasmette, a titolo conoscitivo, anche  la proposta di articolazione delle tipologie in categorie e dei programmi in macroaggregati;</w:t>
      </w:r>
    </w:p>
    <w:p w:rsidR="00907E51" w:rsidRPr="001C56E9" w:rsidRDefault="00907E51" w:rsidP="00907E51">
      <w:pPr>
        <w:autoSpaceDE w:val="0"/>
        <w:autoSpaceDN w:val="0"/>
        <w:adjustRightInd w:val="0"/>
        <w:ind w:left="142"/>
        <w:rPr>
          <w:rFonts w:ascii="Arial" w:hAnsi="Arial" w:cs="Arial"/>
          <w:sz w:val="24"/>
          <w:szCs w:val="24"/>
        </w:rPr>
      </w:pPr>
      <w:r w:rsidRPr="001C56E9">
        <w:rPr>
          <w:rFonts w:ascii="Arial" w:hAnsi="Arial" w:cs="Arial"/>
          <w:sz w:val="24"/>
          <w:szCs w:val="24"/>
        </w:rPr>
        <w:t>In caso di variazioni del quadro normativo di riferimento  la Giunta aggiorna lo schema di delibera di bilancio  di previsione in corso di approvazione, unitamente al Documento di programmazione.</w:t>
      </w:r>
    </w:p>
    <w:p w:rsidR="00907E51" w:rsidRPr="001C56E9" w:rsidRDefault="00907E51" w:rsidP="00907E51">
      <w:pPr>
        <w:spacing w:line="240" w:lineRule="auto"/>
        <w:jc w:val="both"/>
        <w:rPr>
          <w:rFonts w:ascii="Arial" w:eastAsia="PMingLiU" w:hAnsi="Arial" w:cs="Arial"/>
          <w:sz w:val="24"/>
          <w:szCs w:val="24"/>
          <w:lang w:eastAsia="zh-TW"/>
        </w:rPr>
      </w:pPr>
      <w:r w:rsidRPr="001C56E9">
        <w:rPr>
          <w:rFonts w:ascii="Arial" w:eastAsia="PMingLiU" w:hAnsi="Arial" w:cs="Arial"/>
          <w:sz w:val="24"/>
          <w:szCs w:val="24"/>
          <w:lang w:eastAsia="zh-TW"/>
        </w:rPr>
        <w:lastRenderedPageBreak/>
        <w:t>Entro il 31 dicembre di ciascun anno il Consiglio approva il bilancio di previsione riguardante le previsioni di entrata e di spesa riguardanti almeno il triennio successivo</w:t>
      </w:r>
    </w:p>
    <w:p w:rsidR="00907E51" w:rsidRPr="001C56E9" w:rsidRDefault="00907E51" w:rsidP="00907E51">
      <w:pPr>
        <w:spacing w:line="240" w:lineRule="auto"/>
        <w:jc w:val="both"/>
        <w:rPr>
          <w:rFonts w:ascii="Arial" w:eastAsia="PMingLiU" w:hAnsi="Arial" w:cs="Arial"/>
          <w:sz w:val="24"/>
          <w:szCs w:val="24"/>
          <w:lang w:eastAsia="zh-TW"/>
        </w:rPr>
      </w:pPr>
      <w:r w:rsidRPr="001C56E9">
        <w:rPr>
          <w:rFonts w:ascii="Arial" w:eastAsia="PMingLiU" w:hAnsi="Arial" w:cs="Arial"/>
          <w:sz w:val="24"/>
          <w:szCs w:val="24"/>
          <w:lang w:eastAsia="zh-TW"/>
        </w:rPr>
        <w:t>Allegati:</w:t>
      </w:r>
    </w:p>
    <w:p w:rsidR="00907E51" w:rsidRPr="001C56E9" w:rsidRDefault="00907E51" w:rsidP="00907E51">
      <w:pPr>
        <w:numPr>
          <w:ilvl w:val="0"/>
          <w:numId w:val="19"/>
        </w:numPr>
        <w:spacing w:after="0" w:line="240" w:lineRule="auto"/>
        <w:ind w:left="567" w:hanging="283"/>
        <w:contextualSpacing/>
        <w:jc w:val="both"/>
        <w:rPr>
          <w:rFonts w:ascii="Arial" w:eastAsia="Times New Roman" w:hAnsi="Arial" w:cs="Arial"/>
          <w:sz w:val="24"/>
          <w:szCs w:val="24"/>
          <w:lang w:eastAsia="zh-TW"/>
        </w:rPr>
      </w:pPr>
      <w:r w:rsidRPr="001C56E9">
        <w:rPr>
          <w:rFonts w:ascii="Arial" w:eastAsia="Times New Roman" w:hAnsi="Arial" w:cs="Arial"/>
          <w:sz w:val="24"/>
          <w:szCs w:val="24"/>
          <w:lang w:eastAsia="zh-TW"/>
        </w:rPr>
        <w:t>il prospetto esplicativo del presunto risultato di amministrazione;</w:t>
      </w:r>
    </w:p>
    <w:p w:rsidR="00907E51" w:rsidRPr="001C56E9" w:rsidRDefault="00907E51" w:rsidP="00907E51">
      <w:pPr>
        <w:numPr>
          <w:ilvl w:val="0"/>
          <w:numId w:val="19"/>
        </w:numPr>
        <w:spacing w:after="0" w:line="240" w:lineRule="auto"/>
        <w:ind w:left="567" w:hanging="283"/>
        <w:contextualSpacing/>
        <w:jc w:val="both"/>
        <w:rPr>
          <w:rFonts w:ascii="Arial" w:eastAsia="Times New Roman" w:hAnsi="Arial" w:cs="Arial"/>
          <w:sz w:val="24"/>
          <w:szCs w:val="24"/>
          <w:lang w:eastAsia="zh-TW"/>
        </w:rPr>
      </w:pPr>
      <w:r w:rsidRPr="001C56E9">
        <w:rPr>
          <w:rFonts w:ascii="Arial" w:eastAsia="Times New Roman" w:hAnsi="Arial" w:cs="Arial"/>
          <w:sz w:val="24"/>
          <w:szCs w:val="24"/>
          <w:lang w:eastAsia="zh-TW"/>
        </w:rPr>
        <w:t>il prospetto concernente la composizione, per missioni e programmi, del fondo pluriennale vincolato;</w:t>
      </w:r>
    </w:p>
    <w:p w:rsidR="00907E51" w:rsidRPr="001C56E9" w:rsidRDefault="00907E51" w:rsidP="00907E51">
      <w:pPr>
        <w:numPr>
          <w:ilvl w:val="0"/>
          <w:numId w:val="19"/>
        </w:numPr>
        <w:spacing w:after="0" w:line="240" w:lineRule="auto"/>
        <w:ind w:left="567" w:hanging="283"/>
        <w:contextualSpacing/>
        <w:jc w:val="both"/>
        <w:rPr>
          <w:rFonts w:ascii="Arial" w:eastAsia="Times New Roman" w:hAnsi="Arial" w:cs="Arial"/>
          <w:sz w:val="24"/>
          <w:szCs w:val="24"/>
          <w:lang w:eastAsia="zh-TW"/>
        </w:rPr>
      </w:pPr>
      <w:r w:rsidRPr="001C56E9">
        <w:rPr>
          <w:rFonts w:ascii="Arial" w:eastAsia="Times New Roman" w:hAnsi="Arial" w:cs="Arial"/>
          <w:sz w:val="24"/>
          <w:szCs w:val="24"/>
          <w:lang w:eastAsia="zh-TW"/>
        </w:rPr>
        <w:t>il prospetto concernente la composizione del fondo crediti di dubbia esigibilità;</w:t>
      </w:r>
    </w:p>
    <w:p w:rsidR="00907E51" w:rsidRPr="001C56E9" w:rsidRDefault="00907E51" w:rsidP="00907E51">
      <w:pPr>
        <w:numPr>
          <w:ilvl w:val="0"/>
          <w:numId w:val="19"/>
        </w:numPr>
        <w:spacing w:after="0" w:line="240" w:lineRule="auto"/>
        <w:ind w:left="567" w:hanging="283"/>
        <w:contextualSpacing/>
        <w:jc w:val="both"/>
        <w:rPr>
          <w:rFonts w:ascii="Arial" w:eastAsia="Times New Roman" w:hAnsi="Arial" w:cs="Arial"/>
          <w:sz w:val="24"/>
          <w:szCs w:val="24"/>
          <w:lang w:eastAsia="zh-TW"/>
        </w:rPr>
      </w:pPr>
      <w:r w:rsidRPr="001C56E9">
        <w:rPr>
          <w:rFonts w:ascii="Arial" w:eastAsia="Times New Roman" w:hAnsi="Arial" w:cs="Arial"/>
          <w:sz w:val="24"/>
          <w:szCs w:val="24"/>
          <w:lang w:eastAsia="zh-TW"/>
        </w:rPr>
        <w:t>il prospetto dimostrativo del rispetto dei vincoli di indebitamento</w:t>
      </w:r>
      <w:r w:rsidRPr="001C56E9">
        <w:rPr>
          <w:rFonts w:ascii="Arial" w:eastAsia="Times New Roman" w:hAnsi="Arial" w:cs="Arial"/>
          <w:i/>
          <w:sz w:val="24"/>
          <w:szCs w:val="24"/>
          <w:lang w:eastAsia="zh-TW"/>
        </w:rPr>
        <w:t>;</w:t>
      </w:r>
    </w:p>
    <w:p w:rsidR="00907E51" w:rsidRPr="001C56E9" w:rsidRDefault="00907E51" w:rsidP="00907E51">
      <w:pPr>
        <w:numPr>
          <w:ilvl w:val="0"/>
          <w:numId w:val="19"/>
        </w:numPr>
        <w:spacing w:after="0" w:line="240" w:lineRule="auto"/>
        <w:ind w:left="567" w:hanging="283"/>
        <w:contextualSpacing/>
        <w:jc w:val="both"/>
        <w:rPr>
          <w:rFonts w:ascii="Arial" w:eastAsia="Times New Roman" w:hAnsi="Arial" w:cs="Arial"/>
          <w:sz w:val="24"/>
          <w:szCs w:val="24"/>
          <w:lang w:eastAsia="zh-TW"/>
        </w:rPr>
      </w:pPr>
      <w:r w:rsidRPr="001C56E9">
        <w:rPr>
          <w:rFonts w:ascii="Arial" w:eastAsia="Times New Roman" w:hAnsi="Arial" w:cs="Arial"/>
          <w:sz w:val="24"/>
          <w:szCs w:val="24"/>
          <w:lang w:eastAsia="zh-TW"/>
        </w:rPr>
        <w:t xml:space="preserve"> il prospetto delle spese previste per l’utilizzo di contributi e trasferimenti da parte di organismi comunitari e internazionali, per ciascuno degli anni considerati nel bilancio di previsione; </w:t>
      </w:r>
    </w:p>
    <w:p w:rsidR="00907E51" w:rsidRPr="001C56E9" w:rsidRDefault="00907E51" w:rsidP="00907E51">
      <w:pPr>
        <w:numPr>
          <w:ilvl w:val="0"/>
          <w:numId w:val="19"/>
        </w:numPr>
        <w:spacing w:after="0" w:line="240" w:lineRule="auto"/>
        <w:ind w:left="567" w:hanging="283"/>
        <w:contextualSpacing/>
        <w:jc w:val="both"/>
        <w:rPr>
          <w:rFonts w:ascii="Arial" w:eastAsia="Times New Roman" w:hAnsi="Arial" w:cs="Arial"/>
          <w:sz w:val="24"/>
          <w:szCs w:val="24"/>
          <w:lang w:eastAsia="zh-TW"/>
        </w:rPr>
      </w:pPr>
      <w:r w:rsidRPr="001C56E9">
        <w:rPr>
          <w:rFonts w:ascii="Arial" w:eastAsia="Times New Roman" w:hAnsi="Arial" w:cs="Arial"/>
          <w:sz w:val="24"/>
          <w:szCs w:val="24"/>
          <w:lang w:eastAsia="zh-TW"/>
        </w:rPr>
        <w:t>il prospetto delle spese previste per lo svolgimento delle funzioni delegate dalle regioni per ciascuno degli anni considerati nel bilancio di previsione;</w:t>
      </w:r>
    </w:p>
    <w:p w:rsidR="00907E51" w:rsidRPr="001C56E9" w:rsidRDefault="00907E51" w:rsidP="00907E51">
      <w:pPr>
        <w:numPr>
          <w:ilvl w:val="0"/>
          <w:numId w:val="19"/>
        </w:numPr>
        <w:spacing w:after="0" w:line="240" w:lineRule="auto"/>
        <w:ind w:left="567" w:hanging="283"/>
        <w:contextualSpacing/>
        <w:jc w:val="both"/>
        <w:rPr>
          <w:rFonts w:ascii="Arial" w:eastAsia="Times New Roman" w:hAnsi="Arial" w:cs="Arial"/>
          <w:sz w:val="24"/>
          <w:szCs w:val="24"/>
          <w:lang w:eastAsia="zh-TW"/>
        </w:rPr>
      </w:pPr>
      <w:r w:rsidRPr="001C56E9">
        <w:rPr>
          <w:rFonts w:ascii="Arial" w:eastAsia="Times New Roman" w:hAnsi="Arial" w:cs="Arial"/>
          <w:sz w:val="24"/>
          <w:szCs w:val="24"/>
          <w:lang w:eastAsia="zh-TW"/>
        </w:rPr>
        <w:t>il rendiconto di gestione e il bilancio consolidato deliberati e relativi al penultimo esercizio antecedente quello cui si riferisce il bilancio di previsione</w:t>
      </w:r>
    </w:p>
    <w:p w:rsidR="00907E51" w:rsidRPr="001C56E9" w:rsidRDefault="00907E51" w:rsidP="00907E51">
      <w:pPr>
        <w:numPr>
          <w:ilvl w:val="0"/>
          <w:numId w:val="19"/>
        </w:numPr>
        <w:spacing w:after="0" w:line="240" w:lineRule="auto"/>
        <w:ind w:left="567" w:hanging="283"/>
        <w:contextualSpacing/>
        <w:jc w:val="both"/>
        <w:rPr>
          <w:rFonts w:ascii="Arial" w:eastAsia="Times New Roman" w:hAnsi="Arial" w:cs="Arial"/>
          <w:sz w:val="24"/>
          <w:szCs w:val="24"/>
          <w:lang w:eastAsia="zh-TW"/>
        </w:rPr>
      </w:pPr>
      <w:r w:rsidRPr="001C56E9">
        <w:rPr>
          <w:rFonts w:ascii="Arial" w:eastAsia="Times New Roman" w:hAnsi="Arial" w:cs="Arial"/>
          <w:sz w:val="24"/>
          <w:szCs w:val="24"/>
          <w:lang w:eastAsia="zh-TW"/>
        </w:rPr>
        <w:t xml:space="preserve">le risultanze dei rendiconti e dei bilanci consolidati delle unioni di comuni e dei soggetti considerate nel gruppo “amministrazione pubblica” </w:t>
      </w:r>
    </w:p>
    <w:p w:rsidR="00907E51" w:rsidRPr="001C56E9" w:rsidRDefault="00907E51" w:rsidP="00907E51">
      <w:pPr>
        <w:numPr>
          <w:ilvl w:val="0"/>
          <w:numId w:val="19"/>
        </w:numPr>
        <w:spacing w:after="0" w:line="240" w:lineRule="auto"/>
        <w:ind w:left="567" w:hanging="283"/>
        <w:contextualSpacing/>
        <w:jc w:val="both"/>
        <w:rPr>
          <w:rFonts w:ascii="Arial" w:eastAsia="Times New Roman" w:hAnsi="Arial" w:cs="Arial"/>
          <w:sz w:val="24"/>
          <w:szCs w:val="24"/>
          <w:lang w:eastAsia="zh-TW"/>
        </w:rPr>
      </w:pPr>
      <w:r w:rsidRPr="001C56E9">
        <w:rPr>
          <w:rFonts w:ascii="Arial" w:eastAsia="Times New Roman" w:hAnsi="Arial" w:cs="Arial"/>
          <w:sz w:val="24"/>
          <w:szCs w:val="24"/>
          <w:lang w:eastAsia="zh-TW"/>
        </w:rPr>
        <w:t>la deliberazione, da adottarsi annualmente prima dell'approvazione del bilancio, con la quale i comuni verificano la quantità e qualità di aree e fabbricati da destinarsi alla residenza, alle attività produttive e terziarie  che potranno essere ceduti in proprietà od in diritto di superficie; con la stessa deliberazione i comuni stabiliscono il prezzo di cessione per ciascun tipo di area o di fabbricato;</w:t>
      </w:r>
    </w:p>
    <w:p w:rsidR="00907E51" w:rsidRPr="001C56E9" w:rsidRDefault="00907E51" w:rsidP="00907E51">
      <w:pPr>
        <w:numPr>
          <w:ilvl w:val="0"/>
          <w:numId w:val="19"/>
        </w:numPr>
        <w:spacing w:after="0" w:line="240" w:lineRule="auto"/>
        <w:ind w:left="567" w:hanging="283"/>
        <w:contextualSpacing/>
        <w:jc w:val="both"/>
        <w:rPr>
          <w:rFonts w:ascii="Arial" w:eastAsia="Times New Roman" w:hAnsi="Arial" w:cs="Arial"/>
          <w:sz w:val="24"/>
          <w:szCs w:val="24"/>
          <w:lang w:eastAsia="zh-TW"/>
        </w:rPr>
      </w:pPr>
      <w:r w:rsidRPr="001C56E9">
        <w:rPr>
          <w:rFonts w:ascii="Arial" w:eastAsia="Times New Roman" w:hAnsi="Arial" w:cs="Arial"/>
          <w:sz w:val="24"/>
          <w:szCs w:val="24"/>
          <w:lang w:eastAsia="zh-TW"/>
        </w:rPr>
        <w:t>le deliberazioni con le quali sono determinati, per l'esercizio successivo, le tariffe, le aliquote d'imposta e le eventuali maggiori detrazioni, le variazioni dei limiti di reddito per i tributi locali e per i servizi locali, nonché, per i servizi a domanda individuale, i tassi di copertura in percentuale del costo di gestione dei servizi stessi;</w:t>
      </w:r>
    </w:p>
    <w:p w:rsidR="00907E51" w:rsidRPr="001C56E9" w:rsidRDefault="00907E51" w:rsidP="00907E51">
      <w:pPr>
        <w:numPr>
          <w:ilvl w:val="0"/>
          <w:numId w:val="19"/>
        </w:numPr>
        <w:spacing w:after="0" w:line="240" w:lineRule="auto"/>
        <w:ind w:left="567" w:hanging="283"/>
        <w:contextualSpacing/>
        <w:jc w:val="both"/>
        <w:rPr>
          <w:rFonts w:ascii="Arial" w:eastAsia="Times New Roman" w:hAnsi="Arial" w:cs="Arial"/>
          <w:sz w:val="24"/>
          <w:szCs w:val="24"/>
          <w:lang w:eastAsia="zh-TW"/>
        </w:rPr>
      </w:pPr>
      <w:r w:rsidRPr="001C56E9">
        <w:rPr>
          <w:rFonts w:ascii="Arial" w:eastAsia="Times New Roman" w:hAnsi="Arial" w:cs="Arial"/>
          <w:sz w:val="24"/>
          <w:szCs w:val="24"/>
          <w:lang w:eastAsia="zh-TW"/>
        </w:rPr>
        <w:t>la tabella relativa ai parametri di riscontro della situazione di deficitarietà strutturale prevista dalle disposizioni vigenti in materia;</w:t>
      </w:r>
    </w:p>
    <w:p w:rsidR="00907E51" w:rsidRPr="001C56E9" w:rsidRDefault="00907E51" w:rsidP="00907E51">
      <w:pPr>
        <w:numPr>
          <w:ilvl w:val="0"/>
          <w:numId w:val="19"/>
        </w:numPr>
        <w:spacing w:after="0" w:line="240" w:lineRule="auto"/>
        <w:ind w:left="567" w:hanging="283"/>
        <w:contextualSpacing/>
        <w:jc w:val="both"/>
        <w:rPr>
          <w:rFonts w:ascii="Arial" w:eastAsia="Times New Roman" w:hAnsi="Arial" w:cs="Arial"/>
          <w:sz w:val="24"/>
          <w:szCs w:val="24"/>
          <w:lang w:eastAsia="zh-TW"/>
        </w:rPr>
      </w:pPr>
      <w:r w:rsidRPr="001C56E9">
        <w:rPr>
          <w:rFonts w:ascii="Arial" w:eastAsia="Times New Roman" w:hAnsi="Arial" w:cs="Arial"/>
          <w:sz w:val="24"/>
          <w:szCs w:val="24"/>
          <w:lang w:eastAsia="zh-TW"/>
        </w:rPr>
        <w:t>il prospetto della concordanza tra bilancio di previsione e obiettivo programmatico del patto di stabilità interno</w:t>
      </w:r>
    </w:p>
    <w:p w:rsidR="00907E51" w:rsidRPr="001C56E9" w:rsidRDefault="00907E51" w:rsidP="00907E51">
      <w:pPr>
        <w:numPr>
          <w:ilvl w:val="0"/>
          <w:numId w:val="19"/>
        </w:numPr>
        <w:spacing w:after="0" w:line="240" w:lineRule="auto"/>
        <w:ind w:left="567" w:hanging="283"/>
        <w:contextualSpacing/>
        <w:jc w:val="both"/>
        <w:rPr>
          <w:rFonts w:ascii="Arial" w:eastAsia="Times New Roman" w:hAnsi="Arial" w:cs="Arial"/>
          <w:sz w:val="24"/>
          <w:szCs w:val="24"/>
          <w:lang w:eastAsia="zh-TW"/>
        </w:rPr>
      </w:pPr>
      <w:r w:rsidRPr="001C56E9">
        <w:rPr>
          <w:rFonts w:ascii="Arial" w:eastAsia="Times New Roman" w:hAnsi="Arial" w:cs="Arial"/>
          <w:sz w:val="24"/>
          <w:szCs w:val="24"/>
          <w:lang w:eastAsia="zh-TW"/>
        </w:rPr>
        <w:t xml:space="preserve">la nota integrativa; </w:t>
      </w:r>
    </w:p>
    <w:p w:rsidR="00907E51" w:rsidRPr="001C56E9" w:rsidRDefault="00907E51" w:rsidP="00907E51">
      <w:pPr>
        <w:numPr>
          <w:ilvl w:val="0"/>
          <w:numId w:val="19"/>
        </w:numPr>
        <w:spacing w:after="0" w:line="240" w:lineRule="auto"/>
        <w:ind w:left="567" w:hanging="283"/>
        <w:contextualSpacing/>
        <w:jc w:val="both"/>
        <w:rPr>
          <w:rFonts w:ascii="Arial" w:eastAsia="Times New Roman" w:hAnsi="Arial" w:cs="Arial"/>
          <w:sz w:val="24"/>
          <w:szCs w:val="24"/>
          <w:lang w:eastAsia="zh-TW"/>
        </w:rPr>
      </w:pPr>
      <w:r w:rsidRPr="001C56E9">
        <w:rPr>
          <w:rFonts w:ascii="Arial" w:eastAsia="Times New Roman" w:hAnsi="Arial" w:cs="Arial"/>
          <w:sz w:val="24"/>
          <w:szCs w:val="24"/>
          <w:lang w:eastAsia="zh-TW"/>
        </w:rPr>
        <w:t>la relazione del collegio dei revisori dei conti</w:t>
      </w:r>
      <w:r w:rsidRPr="001C56E9">
        <w:rPr>
          <w:rFonts w:ascii="Arial" w:eastAsia="Calibri" w:hAnsi="Arial" w:cs="Arial"/>
          <w:sz w:val="24"/>
          <w:szCs w:val="24"/>
        </w:rPr>
        <w:t>.</w:t>
      </w:r>
    </w:p>
    <w:p w:rsidR="00907E51" w:rsidRPr="001C56E9" w:rsidRDefault="00907E51" w:rsidP="00907E51">
      <w:pPr>
        <w:autoSpaceDE w:val="0"/>
        <w:autoSpaceDN w:val="0"/>
        <w:adjustRightInd w:val="0"/>
        <w:spacing w:after="0"/>
        <w:ind w:left="567"/>
        <w:contextualSpacing/>
        <w:rPr>
          <w:rFonts w:ascii="Arial" w:eastAsia="Times New Roman" w:hAnsi="Arial" w:cs="Arial"/>
          <w:sz w:val="24"/>
          <w:szCs w:val="24"/>
          <w:lang w:eastAsia="zh-TW"/>
        </w:rPr>
      </w:pPr>
    </w:p>
    <w:p w:rsidR="00907E51" w:rsidRPr="001C56E9" w:rsidRDefault="00907E51" w:rsidP="00907E51">
      <w:pPr>
        <w:ind w:left="142"/>
        <w:contextualSpacing/>
        <w:rPr>
          <w:rFonts w:ascii="Arial" w:eastAsia="PMingLiU" w:hAnsi="Arial" w:cs="Arial"/>
          <w:sz w:val="24"/>
          <w:szCs w:val="24"/>
          <w:lang w:eastAsia="zh-TW"/>
        </w:rPr>
      </w:pPr>
    </w:p>
    <w:p w:rsidR="00907E51" w:rsidRPr="001C56E9" w:rsidRDefault="00907E51" w:rsidP="00907E51">
      <w:pPr>
        <w:ind w:left="142"/>
        <w:contextualSpacing/>
        <w:rPr>
          <w:rFonts w:ascii="Arial" w:eastAsia="PMingLiU" w:hAnsi="Arial" w:cs="Arial"/>
          <w:sz w:val="24"/>
          <w:szCs w:val="24"/>
          <w:lang w:eastAsia="zh-TW"/>
        </w:rPr>
      </w:pPr>
      <w:r w:rsidRPr="001C56E9">
        <w:rPr>
          <w:rFonts w:ascii="Arial" w:eastAsia="PMingLiU" w:hAnsi="Arial" w:cs="Arial"/>
          <w:sz w:val="24"/>
          <w:szCs w:val="24"/>
          <w:lang w:eastAsia="zh-TW"/>
        </w:rPr>
        <w:t>Contestualmente all’approvazione del bilancio da parte del Consiglio, la Giunta approva la ripartizione delle tipologie in categorie, capitoli e, eventualmente, in articoli, e dei programmi in macroaggregati, capitoli e, eventualmente, in articoli, per ciascuno degli esercizi considerati nel bilancio, che costituisce il Piano esecutivo di gestione, cui è allegato il prospetto concernente la ripartizione delle tipologie in categorie e dei programmi in macroaggregati.</w:t>
      </w:r>
    </w:p>
    <w:p w:rsidR="00907E51" w:rsidRPr="001C56E9" w:rsidRDefault="004A2927" w:rsidP="00907E51">
      <w:pPr>
        <w:jc w:val="both"/>
        <w:rPr>
          <w:rFonts w:ascii="Arial" w:hAnsi="Arial" w:cs="Arial"/>
          <w:sz w:val="24"/>
          <w:szCs w:val="24"/>
        </w:rPr>
      </w:pPr>
      <w:r>
        <w:rPr>
          <w:rFonts w:ascii="Arial" w:hAnsi="Arial" w:cs="Arial"/>
          <w:sz w:val="24"/>
          <w:szCs w:val="24"/>
        </w:rPr>
        <w:t xml:space="preserve">Il BILANCIO </w:t>
      </w:r>
      <w:r w:rsidR="00907E51" w:rsidRPr="001C56E9">
        <w:rPr>
          <w:rFonts w:ascii="Arial" w:hAnsi="Arial" w:cs="Arial"/>
          <w:sz w:val="24"/>
          <w:szCs w:val="24"/>
        </w:rPr>
        <w:t>E’ un documento contabile che ha funzione revisionale, in un esercizio con durata annuale redatto in termini di competenza finanziaria, CON FUNZIONE ANCHE AUTORIZZATORIA, in quanto autorizza la gestione delle spese e delle entrate nei limiti degli stanziamenti previsti,  composto da due parti</w:t>
      </w:r>
      <w:r>
        <w:rPr>
          <w:rFonts w:ascii="Arial" w:hAnsi="Arial" w:cs="Arial"/>
          <w:sz w:val="24"/>
          <w:szCs w:val="24"/>
        </w:rPr>
        <w:t xml:space="preserve"> (REDATTO SECONDO LO SCHEMA ALLEGATO 9 DLGS 118/2011)</w:t>
      </w:r>
      <w:r w:rsidR="00907E51" w:rsidRPr="001C56E9">
        <w:rPr>
          <w:rFonts w:ascii="Arial" w:hAnsi="Arial" w:cs="Arial"/>
          <w:sz w:val="24"/>
          <w:szCs w:val="24"/>
        </w:rPr>
        <w:t>:</w:t>
      </w:r>
    </w:p>
    <w:p w:rsidR="004A2927" w:rsidRDefault="00907E51" w:rsidP="00907E51">
      <w:pPr>
        <w:tabs>
          <w:tab w:val="left" w:pos="360"/>
        </w:tabs>
        <w:suppressAutoHyphens/>
        <w:autoSpaceDE w:val="0"/>
        <w:spacing w:after="0" w:line="240" w:lineRule="auto"/>
        <w:jc w:val="both"/>
        <w:rPr>
          <w:rFonts w:ascii="Arial" w:hAnsi="Arial" w:cs="Arial"/>
          <w:b/>
          <w:bCs/>
          <w:sz w:val="24"/>
          <w:szCs w:val="24"/>
        </w:rPr>
      </w:pPr>
      <w:r w:rsidRPr="001C56E9">
        <w:rPr>
          <w:rFonts w:ascii="Arial" w:hAnsi="Arial" w:cs="Arial"/>
          <w:b/>
          <w:bCs/>
          <w:sz w:val="24"/>
          <w:szCs w:val="24"/>
        </w:rPr>
        <w:lastRenderedPageBreak/>
        <w:t>ENTRATA (ordinata in Titoli, tipologie)</w:t>
      </w:r>
      <w:r w:rsidR="004A2927" w:rsidRPr="004A2927">
        <w:rPr>
          <w:rFonts w:ascii="Arial" w:hAnsi="Arial" w:cs="Arial"/>
          <w:b/>
          <w:bCs/>
          <w:sz w:val="24"/>
          <w:szCs w:val="24"/>
        </w:rPr>
        <w:sym w:font="Wingdings" w:char="F0E0"/>
      </w:r>
      <w:r w:rsidR="004A2927">
        <w:rPr>
          <w:rFonts w:ascii="Arial" w:hAnsi="Arial" w:cs="Arial"/>
          <w:b/>
          <w:bCs/>
          <w:sz w:val="24"/>
          <w:szCs w:val="24"/>
        </w:rPr>
        <w:t>TITOLI(DEFINITI SECONDO LA PROVENIENZA DELLE ENTRATE)TIPOLOGIE ( DEFINITI IN BASE ALLA NATURA DELLE ENTRATE, ALLA FONTE DI PROVENIENZA)</w:t>
      </w:r>
      <w:r w:rsidRPr="001C56E9">
        <w:rPr>
          <w:rFonts w:ascii="Arial" w:hAnsi="Arial" w:cs="Arial"/>
          <w:b/>
          <w:bCs/>
          <w:sz w:val="24"/>
          <w:szCs w:val="24"/>
        </w:rPr>
        <w:t xml:space="preserve"> </w:t>
      </w:r>
    </w:p>
    <w:p w:rsidR="004A2927" w:rsidRDefault="004A2927" w:rsidP="00907E51">
      <w:pPr>
        <w:tabs>
          <w:tab w:val="left" w:pos="360"/>
        </w:tabs>
        <w:suppressAutoHyphens/>
        <w:autoSpaceDE w:val="0"/>
        <w:spacing w:after="0" w:line="240" w:lineRule="auto"/>
        <w:jc w:val="both"/>
        <w:rPr>
          <w:rFonts w:ascii="Arial" w:hAnsi="Arial" w:cs="Arial"/>
          <w:b/>
          <w:bCs/>
          <w:sz w:val="24"/>
          <w:szCs w:val="24"/>
        </w:rPr>
      </w:pPr>
    </w:p>
    <w:p w:rsidR="004A2927" w:rsidRDefault="004A2927" w:rsidP="00907E51">
      <w:pPr>
        <w:tabs>
          <w:tab w:val="left" w:pos="360"/>
        </w:tabs>
        <w:suppressAutoHyphens/>
        <w:autoSpaceDE w:val="0"/>
        <w:spacing w:after="0" w:line="240" w:lineRule="auto"/>
        <w:jc w:val="both"/>
        <w:rPr>
          <w:rFonts w:ascii="Arial" w:hAnsi="Arial" w:cs="Arial"/>
          <w:b/>
          <w:bCs/>
          <w:sz w:val="24"/>
          <w:szCs w:val="24"/>
        </w:rPr>
      </w:pPr>
    </w:p>
    <w:p w:rsidR="00FA2582" w:rsidRDefault="004A2927" w:rsidP="00FA2582">
      <w:pPr>
        <w:tabs>
          <w:tab w:val="left" w:pos="360"/>
        </w:tabs>
        <w:suppressAutoHyphens/>
        <w:autoSpaceDE w:val="0"/>
        <w:spacing w:after="0" w:line="240" w:lineRule="auto"/>
        <w:jc w:val="both"/>
        <w:rPr>
          <w:rFonts w:ascii="Arial" w:hAnsi="Arial" w:cs="Arial"/>
          <w:sz w:val="24"/>
          <w:szCs w:val="24"/>
        </w:rPr>
      </w:pPr>
      <w:r>
        <w:rPr>
          <w:rFonts w:ascii="Arial" w:hAnsi="Arial" w:cs="Arial"/>
          <w:b/>
          <w:bCs/>
          <w:sz w:val="24"/>
          <w:szCs w:val="24"/>
        </w:rPr>
        <w:t xml:space="preserve">                                                                       </w:t>
      </w:r>
      <w:r w:rsidR="00907E51" w:rsidRPr="001C56E9">
        <w:rPr>
          <w:rFonts w:ascii="Arial" w:hAnsi="Arial" w:cs="Arial"/>
          <w:b/>
          <w:bCs/>
          <w:sz w:val="24"/>
          <w:szCs w:val="24"/>
        </w:rPr>
        <w:t xml:space="preserve">   Titolo I</w:t>
      </w:r>
      <w:r w:rsidR="00907E51" w:rsidRPr="001C56E9">
        <w:rPr>
          <w:rFonts w:ascii="Arial" w:hAnsi="Arial" w:cs="Arial"/>
          <w:sz w:val="24"/>
          <w:szCs w:val="24"/>
        </w:rPr>
        <w:t xml:space="preserve"> : entrate tributarie,  Contributive</w:t>
      </w:r>
      <w:r w:rsidR="00FA2582">
        <w:rPr>
          <w:rFonts w:ascii="Arial" w:hAnsi="Arial" w:cs="Arial"/>
          <w:sz w:val="24"/>
          <w:szCs w:val="24"/>
        </w:rPr>
        <w:t xml:space="preserve">, </w:t>
      </w:r>
    </w:p>
    <w:p w:rsidR="00907E51" w:rsidRPr="001C56E9" w:rsidRDefault="00FA2582" w:rsidP="00FA2582">
      <w:pPr>
        <w:tabs>
          <w:tab w:val="left" w:pos="360"/>
        </w:tabs>
        <w:suppressAutoHyphens/>
        <w:autoSpaceDE w:val="0"/>
        <w:spacing w:after="0" w:line="240" w:lineRule="auto"/>
        <w:jc w:val="both"/>
        <w:rPr>
          <w:rFonts w:ascii="Arial" w:hAnsi="Arial" w:cs="Arial"/>
          <w:sz w:val="24"/>
          <w:szCs w:val="24"/>
        </w:rPr>
      </w:pPr>
      <w:r>
        <w:rPr>
          <w:rFonts w:ascii="Arial" w:hAnsi="Arial" w:cs="Arial"/>
          <w:sz w:val="24"/>
          <w:szCs w:val="24"/>
        </w:rPr>
        <w:t xml:space="preserve">                                                                                         perequative         </w:t>
      </w:r>
      <w:r w:rsidR="00907E51" w:rsidRPr="001C56E9">
        <w:rPr>
          <w:rFonts w:ascii="Arial" w:hAnsi="Arial" w:cs="Arial"/>
          <w:sz w:val="24"/>
          <w:szCs w:val="24"/>
        </w:rPr>
        <w:t xml:space="preserve">      </w:t>
      </w:r>
    </w:p>
    <w:p w:rsidR="00907E51" w:rsidRPr="001C56E9" w:rsidRDefault="00907E51" w:rsidP="00907E51">
      <w:pPr>
        <w:ind w:left="4956"/>
        <w:jc w:val="both"/>
        <w:rPr>
          <w:rFonts w:ascii="Arial" w:hAnsi="Arial" w:cs="Arial"/>
          <w:sz w:val="24"/>
          <w:szCs w:val="24"/>
        </w:rPr>
      </w:pPr>
      <w:r w:rsidRPr="001C56E9">
        <w:rPr>
          <w:rFonts w:ascii="Arial" w:hAnsi="Arial" w:cs="Arial"/>
          <w:b/>
          <w:bCs/>
          <w:sz w:val="24"/>
          <w:szCs w:val="24"/>
        </w:rPr>
        <w:t>Titolo II:</w:t>
      </w:r>
      <w:r w:rsidRPr="001C56E9">
        <w:rPr>
          <w:rFonts w:ascii="Arial" w:hAnsi="Arial" w:cs="Arial"/>
          <w:sz w:val="24"/>
          <w:szCs w:val="24"/>
        </w:rPr>
        <w:t xml:space="preserve"> Entrate correnti ( da famiglie, Amministrazioni pubbliche, imprese, istituzioni)</w:t>
      </w:r>
    </w:p>
    <w:p w:rsidR="00907E51" w:rsidRPr="001C56E9" w:rsidRDefault="00907E51" w:rsidP="00907E51">
      <w:pPr>
        <w:ind w:left="4956"/>
        <w:jc w:val="both"/>
        <w:rPr>
          <w:rFonts w:ascii="Arial" w:hAnsi="Arial" w:cs="Arial"/>
          <w:sz w:val="24"/>
          <w:szCs w:val="24"/>
        </w:rPr>
      </w:pPr>
      <w:r w:rsidRPr="001C56E9">
        <w:rPr>
          <w:rFonts w:ascii="Arial" w:hAnsi="Arial" w:cs="Arial"/>
          <w:b/>
          <w:bCs/>
          <w:sz w:val="24"/>
          <w:szCs w:val="24"/>
        </w:rPr>
        <w:t>Titolo III</w:t>
      </w:r>
      <w:r w:rsidRPr="001C56E9">
        <w:rPr>
          <w:rFonts w:ascii="Arial" w:hAnsi="Arial" w:cs="Arial"/>
          <w:sz w:val="24"/>
          <w:szCs w:val="24"/>
        </w:rPr>
        <w:t>: entrate extratributarie,</w:t>
      </w:r>
    </w:p>
    <w:p w:rsidR="00907E51" w:rsidRPr="001C56E9" w:rsidRDefault="00907E51" w:rsidP="00907E51">
      <w:pPr>
        <w:ind w:left="4956"/>
        <w:jc w:val="both"/>
        <w:rPr>
          <w:rFonts w:ascii="Arial" w:hAnsi="Arial" w:cs="Arial"/>
          <w:sz w:val="24"/>
          <w:szCs w:val="24"/>
        </w:rPr>
      </w:pPr>
      <w:r w:rsidRPr="001C56E9">
        <w:rPr>
          <w:rFonts w:ascii="Arial" w:hAnsi="Arial" w:cs="Arial"/>
          <w:b/>
          <w:bCs/>
          <w:sz w:val="24"/>
          <w:szCs w:val="24"/>
        </w:rPr>
        <w:t>Titolo IV</w:t>
      </w:r>
      <w:r w:rsidRPr="001C56E9">
        <w:rPr>
          <w:rFonts w:ascii="Arial" w:hAnsi="Arial" w:cs="Arial"/>
          <w:sz w:val="24"/>
          <w:szCs w:val="24"/>
        </w:rPr>
        <w:t>: entrate in conto capitale</w:t>
      </w:r>
    </w:p>
    <w:p w:rsidR="00907E51" w:rsidRPr="001C56E9" w:rsidRDefault="00907E51" w:rsidP="00907E51">
      <w:pPr>
        <w:ind w:left="4956"/>
        <w:jc w:val="both"/>
        <w:rPr>
          <w:rFonts w:ascii="Arial" w:hAnsi="Arial" w:cs="Arial"/>
          <w:sz w:val="24"/>
          <w:szCs w:val="24"/>
        </w:rPr>
      </w:pPr>
      <w:r w:rsidRPr="001C56E9">
        <w:rPr>
          <w:rFonts w:ascii="Arial" w:hAnsi="Arial" w:cs="Arial"/>
          <w:b/>
          <w:bCs/>
          <w:sz w:val="24"/>
          <w:szCs w:val="24"/>
        </w:rPr>
        <w:t>Titolo V</w:t>
      </w:r>
      <w:r w:rsidRPr="001C56E9">
        <w:rPr>
          <w:rFonts w:ascii="Arial" w:hAnsi="Arial" w:cs="Arial"/>
          <w:sz w:val="24"/>
          <w:szCs w:val="24"/>
        </w:rPr>
        <w:t xml:space="preserve"> : entrate derivanti da attività finanziarie</w:t>
      </w:r>
    </w:p>
    <w:p w:rsidR="00907E51" w:rsidRPr="001C56E9" w:rsidRDefault="00907E51" w:rsidP="00907E51">
      <w:pPr>
        <w:ind w:left="4956"/>
        <w:jc w:val="both"/>
        <w:rPr>
          <w:rFonts w:ascii="Arial" w:hAnsi="Arial" w:cs="Arial"/>
          <w:sz w:val="24"/>
          <w:szCs w:val="24"/>
        </w:rPr>
      </w:pPr>
      <w:r w:rsidRPr="001C56E9">
        <w:rPr>
          <w:rFonts w:ascii="Arial" w:hAnsi="Arial" w:cs="Arial"/>
          <w:b/>
          <w:bCs/>
          <w:sz w:val="24"/>
          <w:szCs w:val="24"/>
        </w:rPr>
        <w:t>Titolo VI</w:t>
      </w:r>
      <w:r w:rsidRPr="001C56E9">
        <w:rPr>
          <w:rFonts w:ascii="Arial" w:hAnsi="Arial" w:cs="Arial"/>
          <w:sz w:val="24"/>
          <w:szCs w:val="24"/>
        </w:rPr>
        <w:t>: accensione di prestiti</w:t>
      </w:r>
    </w:p>
    <w:p w:rsidR="00907E51" w:rsidRPr="001C56E9" w:rsidRDefault="00907E51" w:rsidP="00907E51">
      <w:pPr>
        <w:ind w:left="4956"/>
        <w:jc w:val="both"/>
        <w:rPr>
          <w:rFonts w:ascii="Arial" w:hAnsi="Arial" w:cs="Arial"/>
          <w:sz w:val="24"/>
          <w:szCs w:val="24"/>
        </w:rPr>
      </w:pPr>
      <w:r w:rsidRPr="001C56E9">
        <w:rPr>
          <w:rFonts w:ascii="Arial" w:hAnsi="Arial" w:cs="Arial"/>
          <w:b/>
          <w:bCs/>
          <w:sz w:val="24"/>
          <w:szCs w:val="24"/>
        </w:rPr>
        <w:t>Titolo VII</w:t>
      </w:r>
      <w:r w:rsidRPr="001C56E9">
        <w:rPr>
          <w:rFonts w:ascii="Arial" w:hAnsi="Arial" w:cs="Arial"/>
          <w:sz w:val="24"/>
          <w:szCs w:val="24"/>
        </w:rPr>
        <w:t>: Anticipazioni da istituto tesoriere/cassiere</w:t>
      </w:r>
    </w:p>
    <w:p w:rsidR="00907E51" w:rsidRPr="001C56E9" w:rsidRDefault="00907E51" w:rsidP="00907E51">
      <w:pPr>
        <w:ind w:left="4956"/>
        <w:jc w:val="both"/>
        <w:rPr>
          <w:rFonts w:ascii="Arial" w:hAnsi="Arial" w:cs="Arial"/>
          <w:b/>
          <w:bCs/>
          <w:sz w:val="24"/>
          <w:szCs w:val="24"/>
        </w:rPr>
      </w:pPr>
      <w:r w:rsidRPr="001C56E9">
        <w:rPr>
          <w:rFonts w:ascii="Arial" w:hAnsi="Arial" w:cs="Arial"/>
          <w:b/>
          <w:bCs/>
          <w:sz w:val="24"/>
          <w:szCs w:val="24"/>
        </w:rPr>
        <w:t>Titolo IX: Entrate per conto terzi e partite di giro</w:t>
      </w:r>
    </w:p>
    <w:p w:rsidR="004A2927" w:rsidRDefault="00907E51" w:rsidP="00907E51">
      <w:pPr>
        <w:rPr>
          <w:rFonts w:ascii="Arial" w:hAnsi="Arial" w:cs="Arial"/>
          <w:b/>
          <w:bCs/>
          <w:sz w:val="24"/>
          <w:szCs w:val="24"/>
        </w:rPr>
      </w:pPr>
      <w:r w:rsidRPr="001C56E9">
        <w:rPr>
          <w:rFonts w:ascii="Arial" w:hAnsi="Arial" w:cs="Arial"/>
          <w:b/>
          <w:bCs/>
          <w:sz w:val="24"/>
          <w:szCs w:val="24"/>
        </w:rPr>
        <w:t>SPESA (ordinata in missioni e programmi)</w:t>
      </w:r>
      <w:r w:rsidR="004A2927">
        <w:rPr>
          <w:rFonts w:ascii="Arial" w:hAnsi="Arial" w:cs="Arial"/>
          <w:b/>
          <w:bCs/>
          <w:sz w:val="24"/>
          <w:szCs w:val="24"/>
        </w:rPr>
        <w:t xml:space="preserve"> MISSIONI(rappresentano le funzioni principalie gli obiettivi strategici degli enti locali)PROGRAMMI(rappresentano gli aggregati omogenei d attività volte  aperseguire gli obiettivi definiti dalle missioni. I programmi a sua volta sono ripartiti in titoli.</w:t>
      </w:r>
    </w:p>
    <w:p w:rsidR="004A2927" w:rsidRDefault="004A2927" w:rsidP="00907E51">
      <w:pPr>
        <w:rPr>
          <w:rFonts w:ascii="Arial" w:hAnsi="Arial" w:cs="Arial"/>
          <w:b/>
          <w:bCs/>
          <w:sz w:val="24"/>
          <w:szCs w:val="24"/>
        </w:rPr>
      </w:pPr>
      <w:r>
        <w:rPr>
          <w:rFonts w:ascii="Arial" w:hAnsi="Arial" w:cs="Arial"/>
          <w:b/>
          <w:bCs/>
          <w:sz w:val="24"/>
          <w:szCs w:val="24"/>
        </w:rPr>
        <w:t>I</w:t>
      </w:r>
      <w:r w:rsidR="00907E51" w:rsidRPr="001C56E9">
        <w:rPr>
          <w:rFonts w:ascii="Arial" w:hAnsi="Arial" w:cs="Arial"/>
          <w:b/>
          <w:bCs/>
          <w:sz w:val="24"/>
          <w:szCs w:val="24"/>
        </w:rPr>
        <w:t xml:space="preserve"> programmi di spesa sono articolati nei seguenti titoli di spesa                                   </w:t>
      </w:r>
    </w:p>
    <w:p w:rsidR="004A2927" w:rsidRDefault="004A2927" w:rsidP="00907E51">
      <w:pPr>
        <w:rPr>
          <w:rFonts w:ascii="Arial" w:hAnsi="Arial" w:cs="Arial"/>
          <w:b/>
          <w:bCs/>
          <w:sz w:val="24"/>
          <w:szCs w:val="24"/>
        </w:rPr>
      </w:pPr>
    </w:p>
    <w:p w:rsidR="00907E51" w:rsidRPr="001C56E9" w:rsidRDefault="004A2927" w:rsidP="00907E51">
      <w:pPr>
        <w:rPr>
          <w:rFonts w:ascii="Arial" w:hAnsi="Arial" w:cs="Arial"/>
          <w:b/>
          <w:bCs/>
          <w:sz w:val="24"/>
          <w:szCs w:val="24"/>
        </w:rPr>
      </w:pPr>
      <w:r>
        <w:rPr>
          <w:rFonts w:ascii="Arial" w:hAnsi="Arial" w:cs="Arial"/>
          <w:b/>
          <w:bCs/>
          <w:sz w:val="24"/>
          <w:szCs w:val="24"/>
        </w:rPr>
        <w:t xml:space="preserve">                                                                          </w:t>
      </w:r>
      <w:r w:rsidR="00907E51" w:rsidRPr="001C56E9">
        <w:rPr>
          <w:rFonts w:ascii="Arial" w:hAnsi="Arial" w:cs="Arial"/>
          <w:b/>
          <w:bCs/>
          <w:sz w:val="24"/>
          <w:szCs w:val="24"/>
        </w:rPr>
        <w:t xml:space="preserve">Titolo I </w:t>
      </w:r>
      <w:r w:rsidR="00907E51" w:rsidRPr="001C56E9">
        <w:rPr>
          <w:rFonts w:ascii="Arial" w:hAnsi="Arial" w:cs="Arial"/>
          <w:bCs/>
          <w:sz w:val="24"/>
          <w:szCs w:val="24"/>
        </w:rPr>
        <w:t>spese correnti</w:t>
      </w:r>
    </w:p>
    <w:p w:rsidR="00907E51" w:rsidRPr="001C56E9" w:rsidRDefault="00907E51" w:rsidP="00907E51">
      <w:pPr>
        <w:ind w:left="4956"/>
        <w:rPr>
          <w:rFonts w:ascii="Arial" w:hAnsi="Arial" w:cs="Arial"/>
          <w:b/>
          <w:bCs/>
          <w:sz w:val="24"/>
          <w:szCs w:val="24"/>
        </w:rPr>
      </w:pPr>
      <w:r w:rsidRPr="001C56E9">
        <w:rPr>
          <w:rFonts w:ascii="Arial" w:hAnsi="Arial" w:cs="Arial"/>
          <w:b/>
          <w:bCs/>
          <w:sz w:val="24"/>
          <w:szCs w:val="24"/>
        </w:rPr>
        <w:t xml:space="preserve">Titolo II </w:t>
      </w:r>
      <w:r w:rsidRPr="001C56E9">
        <w:rPr>
          <w:rFonts w:ascii="Arial" w:hAnsi="Arial" w:cs="Arial"/>
          <w:bCs/>
          <w:sz w:val="24"/>
          <w:szCs w:val="24"/>
        </w:rPr>
        <w:t>spese in conto capitale</w:t>
      </w:r>
    </w:p>
    <w:p w:rsidR="00907E51" w:rsidRPr="001C56E9" w:rsidRDefault="00907E51" w:rsidP="00907E51">
      <w:pPr>
        <w:ind w:left="4956"/>
        <w:rPr>
          <w:rFonts w:ascii="Arial" w:hAnsi="Arial" w:cs="Arial"/>
          <w:bCs/>
          <w:sz w:val="24"/>
          <w:szCs w:val="24"/>
        </w:rPr>
      </w:pPr>
      <w:r w:rsidRPr="001C56E9">
        <w:rPr>
          <w:rFonts w:ascii="Arial" w:hAnsi="Arial" w:cs="Arial"/>
          <w:b/>
          <w:bCs/>
          <w:sz w:val="24"/>
          <w:szCs w:val="24"/>
        </w:rPr>
        <w:t xml:space="preserve">Titolo III </w:t>
      </w:r>
      <w:r w:rsidRPr="001C56E9">
        <w:rPr>
          <w:rFonts w:ascii="Arial" w:hAnsi="Arial" w:cs="Arial"/>
          <w:bCs/>
          <w:sz w:val="24"/>
          <w:szCs w:val="24"/>
        </w:rPr>
        <w:t>Spese per incremento attività finanziarie</w:t>
      </w:r>
    </w:p>
    <w:p w:rsidR="00907E51" w:rsidRPr="001C56E9" w:rsidRDefault="00907E51" w:rsidP="00907E51">
      <w:pPr>
        <w:ind w:left="4956"/>
        <w:rPr>
          <w:rFonts w:ascii="Arial" w:hAnsi="Arial" w:cs="Arial"/>
          <w:bCs/>
          <w:sz w:val="24"/>
          <w:szCs w:val="24"/>
        </w:rPr>
      </w:pPr>
      <w:r w:rsidRPr="001C56E9">
        <w:rPr>
          <w:rFonts w:ascii="Arial" w:hAnsi="Arial" w:cs="Arial"/>
          <w:b/>
          <w:bCs/>
          <w:sz w:val="24"/>
          <w:szCs w:val="24"/>
        </w:rPr>
        <w:t xml:space="preserve">Titolo IV </w:t>
      </w:r>
      <w:r w:rsidRPr="001C56E9">
        <w:rPr>
          <w:rFonts w:ascii="Arial" w:hAnsi="Arial" w:cs="Arial"/>
          <w:bCs/>
          <w:sz w:val="24"/>
          <w:szCs w:val="24"/>
        </w:rPr>
        <w:t>rimborso prestiti</w:t>
      </w:r>
    </w:p>
    <w:p w:rsidR="00907E51" w:rsidRPr="001C56E9" w:rsidRDefault="00907E51" w:rsidP="00907E51">
      <w:pPr>
        <w:ind w:left="4956"/>
        <w:rPr>
          <w:rFonts w:ascii="Arial" w:hAnsi="Arial" w:cs="Arial"/>
          <w:b/>
          <w:bCs/>
          <w:sz w:val="24"/>
          <w:szCs w:val="24"/>
        </w:rPr>
      </w:pPr>
      <w:r w:rsidRPr="001C56E9">
        <w:rPr>
          <w:rFonts w:ascii="Arial" w:hAnsi="Arial" w:cs="Arial"/>
          <w:b/>
          <w:bCs/>
          <w:sz w:val="24"/>
          <w:szCs w:val="24"/>
        </w:rPr>
        <w:t>Solo per la missione 60 (anticipazioni finanziarie) e 99 (Servizi per conto terzi) possono esser previsti anche i seguenti titoli:</w:t>
      </w:r>
    </w:p>
    <w:p w:rsidR="00907E51" w:rsidRPr="001C56E9" w:rsidRDefault="00907E51" w:rsidP="00907E51">
      <w:pPr>
        <w:ind w:left="4956"/>
        <w:rPr>
          <w:rFonts w:ascii="Arial" w:hAnsi="Arial" w:cs="Arial"/>
          <w:b/>
          <w:bCs/>
          <w:sz w:val="24"/>
          <w:szCs w:val="24"/>
        </w:rPr>
      </w:pPr>
      <w:r w:rsidRPr="001C56E9">
        <w:rPr>
          <w:rFonts w:ascii="Arial" w:hAnsi="Arial" w:cs="Arial"/>
          <w:b/>
          <w:bCs/>
          <w:sz w:val="24"/>
          <w:szCs w:val="24"/>
        </w:rPr>
        <w:t xml:space="preserve">titolo V </w:t>
      </w:r>
      <w:r w:rsidRPr="001C56E9">
        <w:rPr>
          <w:rFonts w:ascii="Arial" w:hAnsi="Arial" w:cs="Arial"/>
          <w:bCs/>
          <w:sz w:val="24"/>
          <w:szCs w:val="24"/>
        </w:rPr>
        <w:t>chiusura anticipazioni tesoreria</w:t>
      </w:r>
    </w:p>
    <w:p w:rsidR="00907E51" w:rsidRPr="001C56E9" w:rsidRDefault="00907E51" w:rsidP="00907E51">
      <w:pPr>
        <w:ind w:left="4956"/>
        <w:rPr>
          <w:rFonts w:ascii="Arial" w:hAnsi="Arial" w:cs="Arial"/>
          <w:b/>
          <w:bCs/>
          <w:sz w:val="24"/>
          <w:szCs w:val="24"/>
        </w:rPr>
      </w:pPr>
      <w:r w:rsidRPr="001C56E9">
        <w:rPr>
          <w:rFonts w:ascii="Arial" w:hAnsi="Arial" w:cs="Arial"/>
          <w:b/>
          <w:bCs/>
          <w:sz w:val="24"/>
          <w:szCs w:val="24"/>
        </w:rPr>
        <w:lastRenderedPageBreak/>
        <w:t xml:space="preserve">titolo VII </w:t>
      </w:r>
      <w:r w:rsidRPr="001C56E9">
        <w:rPr>
          <w:rFonts w:ascii="Arial" w:hAnsi="Arial" w:cs="Arial"/>
          <w:bCs/>
          <w:sz w:val="24"/>
          <w:szCs w:val="24"/>
        </w:rPr>
        <w:t>spese per conto terzi e partite di giro</w:t>
      </w:r>
      <w:r w:rsidRPr="001C56E9">
        <w:rPr>
          <w:rFonts w:ascii="Arial" w:hAnsi="Arial" w:cs="Arial"/>
          <w:b/>
          <w:bCs/>
          <w:sz w:val="24"/>
          <w:szCs w:val="24"/>
        </w:rPr>
        <w:t xml:space="preserve">  </w:t>
      </w:r>
    </w:p>
    <w:p w:rsidR="00907E51" w:rsidRPr="001C56E9" w:rsidRDefault="00907E51" w:rsidP="00907E51">
      <w:pPr>
        <w:rPr>
          <w:rFonts w:ascii="Arial" w:hAnsi="Arial" w:cs="Arial"/>
          <w:b/>
          <w:bCs/>
          <w:sz w:val="24"/>
          <w:szCs w:val="24"/>
        </w:rPr>
      </w:pPr>
    </w:p>
    <w:p w:rsidR="00907E51" w:rsidRPr="001C56E9" w:rsidRDefault="00907E51" w:rsidP="00907E51">
      <w:pPr>
        <w:rPr>
          <w:rFonts w:ascii="Arial" w:hAnsi="Arial" w:cs="Arial"/>
          <w:b/>
          <w:bCs/>
          <w:sz w:val="24"/>
          <w:szCs w:val="24"/>
        </w:rPr>
      </w:pPr>
    </w:p>
    <w:p w:rsidR="00907E51" w:rsidRPr="001C56E9" w:rsidRDefault="00907E51" w:rsidP="00907E51">
      <w:pPr>
        <w:rPr>
          <w:rFonts w:ascii="Arial" w:hAnsi="Arial" w:cs="Arial"/>
          <w:sz w:val="24"/>
          <w:szCs w:val="24"/>
        </w:rPr>
      </w:pPr>
      <w:r w:rsidRPr="001C56E9">
        <w:rPr>
          <w:rFonts w:ascii="Arial" w:hAnsi="Arial" w:cs="Arial"/>
          <w:sz w:val="24"/>
          <w:szCs w:val="24"/>
        </w:rPr>
        <w:t xml:space="preserve">Le </w:t>
      </w:r>
      <w:r w:rsidRPr="001C56E9">
        <w:rPr>
          <w:rFonts w:ascii="Arial" w:hAnsi="Arial" w:cs="Arial"/>
          <w:b/>
          <w:sz w:val="24"/>
          <w:szCs w:val="24"/>
        </w:rPr>
        <w:t xml:space="preserve">entrate </w:t>
      </w:r>
      <w:r w:rsidRPr="001C56E9">
        <w:rPr>
          <w:rFonts w:ascii="Arial" w:hAnsi="Arial" w:cs="Arial"/>
          <w:sz w:val="24"/>
          <w:szCs w:val="24"/>
        </w:rPr>
        <w:t xml:space="preserve">sono ripartite, in: </w:t>
      </w:r>
    </w:p>
    <w:p w:rsidR="00907E51" w:rsidRPr="001C56E9" w:rsidRDefault="00907E51" w:rsidP="00907E51">
      <w:pPr>
        <w:rPr>
          <w:rFonts w:ascii="Arial" w:hAnsi="Arial" w:cs="Arial"/>
          <w:sz w:val="24"/>
          <w:szCs w:val="24"/>
        </w:rPr>
      </w:pPr>
      <w:r w:rsidRPr="001C56E9">
        <w:rPr>
          <w:rFonts w:ascii="Arial" w:hAnsi="Arial" w:cs="Arial"/>
          <w:sz w:val="24"/>
          <w:szCs w:val="24"/>
        </w:rPr>
        <w:t xml:space="preserve">a) </w:t>
      </w:r>
      <w:r w:rsidRPr="001C56E9">
        <w:rPr>
          <w:rFonts w:ascii="Arial" w:hAnsi="Arial" w:cs="Arial"/>
          <w:b/>
          <w:sz w:val="24"/>
          <w:szCs w:val="24"/>
        </w:rPr>
        <w:t>titoli</w:t>
      </w:r>
      <w:r w:rsidRPr="001C56E9">
        <w:rPr>
          <w:rFonts w:ascii="Arial" w:hAnsi="Arial" w:cs="Arial"/>
          <w:sz w:val="24"/>
          <w:szCs w:val="24"/>
        </w:rPr>
        <w:t>, definiti secondo la fonte di provenienza delle entrate;</w:t>
      </w:r>
    </w:p>
    <w:p w:rsidR="00907E51" w:rsidRPr="001C56E9" w:rsidRDefault="00907E51" w:rsidP="00907E51">
      <w:pPr>
        <w:rPr>
          <w:rFonts w:ascii="Arial" w:hAnsi="Arial" w:cs="Arial"/>
          <w:sz w:val="24"/>
          <w:szCs w:val="24"/>
        </w:rPr>
      </w:pPr>
      <w:r w:rsidRPr="001C56E9">
        <w:rPr>
          <w:rFonts w:ascii="Arial" w:hAnsi="Arial" w:cs="Arial"/>
          <w:sz w:val="24"/>
          <w:szCs w:val="24"/>
        </w:rPr>
        <w:t xml:space="preserve"> b) </w:t>
      </w:r>
      <w:r w:rsidRPr="001C56E9">
        <w:rPr>
          <w:rFonts w:ascii="Arial" w:hAnsi="Arial" w:cs="Arial"/>
          <w:b/>
          <w:sz w:val="24"/>
          <w:szCs w:val="24"/>
        </w:rPr>
        <w:t>tipologie,</w:t>
      </w:r>
      <w:r w:rsidRPr="001C56E9">
        <w:rPr>
          <w:rFonts w:ascii="Arial" w:hAnsi="Arial" w:cs="Arial"/>
          <w:sz w:val="24"/>
          <w:szCs w:val="24"/>
        </w:rPr>
        <w:t xml:space="preserve"> definite in base alla natura delle entrate, nell’ambito di ciascuna fonte di provenienza, ai fini dell’approvazione in termini di unità di voto. </w:t>
      </w:r>
    </w:p>
    <w:p w:rsidR="00907E51" w:rsidRPr="001C56E9" w:rsidRDefault="00907E51" w:rsidP="00907E51">
      <w:pPr>
        <w:rPr>
          <w:rFonts w:ascii="Arial" w:hAnsi="Arial" w:cs="Arial"/>
          <w:b/>
          <w:bCs/>
          <w:sz w:val="24"/>
          <w:szCs w:val="24"/>
        </w:rPr>
      </w:pPr>
      <w:r w:rsidRPr="001C56E9">
        <w:rPr>
          <w:rFonts w:ascii="Arial" w:hAnsi="Arial" w:cs="Arial"/>
          <w:sz w:val="24"/>
          <w:szCs w:val="24"/>
        </w:rPr>
        <w:t xml:space="preserve"> Ai fini della gestione le tipologie sono ripartite in categorie, in capitoli ed eventualmente in articoli. La Giunta contestualmente alla proposta di bilancio trasmette, a fini conoscitivi, la proposta di articolazione delle tipologie in categorie. Le entrate in c/capitale e derivanti da debito sono destinate esclusivamente al finanziamento di spese di investimento e non possono essere impiegate per la spesa corrente</w:t>
      </w:r>
      <w:r w:rsidRPr="001C56E9">
        <w:rPr>
          <w:rFonts w:ascii="Arial" w:hAnsi="Arial" w:cs="Arial"/>
          <w:b/>
          <w:bCs/>
          <w:sz w:val="24"/>
          <w:szCs w:val="24"/>
        </w:rPr>
        <w:t xml:space="preserve">                                     </w:t>
      </w:r>
    </w:p>
    <w:p w:rsidR="00907E51" w:rsidRPr="001C56E9" w:rsidRDefault="00907E51" w:rsidP="00907E51">
      <w:pPr>
        <w:jc w:val="both"/>
        <w:rPr>
          <w:rFonts w:ascii="Arial" w:hAnsi="Arial" w:cs="Arial"/>
          <w:b/>
          <w:sz w:val="24"/>
          <w:szCs w:val="24"/>
        </w:rPr>
      </w:pPr>
      <w:r w:rsidRPr="001C56E9">
        <w:rPr>
          <w:rFonts w:ascii="Arial" w:hAnsi="Arial" w:cs="Arial"/>
          <w:sz w:val="24"/>
          <w:szCs w:val="24"/>
        </w:rPr>
        <w:t>Le previsioni di spesa del bilancio di previsione sono classificate in:</w:t>
      </w:r>
    </w:p>
    <w:p w:rsidR="00907E51" w:rsidRPr="001C56E9" w:rsidRDefault="00907E51" w:rsidP="00907E51">
      <w:pPr>
        <w:jc w:val="both"/>
        <w:rPr>
          <w:rFonts w:ascii="Arial" w:hAnsi="Arial" w:cs="Arial"/>
          <w:sz w:val="24"/>
          <w:szCs w:val="24"/>
        </w:rPr>
      </w:pPr>
      <w:r w:rsidRPr="001C56E9">
        <w:rPr>
          <w:rFonts w:ascii="Arial" w:hAnsi="Arial" w:cs="Arial"/>
          <w:b/>
          <w:sz w:val="24"/>
          <w:szCs w:val="24"/>
        </w:rPr>
        <w:t>a)Missioni</w:t>
      </w:r>
      <w:r w:rsidRPr="001C56E9">
        <w:rPr>
          <w:rFonts w:ascii="Arial" w:hAnsi="Arial" w:cs="Arial"/>
          <w:sz w:val="24"/>
          <w:szCs w:val="24"/>
        </w:rPr>
        <w:t>: rappresentano le funzioni principali e gli obiettivi strategici perseguiti dall’ente, utilizzando risorse finanziarie, umane e strumentali ad esse destinate..</w:t>
      </w:r>
    </w:p>
    <w:p w:rsidR="00907E51" w:rsidRDefault="00907E51" w:rsidP="00907E51">
      <w:pPr>
        <w:jc w:val="both"/>
        <w:rPr>
          <w:rFonts w:ascii="Arial" w:hAnsi="Arial" w:cs="Arial"/>
          <w:sz w:val="24"/>
          <w:szCs w:val="24"/>
        </w:rPr>
      </w:pPr>
      <w:r w:rsidRPr="001C56E9">
        <w:rPr>
          <w:rFonts w:ascii="Arial" w:hAnsi="Arial" w:cs="Arial"/>
          <w:b/>
          <w:sz w:val="24"/>
          <w:szCs w:val="24"/>
        </w:rPr>
        <w:t>b)Programmi:</w:t>
      </w:r>
      <w:r w:rsidRPr="001C56E9">
        <w:rPr>
          <w:rFonts w:ascii="Arial" w:hAnsi="Arial" w:cs="Arial"/>
          <w:sz w:val="24"/>
          <w:szCs w:val="24"/>
        </w:rPr>
        <w:t xml:space="preserve"> rappresentano gli aggregati omogenei di attività volte a perseguire gli obiettivi definiti dalle missioni.  I programmi si articolano in titoli e, ai fini della gestione, sono ripartiti in macroaggregati, capitoli ed eventualmente in articoli. I capitoli e gli articoli, ove previsti, si raccordano con il quarto livello di articolazione del piano dei conti integrato La Giunta contestualmente alla proposta di bilancio trasmette, a fini conoscitivi, la proposta di articolazione dei programmi in macroaggregati.</w:t>
      </w:r>
    </w:p>
    <w:p w:rsidR="00FA2582" w:rsidRDefault="00FA2582" w:rsidP="00907E51">
      <w:pPr>
        <w:jc w:val="both"/>
        <w:rPr>
          <w:rFonts w:ascii="Arial" w:hAnsi="Arial" w:cs="Arial"/>
          <w:sz w:val="24"/>
          <w:szCs w:val="24"/>
        </w:rPr>
      </w:pPr>
      <w:r>
        <w:rPr>
          <w:rFonts w:ascii="Arial" w:hAnsi="Arial" w:cs="Arial"/>
          <w:sz w:val="24"/>
          <w:szCs w:val="24"/>
        </w:rPr>
        <w:t>Entrate tributarie, contributive e perequative</w:t>
      </w:r>
      <w:r w:rsidRPr="00FA2582">
        <w:rPr>
          <w:rFonts w:ascii="Arial" w:hAnsi="Arial" w:cs="Arial"/>
          <w:sz w:val="24"/>
          <w:szCs w:val="24"/>
        </w:rPr>
        <w:sym w:font="Wingdings" w:char="F0E0"/>
      </w:r>
      <w:r>
        <w:rPr>
          <w:rFonts w:ascii="Arial" w:hAnsi="Arial" w:cs="Arial"/>
          <w:sz w:val="24"/>
          <w:szCs w:val="24"/>
        </w:rPr>
        <w:t xml:space="preserve"> derivanti da tributi, imposte tasse, assimilati e fondi perequativi</w:t>
      </w:r>
    </w:p>
    <w:p w:rsidR="00FA2582" w:rsidRDefault="00FA2582" w:rsidP="00907E51">
      <w:pPr>
        <w:jc w:val="both"/>
        <w:rPr>
          <w:rFonts w:ascii="Arial" w:hAnsi="Arial" w:cs="Arial"/>
          <w:sz w:val="24"/>
          <w:szCs w:val="24"/>
        </w:rPr>
      </w:pPr>
      <w:r>
        <w:rPr>
          <w:rFonts w:ascii="Arial" w:hAnsi="Arial" w:cs="Arial"/>
          <w:sz w:val="24"/>
          <w:szCs w:val="24"/>
        </w:rPr>
        <w:t>Entrate correnti</w:t>
      </w:r>
      <w:r w:rsidRPr="00FA2582">
        <w:rPr>
          <w:rFonts w:ascii="Arial" w:hAnsi="Arial" w:cs="Arial"/>
          <w:sz w:val="24"/>
          <w:szCs w:val="24"/>
        </w:rPr>
        <w:sym w:font="Wingdings" w:char="F0E0"/>
      </w:r>
      <w:r>
        <w:rPr>
          <w:rFonts w:ascii="Arial" w:hAnsi="Arial" w:cs="Arial"/>
          <w:sz w:val="24"/>
          <w:szCs w:val="24"/>
        </w:rPr>
        <w:t xml:space="preserve"> entrate derivanti da trasferimenti da Amministrazioni pubbliche, enti di Previdenza, imprese, amministrazioni centrali ecc</w:t>
      </w:r>
    </w:p>
    <w:p w:rsidR="00FA2582" w:rsidRDefault="00FA2582" w:rsidP="00907E51">
      <w:pPr>
        <w:jc w:val="both"/>
        <w:rPr>
          <w:rFonts w:ascii="Arial" w:hAnsi="Arial" w:cs="Arial"/>
          <w:sz w:val="24"/>
          <w:szCs w:val="24"/>
        </w:rPr>
      </w:pPr>
      <w:r>
        <w:rPr>
          <w:rFonts w:ascii="Arial" w:hAnsi="Arial" w:cs="Arial"/>
          <w:sz w:val="24"/>
          <w:szCs w:val="24"/>
        </w:rPr>
        <w:t>Entrate extratributarie</w:t>
      </w:r>
      <w:r w:rsidRPr="00FA2582">
        <w:rPr>
          <w:rFonts w:ascii="Arial" w:hAnsi="Arial" w:cs="Arial"/>
          <w:sz w:val="24"/>
          <w:szCs w:val="24"/>
        </w:rPr>
        <w:sym w:font="Wingdings" w:char="F0E0"/>
      </w:r>
      <w:r>
        <w:rPr>
          <w:rFonts w:ascii="Arial" w:hAnsi="Arial" w:cs="Arial"/>
          <w:sz w:val="24"/>
          <w:szCs w:val="24"/>
        </w:rPr>
        <w:t xml:space="preserve"> vendita di beni e servizi e proventi derivanti dalla gestione di beni, interessi attivi da titoli a breve termine, rimborsi </w:t>
      </w:r>
    </w:p>
    <w:p w:rsidR="00FA2582" w:rsidRDefault="00FA2582" w:rsidP="00907E51">
      <w:pPr>
        <w:jc w:val="both"/>
        <w:rPr>
          <w:rFonts w:ascii="Arial" w:hAnsi="Arial" w:cs="Arial"/>
          <w:sz w:val="24"/>
          <w:szCs w:val="24"/>
        </w:rPr>
      </w:pPr>
      <w:r>
        <w:rPr>
          <w:rFonts w:ascii="Arial" w:hAnsi="Arial" w:cs="Arial"/>
          <w:sz w:val="24"/>
          <w:szCs w:val="24"/>
        </w:rPr>
        <w:t>Entrate in C/capitale</w:t>
      </w:r>
      <w:r w:rsidRPr="00FA2582">
        <w:rPr>
          <w:rFonts w:ascii="Arial" w:hAnsi="Arial" w:cs="Arial"/>
          <w:sz w:val="24"/>
          <w:szCs w:val="24"/>
        </w:rPr>
        <w:sym w:font="Wingdings" w:char="F0E0"/>
      </w:r>
      <w:r>
        <w:rPr>
          <w:rFonts w:ascii="Arial" w:hAnsi="Arial" w:cs="Arial"/>
          <w:sz w:val="24"/>
          <w:szCs w:val="24"/>
        </w:rPr>
        <w:t xml:space="preserve"> contributi agli investimenti da Amministrazioni pubbliche, locali, centrali, Enti di previdenza, imprese ecc, dall’UE, dal Resto del Mondo, entrate da alienazione di beni materiali e immateriali</w:t>
      </w:r>
    </w:p>
    <w:p w:rsidR="00FA2582" w:rsidRDefault="00FA2582" w:rsidP="00907E51">
      <w:pPr>
        <w:jc w:val="both"/>
        <w:rPr>
          <w:rFonts w:ascii="Arial" w:hAnsi="Arial" w:cs="Arial"/>
          <w:sz w:val="24"/>
          <w:szCs w:val="24"/>
        </w:rPr>
      </w:pPr>
      <w:r>
        <w:rPr>
          <w:rFonts w:ascii="Arial" w:hAnsi="Arial" w:cs="Arial"/>
          <w:sz w:val="24"/>
          <w:szCs w:val="24"/>
        </w:rPr>
        <w:t>Entrate da riduzioni di attività finanziarie</w:t>
      </w:r>
      <w:r w:rsidRPr="00FA2582">
        <w:rPr>
          <w:rFonts w:ascii="Arial" w:hAnsi="Arial" w:cs="Arial"/>
          <w:sz w:val="24"/>
          <w:szCs w:val="24"/>
        </w:rPr>
        <w:sym w:font="Wingdings" w:char="F0E0"/>
      </w:r>
      <w:r>
        <w:rPr>
          <w:rFonts w:ascii="Arial" w:hAnsi="Arial" w:cs="Arial"/>
          <w:sz w:val="24"/>
          <w:szCs w:val="24"/>
        </w:rPr>
        <w:t xml:space="preserve"> alienazione di attività finanziarie, titoli obbligazionari, riscossione di crediti, prelievi da depositi bancari</w:t>
      </w:r>
    </w:p>
    <w:p w:rsidR="00FA2582" w:rsidRDefault="00FA2582" w:rsidP="00907E51">
      <w:pPr>
        <w:jc w:val="both"/>
        <w:rPr>
          <w:rFonts w:ascii="Arial" w:hAnsi="Arial" w:cs="Arial"/>
          <w:sz w:val="24"/>
          <w:szCs w:val="24"/>
        </w:rPr>
      </w:pPr>
      <w:r>
        <w:rPr>
          <w:rFonts w:ascii="Arial" w:hAnsi="Arial" w:cs="Arial"/>
          <w:sz w:val="24"/>
          <w:szCs w:val="24"/>
        </w:rPr>
        <w:t>Accensione di prestiti</w:t>
      </w:r>
      <w:r w:rsidRPr="00FA2582">
        <w:rPr>
          <w:rFonts w:ascii="Arial" w:hAnsi="Arial" w:cs="Arial"/>
          <w:sz w:val="24"/>
          <w:szCs w:val="24"/>
        </w:rPr>
        <w:sym w:font="Wingdings" w:char="F0E0"/>
      </w:r>
      <w:r>
        <w:rPr>
          <w:rFonts w:ascii="Arial" w:hAnsi="Arial" w:cs="Arial"/>
          <w:sz w:val="24"/>
          <w:szCs w:val="24"/>
        </w:rPr>
        <w:t xml:space="preserve"> accensione prestiti, mutui , leasing finanziario  </w:t>
      </w:r>
    </w:p>
    <w:p w:rsidR="00FA2582" w:rsidRDefault="00FA2582" w:rsidP="00907E51">
      <w:pPr>
        <w:jc w:val="both"/>
        <w:rPr>
          <w:rFonts w:ascii="Arial" w:hAnsi="Arial" w:cs="Arial"/>
          <w:sz w:val="24"/>
          <w:szCs w:val="24"/>
        </w:rPr>
      </w:pPr>
      <w:r>
        <w:rPr>
          <w:rFonts w:ascii="Arial" w:hAnsi="Arial" w:cs="Arial"/>
          <w:sz w:val="24"/>
          <w:szCs w:val="24"/>
        </w:rPr>
        <w:t>Anticipazione da istituto di tesoreria</w:t>
      </w:r>
      <w:r w:rsidRPr="00FA2582">
        <w:rPr>
          <w:rFonts w:ascii="Arial" w:hAnsi="Arial" w:cs="Arial"/>
          <w:sz w:val="24"/>
          <w:szCs w:val="24"/>
        </w:rPr>
        <w:sym w:font="Wingdings" w:char="F0E0"/>
      </w:r>
      <w:r>
        <w:rPr>
          <w:rFonts w:ascii="Arial" w:hAnsi="Arial" w:cs="Arial"/>
          <w:sz w:val="24"/>
          <w:szCs w:val="24"/>
        </w:rPr>
        <w:t xml:space="preserve"> il tesoriere presta soldi!!</w:t>
      </w:r>
    </w:p>
    <w:p w:rsidR="00FA2582" w:rsidRDefault="00FA2582" w:rsidP="00907E51">
      <w:pPr>
        <w:jc w:val="both"/>
        <w:rPr>
          <w:rFonts w:ascii="Arial" w:hAnsi="Arial" w:cs="Arial"/>
          <w:sz w:val="24"/>
          <w:szCs w:val="24"/>
        </w:rPr>
      </w:pPr>
      <w:r>
        <w:rPr>
          <w:rFonts w:ascii="Arial" w:hAnsi="Arial" w:cs="Arial"/>
          <w:sz w:val="24"/>
          <w:szCs w:val="24"/>
        </w:rPr>
        <w:lastRenderedPageBreak/>
        <w:t>Entrate per conto terzi e partite di giro</w:t>
      </w:r>
      <w:r w:rsidRPr="00FA2582">
        <w:rPr>
          <w:rFonts w:ascii="Arial" w:hAnsi="Arial" w:cs="Arial"/>
          <w:sz w:val="24"/>
          <w:szCs w:val="24"/>
        </w:rPr>
        <w:sym w:font="Wingdings" w:char="F0E0"/>
      </w:r>
      <w:r>
        <w:rPr>
          <w:rFonts w:ascii="Arial" w:hAnsi="Arial" w:cs="Arial"/>
          <w:sz w:val="24"/>
          <w:szCs w:val="24"/>
        </w:rPr>
        <w:t>ritenute su reddito lavoro dipendente, ritenuto lavoro autonomo, ecc. rimborso per acquisto beni e servizi per conto terzi</w:t>
      </w:r>
      <w:r w:rsidR="00E475A1">
        <w:rPr>
          <w:rFonts w:ascii="Arial" w:hAnsi="Arial" w:cs="Arial"/>
          <w:sz w:val="24"/>
          <w:szCs w:val="24"/>
        </w:rPr>
        <w:t>, riscossione imposte e tributi per conto terzi</w:t>
      </w:r>
    </w:p>
    <w:p w:rsidR="00E475A1" w:rsidRDefault="00E475A1" w:rsidP="00907E51">
      <w:pPr>
        <w:jc w:val="both"/>
        <w:rPr>
          <w:rFonts w:ascii="Arial" w:hAnsi="Arial" w:cs="Arial"/>
          <w:sz w:val="24"/>
          <w:szCs w:val="24"/>
        </w:rPr>
      </w:pPr>
      <w:r>
        <w:rPr>
          <w:rFonts w:ascii="Arial" w:hAnsi="Arial" w:cs="Arial"/>
          <w:sz w:val="24"/>
          <w:szCs w:val="24"/>
        </w:rPr>
        <w:t>Spese correnti</w:t>
      </w:r>
      <w:r w:rsidRPr="00E475A1">
        <w:rPr>
          <w:rFonts w:ascii="Arial" w:hAnsi="Arial" w:cs="Arial"/>
          <w:sz w:val="24"/>
          <w:szCs w:val="24"/>
        </w:rPr>
        <w:sym w:font="Wingdings" w:char="F0E0"/>
      </w:r>
      <w:r>
        <w:rPr>
          <w:rFonts w:ascii="Arial" w:hAnsi="Arial" w:cs="Arial"/>
          <w:sz w:val="24"/>
          <w:szCs w:val="24"/>
        </w:rPr>
        <w:t xml:space="preserve"> redditi da lavoro dipendente, autonomo, imposte, tasse e proventi a carico del Comune, acquisto beni e servi, trasferimenti correnti ad altre Amministrazioni, enti Previdenza, imprese, famiglie ecc, interessi su finanizamenti a breve termine ecc</w:t>
      </w:r>
    </w:p>
    <w:p w:rsidR="00E475A1" w:rsidRDefault="00E475A1" w:rsidP="00907E51">
      <w:pPr>
        <w:jc w:val="both"/>
        <w:rPr>
          <w:rFonts w:ascii="Arial" w:hAnsi="Arial" w:cs="Arial"/>
          <w:sz w:val="24"/>
          <w:szCs w:val="24"/>
        </w:rPr>
      </w:pPr>
      <w:r>
        <w:rPr>
          <w:rFonts w:ascii="Arial" w:hAnsi="Arial" w:cs="Arial"/>
          <w:sz w:val="24"/>
          <w:szCs w:val="24"/>
        </w:rPr>
        <w:t>Spese in conto capitale</w:t>
      </w:r>
      <w:r w:rsidRPr="00E475A1">
        <w:rPr>
          <w:rFonts w:ascii="Arial" w:hAnsi="Arial" w:cs="Arial"/>
          <w:sz w:val="24"/>
          <w:szCs w:val="24"/>
        </w:rPr>
        <w:sym w:font="Wingdings" w:char="F0E0"/>
      </w:r>
      <w:r>
        <w:rPr>
          <w:rFonts w:ascii="Arial" w:hAnsi="Arial" w:cs="Arial"/>
          <w:sz w:val="24"/>
          <w:szCs w:val="24"/>
        </w:rPr>
        <w:t xml:space="preserve"> investimenti , beni materiali con effetto durevole, immobili, contributo per gli investimenti a PA, impese, famiglie ecc</w:t>
      </w:r>
    </w:p>
    <w:p w:rsidR="00FA2582" w:rsidRDefault="00E475A1" w:rsidP="00E475A1">
      <w:pPr>
        <w:jc w:val="both"/>
        <w:rPr>
          <w:rFonts w:ascii="Arial" w:hAnsi="Arial" w:cs="Arial"/>
          <w:sz w:val="24"/>
          <w:szCs w:val="24"/>
        </w:rPr>
      </w:pPr>
      <w:r>
        <w:rPr>
          <w:rFonts w:ascii="Arial" w:hAnsi="Arial" w:cs="Arial"/>
          <w:sz w:val="24"/>
          <w:szCs w:val="24"/>
        </w:rPr>
        <w:t xml:space="preserve">Spese per incremento attività finanziarie acquisti di </w:t>
      </w:r>
      <w:r w:rsidRPr="00E475A1">
        <w:rPr>
          <w:rFonts w:ascii="Arial" w:hAnsi="Arial" w:cs="Arial"/>
          <w:sz w:val="24"/>
          <w:szCs w:val="24"/>
        </w:rPr>
        <w:sym w:font="Wingdings" w:char="F0E0"/>
      </w:r>
      <w:r>
        <w:rPr>
          <w:rFonts w:ascii="Arial" w:hAnsi="Arial" w:cs="Arial"/>
          <w:sz w:val="24"/>
          <w:szCs w:val="24"/>
        </w:rPr>
        <w:t>acquisti di attività finanziarie, concessione crediti</w:t>
      </w:r>
    </w:p>
    <w:p w:rsidR="00E475A1" w:rsidRDefault="00E475A1" w:rsidP="00E475A1">
      <w:pPr>
        <w:jc w:val="both"/>
        <w:rPr>
          <w:rFonts w:ascii="Arial" w:hAnsi="Arial" w:cs="Arial"/>
          <w:sz w:val="24"/>
          <w:szCs w:val="24"/>
        </w:rPr>
      </w:pPr>
      <w:r>
        <w:rPr>
          <w:rFonts w:ascii="Arial" w:hAnsi="Arial" w:cs="Arial"/>
          <w:sz w:val="24"/>
          <w:szCs w:val="24"/>
        </w:rPr>
        <w:t>Rimborso prestiti</w:t>
      </w:r>
      <w:r w:rsidRPr="00E475A1">
        <w:rPr>
          <w:rFonts w:ascii="Arial" w:hAnsi="Arial" w:cs="Arial"/>
          <w:sz w:val="24"/>
          <w:szCs w:val="24"/>
        </w:rPr>
        <w:sym w:font="Wingdings" w:char="F0E0"/>
      </w:r>
      <w:r>
        <w:rPr>
          <w:rFonts w:ascii="Arial" w:hAnsi="Arial" w:cs="Arial"/>
          <w:sz w:val="24"/>
          <w:szCs w:val="24"/>
        </w:rPr>
        <w:t>rimborso prestiti, finanziamenti, mutui</w:t>
      </w:r>
    </w:p>
    <w:p w:rsidR="00E475A1" w:rsidRDefault="00E475A1" w:rsidP="00E475A1">
      <w:pPr>
        <w:jc w:val="both"/>
        <w:rPr>
          <w:rFonts w:ascii="Arial" w:hAnsi="Arial" w:cs="Arial"/>
          <w:sz w:val="24"/>
          <w:szCs w:val="24"/>
        </w:rPr>
      </w:pPr>
      <w:r>
        <w:rPr>
          <w:rFonts w:ascii="Arial" w:hAnsi="Arial" w:cs="Arial"/>
          <w:sz w:val="24"/>
          <w:szCs w:val="24"/>
        </w:rPr>
        <w:t>Chiusura anticipazione di teroreria</w:t>
      </w:r>
      <w:r w:rsidRPr="00E475A1">
        <w:rPr>
          <w:rFonts w:ascii="Arial" w:hAnsi="Arial" w:cs="Arial"/>
          <w:sz w:val="24"/>
          <w:szCs w:val="24"/>
        </w:rPr>
        <w:sym w:font="Wingdings" w:char="F0E0"/>
      </w:r>
      <w:r>
        <w:rPr>
          <w:rFonts w:ascii="Arial" w:hAnsi="Arial" w:cs="Arial"/>
          <w:sz w:val="24"/>
          <w:szCs w:val="24"/>
        </w:rPr>
        <w:t xml:space="preserve"> dobbiamo rendere quello che il tesoriere ha prestato!</w:t>
      </w:r>
    </w:p>
    <w:p w:rsidR="00FA2582" w:rsidRDefault="00E475A1" w:rsidP="00907E51">
      <w:pPr>
        <w:jc w:val="both"/>
        <w:rPr>
          <w:rFonts w:ascii="Arial" w:hAnsi="Arial" w:cs="Arial"/>
          <w:sz w:val="24"/>
          <w:szCs w:val="24"/>
        </w:rPr>
      </w:pPr>
      <w:r>
        <w:rPr>
          <w:rFonts w:ascii="Arial" w:hAnsi="Arial" w:cs="Arial"/>
          <w:sz w:val="24"/>
          <w:szCs w:val="24"/>
        </w:rPr>
        <w:t>Uscite per conto terzi e partite di giro</w:t>
      </w:r>
      <w:r w:rsidRPr="00E475A1">
        <w:rPr>
          <w:rFonts w:ascii="Arial" w:hAnsi="Arial" w:cs="Arial"/>
          <w:sz w:val="24"/>
          <w:szCs w:val="24"/>
        </w:rPr>
        <w:sym w:font="Wingdings" w:char="F0E0"/>
      </w:r>
      <w:r>
        <w:rPr>
          <w:rFonts w:ascii="Arial" w:hAnsi="Arial" w:cs="Arial"/>
          <w:sz w:val="24"/>
          <w:szCs w:val="24"/>
        </w:rPr>
        <w:t>versamenti per partite di giro, versamenti di ritenute da lavoro dipendente e autonomo, acquisto beni e servizi per conto terzi,ecc</w:t>
      </w:r>
    </w:p>
    <w:p w:rsidR="00FA2582" w:rsidRDefault="00FA2582" w:rsidP="00907E51">
      <w:pPr>
        <w:jc w:val="both"/>
        <w:rPr>
          <w:rFonts w:ascii="Arial" w:hAnsi="Arial" w:cs="Arial"/>
          <w:sz w:val="24"/>
          <w:szCs w:val="24"/>
        </w:rPr>
      </w:pPr>
    </w:p>
    <w:p w:rsidR="00FA2582" w:rsidRDefault="00FA2582" w:rsidP="00907E51">
      <w:pPr>
        <w:jc w:val="both"/>
        <w:rPr>
          <w:rFonts w:ascii="Arial" w:hAnsi="Arial" w:cs="Arial"/>
          <w:sz w:val="24"/>
          <w:szCs w:val="24"/>
        </w:rPr>
      </w:pPr>
    </w:p>
    <w:p w:rsidR="00FA2582" w:rsidRDefault="00FA2582" w:rsidP="00907E51">
      <w:pPr>
        <w:jc w:val="both"/>
        <w:rPr>
          <w:rFonts w:ascii="Arial" w:hAnsi="Arial" w:cs="Arial"/>
          <w:sz w:val="24"/>
          <w:szCs w:val="24"/>
        </w:rPr>
      </w:pPr>
    </w:p>
    <w:p w:rsidR="00907E51" w:rsidRPr="001C56E9" w:rsidRDefault="00907E51" w:rsidP="00907E51">
      <w:pPr>
        <w:jc w:val="both"/>
        <w:rPr>
          <w:rFonts w:ascii="Arial" w:hAnsi="Arial" w:cs="Arial"/>
          <w:sz w:val="24"/>
          <w:szCs w:val="24"/>
        </w:rPr>
      </w:pPr>
      <w:r w:rsidRPr="001C56E9">
        <w:rPr>
          <w:rFonts w:ascii="Arial" w:hAnsi="Arial" w:cs="Arial"/>
          <w:sz w:val="24"/>
          <w:szCs w:val="24"/>
        </w:rPr>
        <w:t>La redazione del bilancio di previsione deve sottostare ad alcuni principi fondamentali:</w:t>
      </w:r>
    </w:p>
    <w:p w:rsidR="00907E51" w:rsidRPr="001C56E9" w:rsidRDefault="00907E51" w:rsidP="00907E51">
      <w:pPr>
        <w:tabs>
          <w:tab w:val="left" w:pos="360"/>
        </w:tabs>
        <w:suppressAutoHyphens/>
        <w:autoSpaceDE w:val="0"/>
        <w:spacing w:after="0" w:line="240" w:lineRule="auto"/>
        <w:jc w:val="both"/>
        <w:rPr>
          <w:rFonts w:ascii="Arial" w:hAnsi="Arial" w:cs="Arial"/>
          <w:sz w:val="24"/>
          <w:szCs w:val="24"/>
        </w:rPr>
      </w:pPr>
      <w:r w:rsidRPr="001C56E9">
        <w:rPr>
          <w:rFonts w:ascii="Arial" w:hAnsi="Arial" w:cs="Arial"/>
          <w:b/>
          <w:bCs/>
          <w:sz w:val="24"/>
          <w:szCs w:val="24"/>
        </w:rPr>
        <w:t>Unità</w:t>
      </w:r>
      <w:r w:rsidRPr="001C56E9">
        <w:rPr>
          <w:rFonts w:ascii="Arial" w:hAnsi="Arial" w:cs="Arial"/>
          <w:sz w:val="24"/>
          <w:szCs w:val="24"/>
        </w:rPr>
        <w:t>: il totale delle entrate finanzia il totale delle spese, salvo le eccezioni previste dalla legge</w:t>
      </w:r>
    </w:p>
    <w:p w:rsidR="00907E51" w:rsidRPr="001C56E9" w:rsidRDefault="00907E51" w:rsidP="00907E51">
      <w:pPr>
        <w:tabs>
          <w:tab w:val="left" w:pos="360"/>
        </w:tabs>
        <w:suppressAutoHyphens/>
        <w:autoSpaceDE w:val="0"/>
        <w:spacing w:after="0" w:line="240" w:lineRule="auto"/>
        <w:jc w:val="both"/>
        <w:rPr>
          <w:rFonts w:ascii="Arial" w:hAnsi="Arial" w:cs="Arial"/>
          <w:sz w:val="24"/>
          <w:szCs w:val="24"/>
        </w:rPr>
      </w:pPr>
      <w:r w:rsidRPr="001C56E9">
        <w:rPr>
          <w:rFonts w:ascii="Arial" w:hAnsi="Arial" w:cs="Arial"/>
          <w:b/>
          <w:bCs/>
          <w:sz w:val="24"/>
          <w:szCs w:val="24"/>
        </w:rPr>
        <w:t>Annualità</w:t>
      </w:r>
      <w:r w:rsidRPr="001C56E9">
        <w:rPr>
          <w:rFonts w:ascii="Arial" w:hAnsi="Arial" w:cs="Arial"/>
          <w:sz w:val="24"/>
          <w:szCs w:val="24"/>
        </w:rPr>
        <w:t>: la durata è l’anno solare, decorso il quale non possono effettuarsi né accertamenti né impegni di spesa.</w:t>
      </w:r>
    </w:p>
    <w:p w:rsidR="00907E51" w:rsidRPr="001C56E9" w:rsidRDefault="00907E51" w:rsidP="00907E51">
      <w:pPr>
        <w:tabs>
          <w:tab w:val="left" w:pos="360"/>
        </w:tabs>
        <w:suppressAutoHyphens/>
        <w:autoSpaceDE w:val="0"/>
        <w:spacing w:after="0" w:line="240" w:lineRule="auto"/>
        <w:jc w:val="both"/>
        <w:rPr>
          <w:rFonts w:ascii="Arial" w:hAnsi="Arial" w:cs="Arial"/>
          <w:sz w:val="24"/>
          <w:szCs w:val="24"/>
        </w:rPr>
      </w:pPr>
      <w:r w:rsidRPr="001C56E9">
        <w:rPr>
          <w:rFonts w:ascii="Arial" w:hAnsi="Arial" w:cs="Arial"/>
          <w:b/>
          <w:bCs/>
          <w:sz w:val="24"/>
          <w:szCs w:val="24"/>
        </w:rPr>
        <w:t>Universalità ed integrità</w:t>
      </w:r>
      <w:r w:rsidRPr="001C56E9">
        <w:rPr>
          <w:rFonts w:ascii="Arial" w:hAnsi="Arial" w:cs="Arial"/>
          <w:sz w:val="24"/>
          <w:szCs w:val="24"/>
        </w:rPr>
        <w:t>: l’universalità significa che l’ente ha un’unica gestione finanziaria, non essendo ammesse né contabilità separate e gestioni finanziarie fuori bilancio. L’integrità  implica che tutte le entrate e le spese siano iscritte in bilancio in modo integrale</w:t>
      </w:r>
    </w:p>
    <w:p w:rsidR="00907E51" w:rsidRPr="001C56E9" w:rsidRDefault="00907E51" w:rsidP="00907E51">
      <w:pPr>
        <w:tabs>
          <w:tab w:val="left" w:pos="360"/>
        </w:tabs>
        <w:suppressAutoHyphens/>
        <w:autoSpaceDE w:val="0"/>
        <w:spacing w:after="0" w:line="240" w:lineRule="auto"/>
        <w:jc w:val="both"/>
        <w:rPr>
          <w:rFonts w:ascii="Arial" w:hAnsi="Arial" w:cs="Arial"/>
          <w:sz w:val="24"/>
          <w:szCs w:val="24"/>
        </w:rPr>
      </w:pPr>
      <w:r w:rsidRPr="001C56E9">
        <w:rPr>
          <w:rFonts w:ascii="Arial" w:hAnsi="Arial" w:cs="Arial"/>
          <w:b/>
          <w:bCs/>
          <w:sz w:val="24"/>
          <w:szCs w:val="24"/>
        </w:rPr>
        <w:t>Veridicità</w:t>
      </w:r>
      <w:r w:rsidRPr="001C56E9">
        <w:rPr>
          <w:rFonts w:ascii="Arial" w:hAnsi="Arial" w:cs="Arial"/>
          <w:sz w:val="24"/>
          <w:szCs w:val="24"/>
        </w:rPr>
        <w:t>: le scritture di bilancio devono corrispondere a verità, ma questo principio sostanzialmente significa attendibilità delle previsioni del bilancio revisionale alle situazioni finanziarie dell’anno successivo.</w:t>
      </w:r>
    </w:p>
    <w:p w:rsidR="00907E51" w:rsidRPr="001C56E9" w:rsidRDefault="00907E51" w:rsidP="00907E51">
      <w:pPr>
        <w:tabs>
          <w:tab w:val="left" w:pos="360"/>
        </w:tabs>
        <w:suppressAutoHyphens/>
        <w:autoSpaceDE w:val="0"/>
        <w:spacing w:after="0" w:line="240" w:lineRule="auto"/>
        <w:jc w:val="both"/>
        <w:rPr>
          <w:rFonts w:ascii="Arial" w:hAnsi="Arial" w:cs="Arial"/>
          <w:sz w:val="24"/>
          <w:szCs w:val="24"/>
        </w:rPr>
      </w:pPr>
      <w:r w:rsidRPr="001C56E9">
        <w:rPr>
          <w:rFonts w:ascii="Arial" w:hAnsi="Arial" w:cs="Arial"/>
          <w:b/>
          <w:bCs/>
          <w:sz w:val="24"/>
          <w:szCs w:val="24"/>
        </w:rPr>
        <w:t>Pareggio finanziario</w:t>
      </w:r>
      <w:r w:rsidRPr="001C56E9">
        <w:rPr>
          <w:rFonts w:ascii="Arial" w:hAnsi="Arial" w:cs="Arial"/>
          <w:sz w:val="24"/>
          <w:szCs w:val="24"/>
        </w:rPr>
        <w:t>: il totale delle previsioni di entrate deve esser uguale al totale delle previsioni di spesa nella fase revisionale</w:t>
      </w:r>
    </w:p>
    <w:p w:rsidR="00907E51" w:rsidRPr="001C56E9" w:rsidRDefault="00907E51" w:rsidP="00907E51">
      <w:pPr>
        <w:tabs>
          <w:tab w:val="left" w:pos="360"/>
        </w:tabs>
        <w:suppressAutoHyphens/>
        <w:autoSpaceDE w:val="0"/>
        <w:spacing w:after="0" w:line="240" w:lineRule="auto"/>
        <w:jc w:val="both"/>
        <w:rPr>
          <w:rFonts w:ascii="Arial" w:hAnsi="Arial" w:cs="Arial"/>
          <w:sz w:val="24"/>
          <w:szCs w:val="24"/>
        </w:rPr>
      </w:pPr>
      <w:r w:rsidRPr="001C56E9">
        <w:rPr>
          <w:rFonts w:ascii="Arial" w:hAnsi="Arial" w:cs="Arial"/>
          <w:b/>
          <w:bCs/>
          <w:sz w:val="24"/>
          <w:szCs w:val="24"/>
        </w:rPr>
        <w:t>Pubblicità</w:t>
      </w:r>
      <w:r w:rsidRPr="001C56E9">
        <w:rPr>
          <w:rFonts w:ascii="Arial" w:hAnsi="Arial" w:cs="Arial"/>
          <w:sz w:val="24"/>
          <w:szCs w:val="24"/>
        </w:rPr>
        <w:t>: il bilancio è un documento pubblico, infatti il comune deve assicurare ai cittadini la conoscenza del suo contenuto attraverso le modalità previste dallo statuto.</w:t>
      </w:r>
    </w:p>
    <w:p w:rsidR="00907E51" w:rsidRPr="001C56E9" w:rsidRDefault="00907E51" w:rsidP="00907E51">
      <w:pPr>
        <w:tabs>
          <w:tab w:val="left" w:pos="360"/>
        </w:tabs>
        <w:suppressAutoHyphens/>
        <w:autoSpaceDE w:val="0"/>
        <w:spacing w:after="0" w:line="240" w:lineRule="auto"/>
        <w:jc w:val="both"/>
        <w:rPr>
          <w:rFonts w:ascii="Arial" w:hAnsi="Arial" w:cs="Arial"/>
          <w:sz w:val="24"/>
          <w:szCs w:val="24"/>
        </w:rPr>
      </w:pPr>
    </w:p>
    <w:p w:rsidR="00907E51" w:rsidRPr="001C56E9" w:rsidRDefault="00907E51" w:rsidP="00907E51">
      <w:pPr>
        <w:tabs>
          <w:tab w:val="left" w:pos="360"/>
        </w:tabs>
        <w:suppressAutoHyphens/>
        <w:autoSpaceDE w:val="0"/>
        <w:spacing w:after="0" w:line="240" w:lineRule="auto"/>
        <w:jc w:val="both"/>
        <w:rPr>
          <w:rFonts w:ascii="Arial" w:hAnsi="Arial" w:cs="Arial"/>
          <w:sz w:val="24"/>
          <w:szCs w:val="24"/>
        </w:rPr>
      </w:pPr>
    </w:p>
    <w:p w:rsidR="00907E51" w:rsidRPr="001C56E9" w:rsidRDefault="00907E51" w:rsidP="00907E51">
      <w:pPr>
        <w:tabs>
          <w:tab w:val="left" w:pos="360"/>
        </w:tabs>
        <w:suppressAutoHyphens/>
        <w:autoSpaceDE w:val="0"/>
        <w:spacing w:after="0" w:line="240" w:lineRule="auto"/>
        <w:jc w:val="both"/>
        <w:rPr>
          <w:rFonts w:ascii="Arial" w:hAnsi="Arial" w:cs="Arial"/>
          <w:sz w:val="24"/>
          <w:szCs w:val="24"/>
        </w:rPr>
      </w:pPr>
      <w:r w:rsidRPr="001C56E9">
        <w:rPr>
          <w:rFonts w:ascii="Arial" w:hAnsi="Arial" w:cs="Arial"/>
          <w:sz w:val="24"/>
          <w:szCs w:val="24"/>
        </w:rPr>
        <w:t xml:space="preserve">Il bilancio di previsione finanziario indica, per </w:t>
      </w:r>
      <w:r w:rsidRPr="001C56E9">
        <w:rPr>
          <w:rFonts w:ascii="Arial" w:hAnsi="Arial" w:cs="Arial"/>
          <w:b/>
          <w:sz w:val="24"/>
          <w:szCs w:val="24"/>
        </w:rPr>
        <w:t>ciascuna unità di voto:</w:t>
      </w:r>
      <w:r w:rsidRPr="001C56E9">
        <w:rPr>
          <w:rFonts w:ascii="Arial" w:hAnsi="Arial" w:cs="Arial"/>
          <w:sz w:val="24"/>
          <w:szCs w:val="24"/>
        </w:rPr>
        <w:t xml:space="preserve"> </w:t>
      </w:r>
    </w:p>
    <w:p w:rsidR="00907E51" w:rsidRPr="001C56E9" w:rsidRDefault="00907E51" w:rsidP="00907E51">
      <w:pPr>
        <w:pStyle w:val="Paragrafoelenco"/>
        <w:numPr>
          <w:ilvl w:val="0"/>
          <w:numId w:val="20"/>
        </w:numPr>
        <w:tabs>
          <w:tab w:val="left" w:pos="360"/>
        </w:tabs>
        <w:suppressAutoHyphens/>
        <w:autoSpaceDE w:val="0"/>
        <w:spacing w:after="0" w:line="240" w:lineRule="auto"/>
        <w:jc w:val="both"/>
        <w:rPr>
          <w:rFonts w:ascii="Arial" w:hAnsi="Arial" w:cs="Arial"/>
          <w:sz w:val="24"/>
          <w:szCs w:val="24"/>
        </w:rPr>
      </w:pPr>
      <w:r w:rsidRPr="001C56E9">
        <w:rPr>
          <w:rFonts w:ascii="Arial" w:hAnsi="Arial" w:cs="Arial"/>
          <w:sz w:val="24"/>
          <w:szCs w:val="24"/>
        </w:rPr>
        <w:t>l'ammontare presunto dei residui attivi o passivi alla chiusura dell'esercizio precedente a quello cui il bilancio si riferisce</w:t>
      </w:r>
    </w:p>
    <w:p w:rsidR="00907E51" w:rsidRPr="001C56E9" w:rsidRDefault="00907E51" w:rsidP="00907E51">
      <w:pPr>
        <w:pStyle w:val="Paragrafoelenco"/>
        <w:numPr>
          <w:ilvl w:val="0"/>
          <w:numId w:val="20"/>
        </w:numPr>
        <w:tabs>
          <w:tab w:val="left" w:pos="360"/>
        </w:tabs>
        <w:suppressAutoHyphens/>
        <w:autoSpaceDE w:val="0"/>
        <w:spacing w:after="0" w:line="240" w:lineRule="auto"/>
        <w:jc w:val="both"/>
        <w:rPr>
          <w:rFonts w:ascii="Arial" w:hAnsi="Arial" w:cs="Arial"/>
          <w:sz w:val="24"/>
          <w:szCs w:val="24"/>
        </w:rPr>
      </w:pPr>
      <w:r w:rsidRPr="001C56E9">
        <w:rPr>
          <w:rFonts w:ascii="Arial" w:hAnsi="Arial" w:cs="Arial"/>
          <w:sz w:val="24"/>
          <w:szCs w:val="24"/>
        </w:rPr>
        <w:t xml:space="preserve"> l’ammontare delle previsioni di competenza definitive dell’anno precedente a quello cui si riferisce il bilancio; </w:t>
      </w:r>
    </w:p>
    <w:p w:rsidR="00907E51" w:rsidRPr="001C56E9" w:rsidRDefault="00907E51" w:rsidP="00907E51">
      <w:pPr>
        <w:pStyle w:val="Paragrafoelenco"/>
        <w:numPr>
          <w:ilvl w:val="0"/>
          <w:numId w:val="20"/>
        </w:numPr>
        <w:tabs>
          <w:tab w:val="left" w:pos="360"/>
        </w:tabs>
        <w:suppressAutoHyphens/>
        <w:autoSpaceDE w:val="0"/>
        <w:spacing w:after="0" w:line="240" w:lineRule="auto"/>
        <w:jc w:val="both"/>
        <w:rPr>
          <w:rFonts w:ascii="Arial" w:hAnsi="Arial" w:cs="Arial"/>
          <w:sz w:val="24"/>
          <w:szCs w:val="24"/>
        </w:rPr>
      </w:pPr>
      <w:r w:rsidRPr="001C56E9">
        <w:rPr>
          <w:rFonts w:ascii="Arial" w:hAnsi="Arial" w:cs="Arial"/>
          <w:sz w:val="24"/>
          <w:szCs w:val="24"/>
        </w:rPr>
        <w:lastRenderedPageBreak/>
        <w:t xml:space="preserve">l'ammontare delle entrate che si prevede di accertare o delle spese di cui si autorizza l'impegno negli esercizi cui il bilancio si riferisce; </w:t>
      </w:r>
    </w:p>
    <w:p w:rsidR="00907E51" w:rsidRPr="001C56E9" w:rsidRDefault="00907E51" w:rsidP="00907E51">
      <w:pPr>
        <w:pStyle w:val="Paragrafoelenco"/>
        <w:numPr>
          <w:ilvl w:val="0"/>
          <w:numId w:val="20"/>
        </w:numPr>
        <w:tabs>
          <w:tab w:val="left" w:pos="360"/>
        </w:tabs>
        <w:suppressAutoHyphens/>
        <w:autoSpaceDE w:val="0"/>
        <w:spacing w:after="0" w:line="240" w:lineRule="auto"/>
        <w:jc w:val="both"/>
        <w:rPr>
          <w:rFonts w:ascii="Arial" w:hAnsi="Arial" w:cs="Arial"/>
          <w:sz w:val="24"/>
          <w:szCs w:val="24"/>
        </w:rPr>
      </w:pPr>
      <w:r w:rsidRPr="001C56E9">
        <w:rPr>
          <w:rFonts w:ascii="Arial" w:hAnsi="Arial" w:cs="Arial"/>
          <w:sz w:val="24"/>
          <w:szCs w:val="24"/>
        </w:rPr>
        <w:t xml:space="preserve"> l'ammontare delle entrate che si prevede di riscuotere o delle spese di cui si autorizza il pagamento nel primo esercizio considerato nel bilancio, senza distinzioni fra riscossioni e pagamenti in conto competenza e in conto residui.</w:t>
      </w:r>
    </w:p>
    <w:p w:rsidR="00907E51" w:rsidRPr="001C56E9" w:rsidRDefault="00907E51" w:rsidP="00907E51">
      <w:pPr>
        <w:tabs>
          <w:tab w:val="left" w:pos="360"/>
        </w:tabs>
        <w:suppressAutoHyphens/>
        <w:autoSpaceDE w:val="0"/>
        <w:spacing w:after="0" w:line="240" w:lineRule="auto"/>
        <w:jc w:val="both"/>
        <w:rPr>
          <w:rFonts w:ascii="Arial" w:hAnsi="Arial" w:cs="Arial"/>
          <w:sz w:val="24"/>
          <w:szCs w:val="24"/>
        </w:rPr>
      </w:pPr>
    </w:p>
    <w:p w:rsidR="00907E51" w:rsidRPr="001C56E9" w:rsidRDefault="00907E51" w:rsidP="00907E51">
      <w:pPr>
        <w:tabs>
          <w:tab w:val="left" w:pos="360"/>
        </w:tabs>
        <w:suppressAutoHyphens/>
        <w:autoSpaceDE w:val="0"/>
        <w:spacing w:after="0" w:line="240" w:lineRule="auto"/>
        <w:jc w:val="both"/>
        <w:rPr>
          <w:rFonts w:ascii="Arial" w:hAnsi="Arial" w:cs="Arial"/>
          <w:sz w:val="24"/>
          <w:szCs w:val="24"/>
        </w:rPr>
      </w:pPr>
      <w:r w:rsidRPr="001C56E9">
        <w:rPr>
          <w:rFonts w:ascii="Arial" w:hAnsi="Arial" w:cs="Arial"/>
          <w:sz w:val="24"/>
          <w:szCs w:val="24"/>
        </w:rPr>
        <w:t xml:space="preserve">Nel bilancio di previsione finanziario, </w:t>
      </w:r>
      <w:r w:rsidRPr="001C56E9">
        <w:rPr>
          <w:rFonts w:ascii="Arial" w:hAnsi="Arial" w:cs="Arial"/>
          <w:b/>
          <w:sz w:val="24"/>
          <w:szCs w:val="24"/>
        </w:rPr>
        <w:t>prima di tutte le entrate e le spese</w:t>
      </w:r>
      <w:r w:rsidRPr="001C56E9">
        <w:rPr>
          <w:rFonts w:ascii="Arial" w:hAnsi="Arial" w:cs="Arial"/>
          <w:sz w:val="24"/>
          <w:szCs w:val="24"/>
        </w:rPr>
        <w:t xml:space="preserve">, sono iscritti: </w:t>
      </w:r>
    </w:p>
    <w:p w:rsidR="00907E51" w:rsidRPr="001C56E9" w:rsidRDefault="00907E51" w:rsidP="00907E51">
      <w:pPr>
        <w:tabs>
          <w:tab w:val="left" w:pos="360"/>
        </w:tabs>
        <w:suppressAutoHyphens/>
        <w:autoSpaceDE w:val="0"/>
        <w:spacing w:after="0" w:line="240" w:lineRule="auto"/>
        <w:jc w:val="both"/>
        <w:rPr>
          <w:rFonts w:ascii="Arial" w:hAnsi="Arial" w:cs="Arial"/>
          <w:sz w:val="24"/>
          <w:szCs w:val="24"/>
        </w:rPr>
      </w:pPr>
      <w:r w:rsidRPr="001C56E9">
        <w:rPr>
          <w:rFonts w:ascii="Arial" w:hAnsi="Arial" w:cs="Arial"/>
          <w:sz w:val="24"/>
          <w:szCs w:val="24"/>
        </w:rPr>
        <w:t xml:space="preserve">a) in entrata, gli importi relativi al fondo pluriennale vincolato di parte corrente e del fondo pluriennale vincolato in c/capitale; </w:t>
      </w:r>
    </w:p>
    <w:p w:rsidR="00907E51" w:rsidRPr="001C56E9" w:rsidRDefault="00907E51" w:rsidP="00907E51">
      <w:pPr>
        <w:tabs>
          <w:tab w:val="left" w:pos="360"/>
        </w:tabs>
        <w:suppressAutoHyphens/>
        <w:autoSpaceDE w:val="0"/>
        <w:spacing w:after="0" w:line="240" w:lineRule="auto"/>
        <w:jc w:val="both"/>
        <w:rPr>
          <w:rFonts w:ascii="Arial" w:hAnsi="Arial" w:cs="Arial"/>
          <w:sz w:val="24"/>
          <w:szCs w:val="24"/>
        </w:rPr>
      </w:pPr>
      <w:r w:rsidRPr="001C56E9">
        <w:rPr>
          <w:rFonts w:ascii="Arial" w:hAnsi="Arial" w:cs="Arial"/>
          <w:sz w:val="24"/>
          <w:szCs w:val="24"/>
        </w:rPr>
        <w:t>b) nell’entrata del primo esercizio, gli importi relativi all’utilizzo dell’avanzo di amministrazione presunto, con l’indicazione della quota vincolata del risultato di amministrazione utilizzata anticipatamente;</w:t>
      </w:r>
    </w:p>
    <w:p w:rsidR="00907E51" w:rsidRPr="001C56E9" w:rsidRDefault="00907E51" w:rsidP="00907E51">
      <w:pPr>
        <w:tabs>
          <w:tab w:val="left" w:pos="360"/>
        </w:tabs>
        <w:suppressAutoHyphens/>
        <w:autoSpaceDE w:val="0"/>
        <w:spacing w:after="0" w:line="240" w:lineRule="auto"/>
        <w:jc w:val="both"/>
        <w:rPr>
          <w:rFonts w:ascii="Arial" w:hAnsi="Arial" w:cs="Arial"/>
          <w:sz w:val="24"/>
          <w:szCs w:val="24"/>
        </w:rPr>
      </w:pPr>
      <w:r w:rsidRPr="001C56E9">
        <w:rPr>
          <w:rFonts w:ascii="Arial" w:hAnsi="Arial" w:cs="Arial"/>
          <w:sz w:val="24"/>
          <w:szCs w:val="24"/>
        </w:rPr>
        <w:t xml:space="preserve">c) in spesa, l’importo del disavanzo di amministrazione presunto al 31 dicembre dell’esercizio precedente cui il bilancio si riferisce. </w:t>
      </w:r>
    </w:p>
    <w:p w:rsidR="00907E51" w:rsidRPr="001C56E9" w:rsidRDefault="00907E51" w:rsidP="00907E51">
      <w:pPr>
        <w:tabs>
          <w:tab w:val="left" w:pos="360"/>
        </w:tabs>
        <w:suppressAutoHyphens/>
        <w:autoSpaceDE w:val="0"/>
        <w:spacing w:after="0" w:line="240" w:lineRule="auto"/>
        <w:jc w:val="both"/>
        <w:rPr>
          <w:rFonts w:ascii="Arial" w:hAnsi="Arial" w:cs="Arial"/>
          <w:sz w:val="24"/>
          <w:szCs w:val="24"/>
        </w:rPr>
      </w:pPr>
      <w:r w:rsidRPr="001C56E9">
        <w:rPr>
          <w:rFonts w:ascii="Arial" w:hAnsi="Arial" w:cs="Arial"/>
          <w:sz w:val="24"/>
          <w:szCs w:val="24"/>
        </w:rPr>
        <w:t xml:space="preserve">d) in entrata, il fondo di cassa presunto dell’esercizio precedente. </w:t>
      </w:r>
    </w:p>
    <w:p w:rsidR="00907E51" w:rsidRPr="001C56E9" w:rsidRDefault="00907E51" w:rsidP="00907E51">
      <w:pPr>
        <w:tabs>
          <w:tab w:val="left" w:pos="360"/>
        </w:tabs>
        <w:suppressAutoHyphens/>
        <w:autoSpaceDE w:val="0"/>
        <w:spacing w:after="0" w:line="240" w:lineRule="auto"/>
        <w:jc w:val="both"/>
        <w:rPr>
          <w:rFonts w:ascii="Arial" w:hAnsi="Arial" w:cs="Arial"/>
          <w:sz w:val="24"/>
          <w:szCs w:val="24"/>
        </w:rPr>
      </w:pPr>
      <w:r w:rsidRPr="001C56E9">
        <w:rPr>
          <w:rFonts w:ascii="Arial" w:hAnsi="Arial" w:cs="Arial"/>
          <w:sz w:val="24"/>
          <w:szCs w:val="24"/>
        </w:rPr>
        <w:t xml:space="preserve"> Nel bilancio, ciascun stanziamento di spesa , individua: </w:t>
      </w:r>
    </w:p>
    <w:p w:rsidR="00907E51" w:rsidRPr="001C56E9" w:rsidRDefault="00907E51" w:rsidP="00907E51">
      <w:pPr>
        <w:pStyle w:val="Paragrafoelenco"/>
        <w:numPr>
          <w:ilvl w:val="0"/>
          <w:numId w:val="21"/>
        </w:numPr>
        <w:tabs>
          <w:tab w:val="left" w:pos="360"/>
        </w:tabs>
        <w:suppressAutoHyphens/>
        <w:autoSpaceDE w:val="0"/>
        <w:spacing w:after="0" w:line="240" w:lineRule="auto"/>
        <w:jc w:val="both"/>
        <w:rPr>
          <w:rFonts w:ascii="Arial" w:hAnsi="Arial" w:cs="Arial"/>
          <w:sz w:val="24"/>
          <w:szCs w:val="24"/>
        </w:rPr>
      </w:pPr>
      <w:r w:rsidRPr="001C56E9">
        <w:rPr>
          <w:rFonts w:ascii="Arial" w:hAnsi="Arial" w:cs="Arial"/>
          <w:sz w:val="24"/>
          <w:szCs w:val="24"/>
        </w:rPr>
        <w:t xml:space="preserve">la quota che è già stata impegnata negli esercizi precedenti con imputazione all’esercizio di riferimento; </w:t>
      </w:r>
    </w:p>
    <w:p w:rsidR="00907E51" w:rsidRPr="001C56E9" w:rsidRDefault="00907E51" w:rsidP="00907E51">
      <w:pPr>
        <w:pStyle w:val="Paragrafoelenco"/>
        <w:numPr>
          <w:ilvl w:val="0"/>
          <w:numId w:val="21"/>
        </w:numPr>
        <w:tabs>
          <w:tab w:val="left" w:pos="360"/>
        </w:tabs>
        <w:suppressAutoHyphens/>
        <w:autoSpaceDE w:val="0"/>
        <w:spacing w:after="0" w:line="240" w:lineRule="auto"/>
        <w:jc w:val="both"/>
        <w:rPr>
          <w:rFonts w:ascii="Arial" w:hAnsi="Arial" w:cs="Arial"/>
          <w:sz w:val="24"/>
          <w:szCs w:val="24"/>
        </w:rPr>
      </w:pPr>
      <w:r w:rsidRPr="001C56E9">
        <w:rPr>
          <w:rFonts w:ascii="Arial" w:hAnsi="Arial" w:cs="Arial"/>
          <w:sz w:val="24"/>
          <w:szCs w:val="24"/>
        </w:rPr>
        <w:t>la quota dello stanziamento di competenza costituita dal fondo pluriennale vincolato, destinata alla copertura degli impegni che sono stati assunti negli esercizi precedenti con imputazione agli esercizi successivi e degli impegni che si prevede di assumere nell’esercizio con imputazione agli esercizi successivi. Con riferimento a tale quota non è possibile impegnare e pagare con imputazione all’esercizio cui lo stanziamento si riferisce. Agli stanziamenti di spesa riguardanti il fondo pluriennale vincolato è attribuito il codice della missione e del programma di spesa cui il fondo si riferisce e il codice del piano dei conti relativo al fondo pluriennale vincolato</w:t>
      </w:r>
    </w:p>
    <w:p w:rsidR="00907E51" w:rsidRPr="001C56E9" w:rsidRDefault="00907E51" w:rsidP="00907E51">
      <w:pPr>
        <w:pStyle w:val="Default"/>
        <w:ind w:left="0"/>
        <w:rPr>
          <w:rFonts w:ascii="Arial" w:hAnsi="Arial" w:cs="Arial"/>
        </w:rPr>
      </w:pPr>
      <w:r w:rsidRPr="001C56E9">
        <w:rPr>
          <w:rFonts w:ascii="Arial" w:hAnsi="Arial" w:cs="Arial"/>
        </w:rPr>
        <w:t xml:space="preserve">Nell’ambito della destinazione delle risorse tra le missioni dell’ente, e nel rispetto di quanto previsto dalla legge e dal documento di programmazione, la </w:t>
      </w:r>
      <w:r w:rsidRPr="001C56E9">
        <w:rPr>
          <w:rFonts w:ascii="Arial" w:hAnsi="Arial" w:cs="Arial"/>
          <w:b/>
        </w:rPr>
        <w:t xml:space="preserve">funzione di ripartizione delle risorse  ai fini della GESTIONE, </w:t>
      </w:r>
      <w:r w:rsidRPr="001C56E9">
        <w:rPr>
          <w:rFonts w:ascii="Arial" w:hAnsi="Arial" w:cs="Arial"/>
        </w:rPr>
        <w:t>in considerazione della natura economica della spesa, è svolta:</w:t>
      </w:r>
    </w:p>
    <w:p w:rsidR="00907E51" w:rsidRPr="001C56E9" w:rsidRDefault="00907E51" w:rsidP="00907E51">
      <w:pPr>
        <w:pStyle w:val="Default"/>
        <w:ind w:left="0"/>
        <w:rPr>
          <w:rFonts w:ascii="Arial" w:eastAsia="PMingLiU" w:hAnsi="Arial" w:cs="Arial"/>
          <w:i/>
          <w:lang w:eastAsia="zh-TW"/>
        </w:rPr>
      </w:pPr>
      <w:r w:rsidRPr="001C56E9">
        <w:rPr>
          <w:rFonts w:ascii="Arial" w:hAnsi="Arial" w:cs="Arial"/>
        </w:rPr>
        <w:t xml:space="preserve">- </w:t>
      </w:r>
      <w:r w:rsidRPr="001C56E9">
        <w:rPr>
          <w:rFonts w:ascii="Arial" w:hAnsi="Arial" w:cs="Arial"/>
          <w:u w:val="single"/>
        </w:rPr>
        <w:t>nelle regioni</w:t>
      </w:r>
      <w:r w:rsidRPr="001C56E9">
        <w:rPr>
          <w:rFonts w:ascii="Arial" w:hAnsi="Arial" w:cs="Arial"/>
        </w:rPr>
        <w:t xml:space="preserve"> dalla Giunta, attraverso la ripartizione delle tipologie di entrata in categorie, e dei programmi in macroaggregati e dalla Giunta o dal Segretario generale (secondo quanto previsto dal regolamento di contabilità), attraverso la ripartizione delle tipologie e dei macroaggregati in capitoli ed eventualmente in articoli. Tale documenti costituiscono il D</w:t>
      </w:r>
      <w:r w:rsidRPr="001C56E9">
        <w:rPr>
          <w:rFonts w:ascii="Arial" w:eastAsia="PMingLiU" w:hAnsi="Arial" w:cs="Arial"/>
          <w:lang w:eastAsia="zh-TW"/>
        </w:rPr>
        <w:t>ocumento Tecnico di accompagnamento al bilancio e il bilancio finanziario gestionale</w:t>
      </w:r>
      <w:r w:rsidRPr="001C56E9">
        <w:rPr>
          <w:rFonts w:ascii="Arial" w:eastAsia="PMingLiU" w:hAnsi="Arial" w:cs="Arial"/>
          <w:i/>
          <w:lang w:eastAsia="zh-TW"/>
        </w:rPr>
        <w:t>;</w:t>
      </w:r>
    </w:p>
    <w:p w:rsidR="00907E51" w:rsidRPr="001C56E9" w:rsidRDefault="00907E51" w:rsidP="00907E51">
      <w:pPr>
        <w:pStyle w:val="Default"/>
        <w:ind w:left="0"/>
        <w:rPr>
          <w:rFonts w:ascii="Arial" w:eastAsia="PMingLiU" w:hAnsi="Arial" w:cs="Arial"/>
          <w:lang w:eastAsia="zh-TW"/>
        </w:rPr>
      </w:pPr>
      <w:r w:rsidRPr="001C56E9">
        <w:rPr>
          <w:rFonts w:ascii="Arial" w:eastAsia="PMingLiU" w:hAnsi="Arial" w:cs="Arial"/>
          <w:lang w:eastAsia="zh-TW"/>
        </w:rPr>
        <w:t xml:space="preserve">- </w:t>
      </w:r>
      <w:r w:rsidRPr="001C56E9">
        <w:rPr>
          <w:rFonts w:ascii="Arial" w:eastAsia="PMingLiU" w:hAnsi="Arial" w:cs="Arial"/>
          <w:u w:val="single"/>
          <w:lang w:eastAsia="zh-TW"/>
        </w:rPr>
        <w:t>negli enti locali</w:t>
      </w:r>
      <w:r w:rsidRPr="001C56E9">
        <w:rPr>
          <w:rFonts w:ascii="Arial" w:eastAsia="PMingLiU" w:hAnsi="Arial" w:cs="Arial"/>
          <w:lang w:eastAsia="zh-TW"/>
        </w:rPr>
        <w:t xml:space="preserve"> </w:t>
      </w:r>
      <w:r w:rsidRPr="001C56E9">
        <w:rPr>
          <w:rFonts w:ascii="Arial" w:hAnsi="Arial" w:cs="Arial"/>
        </w:rPr>
        <w:t>dalla Giunta, attraverso la ripartizione delle tipologie di entrata in categorie, capitoli ed eventualmente in articoli e dei programmi di spesa in macroaggregati,  capitoli ed eventualmente in articoli. Tale documento costituisce</w:t>
      </w:r>
      <w:r w:rsidRPr="001C56E9">
        <w:rPr>
          <w:rFonts w:ascii="Arial" w:eastAsia="PMingLiU" w:hAnsi="Arial" w:cs="Arial"/>
          <w:lang w:eastAsia="zh-TW"/>
        </w:rPr>
        <w:t xml:space="preserve"> il piano esecutivo di gestione.</w:t>
      </w:r>
    </w:p>
    <w:p w:rsidR="00907E51" w:rsidRPr="001C56E9" w:rsidRDefault="00907E51" w:rsidP="00907E51">
      <w:pPr>
        <w:pStyle w:val="Paragrafoelenco1"/>
        <w:suppressAutoHyphens/>
        <w:spacing w:before="60" w:after="60"/>
        <w:ind w:left="142"/>
        <w:rPr>
          <w:rFonts w:ascii="Arial" w:hAnsi="Arial" w:cs="Arial"/>
        </w:rPr>
      </w:pPr>
      <w:r w:rsidRPr="001C56E9">
        <w:rPr>
          <w:rFonts w:ascii="Arial" w:hAnsi="Arial" w:cs="Arial"/>
        </w:rPr>
        <w:t xml:space="preserve">Gli stanziamenti di spesa del bilancio di previsione finanziario riguardanti gli esercizi finanziari cui il bilancio si riferisce hanno natura autorizzatoria, costituendo limite agli impegni ed ai pagamenti, con l’esclusione delle </w:t>
      </w:r>
      <w:r w:rsidRPr="001C56E9">
        <w:rPr>
          <w:rFonts w:ascii="Arial" w:hAnsi="Arial" w:cs="Arial"/>
          <w:color w:val="000000"/>
        </w:rPr>
        <w:t xml:space="preserve">previsioni riguardanti i  rimborsi delle anticipazioni di tesoreria e </w:t>
      </w:r>
      <w:r w:rsidRPr="001C56E9">
        <w:rPr>
          <w:rFonts w:ascii="Arial" w:hAnsi="Arial" w:cs="Arial"/>
        </w:rPr>
        <w:t>le partite di giro/servizi per conto di terzi i cui stanziamenti n</w:t>
      </w:r>
      <w:r w:rsidRPr="001C56E9">
        <w:rPr>
          <w:rFonts w:ascii="Arial" w:hAnsi="Arial" w:cs="Arial"/>
          <w:color w:val="000000"/>
        </w:rPr>
        <w:t>on comportano limiti alla gestione.</w:t>
      </w:r>
    </w:p>
    <w:p w:rsidR="00907E51" w:rsidRPr="001C56E9" w:rsidRDefault="00907E51" w:rsidP="00907E51">
      <w:pPr>
        <w:pStyle w:val="Paragrafoelenco1"/>
        <w:suppressAutoHyphens/>
        <w:spacing w:before="60" w:after="60"/>
        <w:ind w:left="142"/>
        <w:rPr>
          <w:rFonts w:ascii="Arial" w:hAnsi="Arial" w:cs="Arial"/>
        </w:rPr>
      </w:pPr>
    </w:p>
    <w:p w:rsidR="00907E51" w:rsidRPr="001C56E9" w:rsidRDefault="00907E51" w:rsidP="00907E51">
      <w:pPr>
        <w:pStyle w:val="Paragrafoelenco1"/>
        <w:suppressAutoHyphens/>
        <w:spacing w:before="60" w:after="60"/>
        <w:ind w:left="142"/>
        <w:rPr>
          <w:rFonts w:ascii="Arial" w:hAnsi="Arial" w:cs="Arial"/>
        </w:rPr>
      </w:pPr>
      <w:r w:rsidRPr="001C56E9">
        <w:rPr>
          <w:rFonts w:ascii="Arial" w:hAnsi="Arial" w:cs="Arial"/>
        </w:rPr>
        <w:t>Hanno natura autorizzatoria anche gli stanziamenti di entrata riguardanti le accensione di prestiti.</w:t>
      </w:r>
    </w:p>
    <w:p w:rsidR="00907E51" w:rsidRPr="001C56E9" w:rsidRDefault="00907E51" w:rsidP="00907E51">
      <w:pPr>
        <w:tabs>
          <w:tab w:val="left" w:pos="360"/>
        </w:tabs>
        <w:suppressAutoHyphens/>
        <w:autoSpaceDE w:val="0"/>
        <w:spacing w:after="0" w:line="240" w:lineRule="auto"/>
        <w:jc w:val="both"/>
        <w:rPr>
          <w:rFonts w:ascii="Arial" w:hAnsi="Arial" w:cs="Arial"/>
          <w:color w:val="000000"/>
          <w:sz w:val="24"/>
          <w:szCs w:val="24"/>
        </w:rPr>
      </w:pPr>
      <w:r w:rsidRPr="001C56E9">
        <w:rPr>
          <w:rFonts w:ascii="Arial" w:hAnsi="Arial" w:cs="Arial"/>
          <w:color w:val="000000"/>
          <w:sz w:val="24"/>
          <w:szCs w:val="24"/>
        </w:rPr>
        <w:t xml:space="preserve">A seguito di eventi intervenuti successivamente all’approvazione del bilancio la giunta, nelle more della necessaria variazione di bilancio, può limitare la natura autorizzatoria </w:t>
      </w:r>
      <w:r w:rsidRPr="001C56E9">
        <w:rPr>
          <w:rFonts w:ascii="Arial" w:hAnsi="Arial" w:cs="Arial"/>
          <w:color w:val="000000"/>
          <w:sz w:val="24"/>
          <w:szCs w:val="24"/>
        </w:rPr>
        <w:lastRenderedPageBreak/>
        <w:t>degli stanziamenti di tutti gli esercizi considerati del bilancio, al solo fine di garantire gli equilibri di bilancio, quando si prevede un disavanzo della gestione finanziaria e possiamo correre ai rimedi.</w:t>
      </w:r>
    </w:p>
    <w:p w:rsidR="00907E51" w:rsidRPr="001C56E9" w:rsidRDefault="00907E51" w:rsidP="00907E51">
      <w:pPr>
        <w:tabs>
          <w:tab w:val="left" w:pos="360"/>
        </w:tabs>
        <w:suppressAutoHyphens/>
        <w:autoSpaceDE w:val="0"/>
        <w:spacing w:after="0" w:line="240" w:lineRule="auto"/>
        <w:jc w:val="both"/>
        <w:rPr>
          <w:rFonts w:ascii="Arial" w:hAnsi="Arial" w:cs="Arial"/>
          <w:sz w:val="24"/>
          <w:szCs w:val="24"/>
        </w:rPr>
      </w:pPr>
    </w:p>
    <w:p w:rsidR="00907E51" w:rsidRPr="001C56E9" w:rsidRDefault="00907E51" w:rsidP="00907E51">
      <w:pPr>
        <w:pStyle w:val="Rientrocorpodeltesto2"/>
        <w:spacing w:line="240" w:lineRule="auto"/>
        <w:ind w:left="142"/>
        <w:contextualSpacing/>
        <w:rPr>
          <w:rFonts w:ascii="Arial" w:hAnsi="Arial" w:cs="Arial"/>
          <w:sz w:val="24"/>
          <w:szCs w:val="24"/>
        </w:rPr>
      </w:pPr>
      <w:r w:rsidRPr="001C56E9">
        <w:rPr>
          <w:rFonts w:ascii="Arial" w:hAnsi="Arial" w:cs="Arial"/>
          <w:sz w:val="24"/>
          <w:szCs w:val="24"/>
        </w:rPr>
        <w:t>Per effetto della natura autorizzatoria attribuita alle previsioni di tutti gli esercizi considerati nel bilancio:</w:t>
      </w:r>
    </w:p>
    <w:p w:rsidR="00907E51" w:rsidRPr="001C56E9" w:rsidRDefault="00907E51" w:rsidP="00907E51">
      <w:pPr>
        <w:pStyle w:val="Rientrocorpodeltesto2"/>
        <w:spacing w:line="240" w:lineRule="auto"/>
        <w:ind w:left="142"/>
        <w:contextualSpacing/>
        <w:rPr>
          <w:rFonts w:ascii="Arial" w:hAnsi="Arial" w:cs="Arial"/>
          <w:color w:val="000000"/>
          <w:sz w:val="24"/>
          <w:szCs w:val="24"/>
          <w:lang w:eastAsia="it-IT"/>
        </w:rPr>
      </w:pPr>
      <w:r w:rsidRPr="001C56E9">
        <w:rPr>
          <w:rFonts w:ascii="Arial" w:hAnsi="Arial" w:cs="Arial"/>
          <w:sz w:val="24"/>
          <w:szCs w:val="24"/>
        </w:rPr>
        <w:t xml:space="preserve">- possono essere assunte obbligazioni concernenti </w:t>
      </w:r>
      <w:r w:rsidRPr="001C56E9">
        <w:rPr>
          <w:rFonts w:ascii="Arial" w:hAnsi="Arial" w:cs="Arial"/>
          <w:i/>
          <w:sz w:val="24"/>
          <w:szCs w:val="24"/>
        </w:rPr>
        <w:t>spese correnti</w:t>
      </w:r>
      <w:r w:rsidRPr="001C56E9">
        <w:rPr>
          <w:rFonts w:ascii="Arial" w:hAnsi="Arial" w:cs="Arial"/>
          <w:sz w:val="24"/>
          <w:szCs w:val="24"/>
        </w:rPr>
        <w:t>, imputabili anche agli esercizi considerati nel bilancio di previsione successivi al primo, riguardanti</w:t>
      </w:r>
      <w:r w:rsidRPr="001C56E9">
        <w:rPr>
          <w:rFonts w:ascii="Arial" w:hAnsi="Arial" w:cs="Arial"/>
          <w:color w:val="000000"/>
          <w:sz w:val="24"/>
          <w:szCs w:val="24"/>
          <w:lang w:eastAsia="it-IT"/>
        </w:rPr>
        <w:t xml:space="preserve"> contratti o convenzioni pluriennali o  necessarie per garantire la continuità dei servizi connessi con le funzioni fondamentali, nel rispetto di quanto previsto nei documenti di programmazione e fatta salva la costante verifica del mantenimento degli equilibri di bilancio, anche con riferimento agli esercizi successivi al primo;</w:t>
      </w:r>
    </w:p>
    <w:p w:rsidR="00907E51" w:rsidRPr="001C56E9" w:rsidRDefault="00907E51" w:rsidP="00907E51">
      <w:pPr>
        <w:pStyle w:val="Rientrocorpodeltesto2"/>
        <w:spacing w:line="240" w:lineRule="auto"/>
        <w:ind w:left="142"/>
        <w:contextualSpacing/>
        <w:rPr>
          <w:rFonts w:ascii="Arial" w:hAnsi="Arial" w:cs="Arial"/>
          <w:color w:val="000000"/>
          <w:sz w:val="24"/>
          <w:szCs w:val="24"/>
        </w:rPr>
      </w:pPr>
      <w:r w:rsidRPr="001C56E9">
        <w:rPr>
          <w:rFonts w:ascii="Arial" w:hAnsi="Arial" w:cs="Arial"/>
          <w:color w:val="000000"/>
          <w:sz w:val="24"/>
          <w:szCs w:val="24"/>
          <w:lang w:eastAsia="it-IT"/>
        </w:rPr>
        <w:t xml:space="preserve">- possono essere assunte obbligazioni concernenti </w:t>
      </w:r>
      <w:r w:rsidRPr="001C56E9">
        <w:rPr>
          <w:rFonts w:ascii="Arial" w:hAnsi="Arial" w:cs="Arial"/>
          <w:i/>
          <w:color w:val="000000"/>
          <w:sz w:val="24"/>
          <w:szCs w:val="24"/>
          <w:lang w:eastAsia="it-IT"/>
        </w:rPr>
        <w:t>spese di investimento</w:t>
      </w:r>
      <w:r w:rsidRPr="001C56E9">
        <w:rPr>
          <w:rFonts w:ascii="Arial" w:hAnsi="Arial" w:cs="Arial"/>
          <w:color w:val="000000"/>
          <w:sz w:val="24"/>
          <w:szCs w:val="24"/>
          <w:lang w:eastAsia="it-IT"/>
        </w:rPr>
        <w:t xml:space="preserve"> imputabili anche agli esercizi considerati nel bilancio di previsione successivi al primo, </w:t>
      </w:r>
      <w:r w:rsidRPr="001C56E9">
        <w:rPr>
          <w:rFonts w:ascii="Arial" w:hAnsi="Arial" w:cs="Arial"/>
          <w:sz w:val="24"/>
          <w:szCs w:val="24"/>
        </w:rPr>
        <w:t xml:space="preserve"> a condizione </w:t>
      </w:r>
      <w:r w:rsidRPr="001C56E9">
        <w:rPr>
          <w:rFonts w:ascii="Arial" w:hAnsi="Arial" w:cs="Arial"/>
          <w:color w:val="000000"/>
          <w:sz w:val="24"/>
          <w:szCs w:val="24"/>
        </w:rPr>
        <w:t xml:space="preserve">di aver predisposto la  copertura finanziaria per l’effettuazione della complessiva spesa dell’investimento dal momento in cui sorge l’obbligazione, anche se la forma di  copertura è stata già indicata nell’elenco annuale del piano delle opere pubbliche </w:t>
      </w:r>
    </w:p>
    <w:p w:rsidR="00907E51" w:rsidRPr="001C56E9" w:rsidRDefault="00907E51" w:rsidP="00907E51">
      <w:pPr>
        <w:pStyle w:val="Rientrocorpodeltesto2"/>
        <w:spacing w:line="240" w:lineRule="auto"/>
        <w:ind w:left="142"/>
        <w:contextualSpacing/>
        <w:rPr>
          <w:rFonts w:ascii="Arial" w:hAnsi="Arial" w:cs="Arial"/>
          <w:color w:val="000000"/>
          <w:sz w:val="24"/>
          <w:szCs w:val="24"/>
        </w:rPr>
      </w:pPr>
      <w:r w:rsidRPr="001C56E9">
        <w:rPr>
          <w:rFonts w:ascii="Arial" w:hAnsi="Arial" w:cs="Arial"/>
          <w:color w:val="000000"/>
          <w:sz w:val="24"/>
          <w:szCs w:val="24"/>
        </w:rPr>
        <w:t>FONDI E ACCANTONAMENTI</w:t>
      </w:r>
    </w:p>
    <w:p w:rsidR="00907E51" w:rsidRPr="001C56E9" w:rsidRDefault="00907E51" w:rsidP="00907E51">
      <w:pPr>
        <w:pStyle w:val="Rientrocorpodeltesto2"/>
        <w:spacing w:line="240" w:lineRule="auto"/>
        <w:ind w:left="142"/>
        <w:contextualSpacing/>
        <w:rPr>
          <w:rFonts w:ascii="Arial" w:hAnsi="Arial" w:cs="Arial"/>
          <w:sz w:val="24"/>
          <w:szCs w:val="24"/>
        </w:rPr>
      </w:pPr>
      <w:r w:rsidRPr="001C56E9">
        <w:rPr>
          <w:rFonts w:ascii="Arial" w:hAnsi="Arial" w:cs="Arial"/>
          <w:color w:val="000000"/>
          <w:sz w:val="24"/>
          <w:szCs w:val="24"/>
        </w:rPr>
        <w:t xml:space="preserve">Nella missione Fondi e accantonamenti all’interno del programma 20 secondo gli schemi di bilancio previsti dall’allegato 9, esiste un fondo crediti di dubbia esigibilità   </w:t>
      </w:r>
      <w:r w:rsidRPr="001C56E9">
        <w:rPr>
          <w:rFonts w:ascii="Arial" w:hAnsi="Arial" w:cs="Arial"/>
          <w:sz w:val="24"/>
          <w:szCs w:val="24"/>
        </w:rPr>
        <w:t>il cui ammontare è determinato in considerazione dell’importo degli stanziamenti di entrata di dubbia e difficile esazione</w:t>
      </w:r>
    </w:p>
    <w:p w:rsidR="00907E51" w:rsidRPr="001C56E9" w:rsidRDefault="00907E51" w:rsidP="00907E51">
      <w:pPr>
        <w:pStyle w:val="Rientrocorpodeltesto2"/>
        <w:spacing w:line="240" w:lineRule="auto"/>
        <w:ind w:left="142"/>
        <w:contextualSpacing/>
        <w:rPr>
          <w:rFonts w:ascii="Arial" w:hAnsi="Arial" w:cs="Arial"/>
          <w:sz w:val="24"/>
          <w:szCs w:val="24"/>
        </w:rPr>
      </w:pPr>
      <w:r w:rsidRPr="001C56E9">
        <w:rPr>
          <w:rFonts w:ascii="Arial" w:hAnsi="Arial" w:cs="Arial"/>
          <w:sz w:val="24"/>
          <w:szCs w:val="24"/>
        </w:rPr>
        <w:t>Rappresenta un accantonamento di risorse volto a fronteggiare il rischio dell’effettivo realizzo dei residui attivi ed a limitare la spesa finanziata con i crediti di dubbia esigibilità (Il fondo crediti di dubbia esigibilità è una voce che deriva dal fondo svalutazione crediti, posta contabile mutuata dall’esperienza aziendalistica che nasce allo scopo di limitare l’utilizzo, sul fronte della spesa, di entrate di incerta esigibilità.)</w:t>
      </w:r>
    </w:p>
    <w:p w:rsidR="00907E51" w:rsidRPr="001C56E9" w:rsidRDefault="00907E51" w:rsidP="00907E51">
      <w:pPr>
        <w:pStyle w:val="Rientrocorpodeltesto2"/>
        <w:spacing w:line="240" w:lineRule="auto"/>
        <w:ind w:left="142"/>
        <w:contextualSpacing/>
        <w:rPr>
          <w:rFonts w:ascii="Arial" w:hAnsi="Arial" w:cs="Arial"/>
          <w:sz w:val="24"/>
          <w:szCs w:val="24"/>
        </w:rPr>
      </w:pPr>
      <w:r w:rsidRPr="001C56E9">
        <w:rPr>
          <w:rFonts w:ascii="Arial" w:hAnsi="Arial" w:cs="Arial"/>
          <w:sz w:val="24"/>
          <w:szCs w:val="24"/>
        </w:rPr>
        <w:t>le entrate di dubbia e difficile esazione sono accertate per l’intero importo del credito, anche se non è certa la loro riscossione integrale (ad es. le sanzioni amministrative al codice della strada, gli oneri di urbanizzazione, ecc.);</w:t>
      </w:r>
    </w:p>
    <w:p w:rsidR="00907E51" w:rsidRPr="001C56E9" w:rsidRDefault="00907E51" w:rsidP="00907E51">
      <w:pPr>
        <w:pStyle w:val="Rientrocorpodeltesto2"/>
        <w:spacing w:line="240" w:lineRule="auto"/>
        <w:ind w:left="142"/>
        <w:contextualSpacing/>
        <w:rPr>
          <w:rFonts w:ascii="Arial" w:hAnsi="Arial" w:cs="Arial"/>
          <w:sz w:val="24"/>
          <w:szCs w:val="24"/>
        </w:rPr>
      </w:pPr>
      <w:r w:rsidRPr="001C56E9">
        <w:rPr>
          <w:rFonts w:ascii="Arial" w:hAnsi="Arial" w:cs="Arial"/>
          <w:sz w:val="24"/>
          <w:szCs w:val="24"/>
        </w:rPr>
        <w:t xml:space="preserve"> </w:t>
      </w:r>
      <w:r w:rsidRPr="001C56E9">
        <w:rPr>
          <w:rFonts w:ascii="Arial" w:hAnsi="Arial" w:cs="Arial"/>
          <w:sz w:val="24"/>
          <w:szCs w:val="24"/>
        </w:rPr>
        <w:sym w:font="Symbol" w:char="F0D8"/>
      </w:r>
      <w:r w:rsidRPr="001C56E9">
        <w:rPr>
          <w:rFonts w:ascii="Arial" w:hAnsi="Arial" w:cs="Arial"/>
          <w:sz w:val="24"/>
          <w:szCs w:val="24"/>
        </w:rPr>
        <w:t xml:space="preserve"> per le entrate di dubbia e difficile esazione è vietato il cd. accertamento per cassa;</w:t>
      </w:r>
    </w:p>
    <w:p w:rsidR="00907E51" w:rsidRPr="001C56E9" w:rsidRDefault="00907E51" w:rsidP="00907E51">
      <w:pPr>
        <w:pStyle w:val="Rientrocorpodeltesto2"/>
        <w:spacing w:line="240" w:lineRule="auto"/>
        <w:ind w:left="142"/>
        <w:contextualSpacing/>
        <w:rPr>
          <w:rFonts w:ascii="Arial" w:hAnsi="Arial" w:cs="Arial"/>
          <w:sz w:val="24"/>
          <w:szCs w:val="24"/>
        </w:rPr>
      </w:pPr>
      <w:r w:rsidRPr="001C56E9">
        <w:rPr>
          <w:rFonts w:ascii="Arial" w:hAnsi="Arial" w:cs="Arial"/>
          <w:sz w:val="24"/>
          <w:szCs w:val="24"/>
        </w:rPr>
        <w:t xml:space="preserve"> </w:t>
      </w:r>
      <w:r w:rsidRPr="001C56E9">
        <w:rPr>
          <w:rFonts w:ascii="Arial" w:hAnsi="Arial" w:cs="Arial"/>
          <w:sz w:val="24"/>
          <w:szCs w:val="24"/>
        </w:rPr>
        <w:sym w:font="Symbol" w:char="F0D8"/>
      </w:r>
      <w:r w:rsidRPr="001C56E9">
        <w:rPr>
          <w:rFonts w:ascii="Arial" w:hAnsi="Arial" w:cs="Arial"/>
          <w:sz w:val="24"/>
          <w:szCs w:val="24"/>
        </w:rPr>
        <w:t xml:space="preserve"> per tali crediti è obbligatorio effettuare un accantonamento al fondo crediti di dubbia esigibilità nel bilancio di previsione e vincolare una quota del risultato di amministrazione in sede di rendiconto</w:t>
      </w:r>
    </w:p>
    <w:p w:rsidR="00907E51" w:rsidRPr="001C56E9" w:rsidRDefault="00907E51" w:rsidP="00907E51">
      <w:pPr>
        <w:pStyle w:val="Rientrocorpodeltesto2"/>
        <w:spacing w:line="240" w:lineRule="auto"/>
        <w:ind w:left="142"/>
        <w:contextualSpacing/>
        <w:rPr>
          <w:rFonts w:ascii="Arial" w:hAnsi="Arial" w:cs="Arial"/>
          <w:sz w:val="24"/>
          <w:szCs w:val="24"/>
        </w:rPr>
      </w:pPr>
      <w:r w:rsidRPr="001C56E9">
        <w:rPr>
          <w:rFonts w:ascii="Arial" w:hAnsi="Arial" w:cs="Arial"/>
          <w:sz w:val="24"/>
          <w:szCs w:val="24"/>
        </w:rPr>
        <w:t>Ma a cosa serve ? Nel corso di ciascun esercizio, il FCDE impedisce l’utilizzo di entrate esigibili nell’esercizio, ma di dubbia e difficile esazione, a copertura di spese esigibili nel medesimo esercizio</w:t>
      </w:r>
    </w:p>
    <w:p w:rsidR="00907E51" w:rsidRPr="001C56E9" w:rsidRDefault="00907E51" w:rsidP="00907E51">
      <w:pPr>
        <w:pStyle w:val="Rientrocorpodeltesto2"/>
        <w:spacing w:line="240" w:lineRule="auto"/>
        <w:ind w:left="142"/>
        <w:contextualSpacing/>
        <w:rPr>
          <w:rFonts w:ascii="Arial" w:hAnsi="Arial" w:cs="Arial"/>
          <w:sz w:val="24"/>
          <w:szCs w:val="24"/>
        </w:rPr>
      </w:pPr>
    </w:p>
    <w:p w:rsidR="00907E51" w:rsidRPr="001C56E9" w:rsidRDefault="00907E51" w:rsidP="00907E51">
      <w:pPr>
        <w:pStyle w:val="Rientrocorpodeltesto2"/>
        <w:spacing w:line="240" w:lineRule="auto"/>
        <w:ind w:left="142"/>
        <w:contextualSpacing/>
        <w:rPr>
          <w:rFonts w:ascii="Arial" w:hAnsi="Arial" w:cs="Arial"/>
          <w:sz w:val="24"/>
          <w:szCs w:val="24"/>
        </w:rPr>
      </w:pPr>
      <w:r w:rsidRPr="001C56E9">
        <w:rPr>
          <w:rFonts w:ascii="Arial" w:hAnsi="Arial" w:cs="Arial"/>
          <w:sz w:val="24"/>
          <w:szCs w:val="24"/>
        </w:rPr>
        <w:t>Con riferimento all’accantonamento nel bilancio di previsione, il principio applicato n. 3.3 precisa che tra le spese di ciascun esercizio deve essere stanziata un’apposita posta contabile (di parte corrente i in c/capitale), denominata “accantonamento al fondo crediti di dubbia esigibilità”, il cui ammontare è determinato in relazione:</w:t>
      </w:r>
    </w:p>
    <w:p w:rsidR="00907E51" w:rsidRPr="001C56E9" w:rsidRDefault="00907E51" w:rsidP="00907E51">
      <w:pPr>
        <w:pStyle w:val="Rientrocorpodeltesto2"/>
        <w:spacing w:line="240" w:lineRule="auto"/>
        <w:ind w:left="142"/>
        <w:contextualSpacing/>
        <w:rPr>
          <w:rFonts w:ascii="Arial" w:hAnsi="Arial" w:cs="Arial"/>
          <w:sz w:val="24"/>
          <w:szCs w:val="24"/>
        </w:rPr>
      </w:pPr>
      <w:r w:rsidRPr="001C56E9">
        <w:rPr>
          <w:rFonts w:ascii="Arial" w:hAnsi="Arial" w:cs="Arial"/>
          <w:sz w:val="24"/>
          <w:szCs w:val="24"/>
        </w:rPr>
        <w:t xml:space="preserve"> </w:t>
      </w:r>
      <w:r w:rsidRPr="001C56E9">
        <w:rPr>
          <w:rFonts w:ascii="Arial" w:hAnsi="Arial" w:cs="Arial"/>
          <w:sz w:val="24"/>
          <w:szCs w:val="24"/>
        </w:rPr>
        <w:sym w:font="Symbol" w:char="F0D8"/>
      </w:r>
      <w:r w:rsidRPr="001C56E9">
        <w:rPr>
          <w:rFonts w:ascii="Arial" w:hAnsi="Arial" w:cs="Arial"/>
          <w:sz w:val="24"/>
          <w:szCs w:val="24"/>
        </w:rPr>
        <w:t xml:space="preserve"> alla dimensione degli stanziamenti relativi ai crediti di dubbia e difficile esazione che si prevede si formeranno nell’esercizio; </w:t>
      </w:r>
    </w:p>
    <w:p w:rsidR="00907E51" w:rsidRPr="001C56E9" w:rsidRDefault="00907E51" w:rsidP="00907E51">
      <w:pPr>
        <w:pStyle w:val="Rientrocorpodeltesto2"/>
        <w:spacing w:line="240" w:lineRule="auto"/>
        <w:ind w:left="142"/>
        <w:contextualSpacing/>
        <w:rPr>
          <w:rFonts w:ascii="Arial" w:hAnsi="Arial" w:cs="Arial"/>
          <w:sz w:val="24"/>
          <w:szCs w:val="24"/>
        </w:rPr>
      </w:pPr>
      <w:r w:rsidRPr="001C56E9">
        <w:rPr>
          <w:rFonts w:ascii="Arial" w:hAnsi="Arial" w:cs="Arial"/>
          <w:sz w:val="24"/>
          <w:szCs w:val="24"/>
        </w:rPr>
        <w:sym w:font="Symbol" w:char="F0D8"/>
      </w:r>
      <w:r w:rsidRPr="001C56E9">
        <w:rPr>
          <w:rFonts w:ascii="Arial" w:hAnsi="Arial" w:cs="Arial"/>
          <w:sz w:val="24"/>
          <w:szCs w:val="24"/>
        </w:rPr>
        <w:t xml:space="preserve"> alla loro natura;</w:t>
      </w:r>
    </w:p>
    <w:p w:rsidR="00907E51" w:rsidRPr="001C56E9" w:rsidRDefault="00907E51" w:rsidP="00907E51">
      <w:pPr>
        <w:pStyle w:val="Rientrocorpodeltesto2"/>
        <w:spacing w:line="240" w:lineRule="auto"/>
        <w:ind w:left="142"/>
        <w:contextualSpacing/>
        <w:rPr>
          <w:rFonts w:ascii="Arial" w:hAnsi="Arial" w:cs="Arial"/>
          <w:sz w:val="24"/>
          <w:szCs w:val="24"/>
        </w:rPr>
      </w:pPr>
      <w:r w:rsidRPr="001C56E9">
        <w:rPr>
          <w:rFonts w:ascii="Arial" w:hAnsi="Arial" w:cs="Arial"/>
          <w:sz w:val="24"/>
          <w:szCs w:val="24"/>
        </w:rPr>
        <w:t xml:space="preserve"> </w:t>
      </w:r>
      <w:r w:rsidRPr="001C56E9">
        <w:rPr>
          <w:rFonts w:ascii="Arial" w:hAnsi="Arial" w:cs="Arial"/>
          <w:sz w:val="24"/>
          <w:szCs w:val="24"/>
        </w:rPr>
        <w:sym w:font="Symbol" w:char="F0D8"/>
      </w:r>
      <w:r w:rsidRPr="001C56E9">
        <w:rPr>
          <w:rFonts w:ascii="Arial" w:hAnsi="Arial" w:cs="Arial"/>
          <w:sz w:val="24"/>
          <w:szCs w:val="24"/>
        </w:rPr>
        <w:t xml:space="preserve"> alla capacità di riscossione dei crediti di dubbia e difficile esazione nei precedenti cinque esercizi.</w:t>
      </w:r>
    </w:p>
    <w:p w:rsidR="00907E51" w:rsidRPr="001C56E9" w:rsidRDefault="00907E51" w:rsidP="00907E51">
      <w:pPr>
        <w:pStyle w:val="Rientrocorpodeltesto2"/>
        <w:spacing w:line="240" w:lineRule="auto"/>
        <w:ind w:left="142"/>
        <w:contextualSpacing/>
        <w:rPr>
          <w:rFonts w:ascii="Arial" w:hAnsi="Arial" w:cs="Arial"/>
          <w:sz w:val="24"/>
          <w:szCs w:val="24"/>
        </w:rPr>
      </w:pPr>
      <w:r w:rsidRPr="001C56E9">
        <w:rPr>
          <w:rFonts w:ascii="Arial" w:hAnsi="Arial" w:cs="Arial"/>
          <w:sz w:val="24"/>
          <w:szCs w:val="24"/>
        </w:rPr>
        <w:t>Non richiedono l’accantonamento al Fondo, in quanto considerate sicure:</w:t>
      </w:r>
    </w:p>
    <w:p w:rsidR="00907E51" w:rsidRPr="001C56E9" w:rsidRDefault="00907E51" w:rsidP="00907E51">
      <w:pPr>
        <w:pStyle w:val="Rientrocorpodeltesto2"/>
        <w:spacing w:line="240" w:lineRule="auto"/>
        <w:ind w:left="142"/>
        <w:contextualSpacing/>
        <w:rPr>
          <w:rFonts w:ascii="Arial" w:hAnsi="Arial" w:cs="Arial"/>
          <w:sz w:val="24"/>
          <w:szCs w:val="24"/>
        </w:rPr>
      </w:pPr>
      <w:r w:rsidRPr="001C56E9">
        <w:rPr>
          <w:rFonts w:ascii="Arial" w:hAnsi="Arial" w:cs="Arial"/>
          <w:sz w:val="24"/>
          <w:szCs w:val="24"/>
        </w:rPr>
        <w:t xml:space="preserve"> • i crediti da altre amministrazioni pubbliche, in quanto entrate destinate ad essere accertate a seguito dell’impegno da parte dell’amministrazione erogante;</w:t>
      </w:r>
    </w:p>
    <w:p w:rsidR="00907E51" w:rsidRPr="001C56E9" w:rsidRDefault="00907E51" w:rsidP="00907E51">
      <w:pPr>
        <w:pStyle w:val="Rientrocorpodeltesto2"/>
        <w:spacing w:line="240" w:lineRule="auto"/>
        <w:ind w:left="142"/>
        <w:contextualSpacing/>
        <w:rPr>
          <w:rFonts w:ascii="Arial" w:hAnsi="Arial" w:cs="Arial"/>
          <w:sz w:val="24"/>
          <w:szCs w:val="24"/>
        </w:rPr>
      </w:pPr>
      <w:r w:rsidRPr="001C56E9">
        <w:rPr>
          <w:rFonts w:ascii="Arial" w:hAnsi="Arial" w:cs="Arial"/>
          <w:sz w:val="24"/>
          <w:szCs w:val="24"/>
        </w:rPr>
        <w:lastRenderedPageBreak/>
        <w:t xml:space="preserve"> • i crediti assistiti da fidejussione; </w:t>
      </w:r>
    </w:p>
    <w:p w:rsidR="00907E51" w:rsidRPr="001C56E9" w:rsidRDefault="00907E51" w:rsidP="00907E51">
      <w:pPr>
        <w:pStyle w:val="Rientrocorpodeltesto2"/>
        <w:spacing w:line="240" w:lineRule="auto"/>
        <w:ind w:left="142"/>
        <w:contextualSpacing/>
        <w:rPr>
          <w:rFonts w:ascii="Arial" w:hAnsi="Arial" w:cs="Arial"/>
          <w:sz w:val="24"/>
          <w:szCs w:val="24"/>
        </w:rPr>
      </w:pPr>
      <w:r w:rsidRPr="001C56E9">
        <w:rPr>
          <w:rFonts w:ascii="Arial" w:hAnsi="Arial" w:cs="Arial"/>
          <w:sz w:val="24"/>
          <w:szCs w:val="24"/>
        </w:rPr>
        <w:t>• le entrate tributarie che, sulla base dei nuovi principi, sono accertate per cassa;</w:t>
      </w:r>
    </w:p>
    <w:p w:rsidR="00907E51" w:rsidRPr="001C56E9" w:rsidRDefault="00907E51" w:rsidP="00907E51">
      <w:pPr>
        <w:pStyle w:val="Rientrocorpodeltesto2"/>
        <w:spacing w:line="240" w:lineRule="auto"/>
        <w:ind w:left="142"/>
        <w:contextualSpacing/>
        <w:rPr>
          <w:rFonts w:ascii="Arial" w:hAnsi="Arial" w:cs="Arial"/>
          <w:sz w:val="24"/>
          <w:szCs w:val="24"/>
        </w:rPr>
      </w:pPr>
      <w:r w:rsidRPr="001C56E9">
        <w:rPr>
          <w:rFonts w:ascii="Arial" w:hAnsi="Arial" w:cs="Arial"/>
          <w:sz w:val="24"/>
          <w:szCs w:val="24"/>
        </w:rPr>
        <w:t xml:space="preserve"> • le entrate riscosse per conto di altro ente </w:t>
      </w:r>
    </w:p>
    <w:p w:rsidR="00907E51" w:rsidRPr="001C56E9" w:rsidRDefault="00907E51" w:rsidP="00907E51">
      <w:pPr>
        <w:pStyle w:val="Rientrocorpodeltesto2"/>
        <w:spacing w:line="240" w:lineRule="auto"/>
        <w:ind w:left="142"/>
        <w:contextualSpacing/>
        <w:rPr>
          <w:rFonts w:ascii="Arial" w:hAnsi="Arial" w:cs="Arial"/>
          <w:sz w:val="24"/>
          <w:szCs w:val="24"/>
        </w:rPr>
      </w:pPr>
      <w:r w:rsidRPr="001C56E9">
        <w:rPr>
          <w:rFonts w:ascii="Arial" w:hAnsi="Arial" w:cs="Arial"/>
          <w:sz w:val="24"/>
          <w:szCs w:val="24"/>
        </w:rPr>
        <w:t>Nel bilancio di previsione occorre quindi iniziare ad individuare le seguenti situazioni :</w:t>
      </w:r>
    </w:p>
    <w:p w:rsidR="00907E51" w:rsidRPr="001C56E9" w:rsidRDefault="00907E51" w:rsidP="00907E51">
      <w:pPr>
        <w:pStyle w:val="Rientrocorpodeltesto2"/>
        <w:spacing w:line="240" w:lineRule="auto"/>
        <w:ind w:left="142"/>
        <w:contextualSpacing/>
        <w:rPr>
          <w:rFonts w:ascii="Arial" w:hAnsi="Arial" w:cs="Arial"/>
          <w:sz w:val="24"/>
          <w:szCs w:val="24"/>
        </w:rPr>
      </w:pPr>
      <w:r w:rsidRPr="001C56E9">
        <w:rPr>
          <w:rFonts w:ascii="Arial" w:hAnsi="Arial" w:cs="Arial"/>
          <w:sz w:val="24"/>
          <w:szCs w:val="24"/>
        </w:rPr>
        <w:t xml:space="preserve"> 1) individuare le tipologie di entrate stanziate che possono dar luogo a crediti di dubbia e difficile esazione </w:t>
      </w:r>
    </w:p>
    <w:p w:rsidR="00907E51" w:rsidRPr="001C56E9" w:rsidRDefault="00907E51" w:rsidP="00907E51">
      <w:pPr>
        <w:pStyle w:val="Rientrocorpodeltesto2"/>
        <w:spacing w:line="240" w:lineRule="auto"/>
        <w:ind w:left="142"/>
        <w:contextualSpacing/>
        <w:rPr>
          <w:rFonts w:ascii="Arial" w:hAnsi="Arial" w:cs="Arial"/>
          <w:sz w:val="24"/>
          <w:szCs w:val="24"/>
        </w:rPr>
      </w:pPr>
      <w:r w:rsidRPr="001C56E9">
        <w:rPr>
          <w:rFonts w:ascii="Arial" w:hAnsi="Arial" w:cs="Arial"/>
          <w:sz w:val="24"/>
          <w:szCs w:val="24"/>
        </w:rPr>
        <w:t>2) calcolare, per ciascuna entrata di dubbia esigibilità, la media del rapporto tra gli incassi in c/competenza e gli accertamenti degli ultimi 5 esercizi approvati</w:t>
      </w:r>
    </w:p>
    <w:p w:rsidR="00907E51" w:rsidRPr="001C56E9" w:rsidRDefault="00907E51" w:rsidP="00907E51">
      <w:pPr>
        <w:pStyle w:val="Rientrocorpodeltesto2"/>
        <w:spacing w:line="240" w:lineRule="auto"/>
        <w:ind w:left="142"/>
        <w:contextualSpacing/>
        <w:rPr>
          <w:rFonts w:ascii="Arial" w:hAnsi="Arial" w:cs="Arial"/>
          <w:sz w:val="24"/>
          <w:szCs w:val="24"/>
        </w:rPr>
      </w:pPr>
      <w:r w:rsidRPr="001C56E9">
        <w:rPr>
          <w:rFonts w:ascii="Arial" w:hAnsi="Arial" w:cs="Arial"/>
          <w:sz w:val="24"/>
          <w:szCs w:val="24"/>
        </w:rPr>
        <w:t xml:space="preserve"> 3) determinare l’importo dell’accantonamento al Fondo, applicando agli stanziamenti le percentuali  determinate a livello statale nel dlgs 118/2011  </w:t>
      </w:r>
    </w:p>
    <w:p w:rsidR="00907E51" w:rsidRPr="001C56E9" w:rsidRDefault="00907E51" w:rsidP="00907E51">
      <w:pPr>
        <w:pStyle w:val="Rientrocorpodeltesto2"/>
        <w:spacing w:line="240" w:lineRule="auto"/>
        <w:ind w:left="142"/>
        <w:contextualSpacing/>
        <w:rPr>
          <w:rFonts w:ascii="Arial" w:hAnsi="Arial" w:cs="Arial"/>
          <w:sz w:val="24"/>
          <w:szCs w:val="24"/>
        </w:rPr>
      </w:pPr>
      <w:r w:rsidRPr="001C56E9">
        <w:rPr>
          <w:rFonts w:ascii="Arial" w:hAnsi="Arial" w:cs="Arial"/>
          <w:sz w:val="24"/>
          <w:szCs w:val="24"/>
        </w:rPr>
        <w:t>Gli enti che negli ultimi tre esercizi hanno formalmente attivato un processo di miglioramento della propria capacità di riscossione (ad esempio attraverso la creazione di unità organizzative dedicate o l’avvio di procedure di riscossione più efficaci) possono calcolare il FCDE facendo riferimento ai risultati di tali tre esercizi.</w:t>
      </w:r>
    </w:p>
    <w:p w:rsidR="00907E51" w:rsidRPr="001C56E9" w:rsidRDefault="00907E51" w:rsidP="00907E51">
      <w:pPr>
        <w:pStyle w:val="Rientrocorpodeltesto2"/>
        <w:spacing w:line="240" w:lineRule="auto"/>
        <w:ind w:left="142"/>
        <w:contextualSpacing/>
        <w:rPr>
          <w:rFonts w:ascii="Arial" w:hAnsi="Arial" w:cs="Arial"/>
          <w:sz w:val="24"/>
          <w:szCs w:val="24"/>
        </w:rPr>
      </w:pPr>
      <w:r w:rsidRPr="001C56E9">
        <w:rPr>
          <w:rFonts w:ascii="Arial" w:hAnsi="Arial" w:cs="Arial"/>
          <w:sz w:val="24"/>
          <w:szCs w:val="24"/>
        </w:rPr>
        <w:t xml:space="preserve">Al fine di consentire un avvio graduale dell’accantonamento al FCDE, è possibile stanziare nel bilancio di previsione: </w:t>
      </w:r>
    </w:p>
    <w:p w:rsidR="00907E51" w:rsidRPr="001C56E9" w:rsidRDefault="00907E51" w:rsidP="00907E51">
      <w:pPr>
        <w:pStyle w:val="Rientrocorpodeltesto2"/>
        <w:spacing w:line="240" w:lineRule="auto"/>
        <w:ind w:left="142"/>
        <w:contextualSpacing/>
        <w:rPr>
          <w:rFonts w:ascii="Arial" w:hAnsi="Arial" w:cs="Arial"/>
          <w:sz w:val="24"/>
          <w:szCs w:val="24"/>
        </w:rPr>
      </w:pPr>
      <w:r w:rsidRPr="001C56E9">
        <w:rPr>
          <w:rFonts w:ascii="Arial" w:hAnsi="Arial" w:cs="Arial"/>
          <w:sz w:val="24"/>
          <w:szCs w:val="24"/>
        </w:rPr>
        <w:sym w:font="Symbol" w:char="F0D8"/>
      </w:r>
      <w:r w:rsidRPr="001C56E9">
        <w:rPr>
          <w:rFonts w:ascii="Arial" w:hAnsi="Arial" w:cs="Arial"/>
          <w:sz w:val="24"/>
          <w:szCs w:val="24"/>
        </w:rPr>
        <w:t xml:space="preserve"> nel primo esercizio una quota almeno pari al 36% dell’importo dell’accantonamento correttamente quantificato e rappresentato nel prospetto relativo al FCDE allegato al bilancio di previsione (55% per gli enti sperimentatori); </w:t>
      </w:r>
    </w:p>
    <w:p w:rsidR="00907E51" w:rsidRPr="001C56E9" w:rsidRDefault="00907E51" w:rsidP="00907E51">
      <w:pPr>
        <w:pStyle w:val="Rientrocorpodeltesto2"/>
        <w:spacing w:line="240" w:lineRule="auto"/>
        <w:ind w:left="142"/>
        <w:contextualSpacing/>
        <w:rPr>
          <w:rFonts w:ascii="Arial" w:hAnsi="Arial" w:cs="Arial"/>
          <w:sz w:val="24"/>
          <w:szCs w:val="24"/>
        </w:rPr>
      </w:pPr>
      <w:r w:rsidRPr="001C56E9">
        <w:rPr>
          <w:rFonts w:ascii="Arial" w:hAnsi="Arial" w:cs="Arial"/>
          <w:sz w:val="24"/>
          <w:szCs w:val="24"/>
        </w:rPr>
        <w:sym w:font="Symbol" w:char="F0D8"/>
      </w:r>
      <w:r w:rsidRPr="001C56E9">
        <w:rPr>
          <w:rFonts w:ascii="Arial" w:hAnsi="Arial" w:cs="Arial"/>
          <w:sz w:val="24"/>
          <w:szCs w:val="24"/>
        </w:rPr>
        <w:t xml:space="preserve"> nel secondo esercizio una quota pari almeno al 55% dell’accantonamento, nel terzo esercizio una quota pari almeno al 70% dell’accantonamento, nel quarto esercizio una quota pari almeno al 85% dell’accantonamento ed infine, nel quinto esercizio, un accantonamento pari al 100%.</w:t>
      </w:r>
    </w:p>
    <w:p w:rsidR="00907E51" w:rsidRPr="001C56E9" w:rsidRDefault="00907E51" w:rsidP="00907E51">
      <w:pPr>
        <w:pStyle w:val="Rientrocorpodeltesto2"/>
        <w:spacing w:line="240" w:lineRule="auto"/>
        <w:ind w:left="142"/>
        <w:contextualSpacing/>
        <w:rPr>
          <w:rFonts w:ascii="Arial" w:hAnsi="Arial" w:cs="Arial"/>
          <w:sz w:val="24"/>
          <w:szCs w:val="24"/>
        </w:rPr>
      </w:pPr>
      <w:r w:rsidRPr="001C56E9">
        <w:rPr>
          <w:rFonts w:ascii="Arial" w:hAnsi="Arial" w:cs="Arial"/>
          <w:b/>
          <w:sz w:val="24"/>
          <w:szCs w:val="24"/>
        </w:rPr>
        <w:t>In occasione del rendiconto</w:t>
      </w:r>
      <w:r w:rsidRPr="001C56E9">
        <w:rPr>
          <w:rFonts w:ascii="Arial" w:hAnsi="Arial" w:cs="Arial"/>
          <w:sz w:val="24"/>
          <w:szCs w:val="24"/>
        </w:rPr>
        <w:t xml:space="preserve">, se il FCDE : </w:t>
      </w:r>
    </w:p>
    <w:p w:rsidR="00907E51" w:rsidRPr="001C56E9" w:rsidRDefault="00907E51" w:rsidP="00907E51">
      <w:pPr>
        <w:pStyle w:val="Rientrocorpodeltesto2"/>
        <w:spacing w:line="240" w:lineRule="auto"/>
        <w:ind w:left="142"/>
        <w:contextualSpacing/>
        <w:rPr>
          <w:rFonts w:ascii="Arial" w:hAnsi="Arial" w:cs="Arial"/>
          <w:sz w:val="24"/>
          <w:szCs w:val="24"/>
        </w:rPr>
      </w:pPr>
      <w:r w:rsidRPr="001C56E9">
        <w:rPr>
          <w:rFonts w:ascii="Arial" w:hAnsi="Arial" w:cs="Arial"/>
          <w:sz w:val="24"/>
          <w:szCs w:val="24"/>
        </w:rPr>
        <w:sym w:font="Symbol" w:char="F0D8"/>
      </w:r>
      <w:r w:rsidRPr="001C56E9">
        <w:rPr>
          <w:rFonts w:ascii="Arial" w:hAnsi="Arial" w:cs="Arial"/>
          <w:sz w:val="24"/>
          <w:szCs w:val="24"/>
        </w:rPr>
        <w:t xml:space="preserve"> è inferiore all’importo considerato congruo, è incrementata la quota del risultato di amministrazione dedicata al Fondo; </w:t>
      </w:r>
    </w:p>
    <w:p w:rsidR="00907E51" w:rsidRPr="001C56E9" w:rsidRDefault="00907E51" w:rsidP="00907E51">
      <w:pPr>
        <w:pStyle w:val="Rientrocorpodeltesto2"/>
        <w:spacing w:line="240" w:lineRule="auto"/>
        <w:ind w:left="142"/>
        <w:contextualSpacing/>
        <w:rPr>
          <w:rFonts w:ascii="Arial" w:hAnsi="Arial" w:cs="Arial"/>
          <w:sz w:val="24"/>
          <w:szCs w:val="24"/>
        </w:rPr>
      </w:pPr>
      <w:r w:rsidRPr="001C56E9">
        <w:rPr>
          <w:rFonts w:ascii="Arial" w:hAnsi="Arial" w:cs="Arial"/>
          <w:sz w:val="24"/>
          <w:szCs w:val="24"/>
        </w:rPr>
        <w:sym w:font="Symbol" w:char="F0D8"/>
      </w:r>
      <w:r w:rsidRPr="001C56E9">
        <w:rPr>
          <w:rFonts w:ascii="Arial" w:hAnsi="Arial" w:cs="Arial"/>
          <w:sz w:val="24"/>
          <w:szCs w:val="24"/>
        </w:rPr>
        <w:t xml:space="preserve"> risulta superiore all’importo considerato congruo, si procede allo svincolo della quota di risultato di amministrazione non necessaria</w:t>
      </w:r>
    </w:p>
    <w:p w:rsidR="00907E51" w:rsidRPr="001C56E9" w:rsidRDefault="00907E51" w:rsidP="00907E51">
      <w:pPr>
        <w:pStyle w:val="Rientrocorpodeltesto2"/>
        <w:spacing w:line="240" w:lineRule="auto"/>
        <w:ind w:left="142"/>
        <w:contextualSpacing/>
        <w:rPr>
          <w:rFonts w:ascii="Arial" w:hAnsi="Arial" w:cs="Arial"/>
          <w:sz w:val="24"/>
          <w:szCs w:val="24"/>
        </w:rPr>
      </w:pPr>
      <w:r w:rsidRPr="001C56E9">
        <w:rPr>
          <w:rFonts w:ascii="Arial" w:hAnsi="Arial" w:cs="Arial"/>
          <w:sz w:val="24"/>
          <w:szCs w:val="24"/>
        </w:rPr>
        <w:t>A seguito del riaccertamento dei residui attivi è accantonata una quota del risultato di amministrazione al fondo crediti di dubbia esigibilità. Tale accantonamento è riferito ai residui attivi relativi agli esercizi precedenti che non sono stati oggetto di cancellazione (pertanto ancora esigibili) ed è effettuato con le modalità previste per valutare la congruità del fondo in sede di rendiconto. L’ente vincola nel risultato di amministrazione l’intero importo del fondo rischi, così come quantificato nell’apposito prospetto allegato al rendiconto, anche se il risultato non dovesse essere capiente. Fino a quando il FCDE non risulterà adeguato alle prescrizioni normative non sarà possibile utilizzare l’avanzo di amministrazione non vincolato</w:t>
      </w:r>
    </w:p>
    <w:p w:rsidR="00907E51" w:rsidRPr="001C56E9" w:rsidRDefault="00907E51" w:rsidP="00907E51">
      <w:pPr>
        <w:pStyle w:val="Rientrocorpodeltesto2"/>
        <w:spacing w:line="240" w:lineRule="auto"/>
        <w:ind w:left="142"/>
        <w:contextualSpacing/>
        <w:rPr>
          <w:rFonts w:ascii="Arial" w:hAnsi="Arial" w:cs="Arial"/>
          <w:sz w:val="24"/>
          <w:szCs w:val="24"/>
        </w:rPr>
      </w:pPr>
    </w:p>
    <w:p w:rsidR="00907E51" w:rsidRPr="001C56E9" w:rsidRDefault="00907E51" w:rsidP="00907E51">
      <w:pPr>
        <w:pStyle w:val="Rientrocorpodeltesto2"/>
        <w:spacing w:line="240" w:lineRule="auto"/>
        <w:ind w:left="142"/>
        <w:contextualSpacing/>
        <w:rPr>
          <w:rFonts w:ascii="Arial" w:hAnsi="Arial" w:cs="Arial"/>
          <w:sz w:val="24"/>
          <w:szCs w:val="24"/>
        </w:rPr>
      </w:pPr>
      <w:r w:rsidRPr="001C56E9">
        <w:rPr>
          <w:rFonts w:ascii="Arial" w:hAnsi="Arial" w:cs="Arial"/>
          <w:sz w:val="24"/>
          <w:szCs w:val="24"/>
        </w:rPr>
        <w:t xml:space="preserve">Il FCDE è utilizzato in caso di cancellazione dei crediti dal conto del bilancio, riducendo di pari importo la quota di accantonamento nel risultato di amministrazione. </w:t>
      </w:r>
    </w:p>
    <w:p w:rsidR="00907E51" w:rsidRPr="001C56E9" w:rsidRDefault="00907E51" w:rsidP="00907E51">
      <w:pPr>
        <w:pStyle w:val="Rientrocorpodeltesto2"/>
        <w:spacing w:line="240" w:lineRule="auto"/>
        <w:ind w:left="142"/>
        <w:contextualSpacing/>
        <w:rPr>
          <w:rFonts w:ascii="Arial" w:hAnsi="Arial" w:cs="Arial"/>
          <w:sz w:val="24"/>
          <w:szCs w:val="24"/>
        </w:rPr>
      </w:pPr>
      <w:r w:rsidRPr="001C56E9">
        <w:rPr>
          <w:rFonts w:ascii="Arial" w:hAnsi="Arial" w:cs="Arial"/>
          <w:sz w:val="24"/>
          <w:szCs w:val="24"/>
        </w:rPr>
        <w:sym w:font="Symbol" w:char="F0D8"/>
      </w:r>
      <w:r w:rsidRPr="001C56E9">
        <w:rPr>
          <w:rFonts w:ascii="Arial" w:hAnsi="Arial" w:cs="Arial"/>
          <w:sz w:val="24"/>
          <w:szCs w:val="24"/>
        </w:rPr>
        <w:t xml:space="preserve"> Trascorsi tre anni dalla scadenza di un credito di dubbia o difficile esazione, non riscosso, il responsabile del servizio competente alla gestione dell’entrata valuta l’opportunità di operare lo stralcio di tale credito dal conto del bilancio, riducendo di pari importo il fondo accantonato nell’avanzo.</w:t>
      </w:r>
    </w:p>
    <w:p w:rsidR="00907E51" w:rsidRPr="001C56E9" w:rsidRDefault="00907E51" w:rsidP="00907E51">
      <w:pPr>
        <w:pStyle w:val="Rientrocorpodeltesto2"/>
        <w:spacing w:line="240" w:lineRule="auto"/>
        <w:ind w:left="142"/>
        <w:contextualSpacing/>
        <w:rPr>
          <w:rFonts w:ascii="Arial" w:hAnsi="Arial" w:cs="Arial"/>
          <w:sz w:val="24"/>
          <w:szCs w:val="24"/>
        </w:rPr>
      </w:pPr>
      <w:r w:rsidRPr="001C56E9">
        <w:rPr>
          <w:rFonts w:ascii="Arial" w:hAnsi="Arial" w:cs="Arial"/>
          <w:sz w:val="24"/>
          <w:szCs w:val="24"/>
        </w:rPr>
        <w:t xml:space="preserve"> </w:t>
      </w:r>
      <w:r w:rsidRPr="001C56E9">
        <w:rPr>
          <w:rFonts w:ascii="Arial" w:hAnsi="Arial" w:cs="Arial"/>
          <w:sz w:val="24"/>
          <w:szCs w:val="24"/>
        </w:rPr>
        <w:sym w:font="Symbol" w:char="F0D8"/>
      </w:r>
      <w:r w:rsidRPr="001C56E9">
        <w:rPr>
          <w:rFonts w:ascii="Arial" w:hAnsi="Arial" w:cs="Arial"/>
          <w:sz w:val="24"/>
          <w:szCs w:val="24"/>
        </w:rPr>
        <w:t xml:space="preserve"> A seguito della cancellazione dei crediti dalle scritture finanziarie, è necessario adeguare l’accantonamento all’importo riaccertato dei residui attivi.</w:t>
      </w:r>
    </w:p>
    <w:p w:rsidR="00907E51" w:rsidRPr="001C56E9" w:rsidRDefault="00907E51" w:rsidP="00907E51">
      <w:pPr>
        <w:pStyle w:val="Rientrocorpodeltesto2"/>
        <w:spacing w:line="240" w:lineRule="auto"/>
        <w:ind w:left="142"/>
        <w:contextualSpacing/>
        <w:rPr>
          <w:rFonts w:ascii="Arial" w:hAnsi="Arial" w:cs="Arial"/>
          <w:sz w:val="24"/>
          <w:szCs w:val="24"/>
        </w:rPr>
      </w:pPr>
    </w:p>
    <w:p w:rsidR="00907E51" w:rsidRPr="001C56E9" w:rsidRDefault="00907E51" w:rsidP="00907E51">
      <w:pPr>
        <w:pStyle w:val="Rientrocorpodeltesto2"/>
        <w:spacing w:line="240" w:lineRule="auto"/>
        <w:ind w:left="142"/>
        <w:contextualSpacing/>
        <w:rPr>
          <w:rFonts w:ascii="Arial" w:hAnsi="Arial" w:cs="Arial"/>
          <w:color w:val="000000"/>
          <w:sz w:val="24"/>
          <w:szCs w:val="24"/>
        </w:rPr>
      </w:pPr>
    </w:p>
    <w:p w:rsidR="00907E51" w:rsidRPr="001C56E9" w:rsidRDefault="00907E51" w:rsidP="00907E51">
      <w:pPr>
        <w:pStyle w:val="Rientrocorpodeltesto2"/>
        <w:spacing w:line="240" w:lineRule="auto"/>
        <w:ind w:left="142"/>
        <w:contextualSpacing/>
        <w:rPr>
          <w:rFonts w:ascii="Arial" w:hAnsi="Arial" w:cs="Arial"/>
          <w:b/>
          <w:color w:val="000000"/>
          <w:sz w:val="24"/>
          <w:szCs w:val="24"/>
        </w:rPr>
      </w:pPr>
    </w:p>
    <w:p w:rsidR="00907E51" w:rsidRPr="001C56E9" w:rsidRDefault="00907E51" w:rsidP="00907E51">
      <w:pPr>
        <w:pStyle w:val="Rientrocorpodeltesto2"/>
        <w:spacing w:line="240" w:lineRule="auto"/>
        <w:ind w:left="142"/>
        <w:contextualSpacing/>
        <w:rPr>
          <w:rFonts w:ascii="Arial" w:hAnsi="Arial" w:cs="Arial"/>
          <w:b/>
          <w:sz w:val="24"/>
          <w:szCs w:val="24"/>
        </w:rPr>
      </w:pPr>
    </w:p>
    <w:p w:rsidR="00907E51" w:rsidRPr="001C56E9" w:rsidRDefault="00907E51" w:rsidP="00907E51">
      <w:pPr>
        <w:pStyle w:val="Rientrocorpodeltesto2"/>
        <w:spacing w:line="240" w:lineRule="auto"/>
        <w:ind w:left="142"/>
        <w:contextualSpacing/>
        <w:rPr>
          <w:rFonts w:ascii="Arial" w:hAnsi="Arial" w:cs="Arial"/>
          <w:sz w:val="24"/>
          <w:szCs w:val="24"/>
        </w:rPr>
      </w:pPr>
      <w:r w:rsidRPr="001C56E9">
        <w:rPr>
          <w:rFonts w:ascii="Arial" w:hAnsi="Arial" w:cs="Arial"/>
          <w:b/>
          <w:sz w:val="24"/>
          <w:szCs w:val="24"/>
        </w:rPr>
        <w:lastRenderedPageBreak/>
        <w:t>Piano degli indicatori e dei risultati attesi di bilancio</w:t>
      </w:r>
      <w:r w:rsidRPr="001C56E9">
        <w:rPr>
          <w:rFonts w:ascii="Arial" w:hAnsi="Arial" w:cs="Arial"/>
          <w:sz w:val="24"/>
          <w:szCs w:val="24"/>
        </w:rPr>
        <w:t xml:space="preserve"> Al fine di consentire la comparazione dei bilanci, gli enti adottano un sistema di indicatori semplici, denominato “Piano degli indicatori e dei risultati attesi di bilancio” misurabili e riferiti ai programmi e agli altri aggregati del bilancio, costruiti secondo criteri e metodologie comuni. Le regioni e i loro enti ed organismi strumentali, entro 30 giorni dall’approvazione del bilancio di previsione o del budget di esercizio e del bilancio consuntivo o del bilancio di esercizio, presentano il documento il quale è parte integrante dei documenti di programmazione e di bilancio di ciascuna amministrazione pubblica. Il sistema comune di indicatori di risultato delle Regioni e dei loro enti ed organismi strumentali, è definito con decreto del ministero dell’economia e delle finanze su proposta della Commissione sull’armonizzazione contabile degli enti territoriali. Il sistema comune di indicatori di risultato degli enti locali e dei loro enti ed organismi strumentali, è definito con decreto del ministero dell’interno, su proposta della Commissione sull’armonizzazione contabile degli enti territoriali. L’adozione del Piano è obbligatoria </w:t>
      </w:r>
    </w:p>
    <w:p w:rsidR="00907E51" w:rsidRPr="001C56E9" w:rsidRDefault="00907E51" w:rsidP="00907E51">
      <w:pPr>
        <w:pStyle w:val="Rientrocorpodeltesto2"/>
        <w:spacing w:line="240" w:lineRule="auto"/>
        <w:ind w:left="142"/>
        <w:contextualSpacing/>
        <w:rPr>
          <w:rFonts w:ascii="Arial" w:hAnsi="Arial" w:cs="Arial"/>
          <w:sz w:val="24"/>
          <w:szCs w:val="24"/>
        </w:rPr>
      </w:pPr>
    </w:p>
    <w:p w:rsidR="00907E51" w:rsidRPr="001C56E9" w:rsidRDefault="00907E51" w:rsidP="00907E51">
      <w:pPr>
        <w:pStyle w:val="Rientrocorpodeltesto2"/>
        <w:spacing w:line="240" w:lineRule="auto"/>
        <w:ind w:left="142"/>
        <w:contextualSpacing/>
        <w:rPr>
          <w:rFonts w:ascii="Arial" w:hAnsi="Arial" w:cs="Arial"/>
          <w:b/>
          <w:sz w:val="24"/>
          <w:szCs w:val="24"/>
        </w:rPr>
      </w:pPr>
      <w:r w:rsidRPr="001C56E9">
        <w:rPr>
          <w:rFonts w:ascii="Arial" w:hAnsi="Arial" w:cs="Arial"/>
          <w:b/>
          <w:sz w:val="24"/>
          <w:szCs w:val="24"/>
        </w:rPr>
        <w:t>FONDO PLURIENNALE VINCOLATO</w:t>
      </w:r>
    </w:p>
    <w:p w:rsidR="00907E51" w:rsidRPr="001C56E9" w:rsidRDefault="00907E51" w:rsidP="00907E51">
      <w:pPr>
        <w:pStyle w:val="Rientrocorpodeltesto2"/>
        <w:spacing w:line="240" w:lineRule="auto"/>
        <w:ind w:left="142"/>
        <w:contextualSpacing/>
        <w:rPr>
          <w:rFonts w:ascii="Arial" w:hAnsi="Arial" w:cs="Arial"/>
          <w:sz w:val="24"/>
          <w:szCs w:val="24"/>
        </w:rPr>
      </w:pPr>
      <w:r w:rsidRPr="001C56E9">
        <w:rPr>
          <w:rFonts w:ascii="Arial" w:hAnsi="Arial" w:cs="Arial"/>
          <w:sz w:val="24"/>
          <w:szCs w:val="24"/>
        </w:rPr>
        <w:t>l Fondo Pluriennale Vincolato (FVP) è costituito da risorse accertate in un determinato esercizio, destinate al finanziamento di spese già impegnate ma esigibili in esercizi successivi</w:t>
      </w:r>
    </w:p>
    <w:p w:rsidR="00907E51" w:rsidRPr="001C56E9" w:rsidRDefault="00907E51" w:rsidP="00907E51">
      <w:pPr>
        <w:pStyle w:val="Rientrocorpodeltesto2"/>
        <w:spacing w:line="240" w:lineRule="auto"/>
        <w:ind w:left="142"/>
        <w:contextualSpacing/>
        <w:rPr>
          <w:rFonts w:ascii="Arial" w:hAnsi="Arial" w:cs="Arial"/>
          <w:sz w:val="24"/>
          <w:szCs w:val="24"/>
        </w:rPr>
      </w:pPr>
      <w:r w:rsidRPr="001C56E9">
        <w:rPr>
          <w:rFonts w:ascii="Arial" w:hAnsi="Arial" w:cs="Arial"/>
          <w:sz w:val="24"/>
          <w:szCs w:val="24"/>
        </w:rPr>
        <w:t xml:space="preserve">Il principio contabile 4.2. precisa che deve essere garantita « la piena copertura finanziaria degli impegni di spesa giuridicamente assunti a prescindere dall’esercizio finanziario in cui gli stessi sono imputati (ESEMPIO REALIZZAZIONE OPERA PUBBLICA in più anni </w:t>
      </w:r>
    </w:p>
    <w:p w:rsidR="00907E51" w:rsidRPr="001C56E9" w:rsidRDefault="00907E51" w:rsidP="00907E51">
      <w:pPr>
        <w:pStyle w:val="Rientrocorpodeltesto2"/>
        <w:spacing w:line="240" w:lineRule="auto"/>
        <w:ind w:left="142"/>
        <w:contextualSpacing/>
        <w:rPr>
          <w:rFonts w:ascii="Arial" w:hAnsi="Arial" w:cs="Arial"/>
          <w:sz w:val="24"/>
          <w:szCs w:val="24"/>
        </w:rPr>
      </w:pPr>
      <w:r w:rsidRPr="001C56E9">
        <w:rPr>
          <w:rFonts w:ascii="Arial" w:hAnsi="Arial" w:cs="Arial"/>
          <w:sz w:val="24"/>
          <w:szCs w:val="24"/>
        </w:rPr>
        <w:t xml:space="preserve">Le entrate vincolate destinate alla copertura di spese impegnate e imputate agli esercizi successivi sono rappresentate nel fondo pluriennale vincolato. </w:t>
      </w:r>
    </w:p>
    <w:p w:rsidR="00907E51" w:rsidRPr="001C56E9" w:rsidRDefault="00907E51" w:rsidP="00907E51">
      <w:pPr>
        <w:pStyle w:val="Rientrocorpodeltesto2"/>
        <w:spacing w:line="240" w:lineRule="auto"/>
        <w:ind w:left="142"/>
        <w:contextualSpacing/>
        <w:rPr>
          <w:rFonts w:ascii="Arial" w:hAnsi="Arial" w:cs="Arial"/>
          <w:sz w:val="24"/>
          <w:szCs w:val="24"/>
        </w:rPr>
      </w:pPr>
      <w:r w:rsidRPr="001C56E9">
        <w:rPr>
          <w:rFonts w:ascii="Arial" w:hAnsi="Arial" w:cs="Arial"/>
          <w:sz w:val="24"/>
          <w:szCs w:val="24"/>
        </w:rPr>
        <w:t>Le entrate vincolate destinate alla copertura di spese non ancora impegnate (in assenza di obbligazioni giuridicamente perfezionate) sono rappresentate contabilmente nella quota vincolata del risultato di amministrazione.</w:t>
      </w:r>
    </w:p>
    <w:p w:rsidR="00907E51" w:rsidRPr="001C56E9" w:rsidRDefault="00907E51" w:rsidP="00907E51">
      <w:pPr>
        <w:pStyle w:val="Rientrocorpodeltesto2"/>
        <w:spacing w:line="240" w:lineRule="auto"/>
        <w:ind w:left="142"/>
        <w:contextualSpacing/>
        <w:rPr>
          <w:rFonts w:ascii="Arial" w:hAnsi="Arial" w:cs="Arial"/>
          <w:sz w:val="24"/>
          <w:szCs w:val="24"/>
        </w:rPr>
      </w:pPr>
      <w:r w:rsidRPr="001C56E9">
        <w:rPr>
          <w:rFonts w:ascii="Arial" w:hAnsi="Arial" w:cs="Arial"/>
          <w:sz w:val="24"/>
          <w:szCs w:val="24"/>
        </w:rPr>
        <w:t xml:space="preserve">Non è corretto costituire il fondo pluriennale vincolato: </w:t>
      </w:r>
    </w:p>
    <w:p w:rsidR="00907E51" w:rsidRPr="001C56E9" w:rsidRDefault="00907E51" w:rsidP="00907E51">
      <w:pPr>
        <w:pStyle w:val="Rientrocorpodeltesto2"/>
        <w:spacing w:line="240" w:lineRule="auto"/>
        <w:ind w:left="142"/>
        <w:contextualSpacing/>
        <w:rPr>
          <w:rFonts w:ascii="Arial" w:hAnsi="Arial" w:cs="Arial"/>
          <w:sz w:val="24"/>
          <w:szCs w:val="24"/>
        </w:rPr>
      </w:pPr>
      <w:r w:rsidRPr="001C56E9">
        <w:rPr>
          <w:rFonts w:ascii="Arial" w:hAnsi="Arial" w:cs="Arial"/>
          <w:sz w:val="24"/>
          <w:szCs w:val="24"/>
        </w:rPr>
        <w:sym w:font="Symbol" w:char="F0D8"/>
      </w:r>
      <w:r w:rsidRPr="001C56E9">
        <w:rPr>
          <w:rFonts w:ascii="Arial" w:hAnsi="Arial" w:cs="Arial"/>
          <w:sz w:val="24"/>
          <w:szCs w:val="24"/>
        </w:rPr>
        <w:t xml:space="preserve"> a fronte di entrate vincolate non ancora spese, ovvero in assenza dei correlati impegni, imputati agli esercizi successivi;</w:t>
      </w:r>
    </w:p>
    <w:p w:rsidR="00907E51" w:rsidRPr="001C56E9" w:rsidRDefault="00907E51" w:rsidP="00907E51">
      <w:pPr>
        <w:pStyle w:val="Rientrocorpodeltesto2"/>
        <w:spacing w:line="240" w:lineRule="auto"/>
        <w:ind w:left="142"/>
        <w:contextualSpacing/>
        <w:rPr>
          <w:rFonts w:ascii="Arial" w:hAnsi="Arial" w:cs="Arial"/>
          <w:sz w:val="24"/>
          <w:szCs w:val="24"/>
        </w:rPr>
      </w:pPr>
      <w:r w:rsidRPr="001C56E9">
        <w:rPr>
          <w:rFonts w:ascii="Arial" w:hAnsi="Arial" w:cs="Arial"/>
          <w:sz w:val="24"/>
          <w:szCs w:val="24"/>
        </w:rPr>
        <w:t xml:space="preserve"> </w:t>
      </w:r>
      <w:r w:rsidRPr="001C56E9">
        <w:rPr>
          <w:rFonts w:ascii="Arial" w:hAnsi="Arial" w:cs="Arial"/>
          <w:sz w:val="24"/>
          <w:szCs w:val="24"/>
        </w:rPr>
        <w:sym w:font="Symbol" w:char="F0D8"/>
      </w:r>
      <w:r w:rsidRPr="001C56E9">
        <w:rPr>
          <w:rFonts w:ascii="Arial" w:hAnsi="Arial" w:cs="Arial"/>
          <w:sz w:val="24"/>
          <w:szCs w:val="24"/>
        </w:rPr>
        <w:t xml:space="preserve"> per le spese pluriennali finanziate da entrate pluriennali; </w:t>
      </w:r>
    </w:p>
    <w:p w:rsidR="00907E51" w:rsidRPr="001C56E9" w:rsidRDefault="00907E51" w:rsidP="00907E51">
      <w:pPr>
        <w:pStyle w:val="Rientrocorpodeltesto2"/>
        <w:spacing w:line="240" w:lineRule="auto"/>
        <w:ind w:left="142"/>
        <w:contextualSpacing/>
        <w:rPr>
          <w:rFonts w:ascii="Arial" w:hAnsi="Arial" w:cs="Arial"/>
          <w:sz w:val="24"/>
          <w:szCs w:val="24"/>
        </w:rPr>
      </w:pPr>
      <w:r w:rsidRPr="001C56E9">
        <w:rPr>
          <w:rFonts w:ascii="Arial" w:hAnsi="Arial" w:cs="Arial"/>
          <w:sz w:val="24"/>
          <w:szCs w:val="24"/>
        </w:rPr>
        <w:sym w:font="Symbol" w:char="F0D8"/>
      </w:r>
      <w:r w:rsidRPr="001C56E9">
        <w:rPr>
          <w:rFonts w:ascii="Arial" w:hAnsi="Arial" w:cs="Arial"/>
          <w:sz w:val="24"/>
          <w:szCs w:val="24"/>
        </w:rPr>
        <w:t xml:space="preserve"> per le entrate vincolate destinate a dare copertura a spese impegnate e imputate allo stesso esercizio in cui l’entrata è accertata e imputata.</w:t>
      </w:r>
    </w:p>
    <w:p w:rsidR="00907E51" w:rsidRPr="001C56E9" w:rsidRDefault="00907E51" w:rsidP="00907E51">
      <w:pPr>
        <w:pStyle w:val="Rientrocorpodeltesto2"/>
        <w:spacing w:line="240" w:lineRule="auto"/>
        <w:ind w:left="142"/>
        <w:contextualSpacing/>
        <w:rPr>
          <w:rFonts w:ascii="Arial" w:hAnsi="Arial" w:cs="Arial"/>
          <w:sz w:val="24"/>
          <w:szCs w:val="24"/>
        </w:rPr>
      </w:pPr>
      <w:r w:rsidRPr="001C56E9">
        <w:rPr>
          <w:rFonts w:ascii="Arial" w:hAnsi="Arial" w:cs="Arial"/>
          <w:sz w:val="24"/>
          <w:szCs w:val="24"/>
        </w:rPr>
        <w:t xml:space="preserve">Di norma, il fondo pluriennale vincolato è costituito solo da entrate vincolate derivanti da: </w:t>
      </w:r>
    </w:p>
    <w:p w:rsidR="00907E51" w:rsidRPr="001C56E9" w:rsidRDefault="00907E51" w:rsidP="00907E51">
      <w:pPr>
        <w:pStyle w:val="Rientrocorpodeltesto2"/>
        <w:spacing w:line="240" w:lineRule="auto"/>
        <w:ind w:left="142"/>
        <w:contextualSpacing/>
        <w:rPr>
          <w:rFonts w:ascii="Arial" w:hAnsi="Arial" w:cs="Arial"/>
          <w:sz w:val="24"/>
          <w:szCs w:val="24"/>
        </w:rPr>
      </w:pPr>
      <w:r w:rsidRPr="001C56E9">
        <w:rPr>
          <w:rFonts w:ascii="Arial" w:hAnsi="Arial" w:cs="Arial"/>
          <w:sz w:val="24"/>
          <w:szCs w:val="24"/>
        </w:rPr>
        <w:t>a) vincoli di legge,</w:t>
      </w:r>
    </w:p>
    <w:p w:rsidR="00907E51" w:rsidRPr="001C56E9" w:rsidRDefault="00907E51" w:rsidP="00907E51">
      <w:pPr>
        <w:pStyle w:val="Rientrocorpodeltesto2"/>
        <w:spacing w:line="240" w:lineRule="auto"/>
        <w:ind w:left="142"/>
        <w:contextualSpacing/>
        <w:rPr>
          <w:rFonts w:ascii="Arial" w:hAnsi="Arial" w:cs="Arial"/>
          <w:sz w:val="24"/>
          <w:szCs w:val="24"/>
        </w:rPr>
      </w:pPr>
      <w:r w:rsidRPr="001C56E9">
        <w:rPr>
          <w:rFonts w:ascii="Arial" w:hAnsi="Arial" w:cs="Arial"/>
          <w:sz w:val="24"/>
          <w:szCs w:val="24"/>
        </w:rPr>
        <w:t xml:space="preserve">b)debiti per il finanziamento di investimenti, </w:t>
      </w:r>
    </w:p>
    <w:p w:rsidR="00907E51" w:rsidRPr="001C56E9" w:rsidRDefault="00907E51" w:rsidP="00907E51">
      <w:pPr>
        <w:pStyle w:val="Rientrocorpodeltesto2"/>
        <w:spacing w:line="240" w:lineRule="auto"/>
        <w:ind w:left="142"/>
        <w:contextualSpacing/>
        <w:rPr>
          <w:rFonts w:ascii="Arial" w:hAnsi="Arial" w:cs="Arial"/>
          <w:sz w:val="24"/>
          <w:szCs w:val="24"/>
        </w:rPr>
      </w:pPr>
      <w:r w:rsidRPr="001C56E9">
        <w:rPr>
          <w:rFonts w:ascii="Arial" w:hAnsi="Arial" w:cs="Arial"/>
          <w:sz w:val="24"/>
          <w:szCs w:val="24"/>
        </w:rPr>
        <w:t xml:space="preserve">c) trasferimenti a destinazione vincolata, </w:t>
      </w:r>
    </w:p>
    <w:p w:rsidR="00907E51" w:rsidRPr="001C56E9" w:rsidRDefault="00907E51" w:rsidP="00907E51">
      <w:pPr>
        <w:pStyle w:val="Rientrocorpodeltesto2"/>
        <w:spacing w:line="240" w:lineRule="auto"/>
        <w:ind w:left="142"/>
        <w:contextualSpacing/>
        <w:rPr>
          <w:rFonts w:ascii="Arial" w:hAnsi="Arial" w:cs="Arial"/>
          <w:sz w:val="24"/>
          <w:szCs w:val="24"/>
        </w:rPr>
      </w:pPr>
      <w:r w:rsidRPr="001C56E9">
        <w:rPr>
          <w:rFonts w:ascii="Arial" w:hAnsi="Arial" w:cs="Arial"/>
          <w:sz w:val="24"/>
          <w:szCs w:val="24"/>
        </w:rPr>
        <w:t>d)vincoli stabiliti dall’ente per entrate straordinarie, non aventi natura ricorrente, accertate e riscosse</w:t>
      </w:r>
    </w:p>
    <w:p w:rsidR="00907E51" w:rsidRPr="001C56E9" w:rsidRDefault="00907E51" w:rsidP="00907E51">
      <w:pPr>
        <w:pStyle w:val="Rientrocorpodeltesto2"/>
        <w:spacing w:line="240" w:lineRule="auto"/>
        <w:ind w:left="142"/>
        <w:contextualSpacing/>
        <w:rPr>
          <w:rFonts w:ascii="Arial" w:hAnsi="Arial" w:cs="Arial"/>
          <w:sz w:val="24"/>
          <w:szCs w:val="24"/>
        </w:rPr>
      </w:pPr>
      <w:r w:rsidRPr="001C56E9">
        <w:rPr>
          <w:rFonts w:ascii="Arial" w:hAnsi="Arial" w:cs="Arial"/>
          <w:sz w:val="24"/>
          <w:szCs w:val="24"/>
        </w:rPr>
        <w:t>Il fondo pluriennale vincolato può essere costituito da entrate non vincolate se costituito in occasione del riaccertamento ordinario o straordinario dei residui.</w:t>
      </w:r>
    </w:p>
    <w:p w:rsidR="00907E51" w:rsidRPr="001C56E9" w:rsidRDefault="00907E51" w:rsidP="00907E51">
      <w:pPr>
        <w:pStyle w:val="Rientrocorpodeltesto2"/>
        <w:spacing w:line="240" w:lineRule="auto"/>
        <w:ind w:left="142"/>
        <w:contextualSpacing/>
        <w:rPr>
          <w:rFonts w:ascii="Arial" w:hAnsi="Arial" w:cs="Arial"/>
          <w:sz w:val="24"/>
          <w:szCs w:val="24"/>
        </w:rPr>
      </w:pPr>
    </w:p>
    <w:p w:rsidR="00907E51" w:rsidRPr="001C56E9" w:rsidRDefault="00907E51" w:rsidP="00907E51">
      <w:pPr>
        <w:pStyle w:val="Rientrocorpodeltesto2"/>
        <w:spacing w:line="240" w:lineRule="auto"/>
        <w:ind w:left="142"/>
        <w:contextualSpacing/>
        <w:rPr>
          <w:rFonts w:ascii="Arial" w:hAnsi="Arial" w:cs="Arial"/>
          <w:sz w:val="24"/>
          <w:szCs w:val="24"/>
        </w:rPr>
      </w:pPr>
      <w:r w:rsidRPr="001C56E9">
        <w:rPr>
          <w:rFonts w:ascii="Arial" w:hAnsi="Arial" w:cs="Arial"/>
          <w:sz w:val="24"/>
          <w:szCs w:val="24"/>
        </w:rPr>
        <w:t>La conciliazione dei due capisaldi su cui si basa la competenza potenziata ed il rispetto del cosiddetto “equilibrio di esigibilità” ha reso necessario l’introduzione di un nuovo istituto contabile chiamato Fondo Pluriennale Vincolato (di seguito anche FPV), che assicura la simmetria tra l’acquisizione dell’entrata ed il suo utilizzo (equilibrio tra debito e credito).</w:t>
      </w:r>
    </w:p>
    <w:p w:rsidR="00907E51" w:rsidRPr="001C56E9" w:rsidRDefault="00907E51" w:rsidP="00907E51">
      <w:pPr>
        <w:pStyle w:val="Rientrocorpodeltesto2"/>
        <w:spacing w:line="240" w:lineRule="auto"/>
        <w:ind w:left="142"/>
        <w:contextualSpacing/>
        <w:rPr>
          <w:rFonts w:ascii="Arial" w:hAnsi="Arial" w:cs="Arial"/>
          <w:sz w:val="24"/>
          <w:szCs w:val="24"/>
        </w:rPr>
      </w:pPr>
    </w:p>
    <w:p w:rsidR="00907E51" w:rsidRPr="001C56E9" w:rsidRDefault="00907E51" w:rsidP="00907E51">
      <w:pPr>
        <w:pStyle w:val="Rientrocorpodeltesto2"/>
        <w:spacing w:line="240" w:lineRule="auto"/>
        <w:ind w:left="142"/>
        <w:contextualSpacing/>
        <w:rPr>
          <w:rFonts w:ascii="Arial" w:hAnsi="Arial" w:cs="Arial"/>
          <w:sz w:val="24"/>
          <w:szCs w:val="24"/>
        </w:rPr>
      </w:pPr>
      <w:r w:rsidRPr="001C56E9">
        <w:rPr>
          <w:rFonts w:ascii="Arial" w:hAnsi="Arial" w:cs="Arial"/>
          <w:sz w:val="24"/>
          <w:szCs w:val="24"/>
        </w:rPr>
        <w:lastRenderedPageBreak/>
        <w:t>Fpv parte entrata</w:t>
      </w:r>
      <w:r w:rsidRPr="001C56E9">
        <w:rPr>
          <w:rFonts w:ascii="Arial" w:hAnsi="Arial" w:cs="Arial"/>
          <w:sz w:val="24"/>
          <w:szCs w:val="24"/>
        </w:rPr>
        <w:sym w:font="Wingdings" w:char="F0E0"/>
      </w:r>
      <w:r w:rsidRPr="001C56E9">
        <w:rPr>
          <w:rFonts w:ascii="Arial" w:hAnsi="Arial" w:cs="Arial"/>
          <w:sz w:val="24"/>
          <w:szCs w:val="24"/>
        </w:rPr>
        <w:t xml:space="preserve"> Rappresenta il riporto a nuovo esercizio delle risorse che, nell’esercizio precedente, erano state accantonate, garantendo così la copertura finanziaria di spese che sono state imputate all’esercizio o agli esercizi successivi</w:t>
      </w:r>
    </w:p>
    <w:p w:rsidR="00907E51" w:rsidRPr="001C56E9" w:rsidRDefault="00907E51" w:rsidP="00907E51">
      <w:pPr>
        <w:pStyle w:val="Rientrocorpodeltesto2"/>
        <w:spacing w:line="240" w:lineRule="auto"/>
        <w:ind w:left="142"/>
        <w:contextualSpacing/>
        <w:rPr>
          <w:rFonts w:ascii="Arial" w:hAnsi="Arial" w:cs="Arial"/>
          <w:sz w:val="24"/>
          <w:szCs w:val="24"/>
        </w:rPr>
      </w:pPr>
      <w:r w:rsidRPr="001C56E9">
        <w:rPr>
          <w:rFonts w:ascii="Arial" w:hAnsi="Arial" w:cs="Arial"/>
          <w:sz w:val="24"/>
          <w:szCs w:val="24"/>
        </w:rPr>
        <w:t>FPV parte spesa</w:t>
      </w:r>
      <w:r w:rsidRPr="001C56E9">
        <w:rPr>
          <w:rFonts w:ascii="Arial" w:hAnsi="Arial" w:cs="Arial"/>
          <w:sz w:val="24"/>
          <w:szCs w:val="24"/>
        </w:rPr>
        <w:sym w:font="Wingdings" w:char="F0E0"/>
      </w:r>
      <w:r w:rsidRPr="001C56E9">
        <w:rPr>
          <w:rFonts w:ascii="Arial" w:hAnsi="Arial" w:cs="Arial"/>
          <w:sz w:val="24"/>
          <w:szCs w:val="24"/>
        </w:rPr>
        <w:t xml:space="preserve"> rappresenta l’accantonamento delle risorse necessario a garantire il pareggio del bilancio con l’entrata ad essa destinata. Tale accantonamento, non essendo impegnato a fine anno, viene riportato a nuovo esercizio in maniera del tutto analoga a quanto accade con l’avanzo di amministrazione</w:t>
      </w:r>
    </w:p>
    <w:p w:rsidR="00907E51" w:rsidRPr="001C56E9" w:rsidRDefault="00907E51" w:rsidP="00907E51">
      <w:pPr>
        <w:pStyle w:val="Rientrocorpodeltesto2"/>
        <w:spacing w:line="240" w:lineRule="auto"/>
        <w:ind w:left="142"/>
        <w:contextualSpacing/>
        <w:rPr>
          <w:rFonts w:ascii="Arial" w:hAnsi="Arial" w:cs="Arial"/>
          <w:sz w:val="24"/>
          <w:szCs w:val="24"/>
        </w:rPr>
      </w:pPr>
    </w:p>
    <w:p w:rsidR="00907E51" w:rsidRPr="001C56E9" w:rsidRDefault="00907E51" w:rsidP="00907E51">
      <w:pPr>
        <w:pStyle w:val="Rientrocorpodeltesto2"/>
        <w:spacing w:line="240" w:lineRule="auto"/>
        <w:ind w:left="142"/>
        <w:contextualSpacing/>
        <w:rPr>
          <w:rFonts w:ascii="Arial" w:hAnsi="Arial" w:cs="Arial"/>
          <w:sz w:val="24"/>
          <w:szCs w:val="24"/>
        </w:rPr>
      </w:pPr>
      <w:r w:rsidRPr="001C56E9">
        <w:rPr>
          <w:rFonts w:ascii="Arial" w:hAnsi="Arial" w:cs="Arial"/>
          <w:sz w:val="24"/>
          <w:szCs w:val="24"/>
        </w:rPr>
        <w:t xml:space="preserve">Nel caso di investimenti in corso di definizione, per i quali non è possibile definire il cronoprogramma della spesa, l’importo del fondo pluriennale vincolato del primo esercizio corrisponde a quello dello stanziamento (ma non viene “ripreso” in entrata del bilancio successivo); </w:t>
      </w:r>
    </w:p>
    <w:p w:rsidR="00907E51" w:rsidRPr="001C56E9" w:rsidRDefault="00907E51" w:rsidP="00907E51">
      <w:pPr>
        <w:pStyle w:val="Rientrocorpodeltesto2"/>
        <w:spacing w:line="240" w:lineRule="auto"/>
        <w:ind w:left="142"/>
        <w:contextualSpacing/>
        <w:rPr>
          <w:rFonts w:ascii="Arial" w:hAnsi="Arial" w:cs="Arial"/>
          <w:sz w:val="24"/>
          <w:szCs w:val="24"/>
        </w:rPr>
      </w:pPr>
      <w:r w:rsidRPr="001C56E9">
        <w:rPr>
          <w:rFonts w:ascii="Arial" w:hAnsi="Arial" w:cs="Arial"/>
          <w:sz w:val="24"/>
          <w:szCs w:val="24"/>
        </w:rPr>
        <w:t>Nel corso dell’esercizio, a seguito della definizione del cronoprogramma si apportano le necessarie variazioni a ciascuno degli esercizi considerati nel bilancio di previsione, per stanziare correttamente la spesa ed il fondo pluriennale negli esercizi di competenza</w:t>
      </w:r>
    </w:p>
    <w:p w:rsidR="00907E51" w:rsidRPr="001C56E9" w:rsidRDefault="00907E51" w:rsidP="00907E51">
      <w:pPr>
        <w:pStyle w:val="Rientrocorpodeltesto2"/>
        <w:spacing w:line="240" w:lineRule="auto"/>
        <w:ind w:left="142"/>
        <w:contextualSpacing/>
        <w:rPr>
          <w:rFonts w:ascii="Arial" w:hAnsi="Arial" w:cs="Arial"/>
          <w:sz w:val="24"/>
          <w:szCs w:val="24"/>
        </w:rPr>
      </w:pPr>
    </w:p>
    <w:p w:rsidR="00907E51" w:rsidRPr="001C56E9" w:rsidRDefault="00907E51" w:rsidP="00907E51">
      <w:pPr>
        <w:pStyle w:val="Rientrocorpodeltesto2"/>
        <w:spacing w:line="240" w:lineRule="auto"/>
        <w:ind w:left="142"/>
        <w:contextualSpacing/>
        <w:rPr>
          <w:rFonts w:ascii="Arial" w:hAnsi="Arial" w:cs="Arial"/>
          <w:sz w:val="24"/>
          <w:szCs w:val="24"/>
        </w:rPr>
      </w:pPr>
      <w:r w:rsidRPr="001C56E9">
        <w:rPr>
          <w:rFonts w:ascii="Arial" w:hAnsi="Arial" w:cs="Arial"/>
          <w:sz w:val="24"/>
          <w:szCs w:val="24"/>
        </w:rPr>
        <w:t>In sede di rendiconto, IL FONDO PLURIENNALE VINCOLATO NON SI COSTITUISCE, se le spese degli esercizi successivi per cui è stato accantonato, non sono state impegnate. Tali risorse confluiscono nella quota vincolata dell’avanzo di amministrazione.</w:t>
      </w:r>
    </w:p>
    <w:p w:rsidR="00907E51" w:rsidRPr="001C56E9" w:rsidRDefault="00907E51" w:rsidP="00907E51">
      <w:pPr>
        <w:pStyle w:val="Rientrocorpodeltesto2"/>
        <w:spacing w:line="240" w:lineRule="auto"/>
        <w:ind w:left="142"/>
        <w:contextualSpacing/>
        <w:rPr>
          <w:rFonts w:ascii="Arial" w:hAnsi="Arial" w:cs="Arial"/>
          <w:sz w:val="24"/>
          <w:szCs w:val="24"/>
        </w:rPr>
      </w:pPr>
      <w:r w:rsidRPr="001C56E9">
        <w:rPr>
          <w:rFonts w:ascii="Arial" w:hAnsi="Arial" w:cs="Arial"/>
          <w:sz w:val="24"/>
          <w:szCs w:val="24"/>
        </w:rPr>
        <w:t>Al consuntivo è allegato un prospetto che evidenzia la corrispondenza tra l’importo definitivo degli stanziamenti di spesa riguardanti il fondo pluriennale e gli impegni assunti con imputazione agli esercizi successivi.</w:t>
      </w:r>
    </w:p>
    <w:p w:rsidR="00907E51" w:rsidRPr="001C56E9" w:rsidRDefault="00907E51" w:rsidP="00907E51">
      <w:pPr>
        <w:pStyle w:val="Rientrocorpodeltesto2"/>
        <w:spacing w:line="240" w:lineRule="auto"/>
        <w:ind w:left="142"/>
        <w:contextualSpacing/>
        <w:rPr>
          <w:rFonts w:ascii="Arial" w:hAnsi="Arial" w:cs="Arial"/>
          <w:sz w:val="24"/>
          <w:szCs w:val="24"/>
        </w:rPr>
      </w:pPr>
    </w:p>
    <w:p w:rsidR="00907E51" w:rsidRPr="001C56E9" w:rsidRDefault="00907E51" w:rsidP="00907E51">
      <w:pPr>
        <w:pStyle w:val="Rientrocorpodeltesto2"/>
        <w:spacing w:line="240" w:lineRule="auto"/>
        <w:ind w:left="142"/>
        <w:contextualSpacing/>
        <w:rPr>
          <w:rFonts w:ascii="Arial" w:hAnsi="Arial" w:cs="Arial"/>
          <w:sz w:val="24"/>
          <w:szCs w:val="24"/>
        </w:rPr>
      </w:pPr>
      <w:r w:rsidRPr="001C56E9">
        <w:rPr>
          <w:rFonts w:ascii="Arial" w:hAnsi="Arial" w:cs="Arial"/>
          <w:sz w:val="24"/>
          <w:szCs w:val="24"/>
        </w:rPr>
        <w:t>Eccezione alla regola: sono finanziate dal Fondo pluriennale, ancorchè non ancora impegnate:</w:t>
      </w:r>
    </w:p>
    <w:p w:rsidR="00907E51" w:rsidRPr="001C56E9" w:rsidRDefault="00907E51" w:rsidP="00907E51">
      <w:pPr>
        <w:pStyle w:val="Rientrocorpodeltesto2"/>
        <w:spacing w:line="240" w:lineRule="auto"/>
        <w:ind w:left="142"/>
        <w:contextualSpacing/>
        <w:rPr>
          <w:rFonts w:ascii="Arial" w:hAnsi="Arial" w:cs="Arial"/>
          <w:sz w:val="24"/>
          <w:szCs w:val="24"/>
        </w:rPr>
      </w:pPr>
      <w:r w:rsidRPr="001C56E9">
        <w:rPr>
          <w:rFonts w:ascii="Arial" w:hAnsi="Arial" w:cs="Arial"/>
          <w:sz w:val="24"/>
          <w:szCs w:val="24"/>
        </w:rPr>
        <w:t xml:space="preserve">-tutte le voci contenute nei quadri economici relative a lavori pubblici approvati, se parzialmente impegnati (esclusa la progettazione); </w:t>
      </w:r>
    </w:p>
    <w:p w:rsidR="00907E51" w:rsidRPr="001C56E9" w:rsidRDefault="00907E51" w:rsidP="00907E51">
      <w:pPr>
        <w:pStyle w:val="Rientrocorpodeltesto2"/>
        <w:spacing w:line="240" w:lineRule="auto"/>
        <w:ind w:left="142"/>
        <w:contextualSpacing/>
        <w:rPr>
          <w:rFonts w:ascii="Arial" w:hAnsi="Arial" w:cs="Arial"/>
          <w:sz w:val="24"/>
          <w:szCs w:val="24"/>
        </w:rPr>
      </w:pPr>
      <w:r w:rsidRPr="001C56E9">
        <w:rPr>
          <w:rFonts w:ascii="Arial" w:hAnsi="Arial" w:cs="Arial"/>
          <w:sz w:val="24"/>
          <w:szCs w:val="24"/>
        </w:rPr>
        <w:t>-le spese per lavori pubblici se già prenotate sulla base della gara per l’affidamento dei lavori, formalmente indetta. In assenza di aggiudicazione definitiva, entro l’anno successivo, il fondo pluriennale deve essere ridotto di pari importo.</w:t>
      </w:r>
    </w:p>
    <w:p w:rsidR="00907E51" w:rsidRPr="001C56E9" w:rsidRDefault="00907E51" w:rsidP="00907E51">
      <w:pPr>
        <w:pStyle w:val="Rientrocorpodeltesto2"/>
        <w:spacing w:line="240" w:lineRule="auto"/>
        <w:ind w:left="142"/>
        <w:contextualSpacing/>
        <w:rPr>
          <w:rFonts w:ascii="Arial" w:hAnsi="Arial" w:cs="Arial"/>
          <w:sz w:val="24"/>
          <w:szCs w:val="24"/>
        </w:rPr>
      </w:pPr>
    </w:p>
    <w:p w:rsidR="00907E51" w:rsidRPr="001C56E9" w:rsidRDefault="00907E51" w:rsidP="00907E51">
      <w:pPr>
        <w:tabs>
          <w:tab w:val="left" w:pos="284"/>
        </w:tabs>
        <w:spacing w:after="0" w:line="240" w:lineRule="auto"/>
        <w:ind w:right="-285"/>
        <w:jc w:val="both"/>
        <w:rPr>
          <w:rFonts w:ascii="Arial" w:hAnsi="Arial" w:cs="Arial"/>
          <w:sz w:val="24"/>
          <w:szCs w:val="24"/>
        </w:rPr>
      </w:pPr>
      <w:r w:rsidRPr="001C56E9">
        <w:rPr>
          <w:rFonts w:ascii="Arial" w:hAnsi="Arial" w:cs="Arial"/>
          <w:b/>
          <w:sz w:val="24"/>
          <w:szCs w:val="24"/>
        </w:rPr>
        <w:t xml:space="preserve">Esercizio provvisorio e gestione provvisoria </w:t>
      </w:r>
    </w:p>
    <w:p w:rsidR="00907E51" w:rsidRPr="001C56E9" w:rsidRDefault="00907E51" w:rsidP="00907E51">
      <w:pPr>
        <w:tabs>
          <w:tab w:val="left" w:pos="284"/>
        </w:tabs>
        <w:ind w:right="-285"/>
        <w:jc w:val="both"/>
        <w:rPr>
          <w:rFonts w:ascii="Arial" w:hAnsi="Arial" w:cs="Arial"/>
          <w:sz w:val="24"/>
          <w:szCs w:val="24"/>
        </w:rPr>
      </w:pPr>
      <w:r w:rsidRPr="001C56E9">
        <w:rPr>
          <w:rFonts w:ascii="Arial" w:hAnsi="Arial" w:cs="Arial"/>
          <w:b/>
          <w:sz w:val="24"/>
          <w:szCs w:val="24"/>
        </w:rPr>
        <w:t>N</w:t>
      </w:r>
      <w:r w:rsidRPr="001C56E9">
        <w:rPr>
          <w:rFonts w:ascii="Arial" w:hAnsi="Arial" w:cs="Arial"/>
          <w:sz w:val="24"/>
          <w:szCs w:val="24"/>
        </w:rPr>
        <w:t xml:space="preserve">el corso dell’esercizio provvisorio, o della gestione provvisoria, deliberato o attuato secondo le modalità previste dall’ordinamento vigente,  gli enti gestiscono gli  stanziamenti  di spesa previsti nell’ultimo bilancio pluriennale  definitivamente approvato  per l’esercizio cui si </w:t>
      </w:r>
    </w:p>
    <w:p w:rsidR="00907E51" w:rsidRPr="001C56E9" w:rsidRDefault="00907E51" w:rsidP="00907E51">
      <w:pPr>
        <w:jc w:val="both"/>
        <w:rPr>
          <w:rFonts w:ascii="Arial" w:hAnsi="Arial" w:cs="Arial"/>
          <w:sz w:val="24"/>
          <w:szCs w:val="24"/>
        </w:rPr>
      </w:pPr>
      <w:r w:rsidRPr="001C56E9">
        <w:rPr>
          <w:rFonts w:ascii="Arial" w:hAnsi="Arial" w:cs="Arial"/>
          <w:sz w:val="24"/>
          <w:szCs w:val="24"/>
        </w:rPr>
        <w:t>Per gli enti locali che non approvano il bilancio di previsione entro il 31 dicembre dell’anno precedente, l’esercizio provvisorio è autorizzato con il decreto dell’interno che, differisce il termine di approvazione del bilancio, d’intesa con il Ministro del tesoro, del bilancio e della programmazione economica, sentita la Conferenza Stato-città ed autonomia locale, in presenza di motivate esigenze. Per le regioni che non approvano il bilancio  entro il 31 dicembre dell’anno precedente l’esercizio provvisorio è autorizzato con legge regionale, per periodi non superiore a quattro mesi. La legge regionale di autorizzazione all’esercizio provvisorio può prevedere che sia gestito lo schema di  bilancio di previsione annuale approvato dalla Giunta ai fini dell’approvazione da parte del Consiglio regionale.</w:t>
      </w:r>
    </w:p>
    <w:p w:rsidR="00907E51" w:rsidRPr="001C56E9" w:rsidRDefault="00907E51" w:rsidP="00907E51">
      <w:pPr>
        <w:jc w:val="both"/>
        <w:rPr>
          <w:rFonts w:ascii="Arial" w:hAnsi="Arial" w:cs="Arial"/>
          <w:sz w:val="24"/>
          <w:szCs w:val="24"/>
        </w:rPr>
      </w:pPr>
      <w:r w:rsidRPr="001C56E9">
        <w:rPr>
          <w:rFonts w:ascii="Arial" w:hAnsi="Arial" w:cs="Arial"/>
          <w:sz w:val="24"/>
          <w:szCs w:val="24"/>
        </w:rPr>
        <w:t xml:space="preserve">Nel caso in cui il bilancio di esercizio non sia approvato entro il 31 dicembre e, per gli enti locali,  non sia stato differito il termine per l’approvazione del bilancio o, per le regioni, il Consiglio non abbia autorizzato l’esercizio provvisorio, è consentita esclusivamente una </w:t>
      </w:r>
      <w:r w:rsidRPr="001C56E9">
        <w:rPr>
          <w:rFonts w:ascii="Arial" w:hAnsi="Arial" w:cs="Arial"/>
          <w:sz w:val="24"/>
          <w:szCs w:val="24"/>
        </w:rPr>
        <w:lastRenderedPageBreak/>
        <w:t xml:space="preserve">gestione provvisoria nei limiti dei corrispondenti stanziamenti di spesa dell’ultimo bilancio pluriennale  definitivamente approvato per l’esercizio cui si riferisce la gestione provvisoria. La gestione provvisoria è limitata all’assolvimento delle obbligazioni già assunte, delle obbligazioni derivanti da provvedimenti giurisdizionali esecutivi e di obblighi speciali tassativamente regolati dalla legge, al pagamento delle spese di personale, delle spese relative al finanziamento della sanità per le regioni, di residui passivi, di rate di mutuo, di canoni, imposte e tasse, ed, in particolare, limitata alle sole operazioni necessarie per evitare che siano arrecati danni patrimoniale certi e gravi all’ente. </w:t>
      </w:r>
    </w:p>
    <w:p w:rsidR="00907E51" w:rsidRPr="001C56E9" w:rsidRDefault="00907E51" w:rsidP="00907E51">
      <w:pPr>
        <w:jc w:val="both"/>
        <w:rPr>
          <w:rFonts w:ascii="Arial" w:hAnsi="Arial" w:cs="Arial"/>
          <w:sz w:val="24"/>
          <w:szCs w:val="24"/>
        </w:rPr>
      </w:pPr>
      <w:r w:rsidRPr="001C56E9">
        <w:rPr>
          <w:rFonts w:ascii="Arial" w:hAnsi="Arial" w:cs="Arial"/>
          <w:sz w:val="24"/>
          <w:szCs w:val="24"/>
        </w:rPr>
        <w:t>Nel corso dell’esercizio provvisorio gli enti possono impegnare mensilmente, per ciascun programma,  spese non superiori ad un dodicesimo delle somme previste nel secondo esercizio dell’ultimo bilancio pluriennale deliberato, ridotte delle somme già impegnate negli esercizi precedenti e dell’importo accantonato al fondo pluriennale (la voce “di cui fondo pluriennale vincolato)”, con esclusione delle spese tassativamente regolate dalla legge o non suscettibili di pagamento frazionato in dodicesimi.</w:t>
      </w:r>
    </w:p>
    <w:p w:rsidR="00907E51" w:rsidRPr="001C56E9" w:rsidRDefault="00907E51" w:rsidP="00907E51">
      <w:pPr>
        <w:jc w:val="both"/>
        <w:rPr>
          <w:rFonts w:ascii="Arial" w:hAnsi="Arial" w:cs="Arial"/>
          <w:sz w:val="24"/>
          <w:szCs w:val="24"/>
        </w:rPr>
      </w:pPr>
      <w:r w:rsidRPr="001C56E9">
        <w:rPr>
          <w:rFonts w:ascii="Arial" w:hAnsi="Arial" w:cs="Arial"/>
          <w:sz w:val="24"/>
          <w:szCs w:val="24"/>
        </w:rPr>
        <w:t>Pertanto, la gestione in dodicesimi dell’esercizio provvisorio riguarda gli stanziamenti di competenza  della spesa al netto degli impegni assunti negli esercizi precedenti con imputazione all’esercizio provvisorio (compresi i residui che sono stati cancellati nell’ambito delle operazioni di riaccertamento dei residui e reimputati alla competenza dell’esercizio in gestione) e dell’importo del fondo pluriennale vincolato.</w:t>
      </w:r>
    </w:p>
    <w:p w:rsidR="00907E51" w:rsidRPr="001C56E9" w:rsidRDefault="00907E51" w:rsidP="00907E51">
      <w:pPr>
        <w:jc w:val="both"/>
        <w:rPr>
          <w:rFonts w:ascii="Arial" w:hAnsi="Arial" w:cs="Arial"/>
          <w:sz w:val="24"/>
          <w:szCs w:val="24"/>
        </w:rPr>
      </w:pPr>
    </w:p>
    <w:p w:rsidR="00907E51" w:rsidRPr="001C56E9" w:rsidRDefault="00907E51" w:rsidP="00907E51">
      <w:pPr>
        <w:pStyle w:val="Paragrafoelenco"/>
        <w:ind w:left="0"/>
        <w:jc w:val="both"/>
        <w:rPr>
          <w:rFonts w:ascii="Arial" w:hAnsi="Arial" w:cs="Arial"/>
          <w:sz w:val="24"/>
          <w:szCs w:val="24"/>
        </w:rPr>
      </w:pPr>
      <w:r w:rsidRPr="001C56E9">
        <w:rPr>
          <w:rFonts w:ascii="Arial" w:hAnsi="Arial" w:cs="Arial"/>
          <w:sz w:val="24"/>
          <w:szCs w:val="24"/>
        </w:rPr>
        <w:t>In caso di esercizio provvisorio o di gestione provvisoria, all’inizio dell’anno l’ente trasmette al tesoriere l’elenco dei residui presunti al 1° gennaio dell’esercizio cui si riferisce la gestione o l’esercizio provvisorio e l’importo degli stanziamenti di competenza dell’esercizio dell’ultimo bilancio pluriennale approvato cui si riferisce l’esercizio o la gestione provvisoria, con l’indicazione della quota di stanziamento riguardante spese già impegnate e quella relativa al fondo pluriennale vincolato.Considerato che le previsioni del secondo esercizio del bilancio pluriennale non presentano gli stanziamenti di cassa, nel corso dell’esercizio provvisorio, il tesoriere effettua il controllo solo sui residui trasmessi e sugli stanziamenti di competenza.</w:t>
      </w:r>
    </w:p>
    <w:p w:rsidR="00907E51" w:rsidRPr="001C56E9" w:rsidRDefault="00907E51" w:rsidP="00907E51">
      <w:pPr>
        <w:pStyle w:val="Testonormale"/>
        <w:jc w:val="both"/>
        <w:rPr>
          <w:rFonts w:eastAsia="Times New Roman" w:cs="Arial"/>
          <w:color w:val="auto"/>
          <w:lang w:eastAsia="it-IT"/>
        </w:rPr>
      </w:pPr>
      <w:r w:rsidRPr="001C56E9">
        <w:rPr>
          <w:rFonts w:eastAsia="Times New Roman" w:cs="Arial"/>
          <w:color w:val="auto"/>
          <w:lang w:eastAsia="it-IT"/>
        </w:rPr>
        <w:t>Nel corso dell’esercizio provvisorio, per garantire la prosecuzione o  l’avvio di attività soggette a termini o scadenza, la cui mancata attuazione determinerebbe danno per l’ente, è consentito l’utilizzo  delle quote vincolate dell’avanzo di amministrazione sulla base di una relazione documentata del dirigente competente.  A tal fine, la Giunta delibera una variazione del bilancio provvisorio in corso di gestione, che dispone l’utilizzo dell’avanzo di amministrazione vincolato determinato  sulla base di dati di pre-consuntivo dell’esercizio precedente.</w:t>
      </w:r>
    </w:p>
    <w:p w:rsidR="00907E51" w:rsidRPr="001C56E9" w:rsidRDefault="00907E51" w:rsidP="00907E51">
      <w:pPr>
        <w:pStyle w:val="Testonormale"/>
        <w:jc w:val="both"/>
        <w:rPr>
          <w:rFonts w:eastAsia="Times New Roman" w:cs="Arial"/>
          <w:color w:val="auto"/>
          <w:lang w:eastAsia="it-IT"/>
        </w:rPr>
      </w:pPr>
    </w:p>
    <w:p w:rsidR="00907E51" w:rsidRPr="001C56E9" w:rsidRDefault="00907E51" w:rsidP="00907E51">
      <w:pPr>
        <w:rPr>
          <w:rFonts w:ascii="Arial" w:hAnsi="Arial" w:cs="Arial"/>
          <w:sz w:val="24"/>
          <w:szCs w:val="24"/>
        </w:rPr>
      </w:pPr>
      <w:r w:rsidRPr="001C56E9">
        <w:rPr>
          <w:rFonts w:ascii="Arial" w:hAnsi="Arial" w:cs="Arial"/>
          <w:sz w:val="24"/>
          <w:szCs w:val="24"/>
        </w:rPr>
        <w:t>Nel corso dell’esercizio provvisorio o della gestione provvisoria  è  possibile effettuare  variazioni agli stanziamenti di competenza dei macroaggregati compensative all’interno dei programmi e  dei capitoli, compensative all’interno dei macroaggregati anche nel corso dell’esercizio provvisorio, anche prevedendo l’istituzione di nuovi capitoli.</w:t>
      </w:r>
    </w:p>
    <w:p w:rsidR="00907E51" w:rsidRPr="001C56E9" w:rsidRDefault="00907E51" w:rsidP="00907E51">
      <w:pPr>
        <w:pStyle w:val="Default"/>
        <w:spacing w:after="204"/>
        <w:contextualSpacing/>
        <w:rPr>
          <w:rFonts w:ascii="Arial" w:hAnsi="Arial" w:cs="Arial"/>
          <w:b/>
          <w:color w:val="auto"/>
        </w:rPr>
      </w:pPr>
      <w:r w:rsidRPr="001C56E9">
        <w:rPr>
          <w:rFonts w:ascii="Arial" w:hAnsi="Arial" w:cs="Arial"/>
          <w:b/>
          <w:color w:val="auto"/>
        </w:rPr>
        <w:t>La gestione dei residui.</w:t>
      </w:r>
    </w:p>
    <w:p w:rsidR="00907E51" w:rsidRPr="001C56E9" w:rsidRDefault="00907E51" w:rsidP="00907E51">
      <w:pPr>
        <w:pStyle w:val="Default"/>
        <w:spacing w:after="204"/>
        <w:contextualSpacing/>
        <w:rPr>
          <w:rFonts w:ascii="Arial" w:hAnsi="Arial" w:cs="Arial"/>
          <w:color w:val="auto"/>
        </w:rPr>
      </w:pPr>
      <w:r w:rsidRPr="001C56E9">
        <w:rPr>
          <w:rFonts w:ascii="Arial" w:hAnsi="Arial" w:cs="Arial"/>
          <w:color w:val="auto"/>
        </w:rPr>
        <w:lastRenderedPageBreak/>
        <w:t>Tutte le amministrazioni pubbliche effettuano annualmente, e in ogni caso prima della predisposizione del rendiconto con effetti sul medesimo, una ricognizione dei residui attivi e passivi diretta a verificare:</w:t>
      </w:r>
    </w:p>
    <w:p w:rsidR="00907E51" w:rsidRPr="001C56E9" w:rsidRDefault="00907E51" w:rsidP="00907E51">
      <w:pPr>
        <w:pStyle w:val="Default"/>
        <w:numPr>
          <w:ilvl w:val="0"/>
          <w:numId w:val="28"/>
        </w:numPr>
        <w:spacing w:after="204"/>
        <w:ind w:left="714" w:hanging="357"/>
        <w:contextualSpacing/>
        <w:rPr>
          <w:rFonts w:ascii="Arial" w:hAnsi="Arial" w:cs="Arial"/>
          <w:color w:val="auto"/>
        </w:rPr>
      </w:pPr>
      <w:r w:rsidRPr="001C56E9">
        <w:rPr>
          <w:rFonts w:ascii="Arial" w:hAnsi="Arial" w:cs="Arial"/>
          <w:color w:val="auto"/>
        </w:rPr>
        <w:t>la fondatezza giuridica dei crediti accertati e delle esigibilità del credito;</w:t>
      </w:r>
    </w:p>
    <w:p w:rsidR="00907E51" w:rsidRPr="001C56E9" w:rsidRDefault="00907E51" w:rsidP="00907E51">
      <w:pPr>
        <w:pStyle w:val="Default"/>
        <w:numPr>
          <w:ilvl w:val="0"/>
          <w:numId w:val="28"/>
        </w:numPr>
        <w:spacing w:after="204"/>
        <w:ind w:left="714" w:hanging="357"/>
        <w:contextualSpacing/>
        <w:rPr>
          <w:rFonts w:ascii="Arial" w:hAnsi="Arial" w:cs="Arial"/>
          <w:color w:val="auto"/>
        </w:rPr>
      </w:pPr>
      <w:r w:rsidRPr="001C56E9">
        <w:rPr>
          <w:rFonts w:ascii="Arial" w:hAnsi="Arial" w:cs="Arial"/>
          <w:color w:val="auto"/>
        </w:rPr>
        <w:t xml:space="preserve"> l’affidabilità della scadenza dell’obbligazione prevista in occasione dell’accertamento o dell’impegno;</w:t>
      </w:r>
    </w:p>
    <w:p w:rsidR="00907E51" w:rsidRPr="001C56E9" w:rsidRDefault="00907E51" w:rsidP="00907E51">
      <w:pPr>
        <w:pStyle w:val="Default"/>
        <w:numPr>
          <w:ilvl w:val="0"/>
          <w:numId w:val="28"/>
        </w:numPr>
        <w:spacing w:after="204"/>
        <w:ind w:left="714" w:hanging="357"/>
        <w:contextualSpacing/>
        <w:rPr>
          <w:rFonts w:ascii="Arial" w:hAnsi="Arial" w:cs="Arial"/>
          <w:color w:val="auto"/>
        </w:rPr>
      </w:pPr>
      <w:r w:rsidRPr="001C56E9">
        <w:rPr>
          <w:rFonts w:ascii="Arial" w:hAnsi="Arial" w:cs="Arial"/>
          <w:color w:val="auto"/>
        </w:rPr>
        <w:t xml:space="preserve"> il permanere delle posizioni debitorie effettive degli impegni assunti;</w:t>
      </w:r>
    </w:p>
    <w:p w:rsidR="00907E51" w:rsidRPr="001C56E9" w:rsidRDefault="00907E51" w:rsidP="00907E51">
      <w:pPr>
        <w:pStyle w:val="Default"/>
        <w:numPr>
          <w:ilvl w:val="0"/>
          <w:numId w:val="28"/>
        </w:numPr>
        <w:spacing w:after="204"/>
        <w:ind w:left="714" w:hanging="357"/>
        <w:contextualSpacing/>
        <w:rPr>
          <w:rFonts w:ascii="Arial" w:hAnsi="Arial" w:cs="Arial"/>
          <w:color w:val="auto"/>
        </w:rPr>
      </w:pPr>
      <w:r w:rsidRPr="001C56E9">
        <w:rPr>
          <w:rFonts w:ascii="Arial" w:hAnsi="Arial" w:cs="Arial"/>
          <w:color w:val="auto"/>
        </w:rPr>
        <w:t>la corretta classificazione e imputazione dei crediti e dei debiti in bilancio</w:t>
      </w:r>
    </w:p>
    <w:p w:rsidR="00907E51" w:rsidRPr="001C56E9" w:rsidRDefault="00907E51" w:rsidP="00907E51">
      <w:pPr>
        <w:pStyle w:val="Default"/>
        <w:spacing w:after="204"/>
        <w:contextualSpacing/>
        <w:rPr>
          <w:rFonts w:ascii="Arial" w:hAnsi="Arial" w:cs="Arial"/>
          <w:color w:val="auto"/>
        </w:rPr>
      </w:pPr>
    </w:p>
    <w:p w:rsidR="00907E51" w:rsidRPr="001C56E9" w:rsidRDefault="00907E51" w:rsidP="00907E51">
      <w:pPr>
        <w:pStyle w:val="Default"/>
        <w:spacing w:after="204"/>
        <w:contextualSpacing/>
        <w:rPr>
          <w:rFonts w:ascii="Arial" w:hAnsi="Arial" w:cs="Arial"/>
          <w:color w:val="auto"/>
        </w:rPr>
      </w:pPr>
      <w:r w:rsidRPr="001C56E9">
        <w:rPr>
          <w:rFonts w:ascii="Arial" w:hAnsi="Arial" w:cs="Arial"/>
          <w:color w:val="auto"/>
        </w:rPr>
        <w:t xml:space="preserve">La ricognizione annuale dei residui attivi e passivi consente di individuare formalmente: </w:t>
      </w:r>
    </w:p>
    <w:p w:rsidR="00907E51" w:rsidRPr="001C56E9" w:rsidRDefault="00907E51" w:rsidP="00907E51">
      <w:pPr>
        <w:pStyle w:val="Default"/>
        <w:numPr>
          <w:ilvl w:val="0"/>
          <w:numId w:val="29"/>
        </w:numPr>
        <w:spacing w:after="204"/>
        <w:ind w:left="714" w:hanging="357"/>
        <w:contextualSpacing/>
        <w:rPr>
          <w:rFonts w:ascii="Arial" w:hAnsi="Arial" w:cs="Arial"/>
          <w:color w:val="auto"/>
        </w:rPr>
      </w:pPr>
      <w:r w:rsidRPr="001C56E9">
        <w:rPr>
          <w:rFonts w:ascii="Arial" w:hAnsi="Arial" w:cs="Arial"/>
          <w:color w:val="auto"/>
        </w:rPr>
        <w:t>i crediti di dubbia e difficile esazione;</w:t>
      </w:r>
    </w:p>
    <w:p w:rsidR="00907E51" w:rsidRPr="001C56E9" w:rsidRDefault="00907E51" w:rsidP="00907E51">
      <w:pPr>
        <w:pStyle w:val="Default"/>
        <w:numPr>
          <w:ilvl w:val="0"/>
          <w:numId w:val="29"/>
        </w:numPr>
        <w:spacing w:after="204"/>
        <w:ind w:left="714" w:hanging="357"/>
        <w:contextualSpacing/>
        <w:rPr>
          <w:rFonts w:ascii="Arial" w:hAnsi="Arial" w:cs="Arial"/>
          <w:color w:val="auto"/>
        </w:rPr>
      </w:pPr>
      <w:r w:rsidRPr="001C56E9">
        <w:rPr>
          <w:rFonts w:ascii="Arial" w:hAnsi="Arial" w:cs="Arial"/>
          <w:color w:val="auto"/>
        </w:rPr>
        <w:t xml:space="preserve">i crediti riconosciuti assolutamente inesigibili; </w:t>
      </w:r>
    </w:p>
    <w:p w:rsidR="00907E51" w:rsidRPr="001C56E9" w:rsidRDefault="00907E51" w:rsidP="00907E51">
      <w:pPr>
        <w:pStyle w:val="Default"/>
        <w:numPr>
          <w:ilvl w:val="0"/>
          <w:numId w:val="29"/>
        </w:numPr>
        <w:spacing w:after="204"/>
        <w:ind w:left="714" w:hanging="357"/>
        <w:contextualSpacing/>
        <w:rPr>
          <w:rFonts w:ascii="Arial" w:hAnsi="Arial" w:cs="Arial"/>
          <w:color w:val="auto"/>
        </w:rPr>
      </w:pPr>
      <w:r w:rsidRPr="001C56E9">
        <w:rPr>
          <w:rFonts w:ascii="Arial" w:hAnsi="Arial" w:cs="Arial"/>
          <w:color w:val="auto"/>
        </w:rPr>
        <w:t>i crediti riconosciuti insussistenti, per l’avvenuta legale estinzione o per indebito o erroneo accertamento del credito;</w:t>
      </w:r>
    </w:p>
    <w:p w:rsidR="00907E51" w:rsidRPr="001C56E9" w:rsidRDefault="00907E51" w:rsidP="00907E51">
      <w:pPr>
        <w:pStyle w:val="Default"/>
        <w:numPr>
          <w:ilvl w:val="0"/>
          <w:numId w:val="29"/>
        </w:numPr>
        <w:spacing w:after="204"/>
        <w:ind w:left="714" w:hanging="357"/>
        <w:contextualSpacing/>
        <w:rPr>
          <w:rFonts w:ascii="Arial" w:hAnsi="Arial" w:cs="Arial"/>
          <w:color w:val="auto"/>
        </w:rPr>
      </w:pPr>
      <w:r w:rsidRPr="001C56E9">
        <w:rPr>
          <w:rFonts w:ascii="Arial" w:hAnsi="Arial" w:cs="Arial"/>
          <w:color w:val="auto"/>
        </w:rPr>
        <w:t>i debiti insussistenti o prescritti;</w:t>
      </w:r>
    </w:p>
    <w:p w:rsidR="00907E51" w:rsidRPr="001C56E9" w:rsidRDefault="00907E51" w:rsidP="00907E51">
      <w:pPr>
        <w:pStyle w:val="Default"/>
        <w:numPr>
          <w:ilvl w:val="0"/>
          <w:numId w:val="29"/>
        </w:numPr>
        <w:spacing w:after="204"/>
        <w:ind w:left="714" w:hanging="357"/>
        <w:contextualSpacing/>
        <w:rPr>
          <w:rFonts w:ascii="Arial" w:hAnsi="Arial" w:cs="Arial"/>
          <w:color w:val="auto"/>
        </w:rPr>
      </w:pPr>
      <w:r w:rsidRPr="001C56E9">
        <w:rPr>
          <w:rFonts w:ascii="Arial" w:hAnsi="Arial" w:cs="Arial"/>
          <w:color w:val="auto"/>
        </w:rPr>
        <w:t>i crediti e i debiti non imputati correttamente in bilancio a seguito di errori materiali o di revisione della classificazione del bilancio, per i quali è necessario procedere ad una loro riclassificazione;</w:t>
      </w:r>
    </w:p>
    <w:p w:rsidR="00907E51" w:rsidRPr="001C56E9" w:rsidRDefault="00907E51" w:rsidP="00907E51">
      <w:pPr>
        <w:pStyle w:val="Default"/>
        <w:numPr>
          <w:ilvl w:val="0"/>
          <w:numId w:val="29"/>
        </w:numPr>
        <w:spacing w:after="204"/>
        <w:ind w:left="714" w:hanging="357"/>
        <w:contextualSpacing/>
        <w:rPr>
          <w:rFonts w:ascii="Arial" w:hAnsi="Arial" w:cs="Arial"/>
          <w:color w:val="auto"/>
        </w:rPr>
      </w:pPr>
      <w:r w:rsidRPr="001C56E9">
        <w:rPr>
          <w:rFonts w:ascii="Arial" w:hAnsi="Arial" w:cs="Arial"/>
          <w:color w:val="auto"/>
        </w:rPr>
        <w:t>i crediti e i debiti imputati all’esercizio di riferimento che risultano non di competenza finanziaria di tale esercizio, per i quali è necessario procedere alla reimputazione contabile all’esercizio in cui il credito o il debito è esigibile.</w:t>
      </w:r>
    </w:p>
    <w:p w:rsidR="00907E51" w:rsidRPr="001C56E9" w:rsidRDefault="00907E51" w:rsidP="00907E51">
      <w:pPr>
        <w:pStyle w:val="Default"/>
        <w:spacing w:after="204"/>
        <w:contextualSpacing/>
        <w:rPr>
          <w:rFonts w:ascii="Arial" w:hAnsi="Arial" w:cs="Arial"/>
          <w:color w:val="auto"/>
        </w:rPr>
      </w:pPr>
    </w:p>
    <w:p w:rsidR="00907E51" w:rsidRPr="001C56E9" w:rsidRDefault="00907E51" w:rsidP="00907E51">
      <w:pPr>
        <w:pStyle w:val="Default"/>
        <w:spacing w:after="204"/>
        <w:contextualSpacing/>
        <w:rPr>
          <w:rFonts w:ascii="Arial" w:hAnsi="Arial" w:cs="Arial"/>
          <w:color w:val="auto"/>
        </w:rPr>
      </w:pPr>
      <w:r w:rsidRPr="001C56E9">
        <w:rPr>
          <w:rFonts w:ascii="Arial" w:hAnsi="Arial" w:cs="Arial"/>
          <w:color w:val="auto"/>
        </w:rPr>
        <w:t>Con riferimento ai crediti di dubbia e difficile esazione accertati nell’esercizio, sulla base della ricognizione  effettuata, si procede all’accantonamento al fondo di svalutazione crediti, vincolando a tal fine una quota dell’avanzo di amministrazione. Al riguardo si rinvia al principio applicato della contabilità finanziaria n. 3.6 e all’esempio n. 5.</w:t>
      </w:r>
    </w:p>
    <w:p w:rsidR="00907E51" w:rsidRPr="001C56E9" w:rsidRDefault="00907E51" w:rsidP="00907E51">
      <w:pPr>
        <w:pStyle w:val="Default"/>
        <w:spacing w:after="204"/>
        <w:contextualSpacing/>
        <w:rPr>
          <w:rFonts w:ascii="Arial" w:hAnsi="Arial" w:cs="Arial"/>
          <w:color w:val="auto"/>
        </w:rPr>
      </w:pPr>
      <w:r w:rsidRPr="001C56E9">
        <w:rPr>
          <w:rFonts w:ascii="Arial" w:hAnsi="Arial" w:cs="Arial"/>
          <w:color w:val="auto"/>
        </w:rPr>
        <w:t xml:space="preserve">Trascorsi tre anni dalla scadenza di un credito di dubbia e difficile esazione non riscosso, il responsabile  del servizio competente alla gestione dell’entrata valuta l’opportunità di operare lo stralcio di tale credito dal conto del bilancio, riducendo di pari importo il  fondo svalutazione crediti accantonato nel risultato di amministrazione. In tale occasione ai fini della contabilità economico patrimoniale il responsabile finanziario valuta la necessità di adeguare il fondo svalutazione crediti accantonato in contabilità economico patrimoniale (che pertanto può presentare un importo maggiore della quota accantonata nel risultato di amministrazione) e di riclassificare il credito nello stato patrimoniale.   </w:t>
      </w:r>
    </w:p>
    <w:p w:rsidR="00907E51" w:rsidRPr="001C56E9" w:rsidRDefault="00907E51" w:rsidP="00907E51">
      <w:pPr>
        <w:pStyle w:val="Default"/>
        <w:spacing w:after="204"/>
        <w:contextualSpacing/>
        <w:rPr>
          <w:rFonts w:ascii="Arial" w:hAnsi="Arial" w:cs="Arial"/>
          <w:color w:val="auto"/>
        </w:rPr>
      </w:pPr>
    </w:p>
    <w:p w:rsidR="00907E51" w:rsidRPr="001C56E9" w:rsidRDefault="00907E51" w:rsidP="00907E51">
      <w:pPr>
        <w:pStyle w:val="Default"/>
        <w:spacing w:after="204"/>
        <w:contextualSpacing/>
        <w:rPr>
          <w:rFonts w:ascii="Arial" w:hAnsi="Arial" w:cs="Arial"/>
          <w:color w:val="auto"/>
        </w:rPr>
      </w:pPr>
      <w:r w:rsidRPr="001C56E9">
        <w:rPr>
          <w:rFonts w:ascii="Arial" w:hAnsi="Arial" w:cs="Arial"/>
          <w:color w:val="auto"/>
        </w:rPr>
        <w:t xml:space="preserve">Al fine di rendere possibile seguire l’evoluzione delle attività di esazione affidate a terzi e di procedere alla loro definitiva cancellazione una volta che sia stata dimostrata l’oggettiva impossibilità della loro realizzazione parziale o totale, è opportuno che i crediti riconosciuti di dubbia o difficile esazione stralciati dalle scritture finanziarie siano identificati negli elenchi </w:t>
      </w:r>
      <w:r w:rsidRPr="001C56E9">
        <w:rPr>
          <w:rFonts w:ascii="Arial" w:hAnsi="Arial" w:cs="Arial"/>
          <w:strike/>
          <w:color w:val="auto"/>
        </w:rPr>
        <w:t>dei residui attivi</w:t>
      </w:r>
      <w:r w:rsidRPr="001C56E9">
        <w:rPr>
          <w:rFonts w:ascii="Arial" w:hAnsi="Arial" w:cs="Arial"/>
          <w:color w:val="auto"/>
        </w:rPr>
        <w:t xml:space="preserve"> allegati al rendiconto annuale indicando il loro ammontare complessivo.</w:t>
      </w:r>
    </w:p>
    <w:p w:rsidR="00907E51" w:rsidRPr="001C56E9" w:rsidRDefault="00907E51" w:rsidP="00907E51">
      <w:pPr>
        <w:pStyle w:val="Default"/>
        <w:spacing w:after="204"/>
        <w:contextualSpacing/>
        <w:rPr>
          <w:rFonts w:ascii="Arial" w:hAnsi="Arial" w:cs="Arial"/>
          <w:color w:val="auto"/>
        </w:rPr>
      </w:pPr>
      <w:r w:rsidRPr="001C56E9">
        <w:rPr>
          <w:rFonts w:ascii="Arial" w:hAnsi="Arial" w:cs="Arial"/>
          <w:color w:val="auto"/>
        </w:rPr>
        <w:t>Considerato che a seguito dell’adozione a regime del principio della competenza finanziaria cd. potenziata, i residui sono interamente costituiti da obbligazioni scadute, con riferimento a tali crediti è necessario attivare le azioni di recupero mediante procedure coattive.</w:t>
      </w:r>
    </w:p>
    <w:p w:rsidR="00907E51" w:rsidRPr="001C56E9" w:rsidRDefault="00907E51" w:rsidP="00907E51">
      <w:pPr>
        <w:pStyle w:val="Default"/>
        <w:spacing w:after="204"/>
        <w:contextualSpacing/>
        <w:rPr>
          <w:rFonts w:ascii="Arial" w:hAnsi="Arial" w:cs="Arial"/>
        </w:rPr>
      </w:pPr>
    </w:p>
    <w:p w:rsidR="00907E51" w:rsidRPr="001C56E9" w:rsidRDefault="00907E51" w:rsidP="00907E51">
      <w:pPr>
        <w:pStyle w:val="Default"/>
        <w:spacing w:after="204"/>
        <w:contextualSpacing/>
        <w:rPr>
          <w:rFonts w:ascii="Arial" w:hAnsi="Arial" w:cs="Arial"/>
        </w:rPr>
      </w:pPr>
      <w:r w:rsidRPr="001C56E9">
        <w:rPr>
          <w:rFonts w:ascii="Arial" w:hAnsi="Arial" w:cs="Arial"/>
        </w:rPr>
        <w:t>I crediti formalmente riconosciuti assolutamente inesigibili o insussistenti per l’avvenuta legale estinzione (prescrizione) o per indebito o erroneo accertamento del credito sono definitivamente eliminati dalle scritture e dai documenti di bilancio attraverso la delibera di riaccertamento dei residui.</w:t>
      </w:r>
    </w:p>
    <w:p w:rsidR="00907E51" w:rsidRPr="001C56E9" w:rsidRDefault="00907E51" w:rsidP="00907E51">
      <w:pPr>
        <w:pStyle w:val="Default"/>
        <w:spacing w:after="204"/>
        <w:contextualSpacing/>
        <w:rPr>
          <w:rFonts w:ascii="Arial" w:hAnsi="Arial" w:cs="Arial"/>
        </w:rPr>
      </w:pPr>
      <w:r w:rsidRPr="001C56E9">
        <w:rPr>
          <w:rFonts w:ascii="Arial" w:hAnsi="Arial" w:cs="Arial"/>
        </w:rPr>
        <w:t xml:space="preserve">Il riconoscimento formale dell’assoluta inesigibilità o insussistenza dei crediti deve essere adeguatamente motivato attraverso l’analitica descrizione delle procedure seguite per la realizzazione dei crediti prima della loro eliminazione totale o parziale, o indicando le ragioni </w:t>
      </w:r>
      <w:r w:rsidRPr="001C56E9">
        <w:rPr>
          <w:rFonts w:ascii="Arial" w:hAnsi="Arial" w:cs="Arial"/>
        </w:rPr>
        <w:lastRenderedPageBreak/>
        <w:t>che hanno condotto alla maturazione della prescrizione, rimanendo fermo l’obbligo di attivare ogni possibile azione finalizzata ad adottare le soluzioni organizzative necessarie per evitare il ripetersi delle suddette fattispecie.</w:t>
      </w:r>
    </w:p>
    <w:p w:rsidR="00907E51" w:rsidRPr="001C56E9" w:rsidRDefault="00907E51" w:rsidP="00907E51">
      <w:pPr>
        <w:autoSpaceDE w:val="0"/>
        <w:jc w:val="both"/>
        <w:rPr>
          <w:rFonts w:ascii="Arial" w:hAnsi="Arial" w:cs="Arial"/>
          <w:sz w:val="24"/>
          <w:szCs w:val="24"/>
        </w:rPr>
      </w:pPr>
      <w:r w:rsidRPr="001C56E9">
        <w:rPr>
          <w:rFonts w:ascii="Arial" w:hAnsi="Arial" w:cs="Arial"/>
          <w:sz w:val="24"/>
          <w:szCs w:val="24"/>
        </w:rPr>
        <w:t xml:space="preserve">I debiti formalmente riconosciuti insussistenti per l’avvenuta legale estinzione (prescrizione) o per indebito o erroneo impegno di un obbligazione non dovuta sono definitivamente eliminati dalle scritture e dai documenti di bilancio attraverso il provvedimento di riaccertamento dei residui. Il riconoscimento formale dell’assoluta insussistenza dei debiti deve essere  adeguatamente motivato. </w:t>
      </w:r>
    </w:p>
    <w:p w:rsidR="00907E51" w:rsidRPr="001C56E9" w:rsidRDefault="00907E51" w:rsidP="00907E51">
      <w:pPr>
        <w:pStyle w:val="Normale2"/>
        <w:jc w:val="both"/>
        <w:rPr>
          <w:rFonts w:ascii="Arial" w:eastAsia="Times New Roman" w:hAnsi="Arial" w:cs="Arial"/>
          <w:lang w:eastAsia="it-IT"/>
        </w:rPr>
      </w:pPr>
      <w:r w:rsidRPr="001C56E9">
        <w:rPr>
          <w:rFonts w:ascii="Arial" w:eastAsia="Times New Roman" w:hAnsi="Arial" w:cs="Arial"/>
          <w:lang w:eastAsia="it-IT"/>
        </w:rPr>
        <w:t>Nel caso in cui l’eliminazione o la riduzione del residuo passivo riguardasse una spesa avente vincolo di destinazione, l’economia conseguente manterrà, per il medesimo ammontare, lo stesso vincolo applicato all’avanzo di amministrazione laddove presente.</w:t>
      </w:r>
    </w:p>
    <w:p w:rsidR="00907E51" w:rsidRPr="001C56E9" w:rsidRDefault="00907E51" w:rsidP="00907E51">
      <w:pPr>
        <w:pStyle w:val="Normale2"/>
        <w:jc w:val="both"/>
        <w:rPr>
          <w:rFonts w:ascii="Arial" w:eastAsia="Times New Roman" w:hAnsi="Arial" w:cs="Arial"/>
          <w:lang w:eastAsia="it-IT"/>
        </w:rPr>
      </w:pPr>
      <w:r w:rsidRPr="001C56E9">
        <w:rPr>
          <w:rFonts w:ascii="Arial" w:eastAsia="Times New Roman" w:hAnsi="Arial" w:cs="Arial"/>
          <w:lang w:eastAsia="it-IT"/>
        </w:rPr>
        <w:t>Tale quota di avanzo è immediatamente applicabile al bilancio dell’esercizio successivo.</w:t>
      </w:r>
    </w:p>
    <w:p w:rsidR="00907E51" w:rsidRPr="001C56E9" w:rsidRDefault="00907E51" w:rsidP="00907E51">
      <w:pPr>
        <w:pStyle w:val="Default"/>
        <w:spacing w:after="204"/>
        <w:ind w:left="0" w:firstLine="284"/>
        <w:rPr>
          <w:rFonts w:ascii="Arial" w:hAnsi="Arial" w:cs="Arial"/>
          <w:color w:val="auto"/>
        </w:rPr>
      </w:pPr>
    </w:p>
    <w:p w:rsidR="00907E51" w:rsidRPr="001C56E9" w:rsidRDefault="00907E51" w:rsidP="00907E51">
      <w:pPr>
        <w:pStyle w:val="Default"/>
        <w:spacing w:after="204"/>
        <w:ind w:left="0"/>
        <w:contextualSpacing/>
        <w:rPr>
          <w:rFonts w:ascii="Arial" w:hAnsi="Arial" w:cs="Arial"/>
          <w:color w:val="auto"/>
        </w:rPr>
      </w:pPr>
      <w:r w:rsidRPr="001C56E9">
        <w:rPr>
          <w:rFonts w:ascii="Arial" w:hAnsi="Arial" w:cs="Arial"/>
          <w:color w:val="auto"/>
        </w:rPr>
        <w:t xml:space="preserve">Se dalla ricognizione risulta la necessità di procedere al riconoscimento formale del maggior importo dei crediti e dei debiti dell’amministrazione rispetto all’ammontare dei residui attivi e passivi contabilizzati, è necessario procedere all’immediato accertamento e impegno di nuovi crediti o nuovi debiti, imputati contabilmente alla competenza dell’esercizio in cui le relative obbligazioni sono esigibili. </w:t>
      </w:r>
    </w:p>
    <w:p w:rsidR="00907E51" w:rsidRPr="001C56E9" w:rsidRDefault="00907E51" w:rsidP="00907E51">
      <w:pPr>
        <w:pStyle w:val="Default"/>
        <w:spacing w:after="204"/>
        <w:ind w:left="0"/>
        <w:contextualSpacing/>
        <w:rPr>
          <w:rFonts w:ascii="Arial" w:hAnsi="Arial" w:cs="Arial"/>
          <w:color w:val="auto"/>
        </w:rPr>
      </w:pPr>
      <w:r w:rsidRPr="001C56E9">
        <w:rPr>
          <w:rFonts w:ascii="Arial" w:hAnsi="Arial" w:cs="Arial"/>
          <w:color w:val="auto"/>
        </w:rPr>
        <w:t>In sede di riaccertamento dei residui non può essere effettuata una rettifica in aumento dei residui passivi in base all’erroneo presupposto che l’entità della spesa non era prevedibile con certezza al momento dell’ assunzione dell’impegno iniziale. Ogni comportamento difforme comporterebbe il riconoscimento di debito fuori bilancio e costituirebbe grave irregolarità contabile.</w:t>
      </w:r>
    </w:p>
    <w:p w:rsidR="00907E51" w:rsidRPr="001C56E9" w:rsidRDefault="00907E51" w:rsidP="00907E51">
      <w:pPr>
        <w:pStyle w:val="Default"/>
        <w:spacing w:after="204"/>
        <w:ind w:left="0"/>
        <w:contextualSpacing/>
        <w:rPr>
          <w:rFonts w:ascii="Arial" w:hAnsi="Arial" w:cs="Arial"/>
          <w:color w:val="auto"/>
        </w:rPr>
      </w:pPr>
      <w:r w:rsidRPr="001C56E9">
        <w:rPr>
          <w:rFonts w:ascii="Arial" w:hAnsi="Arial" w:cs="Arial"/>
          <w:color w:val="auto"/>
        </w:rPr>
        <w:t xml:space="preserve">E’ invece necessario procedere ad una rettifica in aumento dei residui attivi, e non all’accertamento di nuovi crediti di competenza dell’esercizio, in caso di riscossione di residui attivi cancellati dalle scritture in quanto ritenuti (erroneamente) assolutamente inesigibili. </w:t>
      </w:r>
    </w:p>
    <w:p w:rsidR="00907E51" w:rsidRPr="001C56E9" w:rsidRDefault="00907E51" w:rsidP="00907E51">
      <w:pPr>
        <w:pStyle w:val="Default"/>
        <w:spacing w:after="204"/>
        <w:ind w:left="0"/>
        <w:contextualSpacing/>
        <w:rPr>
          <w:rFonts w:ascii="Arial" w:hAnsi="Arial" w:cs="Arial"/>
          <w:color w:val="auto"/>
        </w:rPr>
      </w:pPr>
      <w:r w:rsidRPr="001C56E9">
        <w:rPr>
          <w:rFonts w:ascii="Arial" w:hAnsi="Arial" w:cs="Arial"/>
          <w:color w:val="auto"/>
        </w:rPr>
        <w:t>Pertanto, mentre  per i residui attivi il riaccertamento può dare luogo sia ad un incremento che ad una riduzione dell’ammontare complessivo dei residui, per i residui passivi il riaccertamento può dare luogo solo ad una riduzione degli stessi.</w:t>
      </w:r>
    </w:p>
    <w:p w:rsidR="00907E51" w:rsidRPr="001C56E9" w:rsidRDefault="00907E51" w:rsidP="00907E51">
      <w:pPr>
        <w:pStyle w:val="Default"/>
        <w:ind w:left="0"/>
        <w:rPr>
          <w:rFonts w:ascii="Arial" w:hAnsi="Arial" w:cs="Arial"/>
          <w:color w:val="auto"/>
        </w:rPr>
      </w:pPr>
    </w:p>
    <w:p w:rsidR="00907E51" w:rsidRPr="001C56E9" w:rsidRDefault="00907E51" w:rsidP="00907E51">
      <w:pPr>
        <w:pStyle w:val="Default"/>
        <w:ind w:left="0"/>
        <w:rPr>
          <w:rFonts w:ascii="Arial" w:hAnsi="Arial" w:cs="Arial"/>
          <w:color w:val="auto"/>
        </w:rPr>
      </w:pPr>
      <w:r w:rsidRPr="001C56E9">
        <w:rPr>
          <w:rFonts w:ascii="Arial" w:hAnsi="Arial" w:cs="Arial"/>
          <w:color w:val="auto"/>
        </w:rPr>
        <w:t>Il riaccertamento dei residui può riguardare crediti e debiti non correttamente classificati in bilancio.</w:t>
      </w:r>
    </w:p>
    <w:p w:rsidR="00907E51" w:rsidRPr="001C56E9" w:rsidRDefault="00907E51" w:rsidP="00907E51">
      <w:pPr>
        <w:pStyle w:val="Default"/>
        <w:ind w:left="0"/>
        <w:rPr>
          <w:rFonts w:ascii="Arial" w:hAnsi="Arial" w:cs="Arial"/>
          <w:color w:val="auto"/>
        </w:rPr>
      </w:pPr>
      <w:r w:rsidRPr="001C56E9">
        <w:rPr>
          <w:rFonts w:ascii="Arial" w:hAnsi="Arial" w:cs="Arial"/>
          <w:color w:val="auto"/>
        </w:rPr>
        <w:t xml:space="preserve">Se dalla ricognizione risulta che, a seguito di errori materiali o della revisione della classificazione del bilancio, un’entrata o una spesa è stata erroneamente classificata in bilancio, è  necessario procedere ad una loro riclassificazione. A tal fine si provvede alla </w:t>
      </w:r>
      <w:r w:rsidRPr="001C56E9">
        <w:rPr>
          <w:rFonts w:ascii="Arial" w:hAnsi="Arial" w:cs="Arial"/>
        </w:rPr>
        <w:t>definitiva eliminazione dell’accertamento e/o dell’impegno dalle scritture e dai documenti di bilancio</w:t>
      </w:r>
      <w:r w:rsidRPr="001C56E9">
        <w:rPr>
          <w:rFonts w:ascii="Arial" w:hAnsi="Arial" w:cs="Arial"/>
          <w:color w:val="auto"/>
        </w:rPr>
        <w:t xml:space="preserve"> e all’accertamento e all’impegno di nuovi crediti o nuovi debiti attribuiti alla competenza dell’esercizio in gestione. </w:t>
      </w:r>
    </w:p>
    <w:p w:rsidR="00907E51" w:rsidRPr="001C56E9" w:rsidRDefault="00907E51" w:rsidP="00907E51">
      <w:pPr>
        <w:pStyle w:val="Default"/>
        <w:ind w:left="0"/>
        <w:rPr>
          <w:rFonts w:ascii="Arial" w:hAnsi="Arial" w:cs="Arial"/>
          <w:color w:val="auto"/>
        </w:rPr>
      </w:pPr>
      <w:r w:rsidRPr="001C56E9">
        <w:rPr>
          <w:rFonts w:ascii="Arial" w:hAnsi="Arial" w:cs="Arial"/>
          <w:color w:val="auto"/>
        </w:rPr>
        <w:t>L’eventuale incremento del risultato di amministrazione derivante dalla cancellazione dei residui attivi e passivi destinati ad essere accertati e imputati con la corretta classificazione di bilancio, costituisce una quota del risultato di amministrazione vincolata alla reimputazione dei residui correttamente classificati.</w:t>
      </w:r>
    </w:p>
    <w:p w:rsidR="00907E51" w:rsidRPr="001C56E9" w:rsidRDefault="00907E51" w:rsidP="00907E51">
      <w:pPr>
        <w:pStyle w:val="Default"/>
        <w:ind w:left="0"/>
        <w:rPr>
          <w:rFonts w:ascii="Arial" w:hAnsi="Arial" w:cs="Arial"/>
          <w:color w:val="auto"/>
        </w:rPr>
      </w:pPr>
    </w:p>
    <w:p w:rsidR="00907E51" w:rsidRPr="001C56E9" w:rsidRDefault="00907E51" w:rsidP="00907E51">
      <w:pPr>
        <w:jc w:val="both"/>
        <w:rPr>
          <w:rFonts w:ascii="Arial" w:hAnsi="Arial" w:cs="Arial"/>
          <w:sz w:val="24"/>
          <w:szCs w:val="24"/>
        </w:rPr>
      </w:pPr>
      <w:r w:rsidRPr="001C56E9">
        <w:rPr>
          <w:rFonts w:ascii="Arial" w:hAnsi="Arial" w:cs="Arial"/>
          <w:sz w:val="24"/>
          <w:szCs w:val="24"/>
        </w:rPr>
        <w:lastRenderedPageBreak/>
        <w:t>Il riaccertamento dei residui può riguardare crediti e debiti non correttamente imputati all’esercizio in quanto, in occasione della ricognizione, risultano non di competenza dell’esercizio  cui sono stati imputati, in quanto non esigibili nel corso di tale esercizio.</w:t>
      </w:r>
    </w:p>
    <w:p w:rsidR="00907E51" w:rsidRPr="001C56E9" w:rsidRDefault="00907E51" w:rsidP="00907E51">
      <w:pPr>
        <w:jc w:val="both"/>
        <w:rPr>
          <w:rFonts w:ascii="Arial" w:hAnsi="Arial" w:cs="Arial"/>
          <w:sz w:val="24"/>
          <w:szCs w:val="24"/>
        </w:rPr>
      </w:pPr>
      <w:r w:rsidRPr="001C56E9">
        <w:rPr>
          <w:rFonts w:ascii="Arial" w:hAnsi="Arial" w:cs="Arial"/>
          <w:sz w:val="24"/>
          <w:szCs w:val="24"/>
        </w:rPr>
        <w:t xml:space="preserve">Ai sensi di quanto previsto dall’articolo 7, comma 3, del DPCM 28 dicembre 2011, concernente le modalità della sperimentazione, le entrate e le spese accertate e impegnate nell’ultimo esercizio non esigibili in tale esercizio, sono immediatamente re-imputate all’esercizio in cui sono esigibili. </w:t>
      </w:r>
    </w:p>
    <w:p w:rsidR="00907E51" w:rsidRPr="001C56E9" w:rsidRDefault="00907E51" w:rsidP="00907E51">
      <w:pPr>
        <w:pStyle w:val="Default"/>
        <w:ind w:left="0"/>
        <w:rPr>
          <w:rFonts w:ascii="Arial" w:hAnsi="Arial" w:cs="Arial"/>
          <w:color w:val="auto"/>
        </w:rPr>
      </w:pPr>
      <w:r w:rsidRPr="001C56E9">
        <w:rPr>
          <w:rFonts w:ascii="Arial" w:hAnsi="Arial" w:cs="Arial"/>
        </w:rPr>
        <w:t xml:space="preserve">A tal fine </w:t>
      </w:r>
      <w:r w:rsidRPr="001C56E9">
        <w:rPr>
          <w:rFonts w:ascii="Arial" w:hAnsi="Arial" w:cs="Arial"/>
          <w:color w:val="auto"/>
        </w:rPr>
        <w:t xml:space="preserve">si provvede alla </w:t>
      </w:r>
      <w:r w:rsidRPr="001C56E9">
        <w:rPr>
          <w:rFonts w:ascii="Arial" w:hAnsi="Arial" w:cs="Arial"/>
        </w:rPr>
        <w:t xml:space="preserve">cancellazione dell’accertamento e/o dell’impegno dalle scritture </w:t>
      </w:r>
      <w:r w:rsidRPr="001C56E9">
        <w:rPr>
          <w:rFonts w:ascii="Arial" w:hAnsi="Arial" w:cs="Arial"/>
          <w:color w:val="auto"/>
        </w:rPr>
        <w:t xml:space="preserve">e all’immediato accertamento e impegno di nuovi crediti o debiti imputati alla competenza dell’esercizio in cui l’obbligazione è esigibile. </w:t>
      </w:r>
    </w:p>
    <w:p w:rsidR="00907E51" w:rsidRPr="001C56E9" w:rsidRDefault="00907E51" w:rsidP="00907E51">
      <w:pPr>
        <w:pStyle w:val="Default"/>
        <w:ind w:left="0"/>
        <w:rPr>
          <w:rFonts w:ascii="Arial" w:hAnsi="Arial" w:cs="Arial"/>
          <w:color w:val="auto"/>
        </w:rPr>
      </w:pPr>
      <w:r w:rsidRPr="001C56E9">
        <w:rPr>
          <w:rFonts w:ascii="Arial" w:hAnsi="Arial" w:cs="Arial"/>
          <w:color w:val="auto"/>
        </w:rPr>
        <w:t>Nel caso in cui sia necessario procedere alla reimputazione dei residui passivi, è necessario:</w:t>
      </w:r>
    </w:p>
    <w:p w:rsidR="00907E51" w:rsidRPr="001C56E9" w:rsidRDefault="00907E51" w:rsidP="00907E51">
      <w:pPr>
        <w:pStyle w:val="Default"/>
        <w:numPr>
          <w:ilvl w:val="0"/>
          <w:numId w:val="30"/>
        </w:numPr>
        <w:spacing w:after="0"/>
        <w:ind w:left="1004"/>
        <w:rPr>
          <w:rFonts w:ascii="Arial" w:hAnsi="Arial" w:cs="Arial"/>
          <w:color w:val="auto"/>
        </w:rPr>
      </w:pPr>
      <w:r w:rsidRPr="001C56E9">
        <w:rPr>
          <w:rFonts w:ascii="Arial" w:hAnsi="Arial" w:cs="Arial"/>
          <w:color w:val="auto"/>
        </w:rPr>
        <w:t xml:space="preserve"> effettuare una variazione del bilancio annuale e pluriennale in corso di gestione, al fine di istituire o incrementare gli stanziamenti cui le spese devono essere imputate, </w:t>
      </w:r>
    </w:p>
    <w:p w:rsidR="00907E51" w:rsidRPr="001C56E9" w:rsidRDefault="00907E51" w:rsidP="00907E51">
      <w:pPr>
        <w:pStyle w:val="Default"/>
        <w:numPr>
          <w:ilvl w:val="0"/>
          <w:numId w:val="30"/>
        </w:numPr>
        <w:spacing w:after="0"/>
        <w:ind w:left="1004"/>
        <w:rPr>
          <w:rFonts w:ascii="Arial" w:hAnsi="Arial" w:cs="Arial"/>
          <w:color w:val="auto"/>
        </w:rPr>
      </w:pPr>
      <w:r w:rsidRPr="001C56E9">
        <w:rPr>
          <w:rFonts w:ascii="Arial" w:hAnsi="Arial" w:cs="Arial"/>
          <w:color w:val="auto"/>
        </w:rPr>
        <w:t>“trasferire” all’esercizio di re-imputazione anche la “copertura” che l’impegno aveva nell’esericizio cui era stato inizialmente imputato. A tal fine si utilizza il fondo pluriennale vincolato.</w:t>
      </w:r>
    </w:p>
    <w:p w:rsidR="00907E51" w:rsidRPr="001C56E9" w:rsidRDefault="00907E51" w:rsidP="00907E51">
      <w:pPr>
        <w:pStyle w:val="Default"/>
        <w:ind w:left="0"/>
        <w:rPr>
          <w:rFonts w:ascii="Arial" w:hAnsi="Arial" w:cs="Arial"/>
          <w:color w:val="auto"/>
        </w:rPr>
      </w:pPr>
    </w:p>
    <w:p w:rsidR="00907E51" w:rsidRPr="001C56E9" w:rsidRDefault="00907E51" w:rsidP="00907E51">
      <w:pPr>
        <w:pStyle w:val="Default"/>
        <w:ind w:left="0"/>
        <w:rPr>
          <w:rFonts w:ascii="Arial" w:hAnsi="Arial" w:cs="Arial"/>
          <w:color w:val="auto"/>
        </w:rPr>
      </w:pPr>
      <w:r w:rsidRPr="001C56E9">
        <w:rPr>
          <w:rFonts w:ascii="Arial" w:hAnsi="Arial" w:cs="Arial"/>
          <w:color w:val="auto"/>
        </w:rPr>
        <w:t xml:space="preserve">Ai sensi di quanto previsto dall’articolo 7, comma 3 del </w:t>
      </w:r>
      <w:r w:rsidRPr="001C56E9">
        <w:rPr>
          <w:rFonts w:ascii="Arial" w:hAnsi="Arial" w:cs="Arial"/>
        </w:rPr>
        <w:t>DPCM 28 dicembre 2011</w:t>
      </w:r>
      <w:r w:rsidRPr="001C56E9">
        <w:rPr>
          <w:rFonts w:ascii="Arial" w:hAnsi="Arial" w:cs="Arial"/>
          <w:color w:val="auto"/>
        </w:rPr>
        <w:t>, attraverso una delibera di Giunta, si procede come segue:</w:t>
      </w:r>
    </w:p>
    <w:p w:rsidR="00907E51" w:rsidRPr="001C56E9" w:rsidRDefault="00907E51" w:rsidP="00907E51">
      <w:pPr>
        <w:pStyle w:val="Default"/>
        <w:ind w:left="0"/>
        <w:rPr>
          <w:rFonts w:ascii="Arial" w:hAnsi="Arial" w:cs="Arial"/>
          <w:color w:val="auto"/>
        </w:rPr>
      </w:pPr>
      <w:r w:rsidRPr="001C56E9">
        <w:rPr>
          <w:rFonts w:ascii="Arial" w:hAnsi="Arial" w:cs="Arial"/>
          <w:color w:val="auto"/>
        </w:rPr>
        <w:t>- nel bilancio dell’esercizio in cui era imputato l’impegno cancellato si provvede a costituire (o a incrementare) il fondo pluriennale vincolato per un importo pari a quello del residuo cancellato,</w:t>
      </w:r>
    </w:p>
    <w:p w:rsidR="00907E51" w:rsidRPr="001C56E9" w:rsidRDefault="00907E51" w:rsidP="00907E51">
      <w:pPr>
        <w:pStyle w:val="Default"/>
        <w:ind w:left="0"/>
        <w:rPr>
          <w:rFonts w:ascii="Arial" w:hAnsi="Arial" w:cs="Arial"/>
          <w:color w:val="auto"/>
        </w:rPr>
      </w:pPr>
      <w:r w:rsidRPr="001C56E9">
        <w:rPr>
          <w:rFonts w:ascii="Arial" w:hAnsi="Arial" w:cs="Arial"/>
          <w:color w:val="auto"/>
        </w:rPr>
        <w:t>-nel primo esercizio del bilancio annuale e pluriennale in gestione si incrementa il fondo pluriennale iscritto tra le entrate, per un importo pari all’incremento del fondo pluriennale iscritto nel bilancio dell’esercizio precedente, tra le spese ;</w:t>
      </w:r>
    </w:p>
    <w:p w:rsidR="00907E51" w:rsidRPr="001C56E9" w:rsidRDefault="00907E51" w:rsidP="00907E51">
      <w:pPr>
        <w:pStyle w:val="Default"/>
        <w:ind w:left="0"/>
        <w:rPr>
          <w:rFonts w:ascii="Arial" w:hAnsi="Arial" w:cs="Arial"/>
          <w:color w:val="auto"/>
        </w:rPr>
      </w:pPr>
      <w:r w:rsidRPr="001C56E9">
        <w:rPr>
          <w:rFonts w:ascii="Arial" w:hAnsi="Arial" w:cs="Arial"/>
          <w:color w:val="auto"/>
        </w:rPr>
        <w:t>-nel bilancio dell’esercizio cui la spesa è reimputata si incrementano o si iscrivono gli stanziamenti di spesa necessari per la reimputazione degli impegni.</w:t>
      </w:r>
    </w:p>
    <w:p w:rsidR="00907E51" w:rsidRPr="001C56E9" w:rsidRDefault="00907E51" w:rsidP="00907E51">
      <w:pPr>
        <w:rPr>
          <w:rFonts w:ascii="Arial" w:hAnsi="Arial" w:cs="Arial"/>
          <w:sz w:val="24"/>
          <w:szCs w:val="24"/>
        </w:rPr>
      </w:pPr>
    </w:p>
    <w:p w:rsidR="00907E51" w:rsidRPr="001C56E9" w:rsidRDefault="00907E51" w:rsidP="00907E51">
      <w:pPr>
        <w:jc w:val="both"/>
        <w:rPr>
          <w:rFonts w:ascii="Arial" w:hAnsi="Arial" w:cs="Arial"/>
          <w:sz w:val="24"/>
          <w:szCs w:val="24"/>
        </w:rPr>
      </w:pPr>
      <w:r w:rsidRPr="001C56E9">
        <w:rPr>
          <w:rFonts w:ascii="Arial" w:hAnsi="Arial" w:cs="Arial"/>
          <w:sz w:val="24"/>
          <w:szCs w:val="24"/>
        </w:rPr>
        <w:t xml:space="preserve">Al fine di semplificare e velocizzare il procedimento, la delibera di Giunta che dispone la variazione degli stanziamenti necessari alla re imputazione degli accertamenti e degli impegni cancellati </w:t>
      </w:r>
      <w:r w:rsidRPr="001C56E9">
        <w:rPr>
          <w:rFonts w:ascii="Arial" w:hAnsi="Arial" w:cs="Arial"/>
          <w:sz w:val="24"/>
          <w:szCs w:val="24"/>
          <w:u w:val="single"/>
        </w:rPr>
        <w:t>può</w:t>
      </w:r>
      <w:r w:rsidRPr="001C56E9">
        <w:rPr>
          <w:rFonts w:ascii="Arial" w:hAnsi="Arial" w:cs="Arial"/>
          <w:sz w:val="24"/>
          <w:szCs w:val="24"/>
        </w:rPr>
        <w:t xml:space="preserve"> disporre anche l’accertamento e l’impegno delle entrate e delle spese agli esercizi in cui sono esigibili. Al riguardo, si rappresenta che l’atto che dispone il riaccertamento e il reimpegno di entrate e spese non ha natura gestionale, in quanto si tratta solo della reimputazione contabile di accertamenti e impegni riguardanti obbligazioni giuridiche già assunte dagli uffici competenti.</w:t>
      </w:r>
    </w:p>
    <w:p w:rsidR="00907E51" w:rsidRPr="001C56E9" w:rsidRDefault="00907E51" w:rsidP="00907E51">
      <w:pPr>
        <w:pStyle w:val="Default"/>
        <w:tabs>
          <w:tab w:val="left" w:pos="0"/>
        </w:tabs>
        <w:spacing w:after="204"/>
        <w:ind w:left="0"/>
        <w:rPr>
          <w:rFonts w:ascii="Arial" w:hAnsi="Arial" w:cs="Arial"/>
          <w:color w:val="auto"/>
        </w:rPr>
      </w:pPr>
      <w:r w:rsidRPr="001C56E9">
        <w:rPr>
          <w:rFonts w:ascii="Arial" w:hAnsi="Arial" w:cs="Arial"/>
          <w:color w:val="auto"/>
        </w:rPr>
        <w:t>Il riaccertamento dei residui trova specifica evidenza nel rendiconto finanziario dell’anno in cui è avvenuto.</w:t>
      </w:r>
    </w:p>
    <w:p w:rsidR="00907E51" w:rsidRPr="001C56E9" w:rsidRDefault="00907E51" w:rsidP="00907E51">
      <w:pPr>
        <w:tabs>
          <w:tab w:val="left" w:pos="284"/>
        </w:tabs>
        <w:ind w:right="-285"/>
        <w:jc w:val="both"/>
        <w:rPr>
          <w:rFonts w:ascii="Arial" w:hAnsi="Arial" w:cs="Arial"/>
          <w:sz w:val="24"/>
          <w:szCs w:val="24"/>
        </w:rPr>
      </w:pPr>
      <w:r w:rsidRPr="001C56E9">
        <w:rPr>
          <w:rFonts w:ascii="Arial" w:hAnsi="Arial" w:cs="Arial"/>
          <w:sz w:val="24"/>
          <w:szCs w:val="24"/>
        </w:rPr>
        <w:lastRenderedPageBreak/>
        <w:t xml:space="preserve">Con riferimento al primo esercizio di adozione del principio della competenza finanziaria potenziata è necessario verificare l’esigibilità di tutti i residui attivi e passivi e procedere </w:t>
      </w:r>
      <w:r w:rsidRPr="001C56E9">
        <w:rPr>
          <w:rFonts w:ascii="Arial" w:hAnsi="Arial" w:cs="Arial"/>
          <w:sz w:val="24"/>
          <w:szCs w:val="24"/>
          <w:u w:val="single"/>
        </w:rPr>
        <w:t>al riaccertamento straordinario dei residui previsto dall’articolo 14 del DPCM 28 dicembre 2011.</w:t>
      </w:r>
    </w:p>
    <w:p w:rsidR="00907E51" w:rsidRPr="001C56E9" w:rsidRDefault="00907E51" w:rsidP="00907E51">
      <w:pPr>
        <w:tabs>
          <w:tab w:val="left" w:pos="284"/>
        </w:tabs>
        <w:ind w:right="-285"/>
        <w:jc w:val="both"/>
        <w:rPr>
          <w:rFonts w:ascii="Arial" w:hAnsi="Arial" w:cs="Arial"/>
          <w:sz w:val="24"/>
          <w:szCs w:val="24"/>
        </w:rPr>
      </w:pPr>
      <w:r w:rsidRPr="001C56E9">
        <w:rPr>
          <w:rFonts w:ascii="Arial" w:hAnsi="Arial" w:cs="Arial"/>
          <w:sz w:val="24"/>
          <w:szCs w:val="24"/>
        </w:rPr>
        <w:t>Il riaccertamento straordinario dei residui è effettuato con le stesse modalità indicate per il riaccertamento ordinario. Al riguardo si rinvia a quanto indicato nell’esempio n. 6.</w:t>
      </w:r>
    </w:p>
    <w:p w:rsidR="00907E51" w:rsidRPr="001C56E9" w:rsidRDefault="00907E51" w:rsidP="00907E51">
      <w:pPr>
        <w:tabs>
          <w:tab w:val="left" w:pos="284"/>
        </w:tabs>
        <w:ind w:right="-285"/>
        <w:jc w:val="both"/>
        <w:rPr>
          <w:rFonts w:ascii="Arial" w:hAnsi="Arial" w:cs="Arial"/>
          <w:sz w:val="24"/>
          <w:szCs w:val="24"/>
        </w:rPr>
      </w:pPr>
    </w:p>
    <w:p w:rsidR="00907E51" w:rsidRPr="001C56E9" w:rsidRDefault="00907E51" w:rsidP="00907E51">
      <w:pPr>
        <w:pStyle w:val="Testonormale"/>
        <w:jc w:val="both"/>
        <w:rPr>
          <w:rFonts w:eastAsia="Times New Roman" w:cs="Arial"/>
          <w:color w:val="auto"/>
          <w:lang w:eastAsia="it-IT"/>
        </w:rPr>
      </w:pPr>
      <w:r w:rsidRPr="001C56E9">
        <w:rPr>
          <w:rFonts w:eastAsia="Times New Roman" w:cs="Arial"/>
          <w:color w:val="auto"/>
          <w:lang w:eastAsia="it-IT"/>
        </w:rPr>
        <w:t>Si conferma che, come indicato al principio 8, il riaccertamento dei residui, essendo un'attività di natura gestionale,  può essere effettuata anche nel corso dell’esercizio provvisorio, entro i termini previsti per l'approvazione del rendiconto.</w:t>
      </w:r>
    </w:p>
    <w:p w:rsidR="00907E51" w:rsidRPr="001C56E9" w:rsidRDefault="00907E51" w:rsidP="00907E51">
      <w:pPr>
        <w:pStyle w:val="Testonormale"/>
        <w:jc w:val="both"/>
        <w:rPr>
          <w:rFonts w:eastAsia="Times New Roman" w:cs="Arial"/>
          <w:color w:val="auto"/>
          <w:lang w:eastAsia="it-IT"/>
        </w:rPr>
      </w:pPr>
      <w:r w:rsidRPr="001C56E9">
        <w:rPr>
          <w:rFonts w:eastAsia="Times New Roman" w:cs="Arial"/>
          <w:color w:val="auto"/>
          <w:lang w:eastAsia="it-IT"/>
        </w:rPr>
        <w:t>In tal caso, la variazione di bilancio necessaria alla reimputazione degli impegni e degli accertamenti all'esercizio in cui le obbligazioni sono esigibili, è effettuata, con delibera di Giunta, a valere dell’ultimo bilancio annuale e pluriennale approvato</w:t>
      </w:r>
    </w:p>
    <w:p w:rsidR="00907E51" w:rsidRPr="001C56E9" w:rsidRDefault="00907E51" w:rsidP="00907E51">
      <w:pPr>
        <w:pStyle w:val="Rientrocorpodeltesto2"/>
        <w:spacing w:line="240" w:lineRule="auto"/>
        <w:ind w:left="142"/>
        <w:contextualSpacing/>
        <w:rPr>
          <w:rFonts w:ascii="Arial" w:hAnsi="Arial" w:cs="Arial"/>
          <w:sz w:val="24"/>
          <w:szCs w:val="24"/>
        </w:rPr>
      </w:pPr>
    </w:p>
    <w:p w:rsidR="00907E51" w:rsidRPr="001C56E9" w:rsidRDefault="00907E51" w:rsidP="00907E51">
      <w:pPr>
        <w:pStyle w:val="NormaleWeb"/>
        <w:shd w:val="clear" w:color="auto" w:fill="FFFFFF"/>
        <w:spacing w:before="0" w:beforeAutospacing="0" w:after="0" w:afterAutospacing="0"/>
        <w:rPr>
          <w:rFonts w:ascii="Arial" w:hAnsi="Arial" w:cs="Arial"/>
          <w:b/>
          <w:color w:val="000000"/>
        </w:rPr>
      </w:pPr>
      <w:r w:rsidRPr="001C56E9">
        <w:rPr>
          <w:rFonts w:ascii="Arial" w:hAnsi="Arial" w:cs="Arial"/>
          <w:b/>
          <w:color w:val="000000"/>
        </w:rPr>
        <w:t>VARIAZIONI AL BILANCIO</w:t>
      </w:r>
    </w:p>
    <w:p w:rsidR="00907E51" w:rsidRPr="001C56E9" w:rsidRDefault="00907E51" w:rsidP="00907E51">
      <w:pPr>
        <w:pStyle w:val="NormaleWeb"/>
        <w:shd w:val="clear" w:color="auto" w:fill="FFFFFF"/>
        <w:spacing w:before="0" w:beforeAutospacing="0" w:after="0" w:afterAutospacing="0"/>
        <w:rPr>
          <w:rFonts w:ascii="Arial" w:hAnsi="Arial" w:cs="Arial"/>
          <w:color w:val="333333"/>
          <w:shd w:val="clear" w:color="auto" w:fill="FFFFFF"/>
        </w:rPr>
      </w:pPr>
      <w:r w:rsidRPr="001C56E9">
        <w:rPr>
          <w:rFonts w:ascii="Arial" w:hAnsi="Arial" w:cs="Arial"/>
          <w:color w:val="333333"/>
          <w:shd w:val="clear" w:color="auto" w:fill="FFFFFF"/>
        </w:rPr>
        <w:t>Le variazioni del bilancio sono variazioni al bilancio di previsione che si rendono necessarie durante l’esercizio.</w:t>
      </w:r>
    </w:p>
    <w:p w:rsidR="00907E51" w:rsidRPr="001C56E9" w:rsidRDefault="00907E51" w:rsidP="00907E51">
      <w:pPr>
        <w:shd w:val="clear" w:color="auto" w:fill="FFFFFF"/>
        <w:spacing w:after="450" w:line="240" w:lineRule="auto"/>
        <w:jc w:val="both"/>
        <w:rPr>
          <w:rFonts w:ascii="Arial" w:eastAsia="Times New Roman" w:hAnsi="Arial" w:cs="Arial"/>
          <w:color w:val="333333"/>
          <w:sz w:val="24"/>
          <w:szCs w:val="24"/>
          <w:lang w:eastAsia="it-IT"/>
        </w:rPr>
      </w:pPr>
      <w:r w:rsidRPr="001C56E9">
        <w:rPr>
          <w:rFonts w:ascii="Arial" w:eastAsia="Times New Roman" w:hAnsi="Arial" w:cs="Arial"/>
          <w:color w:val="333333"/>
          <w:sz w:val="24"/>
          <w:szCs w:val="24"/>
          <w:lang w:eastAsia="it-IT"/>
        </w:rPr>
        <w:t>Le variazioni, con provvedimento amministrativo (delibera o decreto), del bilancio di previsione e del documento tecnico di accompagnamento al bilancio vengono effettuate durante l’esercizio in corso prevalentemente al fine di:</w:t>
      </w:r>
    </w:p>
    <w:p w:rsidR="00907E51" w:rsidRPr="001C56E9" w:rsidRDefault="00907E51" w:rsidP="00907E51">
      <w:pPr>
        <w:numPr>
          <w:ilvl w:val="0"/>
          <w:numId w:val="27"/>
        </w:numPr>
        <w:shd w:val="clear" w:color="auto" w:fill="FFFFFF"/>
        <w:spacing w:before="100" w:beforeAutospacing="1" w:after="100" w:afterAutospacing="1" w:line="240" w:lineRule="auto"/>
        <w:jc w:val="both"/>
        <w:rPr>
          <w:rFonts w:ascii="Arial" w:eastAsia="Times New Roman" w:hAnsi="Arial" w:cs="Arial"/>
          <w:color w:val="333333"/>
          <w:sz w:val="24"/>
          <w:szCs w:val="24"/>
          <w:lang w:eastAsia="it-IT"/>
        </w:rPr>
      </w:pPr>
      <w:r w:rsidRPr="001C56E9">
        <w:rPr>
          <w:rFonts w:ascii="Arial" w:eastAsia="Times New Roman" w:hAnsi="Arial" w:cs="Arial"/>
          <w:color w:val="333333"/>
          <w:sz w:val="24"/>
          <w:szCs w:val="24"/>
          <w:lang w:eastAsia="it-IT"/>
        </w:rPr>
        <w:t>stanziare in entrata e spesa nuove assegnazioni vincolate (es. trasferimenti statali o trasferimenti dell’Unione europea) non previste nel bilancio di previsione o rimodularle negli esercizi successivi in base alla scadenza dell’obbligazione giuridica</w:t>
      </w:r>
    </w:p>
    <w:p w:rsidR="00907E51" w:rsidRPr="001C56E9" w:rsidRDefault="00907E51" w:rsidP="00907E51">
      <w:pPr>
        <w:numPr>
          <w:ilvl w:val="0"/>
          <w:numId w:val="27"/>
        </w:numPr>
        <w:shd w:val="clear" w:color="auto" w:fill="FFFFFF"/>
        <w:spacing w:before="100" w:beforeAutospacing="1" w:after="100" w:afterAutospacing="1" w:line="240" w:lineRule="auto"/>
        <w:jc w:val="both"/>
        <w:rPr>
          <w:rFonts w:ascii="Arial" w:eastAsia="Times New Roman" w:hAnsi="Arial" w:cs="Arial"/>
          <w:color w:val="333333"/>
          <w:sz w:val="24"/>
          <w:szCs w:val="24"/>
          <w:lang w:eastAsia="it-IT"/>
        </w:rPr>
      </w:pPr>
      <w:r w:rsidRPr="001C56E9">
        <w:rPr>
          <w:rFonts w:ascii="Arial" w:eastAsia="Times New Roman" w:hAnsi="Arial" w:cs="Arial"/>
          <w:color w:val="333333"/>
          <w:sz w:val="24"/>
          <w:szCs w:val="24"/>
          <w:lang w:eastAsia="it-IT"/>
        </w:rPr>
        <w:t>spostare, sullo stesso esercizio, risorse autonome o vincolate all’interno della stessa missione/programma - che rappresenta l’obiettivo di una determinata spesa - (es. missione Istruzione, programma Istruzione prescolastica) e titolo (es. spesa corrente) da un macroaggregato ad un altro - che rappresenta la natura economica della spesa - (es. da Acquisto di servizi a Trasferimenti correnti)</w:t>
      </w:r>
    </w:p>
    <w:p w:rsidR="00907E51" w:rsidRPr="001C56E9" w:rsidRDefault="00907E51" w:rsidP="00907E51">
      <w:pPr>
        <w:numPr>
          <w:ilvl w:val="0"/>
          <w:numId w:val="27"/>
        </w:numPr>
        <w:shd w:val="clear" w:color="auto" w:fill="FFFFFF"/>
        <w:spacing w:before="100" w:beforeAutospacing="1" w:after="100" w:afterAutospacing="1" w:line="240" w:lineRule="auto"/>
        <w:jc w:val="both"/>
        <w:rPr>
          <w:rFonts w:ascii="Arial" w:eastAsia="Times New Roman" w:hAnsi="Arial" w:cs="Arial"/>
          <w:color w:val="333333"/>
          <w:sz w:val="24"/>
          <w:szCs w:val="24"/>
          <w:lang w:eastAsia="it-IT"/>
        </w:rPr>
      </w:pPr>
      <w:r w:rsidRPr="001C56E9">
        <w:rPr>
          <w:rFonts w:ascii="Arial" w:eastAsia="Times New Roman" w:hAnsi="Arial" w:cs="Arial"/>
          <w:color w:val="333333"/>
          <w:sz w:val="24"/>
          <w:szCs w:val="24"/>
          <w:lang w:eastAsia="it-IT"/>
        </w:rPr>
        <w:t>spostare risorse, sullo stesso esercizio, all’interno dello medesima missione/programma e dello stesso macroaggregato (es. da Acquisto di servizio di consulenza ad Acquisto di servizio di formazione all’interno della missione Istruzione, programma Istruzione prescolastica) ,</w:t>
      </w:r>
    </w:p>
    <w:p w:rsidR="00907E51" w:rsidRPr="001C56E9" w:rsidRDefault="00907E51" w:rsidP="00907E51">
      <w:pPr>
        <w:numPr>
          <w:ilvl w:val="0"/>
          <w:numId w:val="27"/>
        </w:numPr>
        <w:shd w:val="clear" w:color="auto" w:fill="FFFFFF"/>
        <w:spacing w:before="100" w:beforeAutospacing="1" w:after="100" w:afterAutospacing="1" w:line="240" w:lineRule="auto"/>
        <w:jc w:val="both"/>
        <w:rPr>
          <w:rFonts w:ascii="Arial" w:eastAsia="Times New Roman" w:hAnsi="Arial" w:cs="Arial"/>
          <w:color w:val="333333"/>
          <w:sz w:val="24"/>
          <w:szCs w:val="24"/>
          <w:lang w:eastAsia="it-IT"/>
        </w:rPr>
      </w:pPr>
      <w:r w:rsidRPr="001C56E9">
        <w:rPr>
          <w:rFonts w:ascii="Arial" w:eastAsia="Times New Roman" w:hAnsi="Arial" w:cs="Arial"/>
          <w:color w:val="333333"/>
          <w:sz w:val="24"/>
          <w:szCs w:val="24"/>
          <w:lang w:eastAsia="it-IT"/>
        </w:rPr>
        <w:t>spostare risorse vincolate, sullo stesso esercizio, tra missioni e programmi diversi, mantenendo le finalità indicate nella legge di spesa</w:t>
      </w:r>
    </w:p>
    <w:p w:rsidR="00907E51" w:rsidRPr="001C56E9" w:rsidRDefault="00907E51" w:rsidP="00907E51">
      <w:pPr>
        <w:numPr>
          <w:ilvl w:val="0"/>
          <w:numId w:val="27"/>
        </w:numPr>
        <w:shd w:val="clear" w:color="auto" w:fill="FFFFFF"/>
        <w:spacing w:before="100" w:beforeAutospacing="1" w:after="100" w:afterAutospacing="1" w:line="240" w:lineRule="auto"/>
        <w:jc w:val="both"/>
        <w:rPr>
          <w:rFonts w:ascii="Arial" w:eastAsia="Times New Roman" w:hAnsi="Arial" w:cs="Arial"/>
          <w:color w:val="333333"/>
          <w:sz w:val="24"/>
          <w:szCs w:val="24"/>
          <w:lang w:eastAsia="it-IT"/>
        </w:rPr>
      </w:pPr>
      <w:r w:rsidRPr="001C56E9">
        <w:rPr>
          <w:rFonts w:ascii="Arial" w:eastAsia="Times New Roman" w:hAnsi="Arial" w:cs="Arial"/>
          <w:color w:val="333333"/>
          <w:sz w:val="24"/>
          <w:szCs w:val="24"/>
          <w:lang w:eastAsia="it-IT"/>
        </w:rPr>
        <w:t>prelevare risorse da appositi fondi allocati nella missione Fondi al fine di effettuare una determinata spesa all’interno di un’altra missione ( ad es. prelievo dal Fondo di riserva spese impreviste al fine di dare copertura ad una spesa imprevedibile e improcrastinabile sotto la missione Ambiente)</w:t>
      </w:r>
    </w:p>
    <w:p w:rsidR="00907E51" w:rsidRPr="001C56E9" w:rsidRDefault="00907E51" w:rsidP="00907E51">
      <w:pPr>
        <w:numPr>
          <w:ilvl w:val="0"/>
          <w:numId w:val="27"/>
        </w:numPr>
        <w:shd w:val="clear" w:color="auto" w:fill="FFFFFF"/>
        <w:spacing w:before="100" w:beforeAutospacing="1" w:after="100" w:afterAutospacing="1" w:line="240" w:lineRule="auto"/>
        <w:jc w:val="both"/>
        <w:rPr>
          <w:rFonts w:ascii="Arial" w:eastAsia="Times New Roman" w:hAnsi="Arial" w:cs="Arial"/>
          <w:color w:val="333333"/>
          <w:sz w:val="24"/>
          <w:szCs w:val="24"/>
          <w:lang w:eastAsia="it-IT"/>
        </w:rPr>
      </w:pPr>
      <w:r w:rsidRPr="001C56E9">
        <w:rPr>
          <w:rFonts w:ascii="Arial" w:eastAsia="Times New Roman" w:hAnsi="Arial" w:cs="Arial"/>
          <w:color w:val="333333"/>
          <w:sz w:val="24"/>
          <w:szCs w:val="24"/>
          <w:lang w:eastAsia="it-IT"/>
        </w:rPr>
        <w:t>effettuare le variazioni di bilancio come stabilite dalle norme finanziarie delle leggi regionali con impatti sul bilancio.</w:t>
      </w:r>
    </w:p>
    <w:p w:rsidR="00907E51" w:rsidRDefault="00FD75F7" w:rsidP="00907E51">
      <w:pPr>
        <w:pStyle w:val="NormaleWeb"/>
        <w:shd w:val="clear" w:color="auto" w:fill="FFFFFF"/>
        <w:spacing w:before="0" w:beforeAutospacing="0" w:after="0" w:afterAutospacing="0"/>
        <w:rPr>
          <w:rFonts w:ascii="Arial" w:hAnsi="Arial" w:cs="Arial"/>
          <w:b/>
          <w:color w:val="000000"/>
        </w:rPr>
      </w:pPr>
      <w:r>
        <w:rPr>
          <w:rFonts w:ascii="Arial" w:hAnsi="Arial" w:cs="Arial"/>
          <w:b/>
          <w:color w:val="000000"/>
        </w:rPr>
        <w:t>Quindi sia il bilancio che il peg sono soggetti a modifiche nel corso dell’esercizio di competenza e di cassa, sia nella parte entrata che nella parte spesa.</w:t>
      </w:r>
    </w:p>
    <w:p w:rsidR="00FD75F7" w:rsidRDefault="00FD75F7" w:rsidP="00907E51">
      <w:pPr>
        <w:pStyle w:val="NormaleWeb"/>
        <w:shd w:val="clear" w:color="auto" w:fill="FFFFFF"/>
        <w:spacing w:before="0" w:beforeAutospacing="0" w:after="0" w:afterAutospacing="0"/>
        <w:rPr>
          <w:rFonts w:ascii="Arial" w:hAnsi="Arial" w:cs="Arial"/>
          <w:b/>
          <w:color w:val="000000"/>
        </w:rPr>
      </w:pPr>
      <w:r>
        <w:rPr>
          <w:rFonts w:ascii="Arial" w:hAnsi="Arial" w:cs="Arial"/>
          <w:b/>
          <w:color w:val="000000"/>
        </w:rPr>
        <w:t>Le variazioni al bilancio sono di competenza del CC e possono esser deliberate entro il 30 novemnre di ogni anno ad eccezione di alcune variazioni che invece possono esser deliberate fino al 31 dicembre che sono:</w:t>
      </w:r>
    </w:p>
    <w:p w:rsidR="00FD75F7" w:rsidRDefault="00FD75F7" w:rsidP="00FD75F7">
      <w:pPr>
        <w:pStyle w:val="NormaleWeb"/>
        <w:numPr>
          <w:ilvl w:val="4"/>
          <w:numId w:val="17"/>
        </w:numPr>
        <w:shd w:val="clear" w:color="auto" w:fill="FFFFFF"/>
        <w:spacing w:before="0" w:beforeAutospacing="0" w:after="0" w:afterAutospacing="0"/>
        <w:rPr>
          <w:rFonts w:ascii="Arial" w:hAnsi="Arial" w:cs="Arial"/>
          <w:b/>
          <w:color w:val="000000"/>
        </w:rPr>
      </w:pPr>
      <w:r>
        <w:rPr>
          <w:rFonts w:ascii="Arial" w:hAnsi="Arial" w:cs="Arial"/>
          <w:b/>
          <w:color w:val="000000"/>
        </w:rPr>
        <w:lastRenderedPageBreak/>
        <w:t>istituzione di tipolgia di entrata senza vincolo di destinazionw con stanziamento pari a zero, a seguito di un accertamento e riscossione di entrate non previste in bilancio</w:t>
      </w:r>
    </w:p>
    <w:p w:rsidR="00FD75F7" w:rsidRDefault="00FD75F7" w:rsidP="00FD75F7">
      <w:pPr>
        <w:pStyle w:val="NormaleWeb"/>
        <w:numPr>
          <w:ilvl w:val="4"/>
          <w:numId w:val="17"/>
        </w:numPr>
        <w:shd w:val="clear" w:color="auto" w:fill="FFFFFF"/>
        <w:spacing w:before="0" w:beforeAutospacing="0" w:after="0" w:afterAutospacing="0"/>
        <w:rPr>
          <w:rFonts w:ascii="Arial" w:hAnsi="Arial" w:cs="Arial"/>
          <w:b/>
          <w:color w:val="000000"/>
        </w:rPr>
      </w:pPr>
      <w:r>
        <w:rPr>
          <w:rFonts w:ascii="Arial" w:hAnsi="Arial" w:cs="Arial"/>
          <w:b/>
          <w:color w:val="000000"/>
        </w:rPr>
        <w:t>isttituzione di tipolgia di entrata con vincolo di destinazione e il relativo programma di spesa</w:t>
      </w:r>
    </w:p>
    <w:p w:rsidR="00FD75F7" w:rsidRDefault="00FD75F7" w:rsidP="00FD75F7">
      <w:pPr>
        <w:pStyle w:val="NormaleWeb"/>
        <w:numPr>
          <w:ilvl w:val="4"/>
          <w:numId w:val="17"/>
        </w:numPr>
        <w:shd w:val="clear" w:color="auto" w:fill="FFFFFF"/>
        <w:spacing w:before="0" w:beforeAutospacing="0" w:after="0" w:afterAutospacing="0"/>
        <w:rPr>
          <w:rFonts w:ascii="Arial" w:hAnsi="Arial" w:cs="Arial"/>
          <w:b/>
          <w:color w:val="000000"/>
        </w:rPr>
      </w:pPr>
      <w:r>
        <w:rPr>
          <w:rFonts w:ascii="Arial" w:hAnsi="Arial" w:cs="Arial"/>
          <w:b/>
          <w:color w:val="000000"/>
        </w:rPr>
        <w:t>utilizzo delle quote del risultato di amministrazione vincolato</w:t>
      </w:r>
    </w:p>
    <w:p w:rsidR="00FD75F7" w:rsidRDefault="00FD75F7" w:rsidP="00FD75F7">
      <w:pPr>
        <w:pStyle w:val="NormaleWeb"/>
        <w:numPr>
          <w:ilvl w:val="4"/>
          <w:numId w:val="17"/>
        </w:numPr>
        <w:shd w:val="clear" w:color="auto" w:fill="FFFFFF"/>
        <w:spacing w:before="0" w:beforeAutospacing="0" w:after="0" w:afterAutospacing="0"/>
        <w:rPr>
          <w:rFonts w:ascii="Arial" w:hAnsi="Arial" w:cs="Arial"/>
          <w:b/>
          <w:color w:val="000000"/>
        </w:rPr>
      </w:pPr>
      <w:r>
        <w:rPr>
          <w:rFonts w:ascii="Arial" w:hAnsi="Arial" w:cs="Arial"/>
          <w:b/>
          <w:color w:val="000000"/>
        </w:rPr>
        <w:t>variazioni necessarie alla reimputazione agli esercizi in cui sono esgibili</w:t>
      </w:r>
    </w:p>
    <w:p w:rsidR="00FD75F7" w:rsidRDefault="00FD75F7" w:rsidP="00FD75F7">
      <w:pPr>
        <w:pStyle w:val="NormaleWeb"/>
        <w:numPr>
          <w:ilvl w:val="4"/>
          <w:numId w:val="17"/>
        </w:numPr>
        <w:shd w:val="clear" w:color="auto" w:fill="FFFFFF"/>
        <w:spacing w:before="0" w:beforeAutospacing="0" w:after="0" w:afterAutospacing="0"/>
        <w:rPr>
          <w:rFonts w:ascii="Arial" w:hAnsi="Arial" w:cs="Arial"/>
          <w:b/>
          <w:color w:val="000000"/>
        </w:rPr>
      </w:pPr>
      <w:r>
        <w:rPr>
          <w:rFonts w:ascii="Arial" w:hAnsi="Arial" w:cs="Arial"/>
          <w:b/>
          <w:color w:val="000000"/>
        </w:rPr>
        <w:t xml:space="preserve">variazioni di dotazioni di cassa </w:t>
      </w:r>
    </w:p>
    <w:p w:rsidR="00FD75F7" w:rsidRDefault="00FD75F7" w:rsidP="00FD75F7">
      <w:pPr>
        <w:pStyle w:val="NormaleWeb"/>
        <w:numPr>
          <w:ilvl w:val="4"/>
          <w:numId w:val="17"/>
        </w:numPr>
        <w:shd w:val="clear" w:color="auto" w:fill="FFFFFF"/>
        <w:spacing w:before="0" w:beforeAutospacing="0" w:after="0" w:afterAutospacing="0"/>
        <w:rPr>
          <w:rFonts w:ascii="Arial" w:hAnsi="Arial" w:cs="Arial"/>
          <w:b/>
          <w:color w:val="000000"/>
        </w:rPr>
      </w:pPr>
      <w:r>
        <w:rPr>
          <w:rFonts w:ascii="Arial" w:hAnsi="Arial" w:cs="Arial"/>
          <w:b/>
          <w:color w:val="000000"/>
        </w:rPr>
        <w:t>variazioni di stanziamenti riguardanti i versamenti ai conti di tesoreria statale intestati all’ente e iversamenti a depositi bancari intestati all’ente.</w:t>
      </w:r>
    </w:p>
    <w:p w:rsidR="00FD75F7" w:rsidRDefault="00FD75F7" w:rsidP="00FD75F7">
      <w:pPr>
        <w:pStyle w:val="NormaleWeb"/>
        <w:numPr>
          <w:ilvl w:val="4"/>
          <w:numId w:val="17"/>
        </w:numPr>
        <w:shd w:val="clear" w:color="auto" w:fill="FFFFFF"/>
        <w:spacing w:before="0" w:beforeAutospacing="0" w:after="0" w:afterAutospacing="0"/>
        <w:rPr>
          <w:rFonts w:ascii="Arial" w:hAnsi="Arial" w:cs="Arial"/>
          <w:b/>
          <w:color w:val="000000"/>
        </w:rPr>
      </w:pPr>
      <w:r>
        <w:rPr>
          <w:rFonts w:ascii="Arial" w:hAnsi="Arial" w:cs="Arial"/>
          <w:b/>
          <w:color w:val="000000"/>
        </w:rPr>
        <w:t>Alcune variazioni possono esser adottate dalla Giunta … sono le variazini urgenti, motivate, ma entro 60 g devono esser ratificate dal CC a pena di decadenza e comunque entro il 31 dicembre</w:t>
      </w:r>
      <w:r w:rsidR="0036413E">
        <w:rPr>
          <w:rFonts w:ascii="Arial" w:hAnsi="Arial" w:cs="Arial"/>
          <w:b/>
          <w:color w:val="000000"/>
        </w:rPr>
        <w:t>. In caso di mancata ratifica il CC deve entro 30g e comunque entro il 31 dicemnre adottare i provvedimenti necessari per le eventuali obbligazioni sorte sulla base della deliberazione non ratificata.</w:t>
      </w:r>
    </w:p>
    <w:p w:rsidR="0036413E" w:rsidRDefault="0036413E" w:rsidP="00907E51">
      <w:pPr>
        <w:pStyle w:val="NormaleWeb"/>
        <w:shd w:val="clear" w:color="auto" w:fill="FFFFFF"/>
        <w:spacing w:before="0" w:beforeAutospacing="0" w:after="0" w:afterAutospacing="0"/>
        <w:rPr>
          <w:rFonts w:ascii="Arial" w:hAnsi="Arial" w:cs="Arial"/>
          <w:b/>
          <w:color w:val="000000"/>
        </w:rPr>
      </w:pPr>
      <w:r>
        <w:rPr>
          <w:rFonts w:ascii="Arial" w:hAnsi="Arial" w:cs="Arial"/>
          <w:b/>
          <w:color w:val="000000"/>
        </w:rPr>
        <w:t>Inoltre la Giunta adotta variazioni non aventi carattere discrezionale quali:</w:t>
      </w:r>
    </w:p>
    <w:p w:rsidR="004A2927" w:rsidRDefault="0036413E" w:rsidP="0036413E">
      <w:pPr>
        <w:pStyle w:val="NormaleWeb"/>
        <w:numPr>
          <w:ilvl w:val="0"/>
          <w:numId w:val="41"/>
        </w:numPr>
        <w:shd w:val="clear" w:color="auto" w:fill="FFFFFF"/>
        <w:spacing w:before="0" w:beforeAutospacing="0" w:after="0" w:afterAutospacing="0"/>
        <w:rPr>
          <w:rFonts w:ascii="Arial" w:hAnsi="Arial" w:cs="Arial"/>
          <w:b/>
          <w:color w:val="000000"/>
        </w:rPr>
      </w:pPr>
      <w:r>
        <w:rPr>
          <w:rFonts w:ascii="Arial" w:hAnsi="Arial" w:cs="Arial"/>
          <w:b/>
          <w:color w:val="000000"/>
        </w:rPr>
        <w:t>Variazioni che riguardano l’utilizzo della quota vincolata e accantonata del risultato di amministrazione nel corso dell’esercizio provvisorio consistenti nella mera reiscrizione di economie di spesa derivanti da stanziamenti di bilancio dell’esercizio precedente corrispondenti a entrate vincolate</w:t>
      </w:r>
    </w:p>
    <w:p w:rsidR="0036413E" w:rsidRDefault="0036413E" w:rsidP="0036413E">
      <w:pPr>
        <w:pStyle w:val="NormaleWeb"/>
        <w:numPr>
          <w:ilvl w:val="0"/>
          <w:numId w:val="41"/>
        </w:numPr>
        <w:shd w:val="clear" w:color="auto" w:fill="FFFFFF"/>
        <w:spacing w:before="0" w:beforeAutospacing="0" w:after="0" w:afterAutospacing="0"/>
        <w:rPr>
          <w:rFonts w:ascii="Arial" w:hAnsi="Arial" w:cs="Arial"/>
          <w:b/>
          <w:color w:val="000000"/>
        </w:rPr>
      </w:pPr>
      <w:r>
        <w:rPr>
          <w:rFonts w:ascii="Arial" w:hAnsi="Arial" w:cs="Arial"/>
          <w:b/>
          <w:color w:val="000000"/>
        </w:rPr>
        <w:t>Varizioni compensative tar le dotazioni delle missioni e dei programmi riguardanti l’utilizzo di risrse comunitariee vincolate, quando queste variazioni sono necessarie  per attuare interventi previste da intese istitutzionlai di programma</w:t>
      </w:r>
    </w:p>
    <w:p w:rsidR="0036413E" w:rsidRDefault="0036413E" w:rsidP="0036413E">
      <w:pPr>
        <w:pStyle w:val="NormaleWeb"/>
        <w:numPr>
          <w:ilvl w:val="0"/>
          <w:numId w:val="41"/>
        </w:numPr>
        <w:shd w:val="clear" w:color="auto" w:fill="FFFFFF"/>
        <w:spacing w:before="0" w:beforeAutospacing="0" w:after="0" w:afterAutospacing="0"/>
        <w:rPr>
          <w:rFonts w:ascii="Arial" w:hAnsi="Arial" w:cs="Arial"/>
          <w:b/>
          <w:color w:val="000000"/>
        </w:rPr>
      </w:pPr>
      <w:r>
        <w:rPr>
          <w:rFonts w:ascii="Arial" w:hAnsi="Arial" w:cs="Arial"/>
          <w:b/>
          <w:color w:val="000000"/>
        </w:rPr>
        <w:t>Variazioni compensative tra le dotazioni delle missioni e dei programmi limitatamente alle spese per il personale trasferito all’interno dell’ente</w:t>
      </w:r>
    </w:p>
    <w:p w:rsidR="004A2927" w:rsidRDefault="0036413E" w:rsidP="00907E51">
      <w:pPr>
        <w:pStyle w:val="NormaleWeb"/>
        <w:numPr>
          <w:ilvl w:val="0"/>
          <w:numId w:val="41"/>
        </w:numPr>
        <w:shd w:val="clear" w:color="auto" w:fill="FFFFFF"/>
        <w:spacing w:before="0" w:beforeAutospacing="0" w:after="0" w:afterAutospacing="0"/>
        <w:rPr>
          <w:rFonts w:ascii="Arial" w:hAnsi="Arial" w:cs="Arial"/>
          <w:b/>
          <w:color w:val="000000"/>
        </w:rPr>
      </w:pPr>
      <w:r w:rsidRPr="0036413E">
        <w:rPr>
          <w:rFonts w:ascii="Arial" w:hAnsi="Arial" w:cs="Arial"/>
          <w:b/>
          <w:color w:val="000000"/>
        </w:rPr>
        <w:t xml:space="preserve">Variazioni delle dotazioni di cassa , salvo quelle previste </w:t>
      </w:r>
      <w:r>
        <w:rPr>
          <w:rFonts w:ascii="Arial" w:hAnsi="Arial" w:cs="Arial"/>
          <w:b/>
          <w:color w:val="000000"/>
        </w:rPr>
        <w:t>dai responsabili della spesa,garantendo che il fondo di cassa al termine dell’esercizio  non sia negativo</w:t>
      </w:r>
    </w:p>
    <w:p w:rsidR="0036413E" w:rsidRDefault="0036413E" w:rsidP="00E354BE">
      <w:pPr>
        <w:pStyle w:val="NormaleWeb"/>
        <w:numPr>
          <w:ilvl w:val="0"/>
          <w:numId w:val="41"/>
        </w:numPr>
        <w:shd w:val="clear" w:color="auto" w:fill="FFFFFF"/>
        <w:spacing w:before="0" w:beforeAutospacing="0" w:after="0" w:afterAutospacing="0"/>
        <w:rPr>
          <w:rFonts w:ascii="Arial" w:hAnsi="Arial" w:cs="Arial"/>
          <w:b/>
          <w:color w:val="000000"/>
        </w:rPr>
      </w:pPr>
      <w:r>
        <w:rPr>
          <w:rFonts w:ascii="Arial" w:hAnsi="Arial" w:cs="Arial"/>
          <w:b/>
          <w:color w:val="000000"/>
        </w:rPr>
        <w:t>Variazioni del FPV entro i termini di approvazione del rendiconto</w:t>
      </w:r>
    </w:p>
    <w:p w:rsidR="00E354BE" w:rsidRDefault="0036413E" w:rsidP="00E354BE">
      <w:pPr>
        <w:pStyle w:val="NormaleWeb"/>
        <w:shd w:val="clear" w:color="auto" w:fill="FFFFFF"/>
        <w:spacing w:before="0" w:beforeAutospacing="0" w:after="0" w:afterAutospacing="0"/>
        <w:ind w:left="50"/>
        <w:rPr>
          <w:rFonts w:ascii="Arial" w:hAnsi="Arial" w:cs="Arial"/>
          <w:b/>
          <w:color w:val="000000"/>
        </w:rPr>
      </w:pPr>
      <w:r>
        <w:rPr>
          <w:rFonts w:ascii="Arial" w:hAnsi="Arial" w:cs="Arial"/>
          <w:b/>
          <w:color w:val="000000"/>
        </w:rPr>
        <w:t>Altre variazioni possono esser disposte dal responsabile della spesa:</w:t>
      </w:r>
      <w:r>
        <w:rPr>
          <w:rFonts w:ascii="Arial" w:hAnsi="Arial" w:cs="Arial"/>
          <w:b/>
          <w:color w:val="000000"/>
        </w:rPr>
        <w:br/>
      </w:r>
    </w:p>
    <w:p w:rsidR="0036413E" w:rsidRDefault="0036413E" w:rsidP="00E354BE">
      <w:pPr>
        <w:pStyle w:val="NormaleWeb"/>
        <w:numPr>
          <w:ilvl w:val="0"/>
          <w:numId w:val="42"/>
        </w:numPr>
        <w:shd w:val="clear" w:color="auto" w:fill="FFFFFF"/>
        <w:spacing w:before="0" w:beforeAutospacing="0" w:after="0" w:afterAutospacing="0"/>
        <w:rPr>
          <w:rFonts w:ascii="Arial" w:hAnsi="Arial" w:cs="Arial"/>
          <w:b/>
          <w:color w:val="000000"/>
        </w:rPr>
      </w:pPr>
      <w:r>
        <w:rPr>
          <w:rFonts w:ascii="Arial" w:hAnsi="Arial" w:cs="Arial"/>
          <w:b/>
          <w:color w:val="000000"/>
        </w:rPr>
        <w:t xml:space="preserve">variazioni compensative del peg tra capitoli di entrata della medesima categoriae tra capitoli di spesa del medesimo macroaggregato(esclusi quelli riguardanti trafserimenti correnti, </w:t>
      </w:r>
      <w:r w:rsidR="00E354BE">
        <w:rPr>
          <w:rFonts w:ascii="Arial" w:hAnsi="Arial" w:cs="Arial"/>
          <w:b/>
          <w:color w:val="000000"/>
        </w:rPr>
        <w:t>contributi agli investimenti, trasferimenti in conto capitale che sono di competenza della Giunta</w:t>
      </w:r>
    </w:p>
    <w:p w:rsidR="00E354BE" w:rsidRDefault="00E354BE" w:rsidP="0036413E">
      <w:pPr>
        <w:pStyle w:val="NormaleWeb"/>
        <w:numPr>
          <w:ilvl w:val="0"/>
          <w:numId w:val="41"/>
        </w:numPr>
        <w:shd w:val="clear" w:color="auto" w:fill="FFFFFF"/>
        <w:spacing w:before="0" w:beforeAutospacing="0" w:after="0" w:afterAutospacing="0"/>
        <w:rPr>
          <w:rFonts w:ascii="Arial" w:hAnsi="Arial" w:cs="Arial"/>
          <w:b/>
          <w:color w:val="000000"/>
        </w:rPr>
      </w:pPr>
      <w:r>
        <w:rPr>
          <w:rFonts w:ascii="Arial" w:hAnsi="Arial" w:cs="Arial"/>
          <w:b/>
          <w:color w:val="000000"/>
        </w:rPr>
        <w:t>Variazioni di bilancio tra gli stanziamenti riguardanti il FPV e gli stanziamenti correlati</w:t>
      </w:r>
    </w:p>
    <w:p w:rsidR="00E354BE" w:rsidRDefault="00E354BE" w:rsidP="0036413E">
      <w:pPr>
        <w:pStyle w:val="NormaleWeb"/>
        <w:numPr>
          <w:ilvl w:val="0"/>
          <w:numId w:val="41"/>
        </w:numPr>
        <w:shd w:val="clear" w:color="auto" w:fill="FFFFFF"/>
        <w:spacing w:before="0" w:beforeAutospacing="0" w:after="0" w:afterAutospacing="0"/>
        <w:rPr>
          <w:rFonts w:ascii="Arial" w:hAnsi="Arial" w:cs="Arial"/>
          <w:b/>
          <w:color w:val="000000"/>
        </w:rPr>
      </w:pPr>
      <w:r>
        <w:rPr>
          <w:rFonts w:ascii="Arial" w:hAnsi="Arial" w:cs="Arial"/>
          <w:b/>
          <w:color w:val="000000"/>
        </w:rPr>
        <w:t>Variazioni di bilancio riguardanti l’utilizzo della quota vncolata del risultato di amministrazione derivanti da stanziamenti di bilancio negli esercizi precedenti corrispondenti a entrate vincolate</w:t>
      </w:r>
    </w:p>
    <w:p w:rsidR="00E354BE" w:rsidRDefault="00E354BE" w:rsidP="0036413E">
      <w:pPr>
        <w:pStyle w:val="NormaleWeb"/>
        <w:numPr>
          <w:ilvl w:val="0"/>
          <w:numId w:val="41"/>
        </w:numPr>
        <w:shd w:val="clear" w:color="auto" w:fill="FFFFFF"/>
        <w:spacing w:before="0" w:beforeAutospacing="0" w:after="0" w:afterAutospacing="0"/>
        <w:rPr>
          <w:rFonts w:ascii="Arial" w:hAnsi="Arial" w:cs="Arial"/>
          <w:b/>
          <w:color w:val="000000"/>
        </w:rPr>
      </w:pPr>
      <w:r>
        <w:rPr>
          <w:rFonts w:ascii="Arial" w:hAnsi="Arial" w:cs="Arial"/>
          <w:b/>
          <w:color w:val="000000"/>
        </w:rPr>
        <w:t>Variazioni degli stanziamenti dei versamenti ai conti di tesoreria</w:t>
      </w:r>
    </w:p>
    <w:p w:rsidR="004A2927" w:rsidRPr="00E354BE" w:rsidRDefault="00E354BE" w:rsidP="00907E51">
      <w:pPr>
        <w:pStyle w:val="NormaleWeb"/>
        <w:numPr>
          <w:ilvl w:val="0"/>
          <w:numId w:val="41"/>
        </w:numPr>
        <w:shd w:val="clear" w:color="auto" w:fill="FFFFFF"/>
        <w:spacing w:before="0" w:beforeAutospacing="0" w:after="0" w:afterAutospacing="0"/>
        <w:rPr>
          <w:rFonts w:ascii="Arial" w:hAnsi="Arial" w:cs="Arial"/>
          <w:b/>
          <w:color w:val="000000"/>
        </w:rPr>
      </w:pPr>
      <w:r w:rsidRPr="00E354BE">
        <w:rPr>
          <w:rFonts w:ascii="Arial" w:hAnsi="Arial" w:cs="Arial"/>
          <w:b/>
          <w:color w:val="000000"/>
        </w:rPr>
        <w:t>Variazioni necessarie per la’deguamento delle previsioni , compresa l’is</w:t>
      </w:r>
      <w:r>
        <w:rPr>
          <w:rFonts w:ascii="Arial" w:hAnsi="Arial" w:cs="Arial"/>
          <w:b/>
          <w:color w:val="000000"/>
        </w:rPr>
        <w:t>tituzione di tipolgie e programmi , riguardanti le partite di girp e le operazioni per conto di terzi.</w:t>
      </w:r>
    </w:p>
    <w:p w:rsidR="004A2927" w:rsidRDefault="004A2927" w:rsidP="00907E51">
      <w:pPr>
        <w:pStyle w:val="NormaleWeb"/>
        <w:shd w:val="clear" w:color="auto" w:fill="FFFFFF"/>
        <w:spacing w:before="0" w:beforeAutospacing="0" w:after="0" w:afterAutospacing="0"/>
        <w:rPr>
          <w:rFonts w:ascii="Arial" w:hAnsi="Arial" w:cs="Arial"/>
          <w:b/>
          <w:color w:val="000000"/>
        </w:rPr>
      </w:pPr>
    </w:p>
    <w:p w:rsidR="004A2927" w:rsidRDefault="004A2927" w:rsidP="00907E51">
      <w:pPr>
        <w:pStyle w:val="NormaleWeb"/>
        <w:shd w:val="clear" w:color="auto" w:fill="FFFFFF"/>
        <w:spacing w:before="0" w:beforeAutospacing="0" w:after="0" w:afterAutospacing="0"/>
        <w:rPr>
          <w:rFonts w:ascii="Arial" w:hAnsi="Arial" w:cs="Arial"/>
          <w:b/>
          <w:color w:val="000000"/>
        </w:rPr>
      </w:pPr>
    </w:p>
    <w:p w:rsidR="004A2927" w:rsidRDefault="004A2927" w:rsidP="00907E51">
      <w:pPr>
        <w:pStyle w:val="NormaleWeb"/>
        <w:shd w:val="clear" w:color="auto" w:fill="FFFFFF"/>
        <w:spacing w:before="0" w:beforeAutospacing="0" w:after="0" w:afterAutospacing="0"/>
        <w:rPr>
          <w:rFonts w:ascii="Arial" w:hAnsi="Arial" w:cs="Arial"/>
          <w:b/>
          <w:color w:val="000000"/>
        </w:rPr>
      </w:pPr>
    </w:p>
    <w:p w:rsidR="004A2927" w:rsidRPr="001C56E9" w:rsidRDefault="004A2927" w:rsidP="00907E51">
      <w:pPr>
        <w:pStyle w:val="NormaleWeb"/>
        <w:shd w:val="clear" w:color="auto" w:fill="FFFFFF"/>
        <w:spacing w:before="0" w:beforeAutospacing="0" w:after="0" w:afterAutospacing="0"/>
        <w:rPr>
          <w:rFonts w:ascii="Arial" w:hAnsi="Arial" w:cs="Arial"/>
          <w:b/>
          <w:color w:val="000000"/>
        </w:rPr>
      </w:pPr>
    </w:p>
    <w:p w:rsidR="00907E51" w:rsidRPr="001C56E9" w:rsidRDefault="00907E51" w:rsidP="00907E51">
      <w:pPr>
        <w:pStyle w:val="NormaleWeb"/>
        <w:shd w:val="clear" w:color="auto" w:fill="FFFFFF"/>
        <w:spacing w:before="0" w:beforeAutospacing="0" w:after="0" w:afterAutospacing="0"/>
        <w:rPr>
          <w:rFonts w:ascii="Arial" w:hAnsi="Arial" w:cs="Arial"/>
          <w:b/>
          <w:color w:val="000000"/>
        </w:rPr>
      </w:pPr>
      <w:r w:rsidRPr="001C56E9">
        <w:rPr>
          <w:rFonts w:ascii="Arial" w:hAnsi="Arial" w:cs="Arial"/>
          <w:b/>
          <w:color w:val="000000"/>
        </w:rPr>
        <w:t>ASSESTAMENTO AL BILANCIO</w:t>
      </w:r>
    </w:p>
    <w:p w:rsidR="00907E51" w:rsidRPr="001C56E9" w:rsidRDefault="00907E51" w:rsidP="00907E51">
      <w:pPr>
        <w:pStyle w:val="NormaleWeb"/>
        <w:spacing w:before="48" w:beforeAutospacing="0" w:after="144" w:afterAutospacing="0"/>
        <w:jc w:val="both"/>
        <w:rPr>
          <w:rFonts w:ascii="Arial" w:hAnsi="Arial" w:cs="Arial"/>
          <w:color w:val="000000"/>
        </w:rPr>
      </w:pPr>
      <w:r w:rsidRPr="001C56E9">
        <w:rPr>
          <w:rFonts w:ascii="Arial" w:hAnsi="Arial" w:cs="Arial"/>
          <w:color w:val="000000"/>
        </w:rPr>
        <w:lastRenderedPageBreak/>
        <w:t>Il bilancio di assestamento è, dunque, lo strumento giuridico-contabile destinato ad aggiornare il bilancio di previsione annuale alle vicende economiche e finanziarie sopravvenute ed alle nuove situazioni verificatesi dopo la sua approvazione, siano esse correzioni di errori di previsione, adeguamenti degli stanziamenti di bilancio ai residui accertati o eventuali nuove esigenze di spesa. In ogni caso, al fine di evitare alterazioni dell'equilibrio di bilancio ipotizzato al momento dell'approvazione del documento di previsione annuale, l'ordinamento contabile prevede che si ricorra ad una legge sostanziale apposita.</w:t>
      </w:r>
    </w:p>
    <w:p w:rsidR="00907E51" w:rsidRPr="001C56E9" w:rsidRDefault="00907E51" w:rsidP="00907E51">
      <w:pPr>
        <w:pStyle w:val="NormaleWeb"/>
        <w:spacing w:before="48" w:beforeAutospacing="0" w:after="144" w:afterAutospacing="0"/>
        <w:jc w:val="both"/>
        <w:rPr>
          <w:rFonts w:ascii="Arial" w:hAnsi="Arial" w:cs="Arial"/>
          <w:color w:val="000000"/>
        </w:rPr>
      </w:pPr>
      <w:r w:rsidRPr="001C56E9">
        <w:rPr>
          <w:rFonts w:ascii="Arial" w:hAnsi="Arial" w:cs="Arial"/>
          <w:color w:val="000000"/>
        </w:rPr>
        <w:t>La legge di assestamento delle previsioni di bilancio nell'esplicare la sua principale funzione di aggiustamento delle previsioni, nel corso della gestione, si pone come strumento di manovra di bilancio, pur nella sua attuale configurazione di provvedimento di natura meramente formale</w:t>
      </w:r>
    </w:p>
    <w:p w:rsidR="00907E51" w:rsidRPr="001C56E9" w:rsidRDefault="00907E51" w:rsidP="00907E51">
      <w:pPr>
        <w:pStyle w:val="NormaleWeb"/>
        <w:shd w:val="clear" w:color="auto" w:fill="FFFFFF"/>
        <w:spacing w:before="0" w:beforeAutospacing="0" w:after="0" w:afterAutospacing="0"/>
        <w:rPr>
          <w:rFonts w:ascii="Arial" w:hAnsi="Arial" w:cs="Arial"/>
          <w:color w:val="333333"/>
          <w:shd w:val="clear" w:color="auto" w:fill="FFFFFF"/>
        </w:rPr>
      </w:pPr>
      <w:r w:rsidRPr="001C56E9">
        <w:rPr>
          <w:rFonts w:ascii="Arial" w:hAnsi="Arial" w:cs="Arial"/>
          <w:color w:val="333333"/>
          <w:shd w:val="clear" w:color="auto" w:fill="FFFFFF"/>
        </w:rPr>
        <w:t xml:space="preserve">Ai sensi dell’art. 50 del D.lgs 118/2011 entro il 31 luglio </w:t>
      </w:r>
      <w:r w:rsidR="0054222B">
        <w:rPr>
          <w:rFonts w:ascii="Arial" w:hAnsi="Arial" w:cs="Arial"/>
          <w:color w:val="333333"/>
          <w:shd w:val="clear" w:color="auto" w:fill="FFFFFF"/>
        </w:rPr>
        <w:t xml:space="preserve">IL COMUNE delibera </w:t>
      </w:r>
      <w:r w:rsidRPr="001C56E9">
        <w:rPr>
          <w:rFonts w:ascii="Arial" w:hAnsi="Arial" w:cs="Arial"/>
          <w:color w:val="333333"/>
          <w:shd w:val="clear" w:color="auto" w:fill="FFFFFF"/>
        </w:rPr>
        <w:t xml:space="preserve"> l’assestamento delle previsioni di bilancio, anche sulla scorta  dei residui attivi e passivi, del fondo pluriennale vincolato e del fondo crediti di dubbia esigibilità, accertati in sede di rendiconto dell’esercizio scaduto il 31 dicembre precedente.</w:t>
      </w:r>
      <w:r w:rsidRPr="001C56E9">
        <w:rPr>
          <w:rFonts w:ascii="Arial" w:hAnsi="Arial" w:cs="Arial"/>
          <w:color w:val="333333"/>
        </w:rPr>
        <w:br/>
      </w:r>
      <w:r w:rsidRPr="001C56E9">
        <w:rPr>
          <w:rFonts w:ascii="Arial" w:hAnsi="Arial" w:cs="Arial"/>
          <w:color w:val="333333"/>
          <w:shd w:val="clear" w:color="auto" w:fill="FFFFFF"/>
        </w:rPr>
        <w:t xml:space="preserve">La </w:t>
      </w:r>
      <w:r w:rsidR="0054222B">
        <w:rPr>
          <w:rFonts w:ascii="Arial" w:hAnsi="Arial" w:cs="Arial"/>
          <w:color w:val="333333"/>
          <w:shd w:val="clear" w:color="auto" w:fill="FFFFFF"/>
        </w:rPr>
        <w:t>delibera</w:t>
      </w:r>
      <w:r w:rsidRPr="001C56E9">
        <w:rPr>
          <w:rFonts w:ascii="Arial" w:hAnsi="Arial" w:cs="Arial"/>
          <w:color w:val="333333"/>
          <w:shd w:val="clear" w:color="auto" w:fill="FFFFFF"/>
        </w:rPr>
        <w:t xml:space="preserve"> di assestamento dà atto del permanere degli equilibri generali di bilancio e, in caso di accertamento negativo, assume i necessari provvedimenti di equilibrio.</w:t>
      </w:r>
    </w:p>
    <w:p w:rsidR="00907E51" w:rsidRPr="001C56E9" w:rsidRDefault="00907E51" w:rsidP="00907E51">
      <w:pPr>
        <w:pStyle w:val="NormaleWeb"/>
        <w:shd w:val="clear" w:color="auto" w:fill="FFFFFF"/>
        <w:spacing w:before="0" w:beforeAutospacing="0" w:after="0" w:afterAutospacing="0"/>
        <w:rPr>
          <w:rFonts w:ascii="Arial" w:hAnsi="Arial" w:cs="Arial"/>
          <w:color w:val="3D3B39"/>
          <w:shd w:val="clear" w:color="auto" w:fill="FFFFFF"/>
        </w:rPr>
      </w:pPr>
      <w:r w:rsidRPr="001C56E9">
        <w:rPr>
          <w:rFonts w:ascii="Arial" w:hAnsi="Arial" w:cs="Arial"/>
          <w:color w:val="3D3B39"/>
          <w:shd w:val="clear" w:color="auto" w:fill="FFFFFF"/>
        </w:rPr>
        <w:t>CON QUESTA si dovrà verificare la permanenza delle condizioni giuridiche delle entrate accertate e delle spese, apportare le necessarie variazioni al bilancio per la copertura di eventuali debiti fuori bilancio, effettuare le variazioni necessarie in entrata e uscita, per entrate o spese non correttamente imputate in occasione del bilancio di previsione, adeguare il FCDE e i fondi di riserva e di cassa. In merito alla salvaguardia degli equilibri di bilancio, collegate anche alle citate variazioni in sede di assestamento dei conti, le stesse dovranno dimostrare il permanere degli equilibri sia di parte corrente che di parte capitale e, in caso di squilibrio, dovranno essere individuate da parte del Consiglio le misure necessarie per un loro equilibrio. In considerazione della scadenza identica tra assestamento di bilancio ed equilibrio di bilancio, risulta possibile elaborare una sola deliberazione che contenga entrambi i citati documenti.</w:t>
      </w:r>
    </w:p>
    <w:p w:rsidR="0054222B" w:rsidRDefault="0054222B" w:rsidP="006B78B5">
      <w:pPr>
        <w:ind w:left="142"/>
        <w:rPr>
          <w:rFonts w:ascii="Arial" w:hAnsi="Arial" w:cs="Arial"/>
          <w:sz w:val="24"/>
          <w:szCs w:val="24"/>
        </w:rPr>
      </w:pPr>
    </w:p>
    <w:p w:rsidR="0054222B" w:rsidRDefault="0054222B" w:rsidP="0054222B">
      <w:pPr>
        <w:rPr>
          <w:rFonts w:ascii="Arial" w:hAnsi="Arial" w:cs="Arial"/>
          <w:sz w:val="24"/>
          <w:szCs w:val="24"/>
        </w:rPr>
      </w:pPr>
      <w:r>
        <w:rPr>
          <w:rFonts w:ascii="Arial" w:hAnsi="Arial" w:cs="Arial"/>
          <w:sz w:val="24"/>
          <w:szCs w:val="24"/>
        </w:rPr>
        <w:t>La finalità del controllo sugli atti è quella di garantire il presidio del pareggio di bilancio</w:t>
      </w:r>
    </w:p>
    <w:p w:rsidR="0054222B" w:rsidRDefault="0054222B" w:rsidP="0054222B">
      <w:pPr>
        <w:rPr>
          <w:rFonts w:ascii="Arial" w:hAnsi="Arial" w:cs="Arial"/>
          <w:sz w:val="24"/>
          <w:szCs w:val="24"/>
        </w:rPr>
      </w:pPr>
      <w:r>
        <w:rPr>
          <w:rFonts w:ascii="Arial" w:hAnsi="Arial" w:cs="Arial"/>
          <w:sz w:val="24"/>
          <w:szCs w:val="24"/>
        </w:rPr>
        <w:t>L’art 147 quinquies prevede il controllo finanziario che trova la sua disciplina nel regolamento di contabilità e viene svolto sotto la direzione e controllo del responsabile del servizio finanziario  e sotto la vigilanza dell’organo dei revisione, prevedendo il coinvolgimento del segretario, degli organi di governo, direttore generale e resposnabili/dirigenti.</w:t>
      </w:r>
    </w:p>
    <w:p w:rsidR="006B78B5" w:rsidRPr="001C56E9" w:rsidRDefault="006B78B5" w:rsidP="006B78B5">
      <w:pPr>
        <w:ind w:left="142"/>
        <w:rPr>
          <w:rFonts w:ascii="Arial" w:hAnsi="Arial" w:cs="Arial"/>
          <w:sz w:val="24"/>
          <w:szCs w:val="24"/>
        </w:rPr>
      </w:pPr>
      <w:r w:rsidRPr="001C56E9">
        <w:rPr>
          <w:rFonts w:ascii="Arial" w:hAnsi="Arial" w:cs="Arial"/>
          <w:sz w:val="24"/>
          <w:szCs w:val="24"/>
        </w:rPr>
        <w:t>PEG</w:t>
      </w:r>
    </w:p>
    <w:p w:rsidR="006B78B5" w:rsidRPr="001C56E9" w:rsidRDefault="006B78B5" w:rsidP="006B78B5">
      <w:pPr>
        <w:autoSpaceDE w:val="0"/>
        <w:autoSpaceDN w:val="0"/>
        <w:adjustRightInd w:val="0"/>
        <w:spacing w:after="0"/>
        <w:ind w:left="142"/>
        <w:rPr>
          <w:rFonts w:ascii="Arial" w:eastAsia="Calibri" w:hAnsi="Arial" w:cs="Arial"/>
          <w:sz w:val="24"/>
          <w:szCs w:val="24"/>
        </w:rPr>
      </w:pPr>
      <w:r w:rsidRPr="001C56E9">
        <w:rPr>
          <w:rFonts w:ascii="Arial" w:hAnsi="Arial" w:cs="Arial"/>
          <w:sz w:val="24"/>
          <w:szCs w:val="24"/>
        </w:rPr>
        <w:t>Lo strumento nel quale si sostanzia la relazione tra organo esecutivo e responsabili dei servizi.</w:t>
      </w:r>
      <w:r w:rsidRPr="001C56E9">
        <w:rPr>
          <w:rFonts w:ascii="Arial" w:eastAsia="Calibri" w:hAnsi="Arial" w:cs="Arial"/>
          <w:sz w:val="24"/>
          <w:szCs w:val="24"/>
        </w:rPr>
        <w:t xml:space="preserve"> Il direttore generale ed il segretario comunale nelle ipotesi di cui all’articolo 108, comma 4, del testo unico degli enti locali, avvalendosi della collaborazione dei dirigenti e dei responsabili dei servizi, propongono all’organo esecutivo il PEG per la sua definizione ed approvazione. </w:t>
      </w:r>
    </w:p>
    <w:p w:rsidR="006B78B5" w:rsidRPr="001C56E9" w:rsidRDefault="006B78B5" w:rsidP="006B78B5">
      <w:pPr>
        <w:ind w:left="142"/>
        <w:contextualSpacing/>
        <w:rPr>
          <w:rFonts w:ascii="Arial" w:hAnsi="Arial" w:cs="Arial"/>
          <w:sz w:val="24"/>
          <w:szCs w:val="24"/>
        </w:rPr>
      </w:pPr>
      <w:r w:rsidRPr="001C56E9">
        <w:rPr>
          <w:rFonts w:ascii="Arial" w:eastAsia="Times New Roman" w:hAnsi="Arial" w:cs="Arial"/>
          <w:sz w:val="24"/>
          <w:szCs w:val="24"/>
          <w:lang w:eastAsia="it-IT"/>
        </w:rPr>
        <w:t>Il PEG deve essere approvato dalla Giunta contestualmente all’approvazione del bilancio di previsione. Per contestualmente si intende</w:t>
      </w:r>
      <w:r w:rsidRPr="001C56E9">
        <w:rPr>
          <w:rFonts w:ascii="Arial" w:hAnsi="Arial" w:cs="Arial"/>
          <w:sz w:val="24"/>
          <w:szCs w:val="24"/>
        </w:rPr>
        <w:t xml:space="preserve"> la prima seduta di giunta successiva all’approvazione del bilancio da parte del Consiglio.</w:t>
      </w:r>
    </w:p>
    <w:p w:rsidR="006B78B5" w:rsidRPr="001C56E9" w:rsidRDefault="006B78B5" w:rsidP="006B78B5">
      <w:pPr>
        <w:ind w:left="142"/>
        <w:rPr>
          <w:rFonts w:ascii="Arial" w:hAnsi="Arial" w:cs="Arial"/>
          <w:sz w:val="24"/>
          <w:szCs w:val="24"/>
        </w:rPr>
      </w:pPr>
      <w:r w:rsidRPr="001C56E9">
        <w:rPr>
          <w:rFonts w:ascii="Arial" w:hAnsi="Arial" w:cs="Arial"/>
          <w:sz w:val="24"/>
          <w:szCs w:val="24"/>
        </w:rPr>
        <w:lastRenderedPageBreak/>
        <w:t>Il PEG mantiene il compito di porre in termini espliciti e diretti il legame tra obiettivi di gestione, dotazioni di risorse e responsabilità gestionali correlative. Pur non avendo una struttura predefinita, copre tutta l’attività dell’Ente, includendo tutte le entrate e le spese comprese nel BPF.</w:t>
      </w:r>
    </w:p>
    <w:p w:rsidR="006B78B5" w:rsidRPr="001C56E9" w:rsidRDefault="006B78B5" w:rsidP="006B78B5">
      <w:pPr>
        <w:ind w:left="142"/>
        <w:rPr>
          <w:rFonts w:ascii="Arial" w:hAnsi="Arial" w:cs="Arial"/>
          <w:sz w:val="24"/>
          <w:szCs w:val="24"/>
        </w:rPr>
      </w:pPr>
      <w:r w:rsidRPr="001C56E9">
        <w:rPr>
          <w:rFonts w:ascii="Arial" w:eastAsia="Calibri" w:hAnsi="Arial" w:cs="Arial"/>
          <w:sz w:val="24"/>
          <w:szCs w:val="24"/>
        </w:rPr>
        <w:t>Il PEG è uno strumento obbligatorio per le Province e per i Comuni con popolazione superiore a 5.000 abitanti.   Per i restanti Comuni è facoltativo ma se ne auspica l’adozione anche in forma semplificata</w:t>
      </w:r>
    </w:p>
    <w:p w:rsidR="006B78B5" w:rsidRPr="001C56E9" w:rsidRDefault="006B78B5" w:rsidP="006B78B5">
      <w:pPr>
        <w:ind w:left="142"/>
        <w:rPr>
          <w:rFonts w:ascii="Arial" w:hAnsi="Arial" w:cs="Arial"/>
          <w:sz w:val="24"/>
          <w:szCs w:val="24"/>
        </w:rPr>
      </w:pPr>
      <w:r w:rsidRPr="001C56E9">
        <w:rPr>
          <w:rFonts w:ascii="Arial" w:hAnsi="Arial" w:cs="Arial"/>
          <w:sz w:val="24"/>
          <w:szCs w:val="24"/>
        </w:rPr>
        <w:t>La funzione del PEG può così essere riassunta in due momenti principali: il primo, di programmazione e controllo della gestione, con valenza di razionale coordinamento e motivazione, sul modello di un budget onde il PEG contiene anche dati di natura extracontabile; il secondo, di autorizzazione e limite all’autonomia dirigenziale con specifico riguardo ai poteri di impegno costituendo le previsioni finanziarie contenute nel PEG il limite agli impegni di spesa assunti dai responsabili dei servizi</w:t>
      </w:r>
    </w:p>
    <w:p w:rsidR="006B78B5" w:rsidRPr="001C56E9" w:rsidRDefault="006B78B5" w:rsidP="006B78B5">
      <w:pPr>
        <w:ind w:left="142"/>
        <w:rPr>
          <w:rFonts w:ascii="Arial" w:hAnsi="Arial" w:cs="Arial"/>
          <w:sz w:val="24"/>
          <w:szCs w:val="24"/>
        </w:rPr>
      </w:pPr>
      <w:r w:rsidRPr="001C56E9">
        <w:rPr>
          <w:rFonts w:ascii="Arial" w:hAnsi="Arial" w:cs="Arial"/>
          <w:sz w:val="24"/>
          <w:szCs w:val="24"/>
        </w:rPr>
        <w:t>IL PEG può esser variato dalla Giunta entro il 15 dicembre.</w:t>
      </w:r>
    </w:p>
    <w:p w:rsidR="006B78B5" w:rsidRPr="001C56E9" w:rsidRDefault="006B78B5" w:rsidP="006B78B5">
      <w:pPr>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tLeast"/>
        <w:ind w:left="142"/>
        <w:textAlignment w:val="baseline"/>
        <w:rPr>
          <w:rFonts w:ascii="Arial" w:hAnsi="Arial" w:cs="Arial"/>
          <w:bCs/>
          <w:i/>
          <w:iCs/>
          <w:color w:val="000000" w:themeColor="text1"/>
          <w:sz w:val="24"/>
          <w:szCs w:val="24"/>
        </w:rPr>
      </w:pPr>
      <w:r w:rsidRPr="001C56E9">
        <w:rPr>
          <w:rFonts w:ascii="Arial" w:hAnsi="Arial" w:cs="Arial"/>
          <w:bCs/>
          <w:i/>
          <w:iCs/>
          <w:color w:val="000000" w:themeColor="text1"/>
          <w:sz w:val="24"/>
          <w:szCs w:val="24"/>
        </w:rPr>
        <w:t>La giunta delibera il piano esecutivo di gestione (PEG)  entro</w:t>
      </w:r>
      <w:r w:rsidR="00907E51" w:rsidRPr="001C56E9">
        <w:rPr>
          <w:rFonts w:ascii="Arial" w:hAnsi="Arial" w:cs="Arial"/>
          <w:bCs/>
          <w:i/>
          <w:iCs/>
          <w:color w:val="000000" w:themeColor="text1"/>
          <w:sz w:val="24"/>
          <w:szCs w:val="24"/>
        </w:rPr>
        <w:t xml:space="preserve"> </w:t>
      </w:r>
      <w:r w:rsidRPr="001C56E9">
        <w:rPr>
          <w:rFonts w:ascii="Arial" w:hAnsi="Arial" w:cs="Arial"/>
          <w:bCs/>
          <w:i/>
          <w:iCs/>
          <w:color w:val="000000" w:themeColor="text1"/>
          <w:sz w:val="24"/>
          <w:szCs w:val="24"/>
        </w:rPr>
        <w:t>venti giorni dall'approvazione del bilancio di previsione, in termini</w:t>
      </w:r>
      <w:r w:rsidR="00907E51" w:rsidRPr="001C56E9">
        <w:rPr>
          <w:rFonts w:ascii="Arial" w:hAnsi="Arial" w:cs="Arial"/>
          <w:bCs/>
          <w:i/>
          <w:iCs/>
          <w:color w:val="000000" w:themeColor="text1"/>
          <w:sz w:val="24"/>
          <w:szCs w:val="24"/>
        </w:rPr>
        <w:t xml:space="preserve"> </w:t>
      </w:r>
      <w:r w:rsidRPr="001C56E9">
        <w:rPr>
          <w:rFonts w:ascii="Arial" w:hAnsi="Arial" w:cs="Arial"/>
          <w:bCs/>
          <w:i/>
          <w:iCs/>
          <w:color w:val="000000" w:themeColor="text1"/>
          <w:sz w:val="24"/>
          <w:szCs w:val="24"/>
        </w:rPr>
        <w:t>di competenza . Con riferimento al primo esercizio il PEG e'  redatto</w:t>
      </w:r>
      <w:r w:rsidR="00907E51" w:rsidRPr="001C56E9">
        <w:rPr>
          <w:rFonts w:ascii="Arial" w:hAnsi="Arial" w:cs="Arial"/>
          <w:bCs/>
          <w:i/>
          <w:iCs/>
          <w:color w:val="000000" w:themeColor="text1"/>
          <w:sz w:val="24"/>
          <w:szCs w:val="24"/>
        </w:rPr>
        <w:t xml:space="preserve"> </w:t>
      </w:r>
      <w:r w:rsidRPr="001C56E9">
        <w:rPr>
          <w:rFonts w:ascii="Arial" w:hAnsi="Arial" w:cs="Arial"/>
          <w:bCs/>
          <w:i/>
          <w:iCs/>
          <w:color w:val="000000" w:themeColor="text1"/>
          <w:sz w:val="24"/>
          <w:szCs w:val="24"/>
        </w:rPr>
        <w:t>anche in termini di cassa. Il PEG e' riferito  ai  medesimi  esercizi</w:t>
      </w:r>
      <w:r w:rsidR="00907E51" w:rsidRPr="001C56E9">
        <w:rPr>
          <w:rFonts w:ascii="Arial" w:hAnsi="Arial" w:cs="Arial"/>
          <w:bCs/>
          <w:i/>
          <w:iCs/>
          <w:color w:val="000000" w:themeColor="text1"/>
          <w:sz w:val="24"/>
          <w:szCs w:val="24"/>
        </w:rPr>
        <w:t xml:space="preserve"> </w:t>
      </w:r>
      <w:r w:rsidRPr="001C56E9">
        <w:rPr>
          <w:rFonts w:ascii="Arial" w:hAnsi="Arial" w:cs="Arial"/>
          <w:bCs/>
          <w:i/>
          <w:iCs/>
          <w:color w:val="000000" w:themeColor="text1"/>
          <w:sz w:val="24"/>
          <w:szCs w:val="24"/>
        </w:rPr>
        <w:t>considerati nel bilancio, individua gli obiettivi della  gestione  ed</w:t>
      </w:r>
      <w:r w:rsidR="00907E51" w:rsidRPr="001C56E9">
        <w:rPr>
          <w:rFonts w:ascii="Arial" w:hAnsi="Arial" w:cs="Arial"/>
          <w:bCs/>
          <w:i/>
          <w:iCs/>
          <w:color w:val="000000" w:themeColor="text1"/>
          <w:sz w:val="24"/>
          <w:szCs w:val="24"/>
        </w:rPr>
        <w:t xml:space="preserve"> </w:t>
      </w:r>
      <w:r w:rsidRPr="001C56E9">
        <w:rPr>
          <w:rFonts w:ascii="Arial" w:hAnsi="Arial" w:cs="Arial"/>
          <w:bCs/>
          <w:i/>
          <w:iCs/>
          <w:color w:val="000000" w:themeColor="text1"/>
          <w:sz w:val="24"/>
          <w:szCs w:val="24"/>
        </w:rPr>
        <w:t>affida  gli  stessi,  unitamente  alle   dotazioni   necessarie,   ai</w:t>
      </w:r>
      <w:r w:rsidR="00907E51" w:rsidRPr="001C56E9">
        <w:rPr>
          <w:rFonts w:ascii="Arial" w:hAnsi="Arial" w:cs="Arial"/>
          <w:bCs/>
          <w:i/>
          <w:iCs/>
          <w:color w:val="000000" w:themeColor="text1"/>
          <w:sz w:val="24"/>
          <w:szCs w:val="24"/>
        </w:rPr>
        <w:t xml:space="preserve"> </w:t>
      </w:r>
      <w:r w:rsidRPr="001C56E9">
        <w:rPr>
          <w:rFonts w:ascii="Arial" w:hAnsi="Arial" w:cs="Arial"/>
          <w:bCs/>
          <w:i/>
          <w:iCs/>
          <w:color w:val="000000" w:themeColor="text1"/>
          <w:sz w:val="24"/>
          <w:szCs w:val="24"/>
        </w:rPr>
        <w:t xml:space="preserve">responsabili dei servizi. </w:t>
      </w:r>
    </w:p>
    <w:p w:rsidR="006B78B5" w:rsidRPr="001C56E9" w:rsidRDefault="006B78B5" w:rsidP="006B78B5">
      <w:pPr>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tLeast"/>
        <w:ind w:left="-83"/>
        <w:textAlignment w:val="baseline"/>
        <w:rPr>
          <w:rFonts w:ascii="Arial" w:hAnsi="Arial" w:cs="Arial"/>
          <w:bCs/>
          <w:i/>
          <w:iCs/>
          <w:color w:val="000000" w:themeColor="text1"/>
          <w:sz w:val="24"/>
          <w:szCs w:val="24"/>
        </w:rPr>
      </w:pPr>
    </w:p>
    <w:p w:rsidR="006B78B5" w:rsidRPr="001C56E9" w:rsidRDefault="006B78B5" w:rsidP="006B78B5">
      <w:pPr>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tLeast"/>
        <w:ind w:left="142"/>
        <w:textAlignment w:val="baseline"/>
        <w:rPr>
          <w:rFonts w:ascii="Arial" w:hAnsi="Arial" w:cs="Arial"/>
          <w:color w:val="000000" w:themeColor="text1"/>
          <w:sz w:val="24"/>
          <w:szCs w:val="24"/>
        </w:rPr>
      </w:pPr>
      <w:r w:rsidRPr="001C56E9">
        <w:rPr>
          <w:rFonts w:ascii="Arial" w:hAnsi="Arial" w:cs="Arial"/>
          <w:bCs/>
          <w:i/>
          <w:iCs/>
          <w:color w:val="000000" w:themeColor="text1"/>
          <w:sz w:val="24"/>
          <w:szCs w:val="24"/>
        </w:rPr>
        <w:t xml:space="preserve"> Nel  PEG  le  entrate  sono  articolate  in  titoli,  tipologie,</w:t>
      </w:r>
      <w:r w:rsidR="00907E51" w:rsidRPr="001C56E9">
        <w:rPr>
          <w:rFonts w:ascii="Arial" w:hAnsi="Arial" w:cs="Arial"/>
          <w:bCs/>
          <w:i/>
          <w:iCs/>
          <w:color w:val="000000" w:themeColor="text1"/>
          <w:sz w:val="24"/>
          <w:szCs w:val="24"/>
        </w:rPr>
        <w:t xml:space="preserve"> </w:t>
      </w:r>
      <w:r w:rsidRPr="001C56E9">
        <w:rPr>
          <w:rFonts w:ascii="Arial" w:hAnsi="Arial" w:cs="Arial"/>
          <w:bCs/>
          <w:i/>
          <w:iCs/>
          <w:color w:val="000000" w:themeColor="text1"/>
          <w:sz w:val="24"/>
          <w:szCs w:val="24"/>
        </w:rPr>
        <w:t>categorie,  capitoli,  ed  eventualmente  in  articoli,  secondo   il</w:t>
      </w:r>
      <w:r w:rsidR="00907E51" w:rsidRPr="001C56E9">
        <w:rPr>
          <w:rFonts w:ascii="Arial" w:hAnsi="Arial" w:cs="Arial"/>
          <w:bCs/>
          <w:i/>
          <w:iCs/>
          <w:color w:val="000000" w:themeColor="text1"/>
          <w:sz w:val="24"/>
          <w:szCs w:val="24"/>
        </w:rPr>
        <w:t xml:space="preserve"> </w:t>
      </w:r>
      <w:r w:rsidRPr="001C56E9">
        <w:rPr>
          <w:rFonts w:ascii="Arial" w:hAnsi="Arial" w:cs="Arial"/>
          <w:bCs/>
          <w:i/>
          <w:iCs/>
          <w:color w:val="000000" w:themeColor="text1"/>
          <w:sz w:val="24"/>
          <w:szCs w:val="24"/>
        </w:rPr>
        <w:t>rispettivo oggetto. Le spese sono articolate in missioni,  programmi,</w:t>
      </w:r>
      <w:r w:rsidR="00907E51" w:rsidRPr="001C56E9">
        <w:rPr>
          <w:rFonts w:ascii="Arial" w:hAnsi="Arial" w:cs="Arial"/>
          <w:bCs/>
          <w:i/>
          <w:iCs/>
          <w:color w:val="000000" w:themeColor="text1"/>
          <w:sz w:val="24"/>
          <w:szCs w:val="24"/>
        </w:rPr>
        <w:t xml:space="preserve"> </w:t>
      </w:r>
      <w:r w:rsidRPr="001C56E9">
        <w:rPr>
          <w:rFonts w:ascii="Arial" w:hAnsi="Arial" w:cs="Arial"/>
          <w:bCs/>
          <w:i/>
          <w:iCs/>
          <w:color w:val="000000" w:themeColor="text1"/>
          <w:sz w:val="24"/>
          <w:szCs w:val="24"/>
        </w:rPr>
        <w:t>titoli, macroaggregati, capitoli  ed  eventualmente  in  articoli.</w:t>
      </w:r>
    </w:p>
    <w:p w:rsidR="006B78B5" w:rsidRPr="001C56E9" w:rsidRDefault="006B78B5" w:rsidP="006B78B5">
      <w:pPr>
        <w:rPr>
          <w:rFonts w:ascii="Arial" w:hAnsi="Arial" w:cs="Arial"/>
          <w:sz w:val="24"/>
          <w:szCs w:val="24"/>
          <w:lang w:bidi="hi-IN"/>
        </w:rPr>
      </w:pPr>
    </w:p>
    <w:p w:rsidR="006B78B5" w:rsidRPr="001C56E9" w:rsidRDefault="006B78B5" w:rsidP="006B78B5">
      <w:pPr>
        <w:ind w:left="142"/>
        <w:rPr>
          <w:rFonts w:ascii="Arial" w:hAnsi="Arial" w:cs="Arial"/>
          <w:sz w:val="24"/>
          <w:szCs w:val="24"/>
        </w:rPr>
      </w:pPr>
      <w:r w:rsidRPr="001C56E9">
        <w:rPr>
          <w:rFonts w:ascii="Arial" w:hAnsi="Arial" w:cs="Arial"/>
          <w:sz w:val="24"/>
          <w:szCs w:val="24"/>
        </w:rPr>
        <w:t>Il PEG è redatto:</w:t>
      </w:r>
    </w:p>
    <w:p w:rsidR="006B78B5" w:rsidRPr="001C56E9" w:rsidRDefault="006B78B5" w:rsidP="006B78B5">
      <w:pPr>
        <w:pStyle w:val="Paragrafoelenco"/>
        <w:numPr>
          <w:ilvl w:val="0"/>
          <w:numId w:val="11"/>
        </w:numPr>
        <w:rPr>
          <w:rFonts w:ascii="Arial" w:hAnsi="Arial" w:cs="Arial"/>
          <w:sz w:val="24"/>
          <w:szCs w:val="24"/>
        </w:rPr>
      </w:pPr>
      <w:r w:rsidRPr="001C56E9">
        <w:rPr>
          <w:rFonts w:ascii="Arial" w:hAnsi="Arial" w:cs="Arial"/>
          <w:sz w:val="24"/>
          <w:szCs w:val="24"/>
        </w:rPr>
        <w:t>per competenza con riferimento a tutti gli esercizi considerati nel BPF;</w:t>
      </w:r>
    </w:p>
    <w:p w:rsidR="006B78B5" w:rsidRPr="001C56E9" w:rsidRDefault="006B78B5" w:rsidP="006B78B5">
      <w:pPr>
        <w:pStyle w:val="Paragrafoelenco"/>
        <w:numPr>
          <w:ilvl w:val="0"/>
          <w:numId w:val="11"/>
        </w:numPr>
        <w:rPr>
          <w:rFonts w:ascii="Arial" w:hAnsi="Arial" w:cs="Arial"/>
          <w:sz w:val="24"/>
          <w:szCs w:val="24"/>
        </w:rPr>
      </w:pPr>
      <w:r w:rsidRPr="001C56E9">
        <w:rPr>
          <w:rFonts w:ascii="Arial" w:hAnsi="Arial" w:cs="Arial"/>
          <w:sz w:val="24"/>
          <w:szCs w:val="24"/>
        </w:rPr>
        <w:t>per cassa con riferimento al primo esercizio considerato nel BPF.</w:t>
      </w:r>
    </w:p>
    <w:p w:rsidR="006B78B5" w:rsidRPr="001C56E9" w:rsidRDefault="006B78B5" w:rsidP="006B78B5">
      <w:pPr>
        <w:ind w:left="142"/>
        <w:rPr>
          <w:rFonts w:ascii="Arial" w:hAnsi="Arial" w:cs="Arial"/>
          <w:sz w:val="24"/>
          <w:szCs w:val="24"/>
        </w:rPr>
      </w:pPr>
      <w:r w:rsidRPr="001C56E9">
        <w:rPr>
          <w:rFonts w:ascii="Arial" w:hAnsi="Arial" w:cs="Arial"/>
          <w:sz w:val="24"/>
          <w:szCs w:val="24"/>
        </w:rPr>
        <w:t>Da ciò consegue che il piano dettagliato degli obiettivi di cui all’articolo 108, comma 1, del TUEL e il piano della performance di cui all’articolo 10 del decreto legislativo, n. 150 del 27 ottobre 2009, sono unificati organicamente nel PEG. Quanto alla obbligatorietà della redazione del PEG, il principio lo considera obbligatorio per le Province e per i Comuni con popolazione superiore a 5.000 abitanti, mentre ne sollecita l’adozione, anche in forma semplificata, per i Comuni con una popolazione inferiore alla soglia ricordata.</w:t>
      </w:r>
    </w:p>
    <w:p w:rsidR="006B78B5" w:rsidRPr="001C56E9" w:rsidRDefault="006B78B5" w:rsidP="006B78B5">
      <w:pPr>
        <w:ind w:left="142"/>
        <w:rPr>
          <w:rFonts w:ascii="Arial" w:hAnsi="Arial" w:cs="Arial"/>
          <w:sz w:val="24"/>
          <w:szCs w:val="24"/>
        </w:rPr>
      </w:pPr>
      <w:r w:rsidRPr="001C56E9">
        <w:rPr>
          <w:rFonts w:ascii="Arial" w:hAnsi="Arial" w:cs="Arial"/>
          <w:sz w:val="24"/>
          <w:szCs w:val="24"/>
        </w:rPr>
        <w:t xml:space="preserve">Nel PEG devono essere specificatamente individuati gli obiettivi esecutivi dei quali occorre dare rappresentazione in termini di processo e di risultati attesi. Pertanto, il PEG deve rappresentare tanto gli obiettivi gestionali che gli indicatori idonei a monitorarne il grado di conseguimento. La definizione degli obiettivi comporta, inoltre, un collegamento con il periodo triennale considerato dal BPF e, in tale ambito, il PEG riflette anche la </w:t>
      </w:r>
      <w:r w:rsidRPr="001C56E9">
        <w:rPr>
          <w:rFonts w:ascii="Arial" w:hAnsi="Arial" w:cs="Arial"/>
          <w:sz w:val="24"/>
          <w:szCs w:val="24"/>
        </w:rPr>
        <w:lastRenderedPageBreak/>
        <w:t>gestione dei residui attivi e passivi. Il PEG, inoltre, deve assicurare un collegamento con la struttura organizzativa dell’ente e con l’articolazione della spesa per programmi</w:t>
      </w:r>
    </w:p>
    <w:p w:rsidR="006B78B5" w:rsidRPr="001C56E9" w:rsidRDefault="006B78B5" w:rsidP="006B78B5">
      <w:pPr>
        <w:ind w:left="142"/>
        <w:rPr>
          <w:rFonts w:ascii="Arial" w:hAnsi="Arial" w:cs="Arial"/>
          <w:sz w:val="24"/>
          <w:szCs w:val="24"/>
        </w:rPr>
      </w:pPr>
      <w:r w:rsidRPr="001C56E9">
        <w:rPr>
          <w:rFonts w:ascii="Arial" w:hAnsi="Arial" w:cs="Arial"/>
          <w:sz w:val="24"/>
          <w:szCs w:val="24"/>
        </w:rPr>
        <w:t>È piano di responsabilità gestionali, nella misura in cui gli obiettivi e le dotazioni di cui sopra sono assegnati a un dirigente/responsabile dei servizi che ne assume la responsabilità rispettivamente di risultato e di gestione, dando effettività, al di là delle enunciazioni di principio, all’autonomia dirigenziale. Le risorse finanziarie assegnate per ogni programma definito nel SeO del DUP sono destinate, insieme a quelle umane e strumentali, ai singoli dirigenti/responsabili dei servizi per la realizzazione degli specifici obiettivi di ciascun programma.</w:t>
      </w:r>
    </w:p>
    <w:p w:rsidR="006B78B5" w:rsidRPr="001C56E9" w:rsidRDefault="006B78B5" w:rsidP="006B78B5">
      <w:pPr>
        <w:autoSpaceDE w:val="0"/>
        <w:autoSpaceDN w:val="0"/>
        <w:adjustRightInd w:val="0"/>
        <w:spacing w:after="0"/>
        <w:ind w:left="360" w:hanging="360"/>
        <w:rPr>
          <w:rFonts w:ascii="Arial" w:eastAsia="Calibri" w:hAnsi="Arial" w:cs="Arial"/>
          <w:sz w:val="24"/>
          <w:szCs w:val="24"/>
        </w:rPr>
      </w:pPr>
      <w:r w:rsidRPr="001C56E9">
        <w:rPr>
          <w:rFonts w:ascii="Arial" w:eastAsia="Calibri" w:hAnsi="Arial" w:cs="Arial"/>
          <w:sz w:val="24"/>
          <w:szCs w:val="24"/>
        </w:rPr>
        <w:t xml:space="preserve">Il PEG assicura un collegamento con: </w:t>
      </w:r>
    </w:p>
    <w:p w:rsidR="006B78B5" w:rsidRPr="001C56E9" w:rsidRDefault="006B78B5" w:rsidP="006B78B5">
      <w:pPr>
        <w:numPr>
          <w:ilvl w:val="1"/>
          <w:numId w:val="12"/>
        </w:numPr>
        <w:autoSpaceDE w:val="0"/>
        <w:autoSpaceDN w:val="0"/>
        <w:adjustRightInd w:val="0"/>
        <w:spacing w:after="0"/>
        <w:ind w:left="709" w:hanging="142"/>
        <w:rPr>
          <w:rFonts w:ascii="Arial" w:eastAsia="Calibri" w:hAnsi="Arial" w:cs="Arial"/>
          <w:sz w:val="24"/>
          <w:szCs w:val="24"/>
        </w:rPr>
      </w:pPr>
      <w:r w:rsidRPr="001C56E9">
        <w:rPr>
          <w:rFonts w:ascii="Arial" w:eastAsia="Calibri" w:hAnsi="Arial" w:cs="Arial"/>
          <w:sz w:val="24"/>
          <w:szCs w:val="24"/>
        </w:rPr>
        <w:t>la struttura organizzativa dell’ente, tramite l’individuazione dei responsabili della realizzazione degli obiettivi di gestione;</w:t>
      </w:r>
    </w:p>
    <w:p w:rsidR="006B78B5" w:rsidRPr="001C56E9" w:rsidRDefault="006B78B5" w:rsidP="006B78B5">
      <w:pPr>
        <w:numPr>
          <w:ilvl w:val="1"/>
          <w:numId w:val="12"/>
        </w:numPr>
        <w:autoSpaceDE w:val="0"/>
        <w:autoSpaceDN w:val="0"/>
        <w:adjustRightInd w:val="0"/>
        <w:spacing w:after="0"/>
        <w:ind w:left="709" w:hanging="142"/>
        <w:rPr>
          <w:rFonts w:ascii="Arial" w:eastAsia="Calibri" w:hAnsi="Arial" w:cs="Arial"/>
          <w:sz w:val="24"/>
          <w:szCs w:val="24"/>
        </w:rPr>
      </w:pPr>
      <w:r w:rsidRPr="001C56E9">
        <w:rPr>
          <w:rFonts w:ascii="Arial" w:eastAsia="Calibri" w:hAnsi="Arial" w:cs="Arial"/>
          <w:sz w:val="24"/>
          <w:szCs w:val="24"/>
        </w:rPr>
        <w:t xml:space="preserve">gli obiettivi di gestione, attraverso la definizione degli stessi e degli indicatori per il monitoraggio del loro raggiungimento; </w:t>
      </w:r>
    </w:p>
    <w:p w:rsidR="006B78B5" w:rsidRPr="001C56E9" w:rsidRDefault="006B78B5" w:rsidP="006B78B5">
      <w:pPr>
        <w:numPr>
          <w:ilvl w:val="1"/>
          <w:numId w:val="12"/>
        </w:numPr>
        <w:autoSpaceDE w:val="0"/>
        <w:autoSpaceDN w:val="0"/>
        <w:adjustRightInd w:val="0"/>
        <w:spacing w:after="0"/>
        <w:ind w:left="709" w:hanging="142"/>
        <w:rPr>
          <w:rFonts w:ascii="Arial" w:eastAsia="Calibri" w:hAnsi="Arial" w:cs="Arial"/>
          <w:strike/>
          <w:sz w:val="24"/>
          <w:szCs w:val="24"/>
        </w:rPr>
      </w:pPr>
      <w:r w:rsidRPr="001C56E9">
        <w:rPr>
          <w:rFonts w:ascii="Arial" w:eastAsia="Calibri" w:hAnsi="Arial" w:cs="Arial"/>
          <w:sz w:val="24"/>
          <w:szCs w:val="24"/>
        </w:rPr>
        <w:t>le entrate e le uscite del bilancio attraverso l’articolazione delle stesse al quarto livello del piano finanziario;</w:t>
      </w:r>
    </w:p>
    <w:p w:rsidR="006B78B5" w:rsidRDefault="006B78B5" w:rsidP="006B78B5">
      <w:pPr>
        <w:ind w:left="142"/>
        <w:rPr>
          <w:rFonts w:ascii="Arial" w:eastAsia="Calibri" w:hAnsi="Arial" w:cs="Arial"/>
          <w:sz w:val="24"/>
          <w:szCs w:val="24"/>
        </w:rPr>
      </w:pPr>
      <w:r w:rsidRPr="001C56E9">
        <w:rPr>
          <w:rFonts w:ascii="Arial" w:eastAsia="Calibri" w:hAnsi="Arial" w:cs="Arial"/>
          <w:sz w:val="24"/>
          <w:szCs w:val="24"/>
        </w:rPr>
        <w:t>le dotazioni di risorse umane e strumentali, mediante l’assegnazione del personale e delle risorse strumentali.</w:t>
      </w:r>
    </w:p>
    <w:p w:rsidR="00E354BE" w:rsidRDefault="00E354BE" w:rsidP="00E354BE">
      <w:pPr>
        <w:ind w:left="142"/>
        <w:rPr>
          <w:rFonts w:ascii="Arial" w:eastAsia="Calibri" w:hAnsi="Arial" w:cs="Arial"/>
          <w:sz w:val="24"/>
          <w:szCs w:val="24"/>
        </w:rPr>
      </w:pPr>
      <w:r>
        <w:rPr>
          <w:rFonts w:ascii="Arial" w:eastAsia="Calibri" w:hAnsi="Arial" w:cs="Arial"/>
          <w:sz w:val="24"/>
          <w:szCs w:val="24"/>
        </w:rPr>
        <w:t>Le variazioni del peg sono di competeza della Giunta e pososno esser adottate entro il 15 dicembre di ogni anno, fatte salve le variazioni correlate alle variazioni di bilancioche possono esser deliberate entro il 31 dicembre.</w:t>
      </w:r>
    </w:p>
    <w:p w:rsidR="006B78B5" w:rsidRPr="001C56E9" w:rsidRDefault="006B78B5" w:rsidP="00E354BE">
      <w:pPr>
        <w:ind w:left="142"/>
        <w:rPr>
          <w:rFonts w:ascii="Arial" w:hAnsi="Arial" w:cs="Arial"/>
          <w:b/>
        </w:rPr>
      </w:pPr>
      <w:r w:rsidRPr="001C56E9">
        <w:rPr>
          <w:rFonts w:ascii="Arial" w:hAnsi="Arial" w:cs="Arial"/>
          <w:b/>
        </w:rPr>
        <w:t>ll Piano degli indicatori di bilancio</w:t>
      </w:r>
    </w:p>
    <w:p w:rsidR="006B78B5" w:rsidRPr="001C56E9" w:rsidRDefault="006B78B5" w:rsidP="006B78B5">
      <w:pPr>
        <w:pStyle w:val="Paragrafoelenco1"/>
        <w:tabs>
          <w:tab w:val="left" w:pos="0"/>
        </w:tabs>
        <w:autoSpaceDE w:val="0"/>
        <w:autoSpaceDN w:val="0"/>
        <w:adjustRightInd w:val="0"/>
        <w:ind w:left="0"/>
        <w:rPr>
          <w:rFonts w:ascii="Arial" w:hAnsi="Arial" w:cs="Arial"/>
          <w:b/>
          <w:u w:val="single"/>
        </w:rPr>
      </w:pPr>
      <w:r w:rsidRPr="001C56E9">
        <w:rPr>
          <w:rFonts w:ascii="Arial" w:hAnsi="Arial" w:cs="Arial"/>
        </w:rPr>
        <w:t>E’ lo strumento per il monitoraggio degli obiettivi e dei risultati di bilancio ed integra i documenti di programmazione.</w:t>
      </w:r>
    </w:p>
    <w:p w:rsidR="006B78B5" w:rsidRPr="001C56E9" w:rsidRDefault="006B78B5" w:rsidP="006B78B5">
      <w:pPr>
        <w:pStyle w:val="Paragrafoelenco1"/>
        <w:tabs>
          <w:tab w:val="left" w:pos="709"/>
        </w:tabs>
        <w:autoSpaceDE w:val="0"/>
        <w:autoSpaceDN w:val="0"/>
        <w:adjustRightInd w:val="0"/>
        <w:ind w:left="0"/>
        <w:rPr>
          <w:rFonts w:ascii="Arial" w:hAnsi="Arial" w:cs="Arial"/>
        </w:rPr>
      </w:pPr>
      <w:r w:rsidRPr="001C56E9">
        <w:rPr>
          <w:rFonts w:ascii="Arial" w:hAnsi="Arial" w:cs="Arial"/>
        </w:rPr>
        <w:t>Con decreto del Ministero dell’economia e delle finanze per le regioni e gli enti regionali e con decreto del Ministero dell’interno per gli enti locali e i loro enti strumentali, è definito un sistema di indicatori di bilancio semplici, misurabili e riferibili ai programmi di bilancio</w:t>
      </w:r>
      <w:r w:rsidRPr="001C56E9">
        <w:rPr>
          <w:rFonts w:ascii="Arial" w:hAnsi="Arial" w:cs="Arial"/>
          <w:b/>
        </w:rPr>
        <w:t>,</w:t>
      </w:r>
      <w:r w:rsidRPr="001C56E9">
        <w:rPr>
          <w:rFonts w:ascii="Arial" w:hAnsi="Arial" w:cs="Arial"/>
        </w:rPr>
        <w:t xml:space="preserve"> costruiti secondo criteri e metodologie comuni, diretto a consentire l’analisi e la comparazione del bilanci delle amministrazioni territoriali. </w:t>
      </w:r>
    </w:p>
    <w:p w:rsidR="006B78B5" w:rsidRPr="001C56E9" w:rsidRDefault="006B78B5" w:rsidP="006B78B5">
      <w:pPr>
        <w:pStyle w:val="Paragrafoelenco1"/>
        <w:tabs>
          <w:tab w:val="left" w:pos="709"/>
        </w:tabs>
        <w:autoSpaceDE w:val="0"/>
        <w:autoSpaceDN w:val="0"/>
        <w:adjustRightInd w:val="0"/>
        <w:ind w:left="0"/>
        <w:rPr>
          <w:rFonts w:ascii="Arial" w:hAnsi="Arial" w:cs="Arial"/>
        </w:rPr>
      </w:pPr>
      <w:r w:rsidRPr="001C56E9">
        <w:rPr>
          <w:rFonts w:ascii="Arial" w:hAnsi="Arial" w:cs="Arial"/>
        </w:rPr>
        <w:t xml:space="preserve">Gli enti locali allegato il piano degli indicatori al bilancio di previsione, mentre le regioni lo trasmettono al Consiglio. </w:t>
      </w:r>
    </w:p>
    <w:p w:rsidR="006B78B5" w:rsidRPr="001C56E9" w:rsidRDefault="006B78B5" w:rsidP="006B78B5">
      <w:pPr>
        <w:contextualSpacing/>
        <w:rPr>
          <w:rFonts w:ascii="Arial" w:hAnsi="Arial" w:cs="Arial"/>
          <w:sz w:val="24"/>
          <w:szCs w:val="24"/>
        </w:rPr>
      </w:pPr>
      <w:r w:rsidRPr="001C56E9">
        <w:rPr>
          <w:rFonts w:ascii="Arial" w:hAnsi="Arial" w:cs="Arial"/>
          <w:sz w:val="24"/>
          <w:szCs w:val="24"/>
        </w:rPr>
        <w:t xml:space="preserve">Il piano è divulgato attraverso pubblicazione sul sito internet istituzionale dell’amministrazione stessa nella sezione “Trasparenza, valutazione e merito”, </w:t>
      </w:r>
    </w:p>
    <w:p w:rsidR="006B78B5" w:rsidRPr="001C56E9" w:rsidRDefault="006B78B5" w:rsidP="006B78B5">
      <w:pPr>
        <w:contextualSpacing/>
        <w:rPr>
          <w:rFonts w:ascii="Arial" w:hAnsi="Arial" w:cs="Arial"/>
          <w:sz w:val="24"/>
          <w:szCs w:val="24"/>
        </w:rPr>
      </w:pPr>
      <w:r w:rsidRPr="001C56E9">
        <w:rPr>
          <w:rFonts w:ascii="Arial" w:hAnsi="Arial" w:cs="Arial"/>
          <w:sz w:val="24"/>
          <w:szCs w:val="24"/>
        </w:rPr>
        <w:t>In riferimento a ciascun programma il piano degli indicatori attesi indica gli obiettivi che l’ente si propone di realizzare per il triennio della programmazione finanziaria, individuati secondo la medesima definizione tecnica, unità di misura di riferimento e formula di calcolo per tutti gli enti.</w:t>
      </w:r>
    </w:p>
    <w:p w:rsidR="006B78B5" w:rsidRPr="001C56E9" w:rsidRDefault="006B78B5" w:rsidP="006B78B5">
      <w:pPr>
        <w:pStyle w:val="Paragrafoelenco1"/>
        <w:tabs>
          <w:tab w:val="left" w:pos="0"/>
        </w:tabs>
        <w:ind w:left="0"/>
        <w:rPr>
          <w:rFonts w:ascii="Arial" w:hAnsi="Arial" w:cs="Arial"/>
          <w:i/>
        </w:rPr>
      </w:pPr>
      <w:r w:rsidRPr="001C56E9">
        <w:rPr>
          <w:rFonts w:ascii="Arial" w:hAnsi="Arial" w:cs="Arial"/>
        </w:rPr>
        <w:t xml:space="preserve">E’ facoltà di ogni ente introdurre nel proprio Piano ulteriori indicatori rispetto a quelli comuni previsti dai decreti ministeriali. </w:t>
      </w:r>
    </w:p>
    <w:p w:rsidR="006B78B5" w:rsidRPr="001C56E9" w:rsidRDefault="006B78B5" w:rsidP="006B78B5">
      <w:pPr>
        <w:contextualSpacing/>
        <w:rPr>
          <w:rFonts w:ascii="Arial" w:hAnsi="Arial" w:cs="Arial"/>
          <w:sz w:val="24"/>
          <w:szCs w:val="24"/>
        </w:rPr>
      </w:pPr>
      <w:r w:rsidRPr="001C56E9">
        <w:rPr>
          <w:rFonts w:ascii="Arial" w:hAnsi="Arial" w:cs="Arial"/>
          <w:sz w:val="24"/>
          <w:szCs w:val="24"/>
        </w:rPr>
        <w:t>Gli indicatori appartenenti al set minimo individuato per le Regioni, gli Enti Locali e per gli Enti e Organismi Strumentali avranno uguale definizione tecnica, unità di misura di riferimento e formula di calcolo.</w:t>
      </w:r>
    </w:p>
    <w:p w:rsidR="006B78B5" w:rsidRPr="001C56E9" w:rsidRDefault="006B78B5" w:rsidP="006B78B5">
      <w:pPr>
        <w:contextualSpacing/>
        <w:rPr>
          <w:rFonts w:ascii="Arial" w:hAnsi="Arial" w:cs="Arial"/>
          <w:sz w:val="24"/>
          <w:szCs w:val="24"/>
        </w:rPr>
      </w:pPr>
      <w:r w:rsidRPr="001C56E9">
        <w:rPr>
          <w:rFonts w:ascii="Arial" w:hAnsi="Arial" w:cs="Arial"/>
          <w:sz w:val="24"/>
          <w:szCs w:val="24"/>
        </w:rPr>
        <w:lastRenderedPageBreak/>
        <w:t>Alla fine di ciascun esercizio finanziario al bilancio consuntivo è allegato il Piano dei risultati.</w:t>
      </w:r>
    </w:p>
    <w:p w:rsidR="006B78B5" w:rsidRPr="001C56E9" w:rsidRDefault="006B78B5" w:rsidP="006B78B5">
      <w:pPr>
        <w:contextualSpacing/>
        <w:rPr>
          <w:rFonts w:ascii="Arial" w:hAnsi="Arial" w:cs="Arial"/>
          <w:sz w:val="24"/>
          <w:szCs w:val="24"/>
        </w:rPr>
      </w:pPr>
      <w:r w:rsidRPr="001C56E9">
        <w:rPr>
          <w:rFonts w:ascii="Arial" w:hAnsi="Arial" w:cs="Arial"/>
          <w:sz w:val="24"/>
          <w:szCs w:val="24"/>
        </w:rPr>
        <w:t xml:space="preserve">L’analisi dei risultati conseguiti e le motivazioni degli scostamenti è svolta nella relazione sulla gestione allegata  al rendiconto per gli enti locali e in un’apposita relazione allegata al piano dei risultati da parte delle regioni.. </w:t>
      </w:r>
    </w:p>
    <w:p w:rsidR="006B78B5" w:rsidRPr="001C56E9" w:rsidRDefault="006B78B5" w:rsidP="006B78B5">
      <w:pPr>
        <w:contextualSpacing/>
        <w:rPr>
          <w:rFonts w:ascii="Arial" w:hAnsi="Arial" w:cs="Arial"/>
          <w:b/>
          <w:sz w:val="24"/>
          <w:szCs w:val="24"/>
        </w:rPr>
      </w:pPr>
      <w:r w:rsidRPr="001C56E9">
        <w:rPr>
          <w:rFonts w:ascii="Arial" w:hAnsi="Arial" w:cs="Arial"/>
          <w:sz w:val="24"/>
          <w:szCs w:val="24"/>
        </w:rPr>
        <w:t>Annualmente il Piano è aggiornato tramite la specificazione di nuovi obiettivi e indicatori e per scorrimento, in relazione agli obiettivi già raggiunti o oggetto di ripianificazione.</w:t>
      </w:r>
    </w:p>
    <w:p w:rsidR="006B78B5" w:rsidRPr="001C56E9" w:rsidRDefault="006B78B5" w:rsidP="006B78B5">
      <w:pPr>
        <w:contextualSpacing/>
        <w:rPr>
          <w:rFonts w:ascii="Arial" w:hAnsi="Arial" w:cs="Arial"/>
          <w:sz w:val="24"/>
          <w:szCs w:val="24"/>
        </w:rPr>
      </w:pPr>
      <w:r w:rsidRPr="001C56E9">
        <w:rPr>
          <w:rFonts w:ascii="Arial" w:hAnsi="Arial" w:cs="Arial"/>
          <w:sz w:val="24"/>
          <w:szCs w:val="24"/>
        </w:rPr>
        <w:t>Nelle more dell’emanazione dei decreti di cui all’articolo 18</w:t>
      </w:r>
      <w:r w:rsidRPr="001C56E9">
        <w:rPr>
          <w:rFonts w:ascii="Arial" w:hAnsi="Arial" w:cs="Arial"/>
          <w:b/>
          <w:sz w:val="24"/>
          <w:szCs w:val="24"/>
        </w:rPr>
        <w:t>-bis,</w:t>
      </w:r>
      <w:r w:rsidRPr="001C56E9">
        <w:rPr>
          <w:rFonts w:ascii="Arial" w:hAnsi="Arial" w:cs="Arial"/>
          <w:sz w:val="24"/>
          <w:szCs w:val="24"/>
        </w:rPr>
        <w:t xml:space="preserve"> comma 4, non è obbligatoria la predisposizione del piano degli indicatori.</w:t>
      </w:r>
    </w:p>
    <w:p w:rsidR="00965413" w:rsidRPr="001C56E9" w:rsidRDefault="00965413" w:rsidP="006B78B5">
      <w:pPr>
        <w:autoSpaceDE w:val="0"/>
        <w:autoSpaceDN w:val="0"/>
        <w:adjustRightInd w:val="0"/>
        <w:rPr>
          <w:rFonts w:ascii="Arial" w:hAnsi="Arial" w:cs="Arial"/>
          <w:sz w:val="24"/>
          <w:szCs w:val="24"/>
        </w:rPr>
      </w:pPr>
    </w:p>
    <w:p w:rsidR="002659DF" w:rsidRPr="001C56E9" w:rsidRDefault="002659DF" w:rsidP="002470BE">
      <w:pPr>
        <w:pStyle w:val="Rientrocorpodeltesto2"/>
        <w:spacing w:line="240" w:lineRule="auto"/>
        <w:ind w:left="142"/>
        <w:contextualSpacing/>
        <w:rPr>
          <w:rFonts w:ascii="Arial" w:hAnsi="Arial" w:cs="Arial"/>
          <w:sz w:val="24"/>
          <w:szCs w:val="24"/>
        </w:rPr>
      </w:pPr>
      <w:r w:rsidRPr="001C56E9">
        <w:rPr>
          <w:rFonts w:ascii="Arial" w:hAnsi="Arial" w:cs="Arial"/>
          <w:sz w:val="24"/>
          <w:szCs w:val="24"/>
        </w:rPr>
        <w:t xml:space="preserve">, </w:t>
      </w:r>
    </w:p>
    <w:p w:rsidR="0000293C" w:rsidRPr="001C56E9" w:rsidRDefault="002659DF" w:rsidP="002470BE">
      <w:pPr>
        <w:pStyle w:val="Rientrocorpodeltesto2"/>
        <w:spacing w:line="240" w:lineRule="auto"/>
        <w:ind w:left="142"/>
        <w:contextualSpacing/>
        <w:rPr>
          <w:rFonts w:ascii="Arial" w:hAnsi="Arial" w:cs="Arial"/>
          <w:b/>
          <w:sz w:val="24"/>
          <w:szCs w:val="24"/>
        </w:rPr>
      </w:pPr>
      <w:r w:rsidRPr="001C56E9">
        <w:rPr>
          <w:rFonts w:ascii="Arial" w:hAnsi="Arial" w:cs="Arial"/>
          <w:b/>
          <w:sz w:val="24"/>
          <w:szCs w:val="24"/>
        </w:rPr>
        <w:t>R</w:t>
      </w:r>
      <w:r w:rsidR="0000293C" w:rsidRPr="001C56E9">
        <w:rPr>
          <w:rFonts w:ascii="Arial" w:hAnsi="Arial" w:cs="Arial"/>
          <w:b/>
          <w:sz w:val="24"/>
          <w:szCs w:val="24"/>
        </w:rPr>
        <w:t>ISULTATO DI GESTIONE</w:t>
      </w:r>
    </w:p>
    <w:p w:rsidR="0000293C" w:rsidRPr="001C56E9" w:rsidRDefault="0000293C" w:rsidP="002470BE">
      <w:pPr>
        <w:pStyle w:val="Rientrocorpodeltesto2"/>
        <w:spacing w:line="240" w:lineRule="auto"/>
        <w:ind w:left="142"/>
        <w:contextualSpacing/>
        <w:rPr>
          <w:rFonts w:ascii="Arial" w:hAnsi="Arial" w:cs="Arial"/>
          <w:sz w:val="24"/>
          <w:szCs w:val="24"/>
        </w:rPr>
      </w:pPr>
      <w:r w:rsidRPr="001C56E9">
        <w:rPr>
          <w:rFonts w:ascii="Arial" w:hAnsi="Arial" w:cs="Arial"/>
          <w:sz w:val="24"/>
          <w:szCs w:val="24"/>
        </w:rPr>
        <w:t xml:space="preserve">Evidenza l’attuazione di quanto programmato attraverso il bilancio di previsione Esso è dato da: </w:t>
      </w:r>
    </w:p>
    <w:p w:rsidR="0000293C" w:rsidRPr="001C56E9" w:rsidRDefault="0000293C" w:rsidP="002470BE">
      <w:pPr>
        <w:pStyle w:val="Rientrocorpodeltesto2"/>
        <w:spacing w:line="240" w:lineRule="auto"/>
        <w:ind w:left="142"/>
        <w:contextualSpacing/>
        <w:rPr>
          <w:rFonts w:ascii="Arial" w:hAnsi="Arial" w:cs="Arial"/>
          <w:sz w:val="24"/>
          <w:szCs w:val="24"/>
        </w:rPr>
      </w:pPr>
      <w:r w:rsidRPr="001C56E9">
        <w:rPr>
          <w:rFonts w:ascii="Arial" w:hAnsi="Arial" w:cs="Arial"/>
          <w:sz w:val="24"/>
          <w:szCs w:val="24"/>
        </w:rPr>
        <w:t>+ riscossioni di entrate di competenza</w:t>
      </w:r>
    </w:p>
    <w:p w:rsidR="0000293C" w:rsidRPr="001C56E9" w:rsidRDefault="0000293C" w:rsidP="002470BE">
      <w:pPr>
        <w:pStyle w:val="Rientrocorpodeltesto2"/>
        <w:spacing w:line="240" w:lineRule="auto"/>
        <w:ind w:left="142"/>
        <w:contextualSpacing/>
        <w:rPr>
          <w:rFonts w:ascii="Arial" w:hAnsi="Arial" w:cs="Arial"/>
          <w:sz w:val="24"/>
          <w:szCs w:val="24"/>
        </w:rPr>
      </w:pPr>
      <w:r w:rsidRPr="001C56E9">
        <w:rPr>
          <w:rFonts w:ascii="Arial" w:hAnsi="Arial" w:cs="Arial"/>
          <w:sz w:val="24"/>
          <w:szCs w:val="24"/>
        </w:rPr>
        <w:t xml:space="preserve"> – versamenti di spese di competenza </w:t>
      </w:r>
    </w:p>
    <w:p w:rsidR="0000293C" w:rsidRPr="001C56E9" w:rsidRDefault="0000293C" w:rsidP="002470BE">
      <w:pPr>
        <w:pStyle w:val="Rientrocorpodeltesto2"/>
        <w:spacing w:line="240" w:lineRule="auto"/>
        <w:ind w:left="142"/>
        <w:contextualSpacing/>
        <w:rPr>
          <w:rFonts w:ascii="Arial" w:hAnsi="Arial" w:cs="Arial"/>
          <w:sz w:val="24"/>
          <w:szCs w:val="24"/>
        </w:rPr>
      </w:pPr>
      <w:r w:rsidRPr="001C56E9">
        <w:rPr>
          <w:rFonts w:ascii="Arial" w:hAnsi="Arial" w:cs="Arial"/>
          <w:sz w:val="24"/>
          <w:szCs w:val="24"/>
        </w:rPr>
        <w:t>+ residui attivi su entrate di competenza</w:t>
      </w:r>
    </w:p>
    <w:p w:rsidR="0000293C" w:rsidRPr="001C56E9" w:rsidRDefault="0000293C" w:rsidP="002470BE">
      <w:pPr>
        <w:pStyle w:val="Rientrocorpodeltesto2"/>
        <w:spacing w:line="240" w:lineRule="auto"/>
        <w:ind w:left="142"/>
        <w:contextualSpacing/>
        <w:rPr>
          <w:rFonts w:ascii="Arial" w:hAnsi="Arial" w:cs="Arial"/>
          <w:sz w:val="24"/>
          <w:szCs w:val="24"/>
        </w:rPr>
      </w:pPr>
      <w:r w:rsidRPr="001C56E9">
        <w:rPr>
          <w:rFonts w:ascii="Arial" w:hAnsi="Arial" w:cs="Arial"/>
          <w:sz w:val="24"/>
          <w:szCs w:val="24"/>
        </w:rPr>
        <w:t xml:space="preserve"> – residui passivi su spese di competenza </w:t>
      </w:r>
    </w:p>
    <w:p w:rsidR="0000293C" w:rsidRPr="001C56E9" w:rsidRDefault="0000293C" w:rsidP="002470BE">
      <w:pPr>
        <w:pStyle w:val="Rientrocorpodeltesto2"/>
        <w:spacing w:line="240" w:lineRule="auto"/>
        <w:ind w:left="142"/>
        <w:contextualSpacing/>
        <w:rPr>
          <w:rFonts w:ascii="Arial" w:hAnsi="Arial" w:cs="Arial"/>
          <w:sz w:val="24"/>
          <w:szCs w:val="24"/>
        </w:rPr>
      </w:pPr>
      <w:r w:rsidRPr="001C56E9">
        <w:rPr>
          <w:rFonts w:ascii="Arial" w:hAnsi="Arial" w:cs="Arial"/>
          <w:sz w:val="24"/>
          <w:szCs w:val="24"/>
        </w:rPr>
        <w:t>- Fondo Pluriennale Vincolato</w:t>
      </w:r>
    </w:p>
    <w:p w:rsidR="0000293C" w:rsidRPr="001C56E9" w:rsidRDefault="0000293C" w:rsidP="002470BE">
      <w:pPr>
        <w:pStyle w:val="Rientrocorpodeltesto2"/>
        <w:spacing w:line="240" w:lineRule="auto"/>
        <w:ind w:left="142"/>
        <w:contextualSpacing/>
        <w:rPr>
          <w:rFonts w:ascii="Arial" w:hAnsi="Arial" w:cs="Arial"/>
          <w:sz w:val="24"/>
          <w:szCs w:val="24"/>
        </w:rPr>
      </w:pPr>
      <w:r w:rsidRPr="001C56E9">
        <w:rPr>
          <w:rFonts w:ascii="Arial" w:hAnsi="Arial" w:cs="Arial"/>
          <w:sz w:val="24"/>
          <w:szCs w:val="24"/>
        </w:rPr>
        <w:t xml:space="preserve"> = avanzo (se positivo) o disavanzo (se negativo)</w:t>
      </w:r>
    </w:p>
    <w:p w:rsidR="0000293C" w:rsidRPr="001C56E9" w:rsidRDefault="0000293C" w:rsidP="002470BE">
      <w:pPr>
        <w:pStyle w:val="Rientrocorpodeltesto2"/>
        <w:spacing w:line="240" w:lineRule="auto"/>
        <w:ind w:left="142"/>
        <w:contextualSpacing/>
        <w:rPr>
          <w:rFonts w:ascii="Arial" w:hAnsi="Arial" w:cs="Arial"/>
          <w:b/>
          <w:sz w:val="24"/>
          <w:szCs w:val="24"/>
        </w:rPr>
      </w:pPr>
      <w:r w:rsidRPr="001C56E9">
        <w:rPr>
          <w:rFonts w:ascii="Arial" w:hAnsi="Arial" w:cs="Arial"/>
          <w:b/>
          <w:sz w:val="24"/>
          <w:szCs w:val="24"/>
        </w:rPr>
        <w:t>RISULTATO DI AMMINISTRAZIONE</w:t>
      </w:r>
    </w:p>
    <w:p w:rsidR="007471EC" w:rsidRPr="001C56E9" w:rsidRDefault="007471EC" w:rsidP="002470BE">
      <w:pPr>
        <w:pStyle w:val="Rientrocorpodeltesto2"/>
        <w:spacing w:line="240" w:lineRule="auto"/>
        <w:ind w:left="142"/>
        <w:contextualSpacing/>
        <w:rPr>
          <w:rFonts w:ascii="Arial" w:hAnsi="Arial" w:cs="Arial"/>
          <w:sz w:val="24"/>
          <w:szCs w:val="24"/>
        </w:rPr>
      </w:pPr>
      <w:r w:rsidRPr="001C56E9">
        <w:rPr>
          <w:rFonts w:ascii="Arial" w:hAnsi="Arial" w:cs="Arial"/>
          <w:sz w:val="24"/>
          <w:szCs w:val="24"/>
        </w:rPr>
        <w:t>E’ costituito:</w:t>
      </w:r>
    </w:p>
    <w:p w:rsidR="007471EC" w:rsidRPr="001C56E9" w:rsidRDefault="007471EC" w:rsidP="002470BE">
      <w:pPr>
        <w:pStyle w:val="Rientrocorpodeltesto2"/>
        <w:numPr>
          <w:ilvl w:val="0"/>
          <w:numId w:val="22"/>
        </w:numPr>
        <w:spacing w:line="240" w:lineRule="auto"/>
        <w:contextualSpacing/>
        <w:rPr>
          <w:rFonts w:ascii="Arial" w:hAnsi="Arial" w:cs="Arial"/>
          <w:sz w:val="24"/>
          <w:szCs w:val="24"/>
        </w:rPr>
      </w:pPr>
      <w:r w:rsidRPr="001C56E9">
        <w:rPr>
          <w:rFonts w:ascii="Arial" w:hAnsi="Arial" w:cs="Arial"/>
          <w:sz w:val="24"/>
          <w:szCs w:val="24"/>
        </w:rPr>
        <w:t>Dal fondo di cassa esistente al 31 /12</w:t>
      </w:r>
    </w:p>
    <w:p w:rsidR="007471EC" w:rsidRPr="001C56E9" w:rsidRDefault="007471EC" w:rsidP="002470BE">
      <w:pPr>
        <w:pStyle w:val="Rientrocorpodeltesto2"/>
        <w:numPr>
          <w:ilvl w:val="0"/>
          <w:numId w:val="22"/>
        </w:numPr>
        <w:spacing w:line="240" w:lineRule="auto"/>
        <w:contextualSpacing/>
        <w:rPr>
          <w:rFonts w:ascii="Arial" w:hAnsi="Arial" w:cs="Arial"/>
          <w:sz w:val="24"/>
          <w:szCs w:val="24"/>
        </w:rPr>
      </w:pPr>
      <w:r w:rsidRPr="001C56E9">
        <w:rPr>
          <w:rFonts w:ascii="Arial" w:hAnsi="Arial" w:cs="Arial"/>
          <w:sz w:val="24"/>
          <w:szCs w:val="24"/>
        </w:rPr>
        <w:t>Maggiorato dei reisdui attivi e diminuito dei residui passivi</w:t>
      </w:r>
    </w:p>
    <w:p w:rsidR="007471EC" w:rsidRPr="001C56E9" w:rsidRDefault="007471EC" w:rsidP="002470BE">
      <w:pPr>
        <w:pStyle w:val="Rientrocorpodeltesto2"/>
        <w:numPr>
          <w:ilvl w:val="0"/>
          <w:numId w:val="22"/>
        </w:numPr>
        <w:spacing w:line="240" w:lineRule="auto"/>
        <w:contextualSpacing/>
        <w:rPr>
          <w:rFonts w:ascii="Arial" w:hAnsi="Arial" w:cs="Arial"/>
          <w:sz w:val="24"/>
          <w:szCs w:val="24"/>
        </w:rPr>
      </w:pPr>
      <w:r w:rsidRPr="001C56E9">
        <w:rPr>
          <w:rFonts w:ascii="Arial" w:hAnsi="Arial" w:cs="Arial"/>
          <w:sz w:val="24"/>
          <w:szCs w:val="24"/>
        </w:rPr>
        <w:t>Diminuito del FPV risultante al 31/12</w:t>
      </w:r>
    </w:p>
    <w:p w:rsidR="007471EC" w:rsidRPr="001C56E9" w:rsidRDefault="007471EC" w:rsidP="002470BE">
      <w:pPr>
        <w:pStyle w:val="Rientrocorpodeltesto2"/>
        <w:spacing w:line="240" w:lineRule="auto"/>
        <w:contextualSpacing/>
        <w:rPr>
          <w:rFonts w:ascii="Arial" w:hAnsi="Arial" w:cs="Arial"/>
          <w:sz w:val="24"/>
          <w:szCs w:val="24"/>
        </w:rPr>
      </w:pPr>
      <w:r w:rsidRPr="001C56E9">
        <w:rPr>
          <w:rFonts w:ascii="Arial" w:hAnsi="Arial" w:cs="Arial"/>
          <w:sz w:val="24"/>
          <w:szCs w:val="24"/>
        </w:rPr>
        <w:t xml:space="preserve">Il RDA può quindi risultare un avanzo o un disavanzo </w:t>
      </w:r>
    </w:p>
    <w:p w:rsidR="00F018B7" w:rsidRPr="001C56E9" w:rsidRDefault="002659DF" w:rsidP="002470BE">
      <w:pPr>
        <w:pStyle w:val="Rientrocorpodeltesto2"/>
        <w:spacing w:line="240" w:lineRule="auto"/>
        <w:ind w:left="142"/>
        <w:contextualSpacing/>
        <w:rPr>
          <w:rFonts w:ascii="Arial" w:hAnsi="Arial" w:cs="Arial"/>
          <w:sz w:val="24"/>
          <w:szCs w:val="24"/>
        </w:rPr>
      </w:pPr>
      <w:r w:rsidRPr="001C56E9">
        <w:rPr>
          <w:rFonts w:ascii="Arial" w:hAnsi="Arial" w:cs="Arial"/>
          <w:sz w:val="24"/>
          <w:szCs w:val="24"/>
        </w:rPr>
        <w:t>L’avanzo è applicabile solo al primo esercizio considerato nel blancio di previsione per finanziarie le spese che si prevede di impegnare nel corso di tal eserczio</w:t>
      </w:r>
    </w:p>
    <w:p w:rsidR="002659DF" w:rsidRPr="001C56E9" w:rsidRDefault="002659DF" w:rsidP="002470BE">
      <w:pPr>
        <w:pStyle w:val="Rientrocorpodeltesto2"/>
        <w:spacing w:line="240" w:lineRule="auto"/>
        <w:ind w:left="142"/>
        <w:contextualSpacing/>
        <w:rPr>
          <w:rFonts w:ascii="Arial" w:hAnsi="Arial" w:cs="Arial"/>
          <w:sz w:val="24"/>
          <w:szCs w:val="24"/>
        </w:rPr>
      </w:pPr>
      <w:r w:rsidRPr="001C56E9">
        <w:rPr>
          <w:rFonts w:ascii="Arial" w:hAnsi="Arial" w:cs="Arial"/>
          <w:sz w:val="24"/>
          <w:szCs w:val="24"/>
        </w:rPr>
        <w:t xml:space="preserve">Il risultato di amministrazione è distinto in </w:t>
      </w:r>
    </w:p>
    <w:p w:rsidR="002659DF" w:rsidRPr="001C56E9" w:rsidRDefault="002659DF" w:rsidP="002470BE">
      <w:pPr>
        <w:pStyle w:val="Rientrocorpodeltesto2"/>
        <w:spacing w:line="240" w:lineRule="auto"/>
        <w:ind w:left="142"/>
        <w:contextualSpacing/>
        <w:rPr>
          <w:rFonts w:ascii="Arial" w:hAnsi="Arial" w:cs="Arial"/>
          <w:sz w:val="24"/>
          <w:szCs w:val="24"/>
        </w:rPr>
      </w:pPr>
      <w:r w:rsidRPr="001C56E9">
        <w:rPr>
          <w:rFonts w:ascii="Arial" w:hAnsi="Arial" w:cs="Arial"/>
          <w:sz w:val="24"/>
          <w:szCs w:val="24"/>
        </w:rPr>
        <w:t xml:space="preserve">• fondi liberi, </w:t>
      </w:r>
    </w:p>
    <w:p w:rsidR="002659DF" w:rsidRPr="001C56E9" w:rsidRDefault="002659DF" w:rsidP="002470BE">
      <w:pPr>
        <w:pStyle w:val="Rientrocorpodeltesto2"/>
        <w:spacing w:line="240" w:lineRule="auto"/>
        <w:ind w:left="142"/>
        <w:contextualSpacing/>
        <w:rPr>
          <w:rFonts w:ascii="Arial" w:hAnsi="Arial" w:cs="Arial"/>
          <w:sz w:val="24"/>
          <w:szCs w:val="24"/>
        </w:rPr>
      </w:pPr>
      <w:r w:rsidRPr="001C56E9">
        <w:rPr>
          <w:rFonts w:ascii="Arial" w:hAnsi="Arial" w:cs="Arial"/>
          <w:sz w:val="24"/>
          <w:szCs w:val="24"/>
        </w:rPr>
        <w:t>• vincolati,</w:t>
      </w:r>
    </w:p>
    <w:p w:rsidR="002659DF" w:rsidRPr="001C56E9" w:rsidRDefault="002659DF" w:rsidP="002470BE">
      <w:pPr>
        <w:pStyle w:val="Rientrocorpodeltesto2"/>
        <w:spacing w:line="240" w:lineRule="auto"/>
        <w:ind w:left="142"/>
        <w:contextualSpacing/>
        <w:rPr>
          <w:rFonts w:ascii="Arial" w:hAnsi="Arial" w:cs="Arial"/>
          <w:sz w:val="24"/>
          <w:szCs w:val="24"/>
        </w:rPr>
      </w:pPr>
      <w:r w:rsidRPr="001C56E9">
        <w:rPr>
          <w:rFonts w:ascii="Arial" w:hAnsi="Arial" w:cs="Arial"/>
          <w:sz w:val="24"/>
          <w:szCs w:val="24"/>
        </w:rPr>
        <w:t xml:space="preserve">• accantonati </w:t>
      </w:r>
    </w:p>
    <w:p w:rsidR="002659DF" w:rsidRPr="001C56E9" w:rsidRDefault="002659DF" w:rsidP="002470BE">
      <w:pPr>
        <w:pStyle w:val="Rientrocorpodeltesto2"/>
        <w:spacing w:line="240" w:lineRule="auto"/>
        <w:ind w:left="142"/>
        <w:contextualSpacing/>
        <w:rPr>
          <w:rFonts w:ascii="Arial" w:hAnsi="Arial" w:cs="Arial"/>
          <w:sz w:val="24"/>
          <w:szCs w:val="24"/>
        </w:rPr>
      </w:pPr>
      <w:r w:rsidRPr="001C56E9">
        <w:rPr>
          <w:rFonts w:ascii="Arial" w:hAnsi="Arial" w:cs="Arial"/>
          <w:sz w:val="24"/>
          <w:szCs w:val="24"/>
        </w:rPr>
        <w:t xml:space="preserve">• destinati. </w:t>
      </w:r>
    </w:p>
    <w:p w:rsidR="002659DF" w:rsidRPr="001C56E9" w:rsidRDefault="002659DF" w:rsidP="002470BE">
      <w:pPr>
        <w:pStyle w:val="NormaleWeb"/>
        <w:spacing w:before="0" w:beforeAutospacing="0" w:after="0" w:afterAutospacing="0"/>
        <w:rPr>
          <w:rFonts w:ascii="Arial" w:hAnsi="Arial" w:cs="Arial"/>
          <w:color w:val="000000"/>
        </w:rPr>
      </w:pPr>
      <w:r w:rsidRPr="001C56E9">
        <w:rPr>
          <w:rFonts w:ascii="Arial" w:hAnsi="Arial" w:cs="Arial"/>
          <w:b/>
        </w:rPr>
        <w:t>Fondi vincolati</w:t>
      </w:r>
      <w:r w:rsidRPr="001C56E9">
        <w:rPr>
          <w:rFonts w:ascii="Arial" w:hAnsi="Arial" w:cs="Arial"/>
        </w:rPr>
        <w:sym w:font="Wingdings" w:char="F0E0"/>
      </w:r>
      <w:r w:rsidRPr="001C56E9">
        <w:rPr>
          <w:rFonts w:ascii="Arial" w:hAnsi="Arial" w:cs="Arial"/>
        </w:rPr>
        <w:t>c</w:t>
      </w:r>
      <w:r w:rsidRPr="001C56E9">
        <w:rPr>
          <w:rFonts w:ascii="Arial" w:hAnsi="Arial" w:cs="Arial"/>
          <w:color w:val="000000"/>
        </w:rPr>
        <w:t>ostituiscono quota vincolata del risultato di amministrazione le entrate accertate e le corrispondenti economie di bilancio:</w:t>
      </w:r>
    </w:p>
    <w:p w:rsidR="002659DF" w:rsidRPr="001C56E9" w:rsidRDefault="002659DF" w:rsidP="002659DF">
      <w:pPr>
        <w:numPr>
          <w:ilvl w:val="0"/>
          <w:numId w:val="24"/>
        </w:numPr>
        <w:spacing w:before="100" w:beforeAutospacing="1" w:after="100" w:afterAutospacing="1" w:line="240" w:lineRule="auto"/>
        <w:rPr>
          <w:rFonts w:ascii="Arial" w:hAnsi="Arial" w:cs="Arial"/>
          <w:color w:val="000000"/>
          <w:sz w:val="24"/>
          <w:szCs w:val="24"/>
        </w:rPr>
      </w:pPr>
      <w:r w:rsidRPr="001C56E9">
        <w:rPr>
          <w:rFonts w:ascii="Arial" w:hAnsi="Arial" w:cs="Arial"/>
          <w:color w:val="000000"/>
          <w:sz w:val="24"/>
          <w:szCs w:val="24"/>
        </w:rPr>
        <w:t>nei casi in cui la legge o i principi contabili generali e applicati della contabilità finanziaria individuano un vincolo di specifica destinazione dell’entrata alla spesa. Per gli enti locali i vincoli derivanti dalla legge sono previsti sia dalle leggi statali che dalle leggi regionali. Per le regioni i vincoli sono previsti solo dalla legge statale. Nei casi in cui la legge dispone un vincolo di destinazione su propri trasferimenti di risorse a favore dell’ente, si è in presenza di vincoli derivanti da trasferimenti e non da legge;</w:t>
      </w:r>
    </w:p>
    <w:p w:rsidR="002659DF" w:rsidRPr="001C56E9" w:rsidRDefault="002659DF" w:rsidP="002659DF">
      <w:pPr>
        <w:numPr>
          <w:ilvl w:val="0"/>
          <w:numId w:val="24"/>
        </w:numPr>
        <w:spacing w:before="100" w:beforeAutospacing="1" w:after="100" w:afterAutospacing="1" w:line="240" w:lineRule="auto"/>
        <w:rPr>
          <w:rFonts w:ascii="Arial" w:hAnsi="Arial" w:cs="Arial"/>
          <w:color w:val="000000"/>
          <w:sz w:val="24"/>
          <w:szCs w:val="24"/>
        </w:rPr>
      </w:pPr>
      <w:r w:rsidRPr="001C56E9">
        <w:rPr>
          <w:rFonts w:ascii="Arial" w:hAnsi="Arial" w:cs="Arial"/>
          <w:color w:val="000000"/>
          <w:sz w:val="24"/>
          <w:szCs w:val="24"/>
        </w:rPr>
        <w:t>derivanti da mutui e finanziamenti contratti per il finanziamento di investimenti determinati;</w:t>
      </w:r>
    </w:p>
    <w:p w:rsidR="002659DF" w:rsidRPr="001C56E9" w:rsidRDefault="002659DF" w:rsidP="002659DF">
      <w:pPr>
        <w:numPr>
          <w:ilvl w:val="0"/>
          <w:numId w:val="24"/>
        </w:numPr>
        <w:spacing w:before="100" w:beforeAutospacing="1" w:after="100" w:afterAutospacing="1" w:line="240" w:lineRule="auto"/>
        <w:rPr>
          <w:rFonts w:ascii="Arial" w:hAnsi="Arial" w:cs="Arial"/>
          <w:color w:val="000000"/>
          <w:sz w:val="24"/>
          <w:szCs w:val="24"/>
        </w:rPr>
      </w:pPr>
      <w:r w:rsidRPr="001C56E9">
        <w:rPr>
          <w:rFonts w:ascii="Arial" w:hAnsi="Arial" w:cs="Arial"/>
          <w:color w:val="000000"/>
          <w:sz w:val="24"/>
          <w:szCs w:val="24"/>
        </w:rPr>
        <w:t xml:space="preserve">derivanti da trasferimenti erogati a favore dell’ente per una specifica destinazione. La natura vincolata dei trasferimenti UE si estende alle risorse destinate al cofinanziamento nazionale. Pertanto, tali risorse devono essere considerate come </w:t>
      </w:r>
      <w:r w:rsidRPr="001C56E9">
        <w:rPr>
          <w:rFonts w:ascii="Arial" w:hAnsi="Arial" w:cs="Arial"/>
          <w:color w:val="000000"/>
          <w:sz w:val="24"/>
          <w:szCs w:val="24"/>
        </w:rPr>
        <w:lastRenderedPageBreak/>
        <w:t>“vincolate da trasferimenti” ancorchè derivanti da entrate proprie dell’ente. Per gli enti locali, la natura vincolata di tali risorse non rileva ai fini della disciplina dei vincoli cassa.</w:t>
      </w:r>
      <w:bookmarkStart w:id="0" w:name="_ftnref2"/>
      <w:r w:rsidR="0001140F" w:rsidRPr="001C56E9">
        <w:rPr>
          <w:rFonts w:ascii="Arial" w:hAnsi="Arial" w:cs="Arial"/>
          <w:color w:val="000000"/>
          <w:sz w:val="24"/>
          <w:szCs w:val="24"/>
        </w:rPr>
        <w:fldChar w:fldCharType="begin"/>
      </w:r>
      <w:r w:rsidRPr="001C56E9">
        <w:rPr>
          <w:rFonts w:ascii="Arial" w:hAnsi="Arial" w:cs="Arial"/>
          <w:color w:val="000000"/>
          <w:sz w:val="24"/>
          <w:szCs w:val="24"/>
        </w:rPr>
        <w:instrText xml:space="preserve"> HYPERLINK "http://www.forgionegianluca.it/CONTABILITA_ENTI_LOCALI/DOTTRINA/ARMONIZZAZIONE_CONTABILE/armonizzazione_bilancio/avanzo_amministrazione.php" \l "_ftn2" \o "" </w:instrText>
      </w:r>
      <w:r w:rsidR="0001140F" w:rsidRPr="001C56E9">
        <w:rPr>
          <w:rFonts w:ascii="Arial" w:hAnsi="Arial" w:cs="Arial"/>
          <w:color w:val="000000"/>
          <w:sz w:val="24"/>
          <w:szCs w:val="24"/>
        </w:rPr>
        <w:fldChar w:fldCharType="separate"/>
      </w:r>
      <w:r w:rsidRPr="001C56E9">
        <w:rPr>
          <w:rStyle w:val="Collegamentoipertestuale"/>
          <w:rFonts w:ascii="Arial" w:hAnsi="Arial" w:cs="Arial"/>
          <w:color w:val="000000"/>
          <w:sz w:val="24"/>
          <w:szCs w:val="24"/>
          <w:effect w:val="blinkBackground"/>
        </w:rPr>
        <w:t> </w:t>
      </w:r>
      <w:r w:rsidR="0001140F" w:rsidRPr="001C56E9">
        <w:rPr>
          <w:rFonts w:ascii="Arial" w:hAnsi="Arial" w:cs="Arial"/>
          <w:color w:val="000000"/>
          <w:sz w:val="24"/>
          <w:szCs w:val="24"/>
        </w:rPr>
        <w:fldChar w:fldCharType="end"/>
      </w:r>
      <w:bookmarkEnd w:id="0"/>
      <w:r w:rsidRPr="001C56E9">
        <w:rPr>
          <w:rFonts w:ascii="Arial" w:hAnsi="Arial" w:cs="Arial"/>
          <w:color w:val="000000"/>
          <w:sz w:val="24"/>
          <w:szCs w:val="24"/>
        </w:rPr>
        <w:t>”;</w:t>
      </w:r>
    </w:p>
    <w:p w:rsidR="002659DF" w:rsidRPr="001C56E9" w:rsidRDefault="002659DF" w:rsidP="002659DF">
      <w:pPr>
        <w:numPr>
          <w:ilvl w:val="0"/>
          <w:numId w:val="24"/>
        </w:numPr>
        <w:spacing w:before="100" w:beforeAutospacing="1" w:after="100" w:afterAutospacing="1" w:line="240" w:lineRule="auto"/>
        <w:rPr>
          <w:rFonts w:ascii="Arial" w:hAnsi="Arial" w:cs="Arial"/>
          <w:color w:val="000000"/>
          <w:sz w:val="24"/>
          <w:szCs w:val="24"/>
        </w:rPr>
      </w:pPr>
      <w:r w:rsidRPr="001C56E9">
        <w:rPr>
          <w:rFonts w:ascii="Arial" w:hAnsi="Arial" w:cs="Arial"/>
          <w:color w:val="000000"/>
          <w:sz w:val="24"/>
          <w:szCs w:val="24"/>
        </w:rPr>
        <w:t>derivanti da entrate straordinarie, non aventi natura ricorrente, accertate e riscosse cui l’amministrazione ha formalmente attribuito una specifica destinazione. </w:t>
      </w:r>
      <w:r w:rsidRPr="001C56E9">
        <w:rPr>
          <w:rStyle w:val="marker"/>
          <w:rFonts w:ascii="Arial" w:hAnsi="Arial" w:cs="Arial"/>
          <w:color w:val="FF0000"/>
          <w:sz w:val="24"/>
          <w:szCs w:val="24"/>
        </w:rPr>
        <w:t>E’ possibile attribuire un vincolo di destinazione alle entrate straordinarie non aventi natura ricorrente solo se l’ente non ha rinviato la copertura del disavanzo di amministrazione negli esercizi successivi, ha provveduto nel corso dell’esercizio alla copertura di tutti gli eventuali debiti fuori bilancio (per gli enti locali compresi i debiti fuori bilancio ai sensi dell’articolo 193 del TUEL, nel caso in cui sia stata accertata, nell’anno in corso e nei due anni precedenti l’assenza dell’ equilibrio generale di bilancio). </w:t>
      </w:r>
      <w:r w:rsidRPr="001C56E9">
        <w:rPr>
          <w:rFonts w:ascii="Arial" w:hAnsi="Arial" w:cs="Arial"/>
          <w:color w:val="000000"/>
          <w:sz w:val="24"/>
          <w:szCs w:val="24"/>
        </w:rPr>
        <w:t>Le regioni possono attribuire il vincolo di destinazione in caso di disavanzo da indebitamento autorizzato con legge non ancora accertato. Le regioni possono attribuire il vincolo di destinazione in caso di disavanzo da indebitamento autorizzato con legge non ancora accertato. I vincoli attribuiti dalla regione con propria legge regionale, sono considerati “vincoli formalmente attribuiti dalla regione e non “vincoli derivanti dalla legge e dai principi contabili”.</w:t>
      </w:r>
    </w:p>
    <w:p w:rsidR="002659DF" w:rsidRPr="001C56E9" w:rsidRDefault="002659DF" w:rsidP="002659DF">
      <w:pPr>
        <w:pStyle w:val="NormaleWeb"/>
        <w:spacing w:before="0" w:beforeAutospacing="0" w:after="0" w:afterAutospacing="0"/>
        <w:rPr>
          <w:rFonts w:ascii="Arial" w:hAnsi="Arial" w:cs="Arial"/>
          <w:color w:val="000000"/>
        </w:rPr>
      </w:pPr>
      <w:r w:rsidRPr="001C56E9">
        <w:rPr>
          <w:rFonts w:ascii="Arial" w:hAnsi="Arial" w:cs="Arial"/>
          <w:color w:val="000000"/>
        </w:rPr>
        <w:t>E’ necessario distinguere le entrate vincolate alla realizzazione di una specifica spesa, dalle entrate destinate al finanziamento di una generale categoria di spese, quali la spesa sanitaria. Fermo restando l’obbligo di rispettare sia i vincoli specifici che la destinazione generica delle risorse acquisite, si sottolinea che la disciplina prevista per l’utilizzo delle quote vincolate del risultato di amministrazione non si applica alle cd. risorse destinate.</w:t>
      </w:r>
    </w:p>
    <w:p w:rsidR="002659DF" w:rsidRPr="001C56E9" w:rsidRDefault="002659DF" w:rsidP="002659DF">
      <w:pPr>
        <w:pStyle w:val="Rientrocorpodeltesto2"/>
        <w:spacing w:line="240" w:lineRule="auto"/>
        <w:ind w:left="142"/>
        <w:contextualSpacing/>
        <w:rPr>
          <w:rFonts w:ascii="Arial" w:hAnsi="Arial" w:cs="Arial"/>
          <w:sz w:val="24"/>
          <w:szCs w:val="24"/>
        </w:rPr>
      </w:pPr>
    </w:p>
    <w:p w:rsidR="00E354BE" w:rsidRDefault="002659DF" w:rsidP="002659DF">
      <w:pPr>
        <w:pStyle w:val="Rientrocorpodeltesto2"/>
        <w:spacing w:line="240" w:lineRule="auto"/>
        <w:ind w:left="0"/>
        <w:contextualSpacing/>
        <w:rPr>
          <w:rFonts w:ascii="Arial" w:hAnsi="Arial" w:cs="Arial"/>
          <w:sz w:val="24"/>
          <w:szCs w:val="24"/>
        </w:rPr>
      </w:pPr>
      <w:r w:rsidRPr="001C56E9">
        <w:rPr>
          <w:rFonts w:ascii="Arial" w:hAnsi="Arial" w:cs="Arial"/>
          <w:b/>
          <w:sz w:val="24"/>
          <w:szCs w:val="24"/>
        </w:rPr>
        <w:t>Fondi destinati agli investimenti</w:t>
      </w:r>
      <w:r w:rsidRPr="001C56E9">
        <w:rPr>
          <w:rFonts w:ascii="Arial" w:hAnsi="Arial" w:cs="Arial"/>
          <w:sz w:val="24"/>
          <w:szCs w:val="24"/>
        </w:rPr>
        <w:sym w:font="Wingdings" w:char="F0E0"/>
      </w:r>
      <w:r w:rsidR="00E354BE">
        <w:rPr>
          <w:rFonts w:ascii="Arial" w:hAnsi="Arial" w:cs="Arial"/>
          <w:sz w:val="24"/>
          <w:szCs w:val="24"/>
        </w:rPr>
        <w:t xml:space="preserve"> i fondi destinati agli investimetni  sono costitutiti dalle entrate in C/capitale senza vincoli di specifica destinazione non spesi</w:t>
      </w:r>
    </w:p>
    <w:p w:rsidR="002659DF" w:rsidRPr="001C56E9" w:rsidRDefault="002659DF" w:rsidP="002659DF">
      <w:pPr>
        <w:pStyle w:val="Rientrocorpodeltesto2"/>
        <w:spacing w:line="240" w:lineRule="auto"/>
        <w:ind w:left="0"/>
        <w:contextualSpacing/>
        <w:rPr>
          <w:rFonts w:ascii="Arial" w:hAnsi="Arial" w:cs="Arial"/>
          <w:color w:val="000000"/>
          <w:sz w:val="24"/>
          <w:szCs w:val="24"/>
          <w:shd w:val="clear" w:color="auto" w:fill="FFFFFF"/>
        </w:rPr>
      </w:pPr>
      <w:r w:rsidRPr="001C56E9">
        <w:rPr>
          <w:rFonts w:ascii="Arial" w:hAnsi="Arial" w:cs="Arial"/>
          <w:color w:val="000000"/>
          <w:sz w:val="24"/>
          <w:szCs w:val="24"/>
          <w:shd w:val="clear" w:color="auto" w:fill="FFFFFF"/>
        </w:rPr>
        <w:t>La quota del risultato di amministrazione destinata agli investimenti è costituita dalle entrate in conto capitale senza vincoli di specifica destinazione non spese, e sono utilizzabili con provvedimento di variazione di bilancio solo a seguito dell’approvazione del rendiconto. Negli allegati al bilancio di previsione e al rendiconto riguardanti il risultato di amministrazione, non si provvede all’indicazione della destinazione agli investimenti delle entrate in conto capitale che hanno dato luogo ad accantonamento al fondo crediti di dubbia esigibilità, per l’importo dell’accantonamento, sino all’effettiva riscossione delle stesse.</w:t>
      </w:r>
    </w:p>
    <w:p w:rsidR="002659DF" w:rsidRPr="001C56E9" w:rsidRDefault="002659DF" w:rsidP="002659DF">
      <w:pPr>
        <w:rPr>
          <w:rFonts w:ascii="Arial" w:eastAsia="Times New Roman" w:hAnsi="Arial" w:cs="Arial"/>
          <w:sz w:val="24"/>
          <w:szCs w:val="24"/>
          <w:lang w:eastAsia="it-IT"/>
        </w:rPr>
      </w:pPr>
      <w:r w:rsidRPr="001C56E9">
        <w:rPr>
          <w:rFonts w:ascii="Arial" w:hAnsi="Arial" w:cs="Arial"/>
          <w:b/>
          <w:color w:val="000000"/>
          <w:sz w:val="24"/>
          <w:szCs w:val="24"/>
          <w:shd w:val="clear" w:color="auto" w:fill="FFFFFF"/>
        </w:rPr>
        <w:t>Fondi accantonati</w:t>
      </w:r>
      <w:r w:rsidRPr="001C56E9">
        <w:rPr>
          <w:rFonts w:ascii="Arial" w:hAnsi="Arial" w:cs="Arial"/>
          <w:color w:val="000000"/>
          <w:sz w:val="24"/>
          <w:szCs w:val="24"/>
          <w:shd w:val="clear" w:color="auto" w:fill="FFFFFF"/>
        </w:rPr>
        <w:sym w:font="Wingdings" w:char="F0E0"/>
      </w:r>
      <w:r w:rsidRPr="001C56E9">
        <w:rPr>
          <w:rFonts w:ascii="Arial" w:eastAsia="Times New Roman" w:hAnsi="Arial" w:cs="Arial"/>
          <w:color w:val="000000"/>
          <w:sz w:val="24"/>
          <w:szCs w:val="24"/>
          <w:shd w:val="clear" w:color="auto" w:fill="FFFFFF"/>
          <w:lang w:eastAsia="it-IT"/>
        </w:rPr>
        <w:t>è costituita da:</w:t>
      </w:r>
    </w:p>
    <w:p w:rsidR="002659DF" w:rsidRPr="001C56E9" w:rsidRDefault="002659DF" w:rsidP="002659DF">
      <w:pPr>
        <w:numPr>
          <w:ilvl w:val="0"/>
          <w:numId w:val="25"/>
        </w:numPr>
        <w:spacing w:before="100" w:beforeAutospacing="1" w:after="100" w:afterAutospacing="1" w:line="240" w:lineRule="auto"/>
        <w:rPr>
          <w:rFonts w:ascii="Arial" w:eastAsia="Times New Roman" w:hAnsi="Arial" w:cs="Arial"/>
          <w:color w:val="000000"/>
          <w:sz w:val="24"/>
          <w:szCs w:val="24"/>
          <w:lang w:eastAsia="it-IT"/>
        </w:rPr>
      </w:pPr>
      <w:r w:rsidRPr="001C56E9">
        <w:rPr>
          <w:rFonts w:ascii="Arial" w:eastAsia="Times New Roman" w:hAnsi="Arial" w:cs="Arial"/>
          <w:color w:val="000000"/>
          <w:sz w:val="24"/>
          <w:szCs w:val="24"/>
          <w:lang w:eastAsia="it-IT"/>
        </w:rPr>
        <w:t>l’accantonamento al fondo crediti di dubbia esigibilità (principio 3.3);</w:t>
      </w:r>
    </w:p>
    <w:p w:rsidR="002659DF" w:rsidRPr="001C56E9" w:rsidRDefault="002659DF" w:rsidP="002659DF">
      <w:pPr>
        <w:numPr>
          <w:ilvl w:val="0"/>
          <w:numId w:val="25"/>
        </w:numPr>
        <w:spacing w:before="100" w:beforeAutospacing="1" w:after="100" w:afterAutospacing="1" w:line="240" w:lineRule="auto"/>
        <w:rPr>
          <w:rFonts w:ascii="Arial" w:eastAsia="Times New Roman" w:hAnsi="Arial" w:cs="Arial"/>
          <w:color w:val="000000"/>
          <w:sz w:val="24"/>
          <w:szCs w:val="24"/>
          <w:lang w:eastAsia="it-IT"/>
        </w:rPr>
      </w:pPr>
      <w:r w:rsidRPr="001C56E9">
        <w:rPr>
          <w:rFonts w:ascii="Arial" w:eastAsia="Times New Roman" w:hAnsi="Arial" w:cs="Arial"/>
          <w:color w:val="000000"/>
          <w:sz w:val="24"/>
          <w:szCs w:val="24"/>
          <w:lang w:eastAsia="it-IT"/>
        </w:rPr>
        <w:t>gli accantonamenti a fronte dei residui passivi perenti (solo per le Regioni, fino al loro smaltimento)</w:t>
      </w:r>
    </w:p>
    <w:p w:rsidR="002659DF" w:rsidRDefault="002659DF" w:rsidP="002659DF">
      <w:pPr>
        <w:numPr>
          <w:ilvl w:val="0"/>
          <w:numId w:val="25"/>
        </w:numPr>
        <w:spacing w:before="100" w:beforeAutospacing="1" w:after="100" w:afterAutospacing="1" w:line="240" w:lineRule="auto"/>
        <w:rPr>
          <w:rFonts w:ascii="Arial" w:eastAsia="Times New Roman" w:hAnsi="Arial" w:cs="Arial"/>
          <w:color w:val="000000"/>
          <w:sz w:val="24"/>
          <w:szCs w:val="24"/>
          <w:lang w:eastAsia="it-IT"/>
        </w:rPr>
      </w:pPr>
      <w:r w:rsidRPr="001C56E9">
        <w:rPr>
          <w:rFonts w:ascii="Arial" w:eastAsia="Times New Roman" w:hAnsi="Arial" w:cs="Arial"/>
          <w:color w:val="000000"/>
          <w:sz w:val="24"/>
          <w:szCs w:val="24"/>
          <w:lang w:eastAsia="it-IT"/>
        </w:rPr>
        <w:t>gli accantonamenti per le passività potenziali (fondi spese e rischi).</w:t>
      </w:r>
    </w:p>
    <w:p w:rsidR="002B3E3B" w:rsidRPr="002B3E3B" w:rsidRDefault="002B3E3B" w:rsidP="002B3E3B">
      <w:pPr>
        <w:spacing w:before="100" w:beforeAutospacing="1" w:after="100" w:afterAutospacing="1" w:line="240" w:lineRule="auto"/>
        <w:rPr>
          <w:rFonts w:ascii="Arial" w:eastAsia="Times New Roman" w:hAnsi="Arial" w:cs="Arial"/>
          <w:b/>
          <w:color w:val="000000"/>
          <w:sz w:val="24"/>
          <w:szCs w:val="24"/>
          <w:lang w:eastAsia="it-IT"/>
        </w:rPr>
      </w:pPr>
      <w:r w:rsidRPr="002B3E3B">
        <w:rPr>
          <w:rFonts w:ascii="Arial" w:eastAsia="Times New Roman" w:hAnsi="Arial" w:cs="Arial"/>
          <w:b/>
          <w:color w:val="000000"/>
          <w:sz w:val="24"/>
          <w:szCs w:val="24"/>
          <w:lang w:eastAsia="it-IT"/>
        </w:rPr>
        <w:t xml:space="preserve">Nel caso in cui il RDA non è sufficiente a comprendere le quote vincolate, destinatee accontonate l’ente eè in disavanzo di amministrazione </w:t>
      </w:r>
    </w:p>
    <w:p w:rsidR="002659DF" w:rsidRPr="001C56E9" w:rsidRDefault="002659DF" w:rsidP="002659DF">
      <w:pPr>
        <w:rPr>
          <w:rFonts w:ascii="Arial" w:eastAsia="Times New Roman" w:hAnsi="Arial" w:cs="Arial"/>
          <w:sz w:val="24"/>
          <w:szCs w:val="24"/>
          <w:lang w:eastAsia="it-IT"/>
        </w:rPr>
      </w:pPr>
      <w:r w:rsidRPr="001C56E9">
        <w:rPr>
          <w:rFonts w:ascii="Arial" w:eastAsia="Times New Roman" w:hAnsi="Arial" w:cs="Arial"/>
          <w:b/>
          <w:color w:val="000000"/>
          <w:sz w:val="24"/>
          <w:szCs w:val="24"/>
          <w:lang w:eastAsia="it-IT"/>
        </w:rPr>
        <w:t>Fondi liberi</w:t>
      </w:r>
      <w:r w:rsidRPr="001C56E9">
        <w:rPr>
          <w:rFonts w:ascii="Arial" w:eastAsia="Times New Roman" w:hAnsi="Arial" w:cs="Arial"/>
          <w:color w:val="000000"/>
          <w:sz w:val="24"/>
          <w:szCs w:val="24"/>
          <w:lang w:eastAsia="it-IT"/>
        </w:rPr>
        <w:sym w:font="Wingdings" w:char="F0E0"/>
      </w:r>
      <w:r w:rsidRPr="001C56E9">
        <w:rPr>
          <w:rFonts w:ascii="Arial" w:eastAsia="Times New Roman" w:hAnsi="Arial" w:cs="Arial"/>
          <w:color w:val="000000"/>
          <w:sz w:val="24"/>
          <w:szCs w:val="24"/>
          <w:shd w:val="clear" w:color="auto" w:fill="FFFFFF"/>
          <w:lang w:eastAsia="it-IT"/>
        </w:rPr>
        <w:t>La quota libera dell’avanzo di amministrazione dell’esercizio precedente può essere utilizzato con provvedimento di variazione di bilancio, per le finalità di seguito indicate in ordine di </w:t>
      </w:r>
      <w:r w:rsidRPr="001C56E9">
        <w:rPr>
          <w:rFonts w:ascii="Arial" w:eastAsia="Times New Roman" w:hAnsi="Arial" w:cs="Arial"/>
          <w:color w:val="FF0000"/>
          <w:sz w:val="24"/>
          <w:szCs w:val="24"/>
          <w:lang w:eastAsia="it-IT"/>
        </w:rPr>
        <w:t>priorità</w:t>
      </w:r>
      <w:r w:rsidRPr="001C56E9">
        <w:rPr>
          <w:rFonts w:ascii="Arial" w:eastAsia="Times New Roman" w:hAnsi="Arial" w:cs="Arial"/>
          <w:color w:val="000000"/>
          <w:sz w:val="24"/>
          <w:szCs w:val="24"/>
          <w:shd w:val="clear" w:color="auto" w:fill="FFFFFF"/>
          <w:lang w:eastAsia="it-IT"/>
        </w:rPr>
        <w:t>:</w:t>
      </w:r>
    </w:p>
    <w:p w:rsidR="002659DF" w:rsidRPr="001C56E9" w:rsidRDefault="002659DF" w:rsidP="002659DF">
      <w:pPr>
        <w:spacing w:after="0" w:line="240" w:lineRule="auto"/>
        <w:rPr>
          <w:rFonts w:ascii="Arial" w:eastAsia="Times New Roman" w:hAnsi="Arial" w:cs="Arial"/>
          <w:color w:val="000000"/>
          <w:sz w:val="24"/>
          <w:szCs w:val="24"/>
          <w:lang w:eastAsia="it-IT"/>
        </w:rPr>
      </w:pPr>
      <w:r w:rsidRPr="001C56E9">
        <w:rPr>
          <w:rFonts w:ascii="Arial" w:eastAsia="Times New Roman" w:hAnsi="Arial" w:cs="Arial"/>
          <w:color w:val="000000"/>
          <w:sz w:val="24"/>
          <w:szCs w:val="24"/>
          <w:lang w:eastAsia="it-IT"/>
        </w:rPr>
        <w:t>a)  per la copertura dei debiti fuori bilancio;</w:t>
      </w:r>
    </w:p>
    <w:p w:rsidR="002659DF" w:rsidRPr="001C56E9" w:rsidRDefault="002659DF" w:rsidP="002659DF">
      <w:pPr>
        <w:spacing w:after="0" w:line="240" w:lineRule="auto"/>
        <w:rPr>
          <w:rFonts w:ascii="Arial" w:eastAsia="Times New Roman" w:hAnsi="Arial" w:cs="Arial"/>
          <w:color w:val="000000"/>
          <w:sz w:val="24"/>
          <w:szCs w:val="24"/>
          <w:lang w:eastAsia="it-IT"/>
        </w:rPr>
      </w:pPr>
      <w:r w:rsidRPr="001C56E9">
        <w:rPr>
          <w:rFonts w:ascii="Arial" w:eastAsia="Times New Roman" w:hAnsi="Arial" w:cs="Arial"/>
          <w:color w:val="000000"/>
          <w:sz w:val="24"/>
          <w:szCs w:val="24"/>
          <w:lang w:eastAsia="it-IT"/>
        </w:rPr>
        <w:lastRenderedPageBreak/>
        <w:t>b)  per i provvedimenti necessari per la salvaguardia degli equilibri di bilancio di cui all'articolo 193 ove non possa provvedersi con mezzi ordinari (Per mezzi ordinari si intendono tutte le possibili politiche di contenimento delle spese e di massimizzazione delle entrate proprie, senza necessariamente arrivare all’esaurimento delle politiche tributarie regionali e locali. E’ pertanto possibile utilizzare l’avanzo libero per la salvaguardia degli equilibri senza avere massimizzato la pressione fiscale);</w:t>
      </w:r>
    </w:p>
    <w:p w:rsidR="002659DF" w:rsidRPr="001C56E9" w:rsidRDefault="002659DF" w:rsidP="002659DF">
      <w:pPr>
        <w:spacing w:after="0" w:line="240" w:lineRule="auto"/>
        <w:rPr>
          <w:rFonts w:ascii="Arial" w:eastAsia="Times New Roman" w:hAnsi="Arial" w:cs="Arial"/>
          <w:color w:val="000000"/>
          <w:sz w:val="24"/>
          <w:szCs w:val="24"/>
          <w:lang w:eastAsia="it-IT"/>
        </w:rPr>
      </w:pPr>
      <w:r w:rsidRPr="001C56E9">
        <w:rPr>
          <w:rFonts w:ascii="Arial" w:eastAsia="Times New Roman" w:hAnsi="Arial" w:cs="Arial"/>
          <w:color w:val="000000"/>
          <w:sz w:val="24"/>
          <w:szCs w:val="24"/>
          <w:lang w:eastAsia="it-IT"/>
        </w:rPr>
        <w:t>c)  per il finanziamento di spese di investimento;</w:t>
      </w:r>
    </w:p>
    <w:p w:rsidR="002659DF" w:rsidRPr="001C56E9" w:rsidRDefault="002659DF" w:rsidP="002659DF">
      <w:pPr>
        <w:spacing w:after="0" w:line="240" w:lineRule="auto"/>
        <w:rPr>
          <w:rFonts w:ascii="Arial" w:eastAsia="Times New Roman" w:hAnsi="Arial" w:cs="Arial"/>
          <w:color w:val="000000"/>
          <w:sz w:val="24"/>
          <w:szCs w:val="24"/>
          <w:lang w:eastAsia="it-IT"/>
        </w:rPr>
      </w:pPr>
      <w:r w:rsidRPr="001C56E9">
        <w:rPr>
          <w:rFonts w:ascii="Arial" w:eastAsia="Times New Roman" w:hAnsi="Arial" w:cs="Arial"/>
          <w:color w:val="000000"/>
          <w:sz w:val="24"/>
          <w:szCs w:val="24"/>
          <w:lang w:eastAsia="it-IT"/>
        </w:rPr>
        <w:t>d)  per il finanziamento delle spese correnti a carattere non permanente;</w:t>
      </w:r>
    </w:p>
    <w:p w:rsidR="002659DF" w:rsidRPr="001C56E9" w:rsidRDefault="002659DF" w:rsidP="002659DF">
      <w:pPr>
        <w:spacing w:after="0" w:line="240" w:lineRule="auto"/>
        <w:rPr>
          <w:rFonts w:ascii="Arial" w:eastAsia="Times New Roman" w:hAnsi="Arial" w:cs="Arial"/>
          <w:color w:val="000000"/>
          <w:sz w:val="24"/>
          <w:szCs w:val="24"/>
          <w:lang w:eastAsia="it-IT"/>
        </w:rPr>
      </w:pPr>
      <w:r w:rsidRPr="001C56E9">
        <w:rPr>
          <w:rFonts w:ascii="Arial" w:eastAsia="Times New Roman" w:hAnsi="Arial" w:cs="Arial"/>
          <w:color w:val="000000"/>
          <w:sz w:val="24"/>
          <w:szCs w:val="24"/>
          <w:lang w:eastAsia="it-IT"/>
        </w:rPr>
        <w:t>e)  per l’estinzione anticipata dei prestiti.</w:t>
      </w:r>
    </w:p>
    <w:p w:rsidR="002659DF" w:rsidRPr="001C56E9" w:rsidRDefault="002659DF" w:rsidP="002659DF">
      <w:pPr>
        <w:spacing w:after="0" w:line="240" w:lineRule="auto"/>
        <w:rPr>
          <w:rFonts w:ascii="Arial" w:eastAsia="Times New Roman" w:hAnsi="Arial" w:cs="Arial"/>
          <w:color w:val="000000"/>
          <w:sz w:val="24"/>
          <w:szCs w:val="24"/>
          <w:lang w:eastAsia="it-IT"/>
        </w:rPr>
      </w:pPr>
      <w:r w:rsidRPr="001C56E9">
        <w:rPr>
          <w:rFonts w:ascii="Arial" w:eastAsia="Times New Roman" w:hAnsi="Arial" w:cs="Arial"/>
          <w:color w:val="000000"/>
          <w:sz w:val="24"/>
          <w:szCs w:val="24"/>
          <w:lang w:eastAsia="it-IT"/>
        </w:rPr>
        <w:t>Resta salva la facoltà di impiegare l’eventuale quota del risultato di amministrazione “svincolata” in occasione dell’approvazione del rendiconto, a seguito della definizione della quota del risultato di amministrazione accantonata per il fondo crediti di dubbia esigibilità, per finanziare lo stanziamento riguardante il fondo crediti di dubbia esigibilità nel bilancio di previsione dell’esercizio successivo a quello cui il rendiconto si riferisce.</w:t>
      </w:r>
    </w:p>
    <w:p w:rsidR="002659DF" w:rsidRPr="001C56E9" w:rsidRDefault="002659DF" w:rsidP="002659DF">
      <w:pPr>
        <w:spacing w:before="100" w:beforeAutospacing="1" w:after="100" w:afterAutospacing="1" w:line="240" w:lineRule="auto"/>
        <w:rPr>
          <w:rFonts w:ascii="Arial" w:hAnsi="Arial" w:cs="Arial"/>
          <w:color w:val="000000"/>
          <w:sz w:val="24"/>
          <w:szCs w:val="24"/>
          <w:shd w:val="clear" w:color="auto" w:fill="FFFFFF"/>
        </w:rPr>
      </w:pPr>
      <w:r w:rsidRPr="001C56E9">
        <w:rPr>
          <w:rStyle w:val="password-indicator"/>
          <w:rFonts w:ascii="Arial" w:hAnsi="Arial" w:cs="Arial"/>
          <w:color w:val="000000"/>
          <w:sz w:val="24"/>
          <w:szCs w:val="24"/>
          <w:shd w:val="clear" w:color="auto" w:fill="C4C4C4"/>
        </w:rPr>
        <w:t>Il risultato di amministrazione è applicabile solo al primo esercizio considerato nel bilancio di previsione,</w:t>
      </w:r>
      <w:r w:rsidRPr="001C56E9">
        <w:rPr>
          <w:rFonts w:ascii="Arial" w:hAnsi="Arial" w:cs="Arial"/>
          <w:color w:val="000000"/>
          <w:sz w:val="24"/>
          <w:szCs w:val="24"/>
          <w:shd w:val="clear" w:color="auto" w:fill="FFFFFF"/>
        </w:rPr>
        <w:t> per finanziarie le spese che si prevede di impegnare nel corso di tale esercizio imputate al medesimo esercizio e/o a quelli successivi. </w:t>
      </w:r>
      <w:r w:rsidRPr="001C56E9">
        <w:rPr>
          <w:rFonts w:ascii="Arial" w:hAnsi="Arial" w:cs="Arial"/>
          <w:color w:val="000000"/>
          <w:sz w:val="24"/>
          <w:szCs w:val="24"/>
        </w:rPr>
        <w:br/>
      </w:r>
      <w:r w:rsidRPr="001C56E9">
        <w:rPr>
          <w:rStyle w:val="Enfasigrassetto"/>
          <w:rFonts w:ascii="Arial" w:hAnsi="Arial" w:cs="Arial"/>
          <w:color w:val="000000"/>
          <w:sz w:val="24"/>
          <w:szCs w:val="24"/>
          <w:shd w:val="clear" w:color="auto" w:fill="FFFFFF"/>
        </w:rPr>
        <w:t>A tal fine il risultato di amministrazione iscritto in entrata del primo esercizio può costituire la copertura del fondo pluriennale vincolato stanziato in spesa, corrispondente al fondo pluriennale iscritto in entrata degli esercizi successivi. </w:t>
      </w:r>
      <w:r w:rsidRPr="001C56E9">
        <w:rPr>
          <w:rFonts w:ascii="Arial" w:hAnsi="Arial" w:cs="Arial"/>
          <w:color w:val="000000"/>
          <w:sz w:val="24"/>
          <w:szCs w:val="24"/>
        </w:rPr>
        <w:br/>
      </w:r>
      <w:r w:rsidRPr="001C56E9">
        <w:rPr>
          <w:rFonts w:ascii="Arial" w:hAnsi="Arial" w:cs="Arial"/>
          <w:color w:val="000000"/>
          <w:sz w:val="24"/>
          <w:szCs w:val="24"/>
          <w:shd w:val="clear" w:color="auto" w:fill="FFFFFF"/>
        </w:rPr>
        <w:t>Se nel corso dell'esercizio in cui il fondo pluriennale vincolato è stato stanziato i relativi impegni pluriennali non sono stati formalmente assunti, il fondo pluriennale non risulta costituito e le risorse tornano a costituire il risultato di amministrazione al 31 dicembre, applicabile all'esercizio successivo secondo le modalità previste nel presenta principio.</w:t>
      </w:r>
    </w:p>
    <w:p w:rsidR="001C56E9" w:rsidRDefault="002B3E3B" w:rsidP="00272205">
      <w:pPr>
        <w:pStyle w:val="NormaleWeb"/>
        <w:shd w:val="clear" w:color="auto" w:fill="FFFFFF"/>
        <w:spacing w:before="0" w:beforeAutospacing="0" w:after="0" w:afterAutospacing="0"/>
        <w:rPr>
          <w:rFonts w:ascii="Arial" w:hAnsi="Arial" w:cs="Arial"/>
          <w:color w:val="000000"/>
        </w:rPr>
      </w:pPr>
      <w:r>
        <w:rPr>
          <w:rFonts w:ascii="Arial" w:hAnsi="Arial" w:cs="Arial"/>
          <w:color w:val="000000"/>
        </w:rPr>
        <w:t>DISAVANZO</w:t>
      </w:r>
    </w:p>
    <w:p w:rsidR="002B3E3B" w:rsidRDefault="002B3E3B" w:rsidP="00272205">
      <w:pPr>
        <w:pStyle w:val="NormaleWeb"/>
        <w:shd w:val="clear" w:color="auto" w:fill="FFFFFF"/>
        <w:spacing w:before="0" w:beforeAutospacing="0" w:after="0" w:afterAutospacing="0"/>
        <w:rPr>
          <w:rFonts w:ascii="Arial" w:hAnsi="Arial" w:cs="Arial"/>
          <w:color w:val="000000"/>
        </w:rPr>
      </w:pPr>
      <w:r>
        <w:rPr>
          <w:rFonts w:ascii="Arial" w:hAnsi="Arial" w:cs="Arial"/>
          <w:color w:val="000000"/>
        </w:rPr>
        <w:t>Se il risultato contabile di amministrazione è negativo avremo invece un disavanzo che dovrà esser ripianato</w:t>
      </w:r>
    </w:p>
    <w:p w:rsidR="002B3E3B" w:rsidRDefault="002B3E3B" w:rsidP="00272205">
      <w:pPr>
        <w:pStyle w:val="NormaleWeb"/>
        <w:shd w:val="clear" w:color="auto" w:fill="FFFFFF"/>
        <w:spacing w:before="0" w:beforeAutospacing="0" w:after="0" w:afterAutospacing="0"/>
        <w:rPr>
          <w:rFonts w:ascii="Arial" w:hAnsi="Arial" w:cs="Arial"/>
          <w:color w:val="000000"/>
        </w:rPr>
      </w:pPr>
      <w:r>
        <w:rPr>
          <w:rFonts w:ascii="Arial" w:hAnsi="Arial" w:cs="Arial"/>
          <w:color w:val="000000"/>
        </w:rPr>
        <w:t>E’ immediatamente applicato all’esercizio in corso di gestione contestualmente alla delibera di approvazione del rendiconto( la mancata delibera comporta una causa di scioglimento del CC)</w:t>
      </w:r>
    </w:p>
    <w:p w:rsidR="002B3E3B" w:rsidRDefault="002B3E3B" w:rsidP="00272205">
      <w:pPr>
        <w:pStyle w:val="NormaleWeb"/>
        <w:shd w:val="clear" w:color="auto" w:fill="FFFFFF"/>
        <w:spacing w:before="0" w:beforeAutospacing="0" w:after="0" w:afterAutospacing="0"/>
        <w:rPr>
          <w:rFonts w:ascii="Arial" w:hAnsi="Arial" w:cs="Arial"/>
          <w:color w:val="000000"/>
        </w:rPr>
      </w:pPr>
      <w:r>
        <w:rPr>
          <w:rFonts w:ascii="Arial" w:hAnsi="Arial" w:cs="Arial"/>
          <w:color w:val="000000"/>
        </w:rPr>
        <w:t>Il disavanzo può esser ripianato negli esercizi successivi del bilancio comunque non oltre la legislatura. Il piano di rientro è sottoposto al parere del Collegio dei revisori. Al fine del rientro possono esser utilizzae le economie di spesa e tutte le entrate ( ad eccezione di quelle derivanti da prestitie di quelle con specifico vincolo di destinazione)nonché i proventi da alienazioni patrimonioe entrate in c/capitale</w:t>
      </w:r>
    </w:p>
    <w:p w:rsidR="002B3E3B" w:rsidRDefault="002B3E3B" w:rsidP="00272205">
      <w:pPr>
        <w:pStyle w:val="NormaleWeb"/>
        <w:shd w:val="clear" w:color="auto" w:fill="FFFFFF"/>
        <w:spacing w:before="0" w:beforeAutospacing="0" w:after="0" w:afterAutospacing="0"/>
        <w:rPr>
          <w:rFonts w:ascii="Arial" w:hAnsi="Arial" w:cs="Arial"/>
          <w:color w:val="000000"/>
        </w:rPr>
      </w:pPr>
      <w:r>
        <w:rPr>
          <w:rFonts w:ascii="Arial" w:hAnsi="Arial" w:cs="Arial"/>
          <w:color w:val="000000"/>
        </w:rPr>
        <w:t xml:space="preserve">Con periodicità almeno semestrale il Sindaco presenta al Ccuna relazione riguardante lo stato di attuazione del piano di rientro, con il parere del Collegio dei revisori.   </w:t>
      </w:r>
    </w:p>
    <w:p w:rsidR="002B3E3B" w:rsidRPr="001C56E9" w:rsidRDefault="002B3E3B" w:rsidP="00272205">
      <w:pPr>
        <w:pStyle w:val="NormaleWeb"/>
        <w:shd w:val="clear" w:color="auto" w:fill="FFFFFF"/>
        <w:spacing w:before="0" w:beforeAutospacing="0" w:after="0" w:afterAutospacing="0"/>
        <w:rPr>
          <w:rFonts w:ascii="Arial" w:hAnsi="Arial" w:cs="Arial"/>
          <w:color w:val="000000"/>
        </w:rPr>
      </w:pPr>
    </w:p>
    <w:p w:rsidR="001C56E9" w:rsidRPr="001C56E9" w:rsidRDefault="001C56E9" w:rsidP="001C56E9">
      <w:pPr>
        <w:rPr>
          <w:rFonts w:ascii="Arial" w:hAnsi="Arial" w:cs="Arial"/>
          <w:sz w:val="24"/>
          <w:szCs w:val="24"/>
        </w:rPr>
      </w:pPr>
      <w:r w:rsidRPr="001C56E9">
        <w:rPr>
          <w:rFonts w:ascii="Arial" w:hAnsi="Arial" w:cs="Arial"/>
          <w:sz w:val="24"/>
          <w:szCs w:val="24"/>
        </w:rPr>
        <w:t xml:space="preserve">RENDICONTO DI GESTIONE il rendiconto si presenta come un documento complesso ed articolato; in esso, al fianco della relazione illustrativa della giunta troviamo modelli specificatamente contabili, particolarmente tecnici e per questo difficilmente leggibili, quali il conto del bilancio, il conto del patrimonio ed il conto economico. La principale funzione del rendiconto è quella di misurare in termini di valore una serie di grandezze quantitative e qualitative, al fine di rendere conto dell’attuazione dei programmi e dei progetti. Le informazioni che si ricavano dal rendiconto vanno ad alimentare un ampio sistema informativo, il quale restituisce, </w:t>
      </w:r>
      <w:r w:rsidRPr="001C56E9">
        <w:rPr>
          <w:rFonts w:ascii="Arial" w:hAnsi="Arial" w:cs="Arial"/>
          <w:sz w:val="24"/>
          <w:szCs w:val="24"/>
          <w:u w:val="single"/>
        </w:rPr>
        <w:t>tra le altre, informazioni destinate alla valutazione della maggiore o minore convenienza di certe scelte politiche e dei relativi programmi</w:t>
      </w:r>
      <w:r w:rsidRPr="001C56E9">
        <w:rPr>
          <w:rFonts w:ascii="Arial" w:hAnsi="Arial" w:cs="Arial"/>
          <w:sz w:val="24"/>
          <w:szCs w:val="24"/>
        </w:rPr>
        <w:t xml:space="preserve">. Come </w:t>
      </w:r>
      <w:r w:rsidRPr="001C56E9">
        <w:rPr>
          <w:rFonts w:ascii="Arial" w:hAnsi="Arial" w:cs="Arial"/>
          <w:sz w:val="24"/>
          <w:szCs w:val="24"/>
        </w:rPr>
        <w:lastRenderedPageBreak/>
        <w:t>strumento conoscitivo nei rapporti tra Consiglio, Giunta e Responsabili di Servizio, il rendiconto della gestione si caratterizza per due funzioni specifiche:</w:t>
      </w:r>
    </w:p>
    <w:p w:rsidR="001C56E9" w:rsidRPr="001C56E9" w:rsidRDefault="001C56E9" w:rsidP="001C56E9">
      <w:pPr>
        <w:rPr>
          <w:rFonts w:ascii="Arial" w:hAnsi="Arial" w:cs="Arial"/>
          <w:sz w:val="24"/>
          <w:szCs w:val="24"/>
        </w:rPr>
      </w:pPr>
      <w:r w:rsidRPr="001C56E9">
        <w:rPr>
          <w:rFonts w:ascii="Arial" w:hAnsi="Arial" w:cs="Arial"/>
          <w:sz w:val="24"/>
          <w:szCs w:val="24"/>
        </w:rPr>
        <w:t>1) dimostrazione delle operazioni poste in essere durante la gestione e dei relativi risultati conseguiti in termini di equilibrio finanziario, economico e patrimoniale;</w:t>
      </w:r>
    </w:p>
    <w:p w:rsidR="001C56E9" w:rsidRPr="001C56E9" w:rsidRDefault="001C56E9" w:rsidP="001C56E9">
      <w:pPr>
        <w:rPr>
          <w:rFonts w:ascii="Arial" w:hAnsi="Arial" w:cs="Arial"/>
          <w:sz w:val="24"/>
          <w:szCs w:val="24"/>
        </w:rPr>
      </w:pPr>
      <w:r w:rsidRPr="001C56E9">
        <w:rPr>
          <w:rFonts w:ascii="Arial" w:hAnsi="Arial" w:cs="Arial"/>
          <w:sz w:val="24"/>
          <w:szCs w:val="24"/>
        </w:rPr>
        <w:t xml:space="preserve"> 2) controllo da parte degli organi politici e del collegio dei revisori dei conti.</w:t>
      </w:r>
    </w:p>
    <w:p w:rsidR="001C56E9" w:rsidRPr="001C56E9" w:rsidRDefault="001C56E9" w:rsidP="001C56E9">
      <w:pPr>
        <w:rPr>
          <w:rFonts w:ascii="Arial" w:hAnsi="Arial" w:cs="Arial"/>
          <w:sz w:val="24"/>
          <w:szCs w:val="24"/>
        </w:rPr>
      </w:pPr>
      <w:r w:rsidRPr="001C56E9">
        <w:rPr>
          <w:rFonts w:ascii="Arial" w:hAnsi="Arial" w:cs="Arial"/>
          <w:sz w:val="24"/>
          <w:szCs w:val="24"/>
        </w:rPr>
        <w:t xml:space="preserve">La finalità del rendiconto è quella di fornire informazioni in merito al grado di attuazione dei programmi, alla situazione patrimoniale - finanziaria, all’andamento economico ed ai cambiamenti della situazione patrimoniale – finanziaria di un ente locale a beneficio di un’ampia serie di utilizzatori del rendiconto nel loro processo di decisione politica, sociale ed economica. </w:t>
      </w:r>
    </w:p>
    <w:p w:rsidR="001C56E9" w:rsidRPr="001C56E9" w:rsidRDefault="001C56E9" w:rsidP="001C56E9">
      <w:pPr>
        <w:rPr>
          <w:rFonts w:ascii="Arial" w:hAnsi="Arial" w:cs="Arial"/>
          <w:sz w:val="24"/>
          <w:szCs w:val="24"/>
        </w:rPr>
      </w:pPr>
      <w:r w:rsidRPr="001C56E9">
        <w:rPr>
          <w:rFonts w:ascii="Arial" w:hAnsi="Arial" w:cs="Arial"/>
          <w:sz w:val="24"/>
          <w:szCs w:val="24"/>
        </w:rPr>
        <w:t xml:space="preserve"> Il rendiconto deve soddisfare le esigenze comuni della gran parte degli utilizzatori. Per altro, il rendiconto non fornisce tutte le informazioni di cui gli utilizzatori potrebbero aver bisogno per prendere le loro decisioni poiché riflette per lo più gli effetti economici e finanziari di eventi passati</w:t>
      </w:r>
    </w:p>
    <w:p w:rsidR="001C56E9" w:rsidRPr="001C56E9" w:rsidRDefault="001C56E9" w:rsidP="001C56E9">
      <w:pPr>
        <w:rPr>
          <w:rFonts w:ascii="Arial" w:hAnsi="Arial" w:cs="Arial"/>
          <w:sz w:val="24"/>
          <w:szCs w:val="24"/>
        </w:rPr>
      </w:pPr>
      <w:r w:rsidRPr="001C56E9">
        <w:rPr>
          <w:rFonts w:ascii="Arial" w:hAnsi="Arial" w:cs="Arial"/>
          <w:sz w:val="24"/>
          <w:szCs w:val="24"/>
        </w:rPr>
        <w:t>SI COMPONE DI :</w:t>
      </w:r>
    </w:p>
    <w:p w:rsidR="001C56E9" w:rsidRPr="001C56E9" w:rsidRDefault="001C56E9" w:rsidP="001C56E9">
      <w:pPr>
        <w:pStyle w:val="Paragrafoelenco"/>
        <w:numPr>
          <w:ilvl w:val="0"/>
          <w:numId w:val="31"/>
        </w:numPr>
        <w:rPr>
          <w:rFonts w:ascii="Arial" w:hAnsi="Arial" w:cs="Arial"/>
          <w:sz w:val="24"/>
          <w:szCs w:val="24"/>
        </w:rPr>
      </w:pPr>
      <w:r w:rsidRPr="001C56E9">
        <w:rPr>
          <w:rFonts w:ascii="Arial" w:hAnsi="Arial" w:cs="Arial"/>
          <w:sz w:val="24"/>
          <w:szCs w:val="24"/>
        </w:rPr>
        <w:t>CONTO DI BILANCIO</w:t>
      </w:r>
    </w:p>
    <w:p w:rsidR="001C56E9" w:rsidRPr="001C56E9" w:rsidRDefault="001C56E9" w:rsidP="001C56E9">
      <w:pPr>
        <w:pStyle w:val="Paragrafoelenco"/>
        <w:numPr>
          <w:ilvl w:val="0"/>
          <w:numId w:val="31"/>
        </w:numPr>
        <w:rPr>
          <w:rFonts w:ascii="Arial" w:hAnsi="Arial" w:cs="Arial"/>
          <w:sz w:val="24"/>
          <w:szCs w:val="24"/>
        </w:rPr>
      </w:pPr>
      <w:r w:rsidRPr="001C56E9">
        <w:rPr>
          <w:rFonts w:ascii="Arial" w:hAnsi="Arial" w:cs="Arial"/>
          <w:sz w:val="24"/>
          <w:szCs w:val="24"/>
        </w:rPr>
        <w:t>CONTO ECONOMICO</w:t>
      </w:r>
    </w:p>
    <w:p w:rsidR="001C56E9" w:rsidRPr="001C56E9" w:rsidRDefault="001C56E9" w:rsidP="001C56E9">
      <w:pPr>
        <w:pStyle w:val="Paragrafoelenco"/>
        <w:numPr>
          <w:ilvl w:val="0"/>
          <w:numId w:val="31"/>
        </w:numPr>
        <w:rPr>
          <w:rFonts w:ascii="Arial" w:hAnsi="Arial" w:cs="Arial"/>
          <w:sz w:val="24"/>
          <w:szCs w:val="24"/>
        </w:rPr>
      </w:pPr>
      <w:r w:rsidRPr="001C56E9">
        <w:rPr>
          <w:rFonts w:ascii="Arial" w:hAnsi="Arial" w:cs="Arial"/>
          <w:sz w:val="24"/>
          <w:szCs w:val="24"/>
        </w:rPr>
        <w:t>CONTO PATRIMONIALE</w:t>
      </w:r>
    </w:p>
    <w:p w:rsidR="001C56E9" w:rsidRPr="001C56E9" w:rsidRDefault="001C56E9" w:rsidP="001C56E9">
      <w:pPr>
        <w:rPr>
          <w:rFonts w:ascii="Arial" w:hAnsi="Arial" w:cs="Arial"/>
          <w:sz w:val="24"/>
          <w:szCs w:val="24"/>
        </w:rPr>
      </w:pPr>
      <w:r w:rsidRPr="001C56E9">
        <w:rPr>
          <w:rFonts w:ascii="Arial" w:hAnsi="Arial" w:cs="Arial"/>
          <w:sz w:val="24"/>
          <w:szCs w:val="24"/>
        </w:rPr>
        <w:sym w:font="Wingdings" w:char="00E0"/>
      </w:r>
      <w:r w:rsidRPr="001C56E9">
        <w:rPr>
          <w:rFonts w:ascii="Arial" w:hAnsi="Arial" w:cs="Arial"/>
          <w:sz w:val="24"/>
          <w:szCs w:val="24"/>
        </w:rPr>
        <w:t xml:space="preserve">Prima dell’inserimento nel conto del bilancio dei residui attivi e passivi l’ente locale deve provvedere all’operazione di </w:t>
      </w:r>
      <w:r w:rsidRPr="001C56E9">
        <w:rPr>
          <w:rFonts w:ascii="Arial" w:hAnsi="Arial" w:cs="Arial"/>
          <w:b/>
          <w:sz w:val="24"/>
          <w:szCs w:val="24"/>
        </w:rPr>
        <w:t>riaccertamento</w:t>
      </w:r>
      <w:r w:rsidRPr="001C56E9">
        <w:rPr>
          <w:rFonts w:ascii="Arial" w:hAnsi="Arial" w:cs="Arial"/>
          <w:sz w:val="24"/>
          <w:szCs w:val="24"/>
        </w:rPr>
        <w:t xml:space="preserve"> degli stessi, consistente nella revisione delle ragioni del mantenimento in tutto o in parte dei residui</w:t>
      </w:r>
    </w:p>
    <w:p w:rsidR="001C56E9" w:rsidRPr="001C56E9" w:rsidRDefault="001C56E9" w:rsidP="001C56E9">
      <w:pPr>
        <w:rPr>
          <w:rFonts w:ascii="Arial" w:hAnsi="Arial" w:cs="Arial"/>
          <w:sz w:val="24"/>
          <w:szCs w:val="24"/>
        </w:rPr>
      </w:pPr>
      <w:r w:rsidRPr="001C56E9">
        <w:rPr>
          <w:rFonts w:ascii="Arial" w:hAnsi="Arial" w:cs="Arial"/>
          <w:sz w:val="24"/>
          <w:szCs w:val="24"/>
        </w:rPr>
        <w:t xml:space="preserve">In concreto, si procede ad un puntuale riscontro, </w:t>
      </w:r>
      <w:r w:rsidRPr="001C56E9">
        <w:rPr>
          <w:rFonts w:ascii="Arial" w:hAnsi="Arial" w:cs="Arial"/>
          <w:b/>
          <w:sz w:val="24"/>
          <w:szCs w:val="24"/>
        </w:rPr>
        <w:t>per la parte entrata</w:t>
      </w:r>
      <w:r w:rsidRPr="001C56E9">
        <w:rPr>
          <w:rFonts w:ascii="Arial" w:hAnsi="Arial" w:cs="Arial"/>
          <w:sz w:val="24"/>
          <w:szCs w:val="24"/>
        </w:rPr>
        <w:t>, su ciascun accertamento di entrata della presenza dei seguenti elementi:</w:t>
      </w:r>
    </w:p>
    <w:p w:rsidR="001C56E9" w:rsidRPr="001C56E9" w:rsidRDefault="001C56E9" w:rsidP="001C56E9">
      <w:pPr>
        <w:rPr>
          <w:rFonts w:ascii="Arial" w:hAnsi="Arial" w:cs="Arial"/>
          <w:sz w:val="24"/>
          <w:szCs w:val="24"/>
        </w:rPr>
      </w:pPr>
      <w:r w:rsidRPr="001C56E9">
        <w:rPr>
          <w:rFonts w:ascii="Arial" w:hAnsi="Arial" w:cs="Arial"/>
          <w:sz w:val="24"/>
          <w:szCs w:val="24"/>
        </w:rPr>
        <w:t xml:space="preserve"> – verifica della esistenza del credito;</w:t>
      </w:r>
    </w:p>
    <w:p w:rsidR="001C56E9" w:rsidRPr="001C56E9" w:rsidRDefault="001C56E9" w:rsidP="001C56E9">
      <w:pPr>
        <w:rPr>
          <w:rFonts w:ascii="Arial" w:hAnsi="Arial" w:cs="Arial"/>
          <w:sz w:val="24"/>
          <w:szCs w:val="24"/>
        </w:rPr>
      </w:pPr>
      <w:r w:rsidRPr="001C56E9">
        <w:rPr>
          <w:rFonts w:ascii="Arial" w:hAnsi="Arial" w:cs="Arial"/>
          <w:sz w:val="24"/>
          <w:szCs w:val="24"/>
        </w:rPr>
        <w:t xml:space="preserve"> – esistenza di un titolo giuridico diretto a comprovarlo; </w:t>
      </w:r>
    </w:p>
    <w:p w:rsidR="001C56E9" w:rsidRPr="001C56E9" w:rsidRDefault="001C56E9" w:rsidP="001C56E9">
      <w:pPr>
        <w:rPr>
          <w:rFonts w:ascii="Arial" w:hAnsi="Arial" w:cs="Arial"/>
          <w:sz w:val="24"/>
          <w:szCs w:val="24"/>
        </w:rPr>
      </w:pPr>
      <w:r w:rsidRPr="001C56E9">
        <w:rPr>
          <w:rFonts w:ascii="Arial" w:hAnsi="Arial" w:cs="Arial"/>
          <w:sz w:val="24"/>
          <w:szCs w:val="24"/>
        </w:rPr>
        <w:t>– individuazione del debitore;</w:t>
      </w:r>
    </w:p>
    <w:p w:rsidR="001C56E9" w:rsidRPr="001C56E9" w:rsidRDefault="001C56E9" w:rsidP="001C56E9">
      <w:pPr>
        <w:rPr>
          <w:rFonts w:ascii="Arial" w:hAnsi="Arial" w:cs="Arial"/>
          <w:sz w:val="24"/>
          <w:szCs w:val="24"/>
        </w:rPr>
      </w:pPr>
      <w:r w:rsidRPr="001C56E9">
        <w:rPr>
          <w:rFonts w:ascii="Arial" w:hAnsi="Arial" w:cs="Arial"/>
          <w:sz w:val="24"/>
          <w:szCs w:val="24"/>
        </w:rPr>
        <w:t xml:space="preserve"> – quantificazione della somma da incassare; </w:t>
      </w:r>
    </w:p>
    <w:p w:rsidR="001C56E9" w:rsidRPr="001C56E9" w:rsidRDefault="001C56E9" w:rsidP="001C56E9">
      <w:pPr>
        <w:rPr>
          <w:rFonts w:ascii="Arial" w:hAnsi="Arial" w:cs="Arial"/>
          <w:sz w:val="24"/>
          <w:szCs w:val="24"/>
        </w:rPr>
      </w:pPr>
      <w:r w:rsidRPr="001C56E9">
        <w:rPr>
          <w:rFonts w:ascii="Arial" w:hAnsi="Arial" w:cs="Arial"/>
          <w:sz w:val="24"/>
          <w:szCs w:val="24"/>
        </w:rPr>
        <w:t>– fissazione della data di scadenza del credito, al fine di verificare se, dunque, la somma iscritta in bilancio presenti i requisiti sufficienti per un rinvio del suo incasso nell’anno successivo. Nel contempo si procede  all’eliminazione dalla gestione di competenza e da quella dei residui delle somme non accertate, predisponendo i relativi provvedimenti amministrativi.</w:t>
      </w:r>
    </w:p>
    <w:p w:rsidR="001C56E9" w:rsidRPr="001C56E9" w:rsidRDefault="001C56E9" w:rsidP="001C56E9">
      <w:pPr>
        <w:rPr>
          <w:rFonts w:ascii="Arial" w:hAnsi="Arial" w:cs="Arial"/>
          <w:sz w:val="24"/>
          <w:szCs w:val="24"/>
        </w:rPr>
      </w:pPr>
      <w:r w:rsidRPr="001C56E9">
        <w:rPr>
          <w:rFonts w:ascii="Arial" w:hAnsi="Arial" w:cs="Arial"/>
          <w:sz w:val="24"/>
          <w:szCs w:val="24"/>
        </w:rPr>
        <w:t xml:space="preserve">Allo stesso modo di quanto visto per la parte entrata, si procede per la </w:t>
      </w:r>
      <w:r w:rsidRPr="001C56E9">
        <w:rPr>
          <w:rFonts w:ascii="Arial" w:hAnsi="Arial" w:cs="Arial"/>
          <w:b/>
          <w:sz w:val="24"/>
          <w:szCs w:val="24"/>
        </w:rPr>
        <w:t>parte spesa</w:t>
      </w:r>
      <w:r w:rsidRPr="001C56E9">
        <w:rPr>
          <w:rFonts w:ascii="Arial" w:hAnsi="Arial" w:cs="Arial"/>
          <w:sz w:val="24"/>
          <w:szCs w:val="24"/>
        </w:rPr>
        <w:t>, per la quale i responsabili dei servizi porranno in essere le stesse operazioni dirette a verificare la sussistenza degli elementi essenziali per l’individuazione di un residuo passivo e per la sua conservazione, ossia:</w:t>
      </w:r>
    </w:p>
    <w:p w:rsidR="001C56E9" w:rsidRPr="001C56E9" w:rsidRDefault="001C56E9" w:rsidP="001C56E9">
      <w:pPr>
        <w:rPr>
          <w:rFonts w:ascii="Arial" w:hAnsi="Arial" w:cs="Arial"/>
          <w:sz w:val="24"/>
          <w:szCs w:val="24"/>
        </w:rPr>
      </w:pPr>
      <w:r w:rsidRPr="001C56E9">
        <w:rPr>
          <w:rFonts w:ascii="Arial" w:hAnsi="Arial" w:cs="Arial"/>
          <w:sz w:val="24"/>
          <w:szCs w:val="24"/>
        </w:rPr>
        <w:lastRenderedPageBreak/>
        <w:t xml:space="preserve"> - esistenza di una obbligazione giuridicamente perfezionata (legge, contratto, sentenza o altro titolo);</w:t>
      </w:r>
    </w:p>
    <w:p w:rsidR="001C56E9" w:rsidRPr="001C56E9" w:rsidRDefault="001C56E9" w:rsidP="001C56E9">
      <w:pPr>
        <w:rPr>
          <w:rFonts w:ascii="Arial" w:hAnsi="Arial" w:cs="Arial"/>
          <w:sz w:val="24"/>
          <w:szCs w:val="24"/>
        </w:rPr>
      </w:pPr>
      <w:r w:rsidRPr="001C56E9">
        <w:rPr>
          <w:rFonts w:ascii="Arial" w:hAnsi="Arial" w:cs="Arial"/>
          <w:sz w:val="24"/>
          <w:szCs w:val="24"/>
        </w:rPr>
        <w:t xml:space="preserve"> - quantificazione della somma da pagare;</w:t>
      </w:r>
    </w:p>
    <w:p w:rsidR="001C56E9" w:rsidRPr="001C56E9" w:rsidRDefault="001C56E9" w:rsidP="001C56E9">
      <w:pPr>
        <w:rPr>
          <w:rFonts w:ascii="Arial" w:hAnsi="Arial" w:cs="Arial"/>
          <w:sz w:val="24"/>
          <w:szCs w:val="24"/>
        </w:rPr>
      </w:pPr>
      <w:r w:rsidRPr="001C56E9">
        <w:rPr>
          <w:rFonts w:ascii="Arial" w:hAnsi="Arial" w:cs="Arial"/>
          <w:sz w:val="24"/>
          <w:szCs w:val="24"/>
        </w:rPr>
        <w:t xml:space="preserve"> - determinazione del soggetto creditore;</w:t>
      </w:r>
    </w:p>
    <w:p w:rsidR="001C56E9" w:rsidRPr="001C56E9" w:rsidRDefault="001C56E9" w:rsidP="001C56E9">
      <w:pPr>
        <w:rPr>
          <w:rFonts w:ascii="Arial" w:hAnsi="Arial" w:cs="Arial"/>
          <w:sz w:val="24"/>
          <w:szCs w:val="24"/>
        </w:rPr>
      </w:pPr>
      <w:r w:rsidRPr="001C56E9">
        <w:rPr>
          <w:rFonts w:ascii="Arial" w:hAnsi="Arial" w:cs="Arial"/>
          <w:sz w:val="24"/>
          <w:szCs w:val="24"/>
        </w:rPr>
        <w:t xml:space="preserve"> - indicazione della causale e della ragione del debito; </w:t>
      </w:r>
    </w:p>
    <w:p w:rsidR="001C56E9" w:rsidRPr="001C56E9" w:rsidRDefault="001C56E9" w:rsidP="001C56E9">
      <w:pPr>
        <w:rPr>
          <w:rFonts w:ascii="Arial" w:hAnsi="Arial" w:cs="Arial"/>
          <w:sz w:val="24"/>
          <w:szCs w:val="24"/>
        </w:rPr>
      </w:pPr>
      <w:r w:rsidRPr="001C56E9">
        <w:rPr>
          <w:rFonts w:ascii="Arial" w:hAnsi="Arial" w:cs="Arial"/>
          <w:sz w:val="24"/>
          <w:szCs w:val="24"/>
        </w:rPr>
        <w:t>- costituzione del vincolo sulle previsioni di bilancio, in concomitanza con la verifica della necessaria disponibilità finanziaria.</w:t>
      </w:r>
    </w:p>
    <w:p w:rsidR="001C56E9" w:rsidRPr="001C56E9" w:rsidRDefault="001C56E9" w:rsidP="001C56E9">
      <w:pPr>
        <w:rPr>
          <w:rFonts w:ascii="Arial" w:hAnsi="Arial" w:cs="Arial"/>
          <w:sz w:val="24"/>
          <w:szCs w:val="24"/>
        </w:rPr>
      </w:pPr>
      <w:r w:rsidRPr="001C56E9">
        <w:rPr>
          <w:rFonts w:ascii="Arial" w:hAnsi="Arial" w:cs="Arial"/>
          <w:i/>
          <w:sz w:val="24"/>
          <w:szCs w:val="24"/>
        </w:rPr>
        <w:t>Al termine delle operazioni innanzi descritte, è possibile quantificare l’ammontare dei residui attivi e passivi da inserire nel conto del bilancio.</w:t>
      </w:r>
      <w:r w:rsidRPr="001C56E9">
        <w:rPr>
          <w:rFonts w:ascii="Arial" w:hAnsi="Arial" w:cs="Arial"/>
          <w:sz w:val="24"/>
          <w:szCs w:val="24"/>
        </w:rPr>
        <w:t xml:space="preserve"> E’ il responsabile dei servizi finanziari che provvede a riepilogare in una determinazione riassuntiva di riaccertamento dei residui attivi e passivi prendendo atto delle note dei singoli responsabili di servizio, e, quindi, ad inserire nel conto del bilancio dell’ente esclusivamente quelle somme per le quali sia stata accertata la presenza dei requisiti in precedenza elencati.</w:t>
      </w:r>
    </w:p>
    <w:p w:rsidR="001C56E9" w:rsidRPr="001C56E9" w:rsidRDefault="001C56E9" w:rsidP="001C56E9">
      <w:pPr>
        <w:rPr>
          <w:rFonts w:ascii="Arial" w:hAnsi="Arial" w:cs="Arial"/>
          <w:sz w:val="24"/>
          <w:szCs w:val="24"/>
        </w:rPr>
      </w:pPr>
      <w:r w:rsidRPr="001C56E9">
        <w:rPr>
          <w:rFonts w:ascii="Arial" w:hAnsi="Arial" w:cs="Arial"/>
          <w:sz w:val="24"/>
          <w:szCs w:val="24"/>
        </w:rPr>
        <w:t>l conto del bilancio si concluda con la dimostrazione del "risultato contabile di gestione" e con il "risultato contabile di amministrazione, in termini di avanzo, pareggio o disavanzo". Il risultato contabile di gestione e il risultato contabile di amministrazione rappresentano, sotto due diversi aspetti, il risultato differenziale dei movimenti finanziari in entrata e in uscita. Questo risultato differenziale può assume tre valori:</w:t>
      </w:r>
    </w:p>
    <w:p w:rsidR="001C56E9" w:rsidRPr="001C56E9" w:rsidRDefault="001C56E9" w:rsidP="001C56E9">
      <w:pPr>
        <w:rPr>
          <w:rFonts w:ascii="Arial" w:hAnsi="Arial" w:cs="Arial"/>
          <w:sz w:val="24"/>
          <w:szCs w:val="24"/>
        </w:rPr>
      </w:pPr>
      <w:r w:rsidRPr="001C56E9">
        <w:rPr>
          <w:rFonts w:ascii="Arial" w:hAnsi="Arial" w:cs="Arial"/>
          <w:sz w:val="24"/>
          <w:szCs w:val="24"/>
        </w:rPr>
        <w:t xml:space="preserve"> 1) se &gt; 0, si parla di avanzo; </w:t>
      </w:r>
    </w:p>
    <w:p w:rsidR="001C56E9" w:rsidRPr="001C56E9" w:rsidRDefault="001C56E9" w:rsidP="001C56E9">
      <w:pPr>
        <w:rPr>
          <w:rFonts w:ascii="Arial" w:hAnsi="Arial" w:cs="Arial"/>
          <w:sz w:val="24"/>
          <w:szCs w:val="24"/>
        </w:rPr>
      </w:pPr>
      <w:r w:rsidRPr="001C56E9">
        <w:rPr>
          <w:rFonts w:ascii="Arial" w:hAnsi="Arial" w:cs="Arial"/>
          <w:sz w:val="24"/>
          <w:szCs w:val="24"/>
        </w:rPr>
        <w:t>2) se &lt; 0, si parla di disavanzo;</w:t>
      </w:r>
    </w:p>
    <w:p w:rsidR="001C56E9" w:rsidRPr="001C56E9" w:rsidRDefault="001C56E9" w:rsidP="001C56E9">
      <w:pPr>
        <w:rPr>
          <w:rFonts w:ascii="Arial" w:hAnsi="Arial" w:cs="Arial"/>
          <w:sz w:val="24"/>
          <w:szCs w:val="24"/>
        </w:rPr>
      </w:pPr>
      <w:r w:rsidRPr="001C56E9">
        <w:rPr>
          <w:rFonts w:ascii="Arial" w:hAnsi="Arial" w:cs="Arial"/>
          <w:sz w:val="24"/>
          <w:szCs w:val="24"/>
        </w:rPr>
        <w:t xml:space="preserve"> 3) se = 0, situazione di pareggio.</w:t>
      </w:r>
    </w:p>
    <w:p w:rsidR="001C56E9" w:rsidRPr="001C56E9" w:rsidRDefault="001C56E9" w:rsidP="001C56E9">
      <w:pPr>
        <w:rPr>
          <w:rFonts w:ascii="Arial" w:hAnsi="Arial" w:cs="Arial"/>
          <w:sz w:val="24"/>
          <w:szCs w:val="24"/>
        </w:rPr>
      </w:pPr>
      <w:r w:rsidRPr="001C56E9">
        <w:rPr>
          <w:rFonts w:ascii="Arial" w:hAnsi="Arial" w:cs="Arial"/>
          <w:sz w:val="24"/>
          <w:szCs w:val="24"/>
        </w:rPr>
        <w:t xml:space="preserve"> Mentre il risultato di amministrazione tiene conto della consistenza di cassa e di tutti i residui esistenti alla fine dell’esercizio, compresi quelli riferiti ad anni precedenti, il risultato di gestione deriva dalla gestione di competenza pura del bilancio di previsione senza considerare la gestione dei residui.</w:t>
      </w:r>
    </w:p>
    <w:p w:rsidR="001C56E9" w:rsidRPr="001C56E9" w:rsidRDefault="001C56E9" w:rsidP="001C56E9">
      <w:pPr>
        <w:rPr>
          <w:rFonts w:ascii="Arial" w:hAnsi="Arial" w:cs="Arial"/>
          <w:sz w:val="24"/>
          <w:szCs w:val="24"/>
        </w:rPr>
      </w:pPr>
      <w:r w:rsidRPr="001C56E9">
        <w:rPr>
          <w:rFonts w:ascii="Arial" w:hAnsi="Arial" w:cs="Arial"/>
          <w:sz w:val="24"/>
          <w:szCs w:val="24"/>
        </w:rPr>
        <w:t>Dunque, il risultato di amministrazione sarà pari alla sommatoria del risultato della gestione di competenza e della gestione residui,</w:t>
      </w:r>
    </w:p>
    <w:p w:rsidR="001C56E9" w:rsidRPr="001C56E9" w:rsidRDefault="001C56E9" w:rsidP="001C56E9">
      <w:pPr>
        <w:rPr>
          <w:rFonts w:ascii="Arial" w:hAnsi="Arial" w:cs="Arial"/>
          <w:sz w:val="24"/>
          <w:szCs w:val="24"/>
        </w:rPr>
      </w:pPr>
      <w:r w:rsidRPr="001C56E9">
        <w:rPr>
          <w:rFonts w:ascii="Arial" w:hAnsi="Arial" w:cs="Arial"/>
          <w:sz w:val="24"/>
          <w:szCs w:val="24"/>
        </w:rPr>
        <w:t>Il risultato di amministrazione, viceversa, trova la sua determinazione nell’apposito quadro riassuntivo della gestione finanziaria, articolato in riscossioni e pagamenti, sia in conto competenza che in conto residui che hanno alimentato la dinamica monetaria del fondo cassa e in residui attivi e passivi, sempre distinti tra competenza e gestioni residui, la cui somma algebrica applicata al fondo cassa al 31/12 dell’esercizio di riferimento porta al suddetto risultato.</w:t>
      </w:r>
    </w:p>
    <w:p w:rsidR="001C56E9" w:rsidRPr="001C56E9" w:rsidRDefault="001C56E9" w:rsidP="001C56E9">
      <w:pPr>
        <w:rPr>
          <w:rFonts w:ascii="Arial" w:hAnsi="Arial" w:cs="Arial"/>
          <w:sz w:val="24"/>
          <w:szCs w:val="24"/>
        </w:rPr>
      </w:pPr>
      <w:r w:rsidRPr="001C56E9">
        <w:rPr>
          <w:rFonts w:ascii="Arial" w:hAnsi="Arial" w:cs="Arial"/>
          <w:sz w:val="24"/>
          <w:szCs w:val="24"/>
        </w:rPr>
        <w:t xml:space="preserve">Occorre premettere che l’avanzo non è un risultato di per sé da perseguire per gli enti locali, salvo il caso in cui esso venga destinato a scopi precisi, quali ad esempio gli investimenti. L’esistenza dell’avanzo può dar luogo a critiche in quanto può significare che </w:t>
      </w:r>
      <w:r w:rsidRPr="001C56E9">
        <w:rPr>
          <w:rFonts w:ascii="Arial" w:hAnsi="Arial" w:cs="Arial"/>
          <w:sz w:val="24"/>
          <w:szCs w:val="24"/>
        </w:rPr>
        <w:lastRenderedPageBreak/>
        <w:t>gli amministratori non hanno utilizzato tutte le risorse per raggiungere gli obiettivi programmati, oppure può significare che, avendo raggiunto gli obiettivi, è stato chiesto uno sforzo maggiore alla collettività, sotto forma di prelievo fiscale e tariffario. La presenza di un avanzo da destinare agli investimenti è positivo per la collettività in quanto l’utilizzo di mezzi propri porterà a risparmiare oneri finanziari e ad ottenere infrastrutture a minori costi con sensibili risparmi. L'avanzo di amministrazione è in: 1) fondi non vincolati; 2) fondi vincolati per destinazione; 3) fondi per il finanziamento delle spese in conto capitale; 4) fondi di ammortamento. Per quanto concerne gli ammortamenti, essi sono iscritti nella parte corrente dello stato di previsione della spesa, in apposito intervento per ciascun servizio.</w:t>
      </w:r>
    </w:p>
    <w:p w:rsidR="001C56E9" w:rsidRPr="001C56E9" w:rsidRDefault="001C56E9" w:rsidP="001C56E9">
      <w:pPr>
        <w:rPr>
          <w:rFonts w:ascii="Arial" w:hAnsi="Arial" w:cs="Arial"/>
          <w:sz w:val="24"/>
          <w:szCs w:val="24"/>
        </w:rPr>
      </w:pPr>
      <w:r w:rsidRPr="001C56E9">
        <w:rPr>
          <w:rFonts w:ascii="Arial" w:hAnsi="Arial" w:cs="Arial"/>
          <w:sz w:val="24"/>
          <w:szCs w:val="24"/>
        </w:rPr>
        <w:t>Su questi stanziamenti, destinati ad accantonare risorse, non possono essere assunti impegni di spesa, tenuto conto che "l'utilizzazione delle relative somme è effettuata dopo che gli importi sono rifluiti nel risultato di amministrazione di fine esercizio": le economie di spesa che si producono costituiscono componente positiva del risultato di amministrazione. Per quanto concerne i fondi vincolati, si tratta delle risorse pervenute all'ente con il vincolo di utilizzarle in determinati modi. Sorge il problema interpretativo di che cosa debba intendersi per "entrate aventi destinazione vincolata". A tal fine, un primo elemento da considerare è il fatto che queste risorse devono avere una destinazione specifica, mentre non appare sufficiente il generico vincolo di impiegare in spese di investimento le entrate dei titoli IV e V (non si giustificherebbero altrimenti i fondi per il finanziamento di spese di investimento). Un secondo elemento da prendere in considerazione è che la presenza di fondi vincolati, come componenti del risultato di amministrazione, ha significato soltanto se si interpreta in modo restrittivo la disposizione contenuta all'art. 183, comma 5 TUEL, secondo cui "si considerano impegnati gli stanziamenti di spesa correlati ad accertamenti di entrata aventi destinazione vincolata per legge". L'interpretazione restrittiva suddetta porta a distinguere le entrate con vincolo specifico di destinazione in: a) entrate vincolate per legge; b) entrate i cui vincoli di destinazione non sono imposti da leggi. Nel caso di entrate aventi specifica destinazione per legge, come anche nel caso di risorse acquisite attraverso operazioni di indebitamento contratte per finanziare specifiche iniziative, in base all'art. 183 comma 5, "a seguito del loro accertamento le spese correlate si devono intendere comunque impegnate".</w:t>
      </w:r>
    </w:p>
    <w:p w:rsidR="001C56E9" w:rsidRPr="001C56E9" w:rsidRDefault="001C56E9" w:rsidP="001C56E9">
      <w:pPr>
        <w:rPr>
          <w:rFonts w:ascii="Arial" w:hAnsi="Arial" w:cs="Arial"/>
          <w:sz w:val="24"/>
          <w:szCs w:val="24"/>
        </w:rPr>
      </w:pPr>
      <w:r w:rsidRPr="001C56E9">
        <w:rPr>
          <w:rFonts w:ascii="Arial" w:hAnsi="Arial" w:cs="Arial"/>
          <w:sz w:val="24"/>
          <w:szCs w:val="24"/>
        </w:rPr>
        <w:t xml:space="preserve">Nel caso di entrate a destinazione vincolata, ma non per legge, si tratta di componenti dell'avanzo e concorrono alla formazione di economie e non di residui. La terza grandezza in cui va scomposto il complessivo avanzo di amministrazione, attiene ai fondi destinati al finanziamento di spese in conto capitale. Le ipotesi rientranti in questa fattispecie sono molteplici e si caratterizzano per l'esistenza di un vincolo generico di destinazione. Più specificamente, tra le diverse forme di finanziamento, i fondi in esame sono relativi a: - entrate derivanti da alienazioni di beni e da riscossione crediti (Titolo IV dell'entrata); - trasferimenti in conto capitale (Titolo IV dell'entrata); - mutui non specificamente vincolati (Titolo V dell'entrata); - quota parte dell'avanzo di amministrazione del penultimo esercizio che, in conformità ai vincoli inerenti l'utilizzazione dell'avanzo, è stata destinata ad investimenti nell'esercizio a cui il risultato di amministrazione si riferisce. Oltre a queste, bisogna tener conto anche delle somme accantonate per ammortamento nel penultimo </w:t>
      </w:r>
      <w:r w:rsidRPr="001C56E9">
        <w:rPr>
          <w:rFonts w:ascii="Arial" w:hAnsi="Arial" w:cs="Arial"/>
          <w:sz w:val="24"/>
          <w:szCs w:val="24"/>
        </w:rPr>
        <w:lastRenderedPageBreak/>
        <w:t>esercizio e destinate ad investimenti nell'esercizio a cui l'avanzo si riferisce. Infine, per quanto concerne i fondi non vincolati, si tratta della grandezza residuale costituita dalla parte dell'avanzo di amministrazione risultante dopo aver estrapolato da questo le tre componenti già viste. Dal momento che i fondi vincolati, i fondi per il finanziamento delle spese in conto capitale e i fondi accantonati per l'ammortamento dei beni strumentali mantengono la loro specifica destinazione, la parte dell'avanzo di amministrazione relativa ai fondi non vincolati viene utilizzata seguendo l'ordine di priorità così definto: a) reinvestimento delle quote accantonate per ammortamento; b) copertura dei debiti fuori bilancio; c) provvedimenti necessari per la salvaguardia degli equilibri di bilancio e per il finanziamento delle spese correnti una tantum; d) finanziamento di spese di investimento</w:t>
      </w:r>
    </w:p>
    <w:p w:rsidR="001C56E9" w:rsidRPr="001C56E9" w:rsidRDefault="001C56E9" w:rsidP="001C56E9">
      <w:pPr>
        <w:rPr>
          <w:rFonts w:ascii="Arial" w:hAnsi="Arial" w:cs="Arial"/>
          <w:sz w:val="24"/>
          <w:szCs w:val="24"/>
        </w:rPr>
      </w:pPr>
      <w:r w:rsidRPr="001C56E9">
        <w:rPr>
          <w:rFonts w:ascii="Arial" w:hAnsi="Arial" w:cs="Arial"/>
          <w:sz w:val="24"/>
          <w:szCs w:val="24"/>
        </w:rPr>
        <w:t>Dell’eventuale avanzo ne abbiamo già parlato.. ma del disavanzo ?</w:t>
      </w:r>
    </w:p>
    <w:p w:rsidR="001C56E9" w:rsidRPr="001C56E9" w:rsidRDefault="001C56E9" w:rsidP="001C56E9">
      <w:pPr>
        <w:rPr>
          <w:rFonts w:ascii="Arial" w:hAnsi="Arial" w:cs="Arial"/>
          <w:sz w:val="24"/>
          <w:szCs w:val="24"/>
        </w:rPr>
      </w:pPr>
      <w:r w:rsidRPr="001C56E9">
        <w:rPr>
          <w:rFonts w:ascii="Arial" w:hAnsi="Arial" w:cs="Arial"/>
          <w:sz w:val="24"/>
          <w:szCs w:val="24"/>
        </w:rPr>
        <w:t xml:space="preserve"> Nel caso di accertamento in sede di rendicontazione di un disavanzo di amministrazione lo stesso deve essere ripianato con i provvedimenti diretti alla salvaguardia degli equilibri di bilancio di cui all’art. 193 TUEL, finalizzati a mantenere il pareggio finanziario del bilancio. La disposizione di cui all’art. 188 TUEL impone che al bilancio di previsione venga applicato in disavanzo di amministrazione accertato e proveniente dal passato esercizio oltre alle quote di ammortamento accantonate e non disponibili a causa dell’accertato disavanzo stesso. L’art. 193 TUEL consente di utilizzare, per l’anno in corso e per i due esercizi successivi, ai fini della copertura del disavanzo di gestione, tutte le entrate e le disponibilità, ad eccezione di quelle provenienti dall’assunzione di prestiti e di quelle aventi specifica destinazione per legge, nonché i proventi derivanti da alienazione di beni patrimoniali disponibili. Ovvio che questa disciplina è prevista per gli enti locali; il dlgs 118/2011 non parla invece delle regioni.</w:t>
      </w:r>
    </w:p>
    <w:p w:rsidR="001C56E9" w:rsidRPr="001C56E9" w:rsidRDefault="001C56E9" w:rsidP="001C56E9">
      <w:pPr>
        <w:rPr>
          <w:rFonts w:ascii="Arial" w:hAnsi="Arial" w:cs="Arial"/>
          <w:b/>
          <w:sz w:val="24"/>
          <w:szCs w:val="24"/>
        </w:rPr>
      </w:pPr>
      <w:r w:rsidRPr="001C56E9">
        <w:rPr>
          <w:rFonts w:ascii="Arial" w:hAnsi="Arial" w:cs="Arial"/>
          <w:b/>
          <w:sz w:val="24"/>
          <w:szCs w:val="24"/>
        </w:rPr>
        <w:t xml:space="preserve">CONTO DEL PATRIMONIO </w:t>
      </w:r>
    </w:p>
    <w:p w:rsidR="001C56E9" w:rsidRPr="001C56E9" w:rsidRDefault="001C56E9" w:rsidP="001C56E9">
      <w:pPr>
        <w:spacing w:line="360" w:lineRule="atLeast"/>
        <w:rPr>
          <w:rFonts w:ascii="Arial" w:hAnsi="Arial" w:cs="Arial"/>
          <w:sz w:val="24"/>
          <w:szCs w:val="24"/>
        </w:rPr>
      </w:pPr>
      <w:r w:rsidRPr="001C56E9">
        <w:rPr>
          <w:rFonts w:ascii="Arial" w:hAnsi="Arial" w:cs="Arial"/>
          <w:sz w:val="24"/>
          <w:szCs w:val="24"/>
        </w:rPr>
        <w:t xml:space="preserve">L’inventario è il documento che elenca e descrive i beni dell’ente, ed in particolare le immobilizzazioni materiali, al fine di controllarne l’esistenza e di definirne il valore. Deve essere leggibile per </w:t>
      </w:r>
      <w:r w:rsidRPr="001C56E9">
        <w:rPr>
          <w:rFonts w:ascii="Arial" w:hAnsi="Arial" w:cs="Arial"/>
          <w:sz w:val="24"/>
          <w:szCs w:val="24"/>
          <w:u w:val="single"/>
        </w:rPr>
        <w:t>categoria</w:t>
      </w:r>
      <w:r w:rsidRPr="001C56E9">
        <w:rPr>
          <w:rFonts w:ascii="Arial" w:hAnsi="Arial" w:cs="Arial"/>
          <w:sz w:val="24"/>
          <w:szCs w:val="24"/>
        </w:rPr>
        <w:t xml:space="preserve"> di beni, per </w:t>
      </w:r>
      <w:r w:rsidRPr="001C56E9">
        <w:rPr>
          <w:rFonts w:ascii="Arial" w:hAnsi="Arial" w:cs="Arial"/>
          <w:sz w:val="24"/>
          <w:szCs w:val="24"/>
          <w:u w:val="single"/>
        </w:rPr>
        <w:t>ubicazione</w:t>
      </w:r>
      <w:r w:rsidRPr="001C56E9">
        <w:rPr>
          <w:rFonts w:ascii="Arial" w:hAnsi="Arial" w:cs="Arial"/>
          <w:sz w:val="24"/>
          <w:szCs w:val="24"/>
        </w:rPr>
        <w:t xml:space="preserve"> o </w:t>
      </w:r>
      <w:r w:rsidRPr="001C56E9">
        <w:rPr>
          <w:rFonts w:ascii="Arial" w:hAnsi="Arial" w:cs="Arial"/>
          <w:sz w:val="24"/>
          <w:szCs w:val="24"/>
          <w:u w:val="single"/>
        </w:rPr>
        <w:t>destinazione</w:t>
      </w:r>
      <w:r w:rsidRPr="001C56E9">
        <w:rPr>
          <w:rFonts w:ascii="Arial" w:hAnsi="Arial" w:cs="Arial"/>
          <w:sz w:val="24"/>
          <w:szCs w:val="24"/>
        </w:rPr>
        <w:t xml:space="preserve"> dei beni stessi. I movimenti che avvengono durante l’esercizio sono riepilogati annualmente nelle liste di carico e scarico.</w:t>
      </w:r>
    </w:p>
    <w:p w:rsidR="001C56E9" w:rsidRPr="001C56E9" w:rsidRDefault="001C56E9" w:rsidP="001C56E9">
      <w:pPr>
        <w:spacing w:line="360" w:lineRule="atLeast"/>
        <w:rPr>
          <w:rFonts w:ascii="Arial" w:hAnsi="Arial" w:cs="Arial"/>
          <w:sz w:val="24"/>
          <w:szCs w:val="24"/>
        </w:rPr>
      </w:pPr>
      <w:r w:rsidRPr="001C56E9">
        <w:rPr>
          <w:rFonts w:ascii="Arial" w:hAnsi="Arial" w:cs="Arial"/>
          <w:sz w:val="24"/>
          <w:szCs w:val="24"/>
        </w:rPr>
        <w:t>In senso logico, l’inventario è un presupposto del Conto del Patrimonio, ne rappresenta la parte più consistente e di difficile valorizzazione, a cui si aggiungono le immobilizzazioni immateriali contabilizzate su schede separate.</w:t>
      </w:r>
    </w:p>
    <w:p w:rsidR="001C56E9" w:rsidRPr="001C56E9" w:rsidRDefault="001C56E9" w:rsidP="001C56E9">
      <w:pPr>
        <w:spacing w:line="360" w:lineRule="atLeast"/>
        <w:rPr>
          <w:rFonts w:ascii="Arial" w:hAnsi="Arial" w:cs="Arial"/>
          <w:sz w:val="24"/>
          <w:szCs w:val="24"/>
        </w:rPr>
      </w:pPr>
      <w:r w:rsidRPr="001C56E9">
        <w:rPr>
          <w:rFonts w:ascii="Arial" w:hAnsi="Arial" w:cs="Arial"/>
          <w:sz w:val="24"/>
          <w:szCs w:val="24"/>
        </w:rPr>
        <w:t>Il Conto del Patrimonio è finalizzato a porre in evidenza il valore del Patrimonio netto, come differenza tra le attività e le passività, a cui concorrono, oltre alle immobilizzazioni materiali e immateriali, anche, nell’attivo, le immobilizzazioni finanziarie, le rimanenze, i crediti e le disponibilità liquide, nel passivo, i debiti. La valorizzazione delle immobilizzazioni in inventario porta anche alla determinazione degli ammortamenti, che vanno ad aggiornare l’inventario stesso, il conto del patrimonio e la contabilità per centri di costo nei fattori produttivi di natura non finanziaria</w:t>
      </w:r>
    </w:p>
    <w:p w:rsidR="001C56E9" w:rsidRPr="001C56E9" w:rsidRDefault="001C56E9" w:rsidP="001C56E9">
      <w:pPr>
        <w:spacing w:line="360" w:lineRule="atLeast"/>
        <w:rPr>
          <w:rFonts w:ascii="Arial" w:hAnsi="Arial" w:cs="Arial"/>
          <w:sz w:val="24"/>
          <w:szCs w:val="24"/>
        </w:rPr>
      </w:pPr>
      <w:r w:rsidRPr="001C56E9">
        <w:rPr>
          <w:rFonts w:ascii="Arial" w:hAnsi="Arial" w:cs="Arial"/>
          <w:sz w:val="24"/>
          <w:szCs w:val="24"/>
        </w:rPr>
        <w:lastRenderedPageBreak/>
        <w:t xml:space="preserve">Nel conto del patrimonio  quindi devono essere rilevati il complesso dei beni e dei rapporti \1giuridici, attivi e passivi di pertinenza dell'ente, suscettibili di valutazione . Il conto del patrimonio mette a confronto due stati patrimoniali: </w:t>
      </w:r>
      <w:r w:rsidRPr="001C56E9">
        <w:rPr>
          <w:rFonts w:ascii="Arial" w:hAnsi="Arial" w:cs="Arial"/>
          <w:sz w:val="24"/>
          <w:szCs w:val="24"/>
          <w:u w:val="single"/>
        </w:rPr>
        <w:t>la consistenza del patrimonio all'inizio dell'esercizio e lo stato patrimoniale a fine esercizio, evidenziando le variazioni intervenute dal conto finanziario distinte da quelle per cause extrafinanziarie</w:t>
      </w:r>
      <w:r w:rsidRPr="001C56E9">
        <w:rPr>
          <w:rFonts w:ascii="Arial" w:hAnsi="Arial" w:cs="Arial"/>
          <w:sz w:val="24"/>
          <w:szCs w:val="24"/>
        </w:rPr>
        <w:t>. La consistenza del patrimonio all'inizio dell'esercizio deve corrispondere alla consistenza finale dell'esercizio precedente come risulta deliberata dal consiglio in sede di approvazione del rendiconto. Ciascun valore incluso nel conto del patrimonio dovrà essere supportato da elementi finanziari (patrimonio finanziario) e da scritture inventariali (patrimonio permanente). Per questa ragione, l'inventario deve essere costantemente aggiornato, in quanto costituisce documento di dettaglio delle attività e passività dell'ente. Il valore delle immobilizzazioni da iscrivere nel conto del patrimonio è al netto del relativo fondo di ammortamento</w:t>
      </w:r>
    </w:p>
    <w:p w:rsidR="001C56E9" w:rsidRPr="001C56E9" w:rsidRDefault="001C56E9" w:rsidP="001C56E9">
      <w:pPr>
        <w:pStyle w:val="Corpodeltesto"/>
        <w:rPr>
          <w:rFonts w:ascii="Arial" w:hAnsi="Arial" w:cs="Arial"/>
          <w:sz w:val="24"/>
          <w:szCs w:val="24"/>
        </w:rPr>
      </w:pPr>
      <w:r w:rsidRPr="001C56E9">
        <w:rPr>
          <w:rFonts w:ascii="Arial" w:hAnsi="Arial" w:cs="Arial"/>
          <w:sz w:val="24"/>
          <w:szCs w:val="24"/>
        </w:rPr>
        <w:t>Per “ammortamento” si intende la valorizzazione economica di quote dei beni durevoli (a utilizzo pluriennale) utilizzati in ciascun esercizio, comprensivi dei costi delle eventuali manutenzioni straordinarie, che li riguardano. Sono da ammortizzare i “beni durevoli”, quali le immobilizzazioni immateriali e le immobilizzazioni materiali (mobili e immobili, con esclusione dei terreni), con l’eccezione (introdotta a fini di semplificazione) dei beni mobili di costo unitario inferiore a cinquecento Euro, che si considerano completamente ammortizzati nel primo esercizio di utilizzo, anche se utilizzati per più esercizi.</w:t>
      </w:r>
    </w:p>
    <w:p w:rsidR="001C56E9" w:rsidRPr="001C56E9" w:rsidRDefault="001C56E9" w:rsidP="001C56E9">
      <w:pPr>
        <w:pStyle w:val="Corpodeltesto"/>
        <w:rPr>
          <w:rFonts w:ascii="Arial" w:hAnsi="Arial" w:cs="Arial"/>
          <w:sz w:val="24"/>
          <w:szCs w:val="24"/>
        </w:rPr>
      </w:pPr>
      <w:r w:rsidRPr="001C56E9">
        <w:rPr>
          <w:rFonts w:ascii="Arial" w:hAnsi="Arial" w:cs="Arial"/>
          <w:sz w:val="24"/>
          <w:szCs w:val="24"/>
        </w:rPr>
        <w:t>E’ importante ricordare che in Valle d’Aosta l’ammortamento non ha rilevanza nella contabilità finanziaria, mentre è rilevante per la contabilità analitica.</w:t>
      </w:r>
    </w:p>
    <w:p w:rsidR="001C56E9" w:rsidRPr="001C56E9" w:rsidRDefault="001C56E9" w:rsidP="001C56E9">
      <w:pPr>
        <w:spacing w:line="360" w:lineRule="atLeast"/>
        <w:rPr>
          <w:rFonts w:ascii="Arial" w:hAnsi="Arial" w:cs="Arial"/>
          <w:sz w:val="24"/>
          <w:szCs w:val="24"/>
        </w:rPr>
      </w:pPr>
      <w:r w:rsidRPr="001C56E9">
        <w:rPr>
          <w:rFonts w:ascii="Arial" w:hAnsi="Arial" w:cs="Arial"/>
          <w:sz w:val="24"/>
          <w:szCs w:val="24"/>
        </w:rPr>
        <w:t>Per una corretta determinazione dell’ammortamento dei beni occorre procedere alle operazioni seguenti:</w:t>
      </w:r>
    </w:p>
    <w:p w:rsidR="001C56E9" w:rsidRPr="001C56E9" w:rsidRDefault="001C56E9" w:rsidP="001C56E9">
      <w:pPr>
        <w:numPr>
          <w:ilvl w:val="0"/>
          <w:numId w:val="32"/>
        </w:numPr>
        <w:spacing w:after="0" w:line="360" w:lineRule="atLeast"/>
        <w:jc w:val="both"/>
        <w:rPr>
          <w:rFonts w:ascii="Arial" w:hAnsi="Arial" w:cs="Arial"/>
          <w:sz w:val="24"/>
          <w:szCs w:val="24"/>
        </w:rPr>
      </w:pPr>
      <w:r w:rsidRPr="001C56E9">
        <w:rPr>
          <w:rFonts w:ascii="Arial" w:hAnsi="Arial" w:cs="Arial"/>
          <w:sz w:val="24"/>
          <w:szCs w:val="24"/>
        </w:rPr>
        <w:t>definire il criterio di ripartizione del costo complessivo da ammortizzare;</w:t>
      </w:r>
    </w:p>
    <w:p w:rsidR="001C56E9" w:rsidRPr="001C56E9" w:rsidRDefault="001C56E9" w:rsidP="001C56E9">
      <w:pPr>
        <w:numPr>
          <w:ilvl w:val="0"/>
          <w:numId w:val="32"/>
        </w:numPr>
        <w:spacing w:after="0" w:line="360" w:lineRule="atLeast"/>
        <w:jc w:val="both"/>
        <w:rPr>
          <w:rFonts w:ascii="Arial" w:hAnsi="Arial" w:cs="Arial"/>
          <w:sz w:val="24"/>
          <w:szCs w:val="24"/>
        </w:rPr>
      </w:pPr>
      <w:r w:rsidRPr="001C56E9">
        <w:rPr>
          <w:rFonts w:ascii="Arial" w:hAnsi="Arial" w:cs="Arial"/>
          <w:sz w:val="24"/>
          <w:szCs w:val="24"/>
        </w:rPr>
        <w:t>scegliere la durata del periodo (numero di anni) di ammortamento e della conseguente aliquota da applicare.</w:t>
      </w:r>
    </w:p>
    <w:p w:rsidR="001C56E9" w:rsidRPr="001C56E9" w:rsidRDefault="001C56E9" w:rsidP="001C56E9">
      <w:pPr>
        <w:spacing w:line="360" w:lineRule="atLeast"/>
        <w:rPr>
          <w:rFonts w:ascii="Arial" w:hAnsi="Arial" w:cs="Arial"/>
          <w:sz w:val="24"/>
          <w:szCs w:val="24"/>
        </w:rPr>
      </w:pPr>
    </w:p>
    <w:p w:rsidR="001C56E9" w:rsidRPr="001C56E9" w:rsidRDefault="001C56E9" w:rsidP="001C56E9">
      <w:pPr>
        <w:rPr>
          <w:rFonts w:ascii="Arial" w:hAnsi="Arial" w:cs="Arial"/>
          <w:b/>
          <w:color w:val="FF0000"/>
          <w:sz w:val="24"/>
          <w:szCs w:val="24"/>
        </w:rPr>
      </w:pPr>
      <w:r w:rsidRPr="001C56E9">
        <w:rPr>
          <w:rFonts w:ascii="Arial" w:hAnsi="Arial" w:cs="Arial"/>
          <w:b/>
          <w:color w:val="FF0000"/>
          <w:sz w:val="24"/>
          <w:szCs w:val="24"/>
        </w:rPr>
        <w:t>Attivo</w:t>
      </w:r>
    </w:p>
    <w:p w:rsidR="001C56E9" w:rsidRPr="001C56E9" w:rsidRDefault="001C56E9" w:rsidP="001C56E9">
      <w:pPr>
        <w:rPr>
          <w:rFonts w:ascii="Arial" w:hAnsi="Arial" w:cs="Arial"/>
          <w:sz w:val="24"/>
          <w:szCs w:val="24"/>
        </w:rPr>
      </w:pPr>
      <w:r w:rsidRPr="001C56E9">
        <w:rPr>
          <w:rFonts w:ascii="Arial" w:hAnsi="Arial" w:cs="Arial"/>
          <w:sz w:val="24"/>
          <w:szCs w:val="24"/>
        </w:rPr>
        <w:t xml:space="preserve">a) </w:t>
      </w:r>
      <w:r w:rsidRPr="001C56E9">
        <w:rPr>
          <w:rFonts w:ascii="Arial" w:hAnsi="Arial" w:cs="Arial"/>
          <w:b/>
          <w:sz w:val="24"/>
          <w:szCs w:val="24"/>
        </w:rPr>
        <w:t>le immobilizzazioni immateriali</w:t>
      </w:r>
      <w:r w:rsidRPr="001C56E9">
        <w:rPr>
          <w:rFonts w:ascii="Arial" w:hAnsi="Arial" w:cs="Arial"/>
          <w:sz w:val="24"/>
          <w:szCs w:val="24"/>
        </w:rPr>
        <w:t xml:space="preserve"> (costi pluriennali capitalizzati</w:t>
      </w:r>
      <w:r w:rsidRPr="001C56E9">
        <w:rPr>
          <w:rFonts w:ascii="Arial" w:hAnsi="Arial" w:cs="Arial"/>
          <w:sz w:val="24"/>
          <w:szCs w:val="24"/>
        </w:rPr>
        <w:sym w:font="Wingdings" w:char="00E0"/>
      </w:r>
      <w:r w:rsidRPr="001C56E9">
        <w:rPr>
          <w:rFonts w:ascii="Arial" w:hAnsi="Arial" w:cs="Arial"/>
          <w:sz w:val="24"/>
          <w:szCs w:val="24"/>
          <w:u w:val="single"/>
        </w:rPr>
        <w:t xml:space="preserve"> Immobilizzazioni immateriali (AI)</w:t>
      </w:r>
      <w:r w:rsidRPr="001C56E9">
        <w:rPr>
          <w:rFonts w:ascii="Arial" w:hAnsi="Arial" w:cs="Arial"/>
          <w:sz w:val="24"/>
          <w:szCs w:val="24"/>
        </w:rPr>
        <w:t xml:space="preserve"> Comprende tutti i costi diversi da quelli relativi ai beni materiali che non esauriscono la loro utilità nell'esercizio e che possono essere economicamente sospesi in quanto correlabili a proventi (o utilità) futuri. Comprendono tutti i beni privi di consistenza fisica. Il presupposto per l'iscrizione nell'attivo di tali costi è rappresentato dalla possibilità di dimostrare il rapporto causa-effetto tra il costo e i benefici futuri attesi dallo stesso. Sono classificabili nella voce i costi per:</w:t>
      </w:r>
    </w:p>
    <w:p w:rsidR="001C56E9" w:rsidRPr="001C56E9" w:rsidRDefault="001C56E9" w:rsidP="001C56E9">
      <w:pPr>
        <w:rPr>
          <w:rFonts w:ascii="Arial" w:hAnsi="Arial" w:cs="Arial"/>
          <w:sz w:val="24"/>
          <w:szCs w:val="24"/>
        </w:rPr>
      </w:pPr>
      <w:r w:rsidRPr="001C56E9">
        <w:rPr>
          <w:rFonts w:ascii="Arial" w:hAnsi="Arial" w:cs="Arial"/>
          <w:sz w:val="24"/>
          <w:szCs w:val="24"/>
        </w:rPr>
        <w:t>spese straordinarie su beni di terzi; (le cosiddette migliorie ad esempio una manutenzione particolare su beni che l’ente prende in locazione da terzi)</w:t>
      </w:r>
    </w:p>
    <w:p w:rsidR="001C56E9" w:rsidRPr="001C56E9" w:rsidRDefault="001C56E9" w:rsidP="001C56E9">
      <w:pPr>
        <w:rPr>
          <w:rFonts w:ascii="Arial" w:hAnsi="Arial" w:cs="Arial"/>
          <w:sz w:val="24"/>
          <w:szCs w:val="24"/>
        </w:rPr>
      </w:pPr>
      <w:r w:rsidRPr="001C56E9">
        <w:rPr>
          <w:rFonts w:ascii="Arial" w:hAnsi="Arial" w:cs="Arial"/>
          <w:sz w:val="24"/>
          <w:szCs w:val="24"/>
        </w:rPr>
        <w:t xml:space="preserve"> - costi di ricerca, pubblicità;</w:t>
      </w:r>
    </w:p>
    <w:p w:rsidR="001C56E9" w:rsidRPr="001C56E9" w:rsidRDefault="001C56E9" w:rsidP="001C56E9">
      <w:pPr>
        <w:rPr>
          <w:rFonts w:ascii="Arial" w:hAnsi="Arial" w:cs="Arial"/>
          <w:sz w:val="24"/>
          <w:szCs w:val="24"/>
        </w:rPr>
      </w:pPr>
      <w:r w:rsidRPr="001C56E9">
        <w:rPr>
          <w:rFonts w:ascii="Arial" w:hAnsi="Arial" w:cs="Arial"/>
          <w:sz w:val="24"/>
          <w:szCs w:val="24"/>
        </w:rPr>
        <w:lastRenderedPageBreak/>
        <w:t xml:space="preserve"> - spese per emissione di prestiti obbligazionari;</w:t>
      </w:r>
    </w:p>
    <w:p w:rsidR="001C56E9" w:rsidRPr="001C56E9" w:rsidRDefault="001C56E9" w:rsidP="001C56E9">
      <w:pPr>
        <w:rPr>
          <w:rFonts w:ascii="Arial" w:hAnsi="Arial" w:cs="Arial"/>
          <w:sz w:val="24"/>
          <w:szCs w:val="24"/>
        </w:rPr>
      </w:pPr>
      <w:r w:rsidRPr="001C56E9">
        <w:rPr>
          <w:rFonts w:ascii="Arial" w:hAnsi="Arial" w:cs="Arial"/>
          <w:sz w:val="24"/>
          <w:szCs w:val="24"/>
        </w:rPr>
        <w:t>-costi di software applicativo prodotto per uso interno</w:t>
      </w:r>
    </w:p>
    <w:p w:rsidR="001C56E9" w:rsidRPr="001C56E9" w:rsidRDefault="001C56E9" w:rsidP="001C56E9">
      <w:pPr>
        <w:rPr>
          <w:rFonts w:ascii="Arial" w:hAnsi="Arial" w:cs="Arial"/>
          <w:sz w:val="24"/>
          <w:szCs w:val="24"/>
        </w:rPr>
      </w:pPr>
      <w:r w:rsidRPr="001C56E9">
        <w:rPr>
          <w:rFonts w:ascii="Arial" w:hAnsi="Arial" w:cs="Arial"/>
          <w:sz w:val="24"/>
          <w:szCs w:val="24"/>
        </w:rPr>
        <w:t>-marchi e brevetti</w:t>
      </w:r>
    </w:p>
    <w:p w:rsidR="001C56E9" w:rsidRPr="001C56E9" w:rsidRDefault="001C56E9" w:rsidP="001C56E9">
      <w:pPr>
        <w:rPr>
          <w:rFonts w:ascii="Arial" w:hAnsi="Arial" w:cs="Arial"/>
          <w:sz w:val="24"/>
          <w:szCs w:val="24"/>
        </w:rPr>
      </w:pPr>
      <w:r w:rsidRPr="001C56E9">
        <w:rPr>
          <w:rFonts w:ascii="Arial" w:hAnsi="Arial" w:cs="Arial"/>
          <w:sz w:val="24"/>
          <w:szCs w:val="24"/>
        </w:rPr>
        <w:t xml:space="preserve"> - altri costi che non esauriscono la loro utilità nell'esercizio  </w:t>
      </w:r>
    </w:p>
    <w:p w:rsidR="001C56E9" w:rsidRPr="001C56E9" w:rsidRDefault="001C56E9" w:rsidP="001C56E9">
      <w:pPr>
        <w:rPr>
          <w:rFonts w:ascii="Arial" w:hAnsi="Arial" w:cs="Arial"/>
          <w:sz w:val="24"/>
          <w:szCs w:val="24"/>
        </w:rPr>
      </w:pPr>
      <w:r w:rsidRPr="001C56E9">
        <w:rPr>
          <w:rFonts w:ascii="Arial" w:hAnsi="Arial" w:cs="Arial"/>
          <w:sz w:val="24"/>
          <w:szCs w:val="24"/>
        </w:rPr>
        <w:t>La durata massima dell’ammortamento dei costi capitalizzati è di 5 anni. ( ad eccezione delle migliorie su beni di terzi</w:t>
      </w:r>
    </w:p>
    <w:p w:rsidR="001C56E9" w:rsidRPr="001C56E9" w:rsidRDefault="001C56E9" w:rsidP="001C56E9">
      <w:pPr>
        <w:rPr>
          <w:rFonts w:ascii="Arial" w:hAnsi="Arial" w:cs="Arial"/>
          <w:sz w:val="24"/>
          <w:szCs w:val="24"/>
        </w:rPr>
      </w:pPr>
    </w:p>
    <w:p w:rsidR="001C56E9" w:rsidRPr="001C56E9" w:rsidRDefault="001C56E9" w:rsidP="001C56E9">
      <w:pPr>
        <w:rPr>
          <w:rFonts w:ascii="Arial" w:hAnsi="Arial" w:cs="Arial"/>
          <w:sz w:val="24"/>
          <w:szCs w:val="24"/>
        </w:rPr>
      </w:pPr>
      <w:r w:rsidRPr="001C56E9">
        <w:rPr>
          <w:rFonts w:ascii="Arial" w:hAnsi="Arial" w:cs="Arial"/>
          <w:b/>
          <w:sz w:val="24"/>
          <w:szCs w:val="24"/>
        </w:rPr>
        <w:t xml:space="preserve"> b) le immobilizzazioni materiali (beni inventariati)</w:t>
      </w:r>
      <w:r w:rsidRPr="001C56E9">
        <w:rPr>
          <w:rFonts w:ascii="Arial" w:hAnsi="Arial" w:cs="Arial"/>
          <w:b/>
          <w:sz w:val="24"/>
          <w:szCs w:val="24"/>
        </w:rPr>
        <w:sym w:font="Wingdings" w:char="00E0"/>
      </w:r>
      <w:r w:rsidRPr="001C56E9">
        <w:rPr>
          <w:rFonts w:ascii="Arial" w:hAnsi="Arial" w:cs="Arial"/>
          <w:sz w:val="24"/>
          <w:szCs w:val="24"/>
          <w:u w:val="single"/>
        </w:rPr>
        <w:t xml:space="preserve"> Immobilizzazioni materiali (AII)</w:t>
      </w:r>
      <w:r w:rsidRPr="001C56E9">
        <w:rPr>
          <w:rFonts w:ascii="Arial" w:hAnsi="Arial" w:cs="Arial"/>
          <w:sz w:val="24"/>
          <w:szCs w:val="24"/>
        </w:rPr>
        <w:t xml:space="preserve"> Le immobilizzazioni materiali sono costituite da tutti i beni fisici e di uso durevole di proprietà dell'ente. Le immobilizzazioni sono iscritte nello SP al costo di acquisto dei beni o al costo di produzione in economia, inclusi oneri accessori, e al netto delle quote di ammortamento. Se allla chiusura dell’esercizio il valore è durevolmente inferiore al costo iscritto nell’attivo, nelle scritture di assestamento è rettificato mediante apposita svalutazione . le rivalutazioni invece sono consentite solo se autorizzate da legge.</w:t>
      </w:r>
    </w:p>
    <w:p w:rsidR="001C56E9" w:rsidRPr="001C56E9" w:rsidRDefault="001C56E9" w:rsidP="001C56E9">
      <w:pPr>
        <w:rPr>
          <w:rFonts w:ascii="Arial" w:hAnsi="Arial" w:cs="Arial"/>
          <w:sz w:val="24"/>
          <w:szCs w:val="24"/>
        </w:rPr>
      </w:pPr>
      <w:r w:rsidRPr="001C56E9">
        <w:rPr>
          <w:rFonts w:ascii="Arial" w:hAnsi="Arial" w:cs="Arial"/>
          <w:sz w:val="24"/>
          <w:szCs w:val="24"/>
        </w:rPr>
        <w:t xml:space="preserve"> Il gruppo comprende beni e diritti.</w:t>
      </w:r>
    </w:p>
    <w:p w:rsidR="001C56E9" w:rsidRPr="001C56E9" w:rsidRDefault="001C56E9" w:rsidP="001C56E9">
      <w:pPr>
        <w:rPr>
          <w:rFonts w:ascii="Arial" w:hAnsi="Arial" w:cs="Arial"/>
          <w:sz w:val="24"/>
          <w:szCs w:val="24"/>
        </w:rPr>
      </w:pPr>
      <w:r w:rsidRPr="001C56E9">
        <w:rPr>
          <w:rFonts w:ascii="Arial" w:hAnsi="Arial" w:cs="Arial"/>
          <w:sz w:val="24"/>
          <w:szCs w:val="24"/>
        </w:rPr>
        <w:t xml:space="preserve"> I beni sono distinti per destinazione in:</w:t>
      </w:r>
    </w:p>
    <w:p w:rsidR="001C56E9" w:rsidRPr="001C56E9" w:rsidRDefault="001C56E9" w:rsidP="001C56E9">
      <w:pPr>
        <w:rPr>
          <w:rFonts w:ascii="Arial" w:hAnsi="Arial" w:cs="Arial"/>
          <w:sz w:val="24"/>
          <w:szCs w:val="24"/>
        </w:rPr>
      </w:pPr>
      <w:r w:rsidRPr="001C56E9">
        <w:rPr>
          <w:rFonts w:ascii="Arial" w:hAnsi="Arial" w:cs="Arial"/>
          <w:sz w:val="24"/>
          <w:szCs w:val="24"/>
        </w:rPr>
        <w:t xml:space="preserve"> - beni demaniali (artt. 822 e 824 del Codice civile); </w:t>
      </w:r>
    </w:p>
    <w:p w:rsidR="001C56E9" w:rsidRPr="001C56E9" w:rsidRDefault="001C56E9" w:rsidP="001C56E9">
      <w:pPr>
        <w:rPr>
          <w:rFonts w:ascii="Arial" w:hAnsi="Arial" w:cs="Arial"/>
          <w:sz w:val="24"/>
          <w:szCs w:val="24"/>
        </w:rPr>
      </w:pPr>
      <w:r w:rsidRPr="001C56E9">
        <w:rPr>
          <w:rFonts w:ascii="Arial" w:hAnsi="Arial" w:cs="Arial"/>
          <w:sz w:val="24"/>
          <w:szCs w:val="24"/>
        </w:rPr>
        <w:t>- beni patrimoniali indisponibili (commi 2 e 3 dell'art. 826 del Codice civile, di interesse storico, artistico ecc.);</w:t>
      </w:r>
    </w:p>
    <w:p w:rsidR="001C56E9" w:rsidRPr="001C56E9" w:rsidRDefault="001C56E9" w:rsidP="001C56E9">
      <w:pPr>
        <w:rPr>
          <w:rFonts w:ascii="Arial" w:hAnsi="Arial" w:cs="Arial"/>
          <w:sz w:val="24"/>
          <w:szCs w:val="24"/>
        </w:rPr>
      </w:pPr>
      <w:r w:rsidRPr="001C56E9">
        <w:rPr>
          <w:rFonts w:ascii="Arial" w:hAnsi="Arial" w:cs="Arial"/>
          <w:sz w:val="24"/>
          <w:szCs w:val="24"/>
        </w:rPr>
        <w:t xml:space="preserve"> - beni patrimoniali disponibili (destinati a produrre reddito o utilità). </w:t>
      </w:r>
    </w:p>
    <w:p w:rsidR="001C56E9" w:rsidRPr="001C56E9" w:rsidRDefault="001C56E9" w:rsidP="001C56E9">
      <w:pPr>
        <w:rPr>
          <w:rFonts w:ascii="Arial" w:hAnsi="Arial" w:cs="Arial"/>
          <w:b/>
          <w:sz w:val="24"/>
          <w:szCs w:val="24"/>
        </w:rPr>
      </w:pPr>
    </w:p>
    <w:p w:rsidR="001C56E9" w:rsidRPr="001C56E9" w:rsidRDefault="001C56E9" w:rsidP="001C56E9">
      <w:pPr>
        <w:rPr>
          <w:rFonts w:ascii="Arial" w:hAnsi="Arial" w:cs="Arial"/>
          <w:sz w:val="24"/>
          <w:szCs w:val="24"/>
        </w:rPr>
      </w:pPr>
      <w:r w:rsidRPr="001C56E9">
        <w:rPr>
          <w:rFonts w:ascii="Arial" w:hAnsi="Arial" w:cs="Arial"/>
          <w:sz w:val="24"/>
          <w:szCs w:val="24"/>
        </w:rPr>
        <w:t xml:space="preserve"> </w:t>
      </w:r>
      <w:r w:rsidRPr="001C56E9">
        <w:rPr>
          <w:rFonts w:ascii="Arial" w:hAnsi="Arial" w:cs="Arial"/>
          <w:b/>
          <w:sz w:val="24"/>
          <w:szCs w:val="24"/>
        </w:rPr>
        <w:t>c) le immobilizzazioni finanziarie (partecipazioni e crediti)</w:t>
      </w:r>
      <w:r w:rsidRPr="001C56E9">
        <w:rPr>
          <w:rFonts w:ascii="Arial" w:hAnsi="Arial" w:cs="Arial"/>
          <w:b/>
          <w:sz w:val="24"/>
          <w:szCs w:val="24"/>
        </w:rPr>
        <w:sym w:font="Wingdings" w:char="00E0"/>
      </w:r>
      <w:r w:rsidRPr="001C56E9">
        <w:rPr>
          <w:rFonts w:ascii="Arial" w:hAnsi="Arial" w:cs="Arial"/>
          <w:sz w:val="24"/>
          <w:szCs w:val="24"/>
          <w:u w:val="single"/>
        </w:rPr>
        <w:t xml:space="preserve"> Immobilizzazioni finanziarie (AIII)</w:t>
      </w:r>
      <w:r w:rsidRPr="001C56E9">
        <w:rPr>
          <w:rFonts w:ascii="Arial" w:hAnsi="Arial" w:cs="Arial"/>
          <w:sz w:val="24"/>
          <w:szCs w:val="24"/>
        </w:rPr>
        <w:t xml:space="preserve"> Comprende i crediti per finanziamenti a medio e lungo termine, quali gli investimenti in titoli e partecipazioni. Sono iscritte al costo di acquisto  e le eventuali perdite saranno rettificate alla chiusura dell’esercizio .</w:t>
      </w:r>
    </w:p>
    <w:p w:rsidR="001C56E9" w:rsidRPr="001C56E9" w:rsidRDefault="001C56E9" w:rsidP="001C56E9">
      <w:pPr>
        <w:rPr>
          <w:rFonts w:ascii="Arial" w:hAnsi="Arial" w:cs="Arial"/>
          <w:sz w:val="24"/>
          <w:szCs w:val="24"/>
        </w:rPr>
      </w:pPr>
      <w:r w:rsidRPr="001C56E9">
        <w:rPr>
          <w:rFonts w:ascii="Arial" w:hAnsi="Arial" w:cs="Arial"/>
          <w:sz w:val="24"/>
          <w:szCs w:val="24"/>
        </w:rPr>
        <w:t xml:space="preserve"> Il modello evidenzia cinque suddivisioni del gruppo distinte in:</w:t>
      </w:r>
    </w:p>
    <w:p w:rsidR="001C56E9" w:rsidRPr="001C56E9" w:rsidRDefault="001C56E9" w:rsidP="001C56E9">
      <w:pPr>
        <w:rPr>
          <w:rFonts w:ascii="Arial" w:hAnsi="Arial" w:cs="Arial"/>
          <w:sz w:val="24"/>
          <w:szCs w:val="24"/>
        </w:rPr>
      </w:pPr>
      <w:r w:rsidRPr="001C56E9">
        <w:rPr>
          <w:rFonts w:ascii="Arial" w:hAnsi="Arial" w:cs="Arial"/>
          <w:sz w:val="24"/>
          <w:szCs w:val="24"/>
        </w:rPr>
        <w:t xml:space="preserve"> - azioni /partecipazioni in imprese; </w:t>
      </w:r>
    </w:p>
    <w:p w:rsidR="001C56E9" w:rsidRPr="001C56E9" w:rsidRDefault="001C56E9" w:rsidP="001C56E9">
      <w:pPr>
        <w:rPr>
          <w:rFonts w:ascii="Arial" w:hAnsi="Arial" w:cs="Arial"/>
          <w:sz w:val="24"/>
          <w:szCs w:val="24"/>
        </w:rPr>
      </w:pPr>
      <w:r w:rsidRPr="001C56E9">
        <w:rPr>
          <w:rFonts w:ascii="Arial" w:hAnsi="Arial" w:cs="Arial"/>
          <w:sz w:val="24"/>
          <w:szCs w:val="24"/>
        </w:rPr>
        <w:t>- partecipazioni non azionarie</w:t>
      </w:r>
    </w:p>
    <w:p w:rsidR="001C56E9" w:rsidRPr="001C56E9" w:rsidRDefault="001C56E9" w:rsidP="001C56E9">
      <w:pPr>
        <w:rPr>
          <w:rFonts w:ascii="Arial" w:hAnsi="Arial" w:cs="Arial"/>
          <w:sz w:val="24"/>
          <w:szCs w:val="24"/>
        </w:rPr>
      </w:pPr>
      <w:r w:rsidRPr="001C56E9">
        <w:rPr>
          <w:rFonts w:ascii="Arial" w:hAnsi="Arial" w:cs="Arial"/>
          <w:sz w:val="24"/>
          <w:szCs w:val="24"/>
        </w:rPr>
        <w:t xml:space="preserve"> - titoli; </w:t>
      </w:r>
    </w:p>
    <w:p w:rsidR="001C56E9" w:rsidRPr="001C56E9" w:rsidRDefault="001C56E9" w:rsidP="001C56E9">
      <w:pPr>
        <w:rPr>
          <w:rFonts w:ascii="Arial" w:hAnsi="Arial" w:cs="Arial"/>
          <w:sz w:val="24"/>
          <w:szCs w:val="24"/>
        </w:rPr>
      </w:pPr>
      <w:r w:rsidRPr="001C56E9">
        <w:rPr>
          <w:rFonts w:ascii="Arial" w:hAnsi="Arial" w:cs="Arial"/>
          <w:sz w:val="24"/>
          <w:szCs w:val="24"/>
        </w:rPr>
        <w:t>- crediti concessi all’ente e;</w:t>
      </w:r>
    </w:p>
    <w:p w:rsidR="001C56E9" w:rsidRPr="001C56E9" w:rsidRDefault="001C56E9" w:rsidP="001C56E9">
      <w:pPr>
        <w:rPr>
          <w:rFonts w:ascii="Arial" w:hAnsi="Arial" w:cs="Arial"/>
          <w:sz w:val="24"/>
          <w:szCs w:val="24"/>
        </w:rPr>
      </w:pPr>
      <w:r w:rsidRPr="001C56E9">
        <w:rPr>
          <w:rFonts w:ascii="Arial" w:hAnsi="Arial" w:cs="Arial"/>
          <w:sz w:val="24"/>
          <w:szCs w:val="24"/>
        </w:rPr>
        <w:t xml:space="preserve"> - incassi realizzabili per riscossione creditii. </w:t>
      </w:r>
    </w:p>
    <w:p w:rsidR="001C56E9" w:rsidRPr="001C56E9" w:rsidRDefault="001C56E9" w:rsidP="001C56E9">
      <w:pPr>
        <w:rPr>
          <w:rFonts w:ascii="Arial" w:hAnsi="Arial" w:cs="Arial"/>
          <w:b/>
          <w:sz w:val="24"/>
          <w:szCs w:val="24"/>
        </w:rPr>
      </w:pPr>
    </w:p>
    <w:p w:rsidR="001C56E9" w:rsidRPr="001C56E9" w:rsidRDefault="001C56E9" w:rsidP="001C56E9">
      <w:pPr>
        <w:rPr>
          <w:rFonts w:ascii="Arial" w:hAnsi="Arial" w:cs="Arial"/>
          <w:sz w:val="24"/>
          <w:szCs w:val="24"/>
        </w:rPr>
      </w:pPr>
      <w:r w:rsidRPr="001C56E9">
        <w:rPr>
          <w:rFonts w:ascii="Arial" w:hAnsi="Arial" w:cs="Arial"/>
          <w:b/>
          <w:sz w:val="24"/>
          <w:szCs w:val="24"/>
        </w:rPr>
        <w:lastRenderedPageBreak/>
        <w:t xml:space="preserve"> d) le rimanenze</w:t>
      </w:r>
      <w:r w:rsidRPr="001C56E9">
        <w:rPr>
          <w:rFonts w:ascii="Arial" w:hAnsi="Arial" w:cs="Arial"/>
          <w:b/>
          <w:sz w:val="24"/>
          <w:szCs w:val="24"/>
        </w:rPr>
        <w:sym w:font="Wingdings" w:char="00E0"/>
      </w:r>
      <w:r w:rsidRPr="001C56E9">
        <w:rPr>
          <w:rFonts w:ascii="Arial" w:hAnsi="Arial" w:cs="Arial"/>
          <w:sz w:val="24"/>
          <w:szCs w:val="24"/>
        </w:rPr>
        <w:t xml:space="preserve"> </w:t>
      </w:r>
      <w:r w:rsidRPr="001C56E9">
        <w:rPr>
          <w:rFonts w:ascii="Arial" w:hAnsi="Arial" w:cs="Arial"/>
          <w:sz w:val="24"/>
          <w:szCs w:val="24"/>
          <w:u w:val="single"/>
        </w:rPr>
        <w:t>Rimanenze (BI)</w:t>
      </w:r>
      <w:r w:rsidRPr="001C56E9">
        <w:rPr>
          <w:rFonts w:ascii="Arial" w:hAnsi="Arial" w:cs="Arial"/>
          <w:sz w:val="24"/>
          <w:szCs w:val="24"/>
        </w:rPr>
        <w:t xml:space="preserve"> Le rimanenze sono distinte in:</w:t>
      </w:r>
    </w:p>
    <w:p w:rsidR="001C56E9" w:rsidRPr="001C56E9" w:rsidRDefault="001C56E9" w:rsidP="001C56E9">
      <w:pPr>
        <w:rPr>
          <w:rFonts w:ascii="Arial" w:hAnsi="Arial" w:cs="Arial"/>
          <w:sz w:val="24"/>
          <w:szCs w:val="24"/>
        </w:rPr>
      </w:pPr>
      <w:r w:rsidRPr="001C56E9">
        <w:rPr>
          <w:rFonts w:ascii="Arial" w:hAnsi="Arial" w:cs="Arial"/>
          <w:sz w:val="24"/>
          <w:szCs w:val="24"/>
        </w:rPr>
        <w:t xml:space="preserve"> - materie prime, sussidiarie e di consumo; </w:t>
      </w:r>
    </w:p>
    <w:p w:rsidR="001C56E9" w:rsidRPr="001C56E9" w:rsidRDefault="001C56E9" w:rsidP="001C56E9">
      <w:pPr>
        <w:rPr>
          <w:rFonts w:ascii="Arial" w:hAnsi="Arial" w:cs="Arial"/>
          <w:sz w:val="24"/>
          <w:szCs w:val="24"/>
        </w:rPr>
      </w:pPr>
      <w:r w:rsidRPr="001C56E9">
        <w:rPr>
          <w:rFonts w:ascii="Arial" w:hAnsi="Arial" w:cs="Arial"/>
          <w:sz w:val="24"/>
          <w:szCs w:val="24"/>
        </w:rPr>
        <w:t xml:space="preserve">- merci; </w:t>
      </w:r>
    </w:p>
    <w:p w:rsidR="001C56E9" w:rsidRPr="001C56E9" w:rsidRDefault="001C56E9" w:rsidP="001C56E9">
      <w:pPr>
        <w:rPr>
          <w:rFonts w:ascii="Arial" w:hAnsi="Arial" w:cs="Arial"/>
          <w:sz w:val="24"/>
          <w:szCs w:val="24"/>
        </w:rPr>
      </w:pPr>
      <w:r w:rsidRPr="001C56E9">
        <w:rPr>
          <w:rFonts w:ascii="Arial" w:hAnsi="Arial" w:cs="Arial"/>
          <w:sz w:val="24"/>
          <w:szCs w:val="24"/>
        </w:rPr>
        <w:t>- prodotti in corso di lavorazione e semilavorati;</w:t>
      </w:r>
    </w:p>
    <w:p w:rsidR="001C56E9" w:rsidRPr="001C56E9" w:rsidRDefault="001C56E9" w:rsidP="001C56E9">
      <w:pPr>
        <w:rPr>
          <w:rFonts w:ascii="Arial" w:hAnsi="Arial" w:cs="Arial"/>
          <w:sz w:val="24"/>
          <w:szCs w:val="24"/>
        </w:rPr>
      </w:pPr>
      <w:r w:rsidRPr="001C56E9">
        <w:rPr>
          <w:rFonts w:ascii="Arial" w:hAnsi="Arial" w:cs="Arial"/>
          <w:sz w:val="24"/>
          <w:szCs w:val="24"/>
        </w:rPr>
        <w:t xml:space="preserve"> - lavori in corso di ordinazione;</w:t>
      </w:r>
    </w:p>
    <w:p w:rsidR="001C56E9" w:rsidRPr="001C56E9" w:rsidRDefault="001C56E9" w:rsidP="001C56E9">
      <w:pPr>
        <w:rPr>
          <w:rFonts w:ascii="Arial" w:hAnsi="Arial" w:cs="Arial"/>
          <w:sz w:val="24"/>
          <w:szCs w:val="24"/>
        </w:rPr>
      </w:pPr>
      <w:r w:rsidRPr="001C56E9">
        <w:rPr>
          <w:rFonts w:ascii="Arial" w:hAnsi="Arial" w:cs="Arial"/>
          <w:sz w:val="24"/>
          <w:szCs w:val="24"/>
        </w:rPr>
        <w:t xml:space="preserve"> - prodotti finiti. </w:t>
      </w:r>
    </w:p>
    <w:p w:rsidR="001C56E9" w:rsidRPr="001C56E9" w:rsidRDefault="001C56E9" w:rsidP="001C56E9">
      <w:pPr>
        <w:rPr>
          <w:rFonts w:ascii="Arial" w:hAnsi="Arial" w:cs="Arial"/>
          <w:sz w:val="24"/>
          <w:szCs w:val="24"/>
        </w:rPr>
      </w:pPr>
      <w:r w:rsidRPr="001C56E9">
        <w:rPr>
          <w:rFonts w:ascii="Arial" w:hAnsi="Arial" w:cs="Arial"/>
          <w:sz w:val="24"/>
          <w:szCs w:val="24"/>
        </w:rPr>
        <w:t>Esse devono essere rilevate con inventario fisico delle giacenze esistenti al termine dell'esercizio nel magazzino generale o nei vari magazzini, conciliate con la contabilità di magazzino se tenuta. Il dettaglio delle rimanenze finali deve essere elencato nell'inventario, oppure costituirne allegato integrante. Il criterio di valutazione all'interno delle opzioni previste dall'art. 2426 Codice civile deve essere previsto nel regolamento di contabilità.</w:t>
      </w:r>
    </w:p>
    <w:p w:rsidR="001C56E9" w:rsidRPr="001C56E9" w:rsidRDefault="001C56E9" w:rsidP="001C56E9">
      <w:pPr>
        <w:rPr>
          <w:rFonts w:ascii="Arial" w:hAnsi="Arial" w:cs="Arial"/>
          <w:sz w:val="24"/>
          <w:szCs w:val="24"/>
        </w:rPr>
      </w:pPr>
      <w:r w:rsidRPr="001C56E9">
        <w:rPr>
          <w:rFonts w:ascii="Arial" w:hAnsi="Arial" w:cs="Arial"/>
          <w:b/>
          <w:sz w:val="24"/>
          <w:szCs w:val="24"/>
        </w:rPr>
        <w:t>e) i residui attivi, compresi i crediti Iva;</w:t>
      </w:r>
      <w:r w:rsidRPr="001C56E9">
        <w:rPr>
          <w:rFonts w:ascii="Arial" w:hAnsi="Arial" w:cs="Arial"/>
          <w:b/>
          <w:sz w:val="24"/>
          <w:szCs w:val="24"/>
        </w:rPr>
        <w:sym w:font="Wingdings" w:char="00E0"/>
      </w:r>
      <w:r w:rsidRPr="001C56E9">
        <w:rPr>
          <w:rFonts w:ascii="Arial" w:hAnsi="Arial" w:cs="Arial"/>
          <w:sz w:val="24"/>
          <w:szCs w:val="24"/>
          <w:u w:val="single"/>
        </w:rPr>
        <w:t xml:space="preserve"> Crediti  (BII</w:t>
      </w:r>
      <w:r w:rsidRPr="001C56E9">
        <w:rPr>
          <w:rFonts w:ascii="Arial" w:hAnsi="Arial" w:cs="Arial"/>
          <w:sz w:val="24"/>
          <w:szCs w:val="24"/>
        </w:rPr>
        <w:t>) Sono rilevati i crediti compresi nei residui attivi dei conto del bilancio con esclusione di:</w:t>
      </w:r>
    </w:p>
    <w:p w:rsidR="001C56E9" w:rsidRPr="001C56E9" w:rsidRDefault="001C56E9" w:rsidP="001C56E9">
      <w:pPr>
        <w:rPr>
          <w:rFonts w:ascii="Arial" w:hAnsi="Arial" w:cs="Arial"/>
          <w:sz w:val="24"/>
          <w:szCs w:val="24"/>
        </w:rPr>
      </w:pPr>
      <w:r w:rsidRPr="001C56E9">
        <w:rPr>
          <w:rFonts w:ascii="Arial" w:hAnsi="Arial" w:cs="Arial"/>
          <w:sz w:val="24"/>
          <w:szCs w:val="24"/>
        </w:rPr>
        <w:t xml:space="preserve"> - crediti verso imprese a medio e lungo termine inclusi nelle immobilizzazioni finanziarie;</w:t>
      </w:r>
    </w:p>
    <w:p w:rsidR="001C56E9" w:rsidRPr="001C56E9" w:rsidRDefault="001C56E9" w:rsidP="001C56E9">
      <w:pPr>
        <w:rPr>
          <w:rFonts w:ascii="Arial" w:hAnsi="Arial" w:cs="Arial"/>
          <w:sz w:val="24"/>
          <w:szCs w:val="24"/>
        </w:rPr>
      </w:pPr>
      <w:r w:rsidRPr="001C56E9">
        <w:rPr>
          <w:rFonts w:ascii="Arial" w:hAnsi="Arial" w:cs="Arial"/>
          <w:sz w:val="24"/>
          <w:szCs w:val="24"/>
        </w:rPr>
        <w:t xml:space="preserve"> - crediti compresi nei residui attivi e inclusi nelle immobilizzazioni finanziarie perché ritenuti di dubbia esigibilità; </w:t>
      </w:r>
    </w:p>
    <w:p w:rsidR="001C56E9" w:rsidRPr="001C56E9" w:rsidRDefault="001C56E9" w:rsidP="001C56E9">
      <w:pPr>
        <w:rPr>
          <w:rFonts w:ascii="Arial" w:hAnsi="Arial" w:cs="Arial"/>
          <w:sz w:val="24"/>
          <w:szCs w:val="24"/>
        </w:rPr>
      </w:pPr>
      <w:r w:rsidRPr="001C56E9">
        <w:rPr>
          <w:rFonts w:ascii="Arial" w:hAnsi="Arial" w:cs="Arial"/>
          <w:sz w:val="24"/>
          <w:szCs w:val="24"/>
        </w:rPr>
        <w:t>- crediti per depositi cauzionali inclusi nelle immobilizzazione finanziarie;</w:t>
      </w:r>
    </w:p>
    <w:p w:rsidR="001C56E9" w:rsidRPr="001C56E9" w:rsidRDefault="001C56E9" w:rsidP="001C56E9">
      <w:pPr>
        <w:rPr>
          <w:rFonts w:ascii="Arial" w:hAnsi="Arial" w:cs="Arial"/>
          <w:sz w:val="24"/>
          <w:szCs w:val="24"/>
        </w:rPr>
      </w:pPr>
      <w:r w:rsidRPr="001C56E9">
        <w:rPr>
          <w:rFonts w:ascii="Arial" w:hAnsi="Arial" w:cs="Arial"/>
          <w:sz w:val="24"/>
          <w:szCs w:val="24"/>
        </w:rPr>
        <w:t xml:space="preserve"> - crediti per acquisto titoli da rivendere a breve, da rilevarsi tra le attività finanziarie che non costituiscono immobilizzazioni. I crediti sono distinti nelle seguenti cinque voci per grado di liquidità: </w:t>
      </w:r>
    </w:p>
    <w:p w:rsidR="001C56E9" w:rsidRPr="001C56E9" w:rsidRDefault="001C56E9" w:rsidP="001C56E9">
      <w:pPr>
        <w:rPr>
          <w:rFonts w:ascii="Arial" w:hAnsi="Arial" w:cs="Arial"/>
          <w:sz w:val="24"/>
          <w:szCs w:val="24"/>
        </w:rPr>
      </w:pPr>
      <w:r w:rsidRPr="001C56E9">
        <w:rPr>
          <w:rFonts w:ascii="Arial" w:hAnsi="Arial" w:cs="Arial"/>
          <w:sz w:val="24"/>
          <w:szCs w:val="24"/>
        </w:rPr>
        <w:t>- verso contribuenti</w:t>
      </w:r>
    </w:p>
    <w:p w:rsidR="001C56E9" w:rsidRPr="001C56E9" w:rsidRDefault="001C56E9" w:rsidP="001C56E9">
      <w:pPr>
        <w:rPr>
          <w:rFonts w:ascii="Arial" w:hAnsi="Arial" w:cs="Arial"/>
          <w:sz w:val="24"/>
          <w:szCs w:val="24"/>
        </w:rPr>
      </w:pPr>
      <w:r w:rsidRPr="001C56E9">
        <w:rPr>
          <w:rFonts w:ascii="Arial" w:hAnsi="Arial" w:cs="Arial"/>
          <w:sz w:val="24"/>
          <w:szCs w:val="24"/>
        </w:rPr>
        <w:t xml:space="preserve">; - verso enti del settore pubblico allargato; </w:t>
      </w:r>
    </w:p>
    <w:p w:rsidR="001C56E9" w:rsidRPr="001C56E9" w:rsidRDefault="001C56E9" w:rsidP="001C56E9">
      <w:pPr>
        <w:rPr>
          <w:rFonts w:ascii="Arial" w:hAnsi="Arial" w:cs="Arial"/>
          <w:sz w:val="24"/>
          <w:szCs w:val="24"/>
        </w:rPr>
      </w:pPr>
      <w:r w:rsidRPr="001C56E9">
        <w:rPr>
          <w:rFonts w:ascii="Arial" w:hAnsi="Arial" w:cs="Arial"/>
          <w:sz w:val="24"/>
          <w:szCs w:val="24"/>
        </w:rPr>
        <w:t>- verso debitori diversi;</w:t>
      </w:r>
    </w:p>
    <w:p w:rsidR="001C56E9" w:rsidRPr="001C56E9" w:rsidRDefault="001C56E9" w:rsidP="001C56E9">
      <w:pPr>
        <w:rPr>
          <w:rFonts w:ascii="Arial" w:hAnsi="Arial" w:cs="Arial"/>
          <w:sz w:val="24"/>
          <w:szCs w:val="24"/>
        </w:rPr>
      </w:pPr>
      <w:r w:rsidRPr="001C56E9">
        <w:rPr>
          <w:rFonts w:ascii="Arial" w:hAnsi="Arial" w:cs="Arial"/>
          <w:sz w:val="24"/>
          <w:szCs w:val="24"/>
        </w:rPr>
        <w:t xml:space="preserve"> - per Iva;</w:t>
      </w:r>
    </w:p>
    <w:p w:rsidR="001C56E9" w:rsidRPr="001C56E9" w:rsidRDefault="001C56E9" w:rsidP="001C56E9">
      <w:pPr>
        <w:rPr>
          <w:rFonts w:ascii="Arial" w:hAnsi="Arial" w:cs="Arial"/>
          <w:sz w:val="24"/>
          <w:szCs w:val="24"/>
        </w:rPr>
      </w:pPr>
      <w:r w:rsidRPr="001C56E9">
        <w:rPr>
          <w:rFonts w:ascii="Arial" w:hAnsi="Arial" w:cs="Arial"/>
          <w:sz w:val="24"/>
          <w:szCs w:val="24"/>
        </w:rPr>
        <w:t xml:space="preserve"> - per depositi.</w:t>
      </w:r>
    </w:p>
    <w:p w:rsidR="001C56E9" w:rsidRPr="001C56E9" w:rsidRDefault="001C56E9" w:rsidP="001C56E9">
      <w:pPr>
        <w:rPr>
          <w:rFonts w:ascii="Arial" w:hAnsi="Arial" w:cs="Arial"/>
          <w:b/>
          <w:sz w:val="24"/>
          <w:szCs w:val="24"/>
        </w:rPr>
      </w:pPr>
    </w:p>
    <w:p w:rsidR="001C56E9" w:rsidRPr="001C56E9" w:rsidRDefault="001C56E9" w:rsidP="001C56E9">
      <w:pPr>
        <w:rPr>
          <w:rFonts w:ascii="Arial" w:hAnsi="Arial" w:cs="Arial"/>
          <w:b/>
          <w:sz w:val="24"/>
          <w:szCs w:val="24"/>
        </w:rPr>
      </w:pPr>
      <w:r w:rsidRPr="001C56E9">
        <w:rPr>
          <w:rFonts w:ascii="Arial" w:hAnsi="Arial" w:cs="Arial"/>
          <w:b/>
          <w:sz w:val="24"/>
          <w:szCs w:val="24"/>
        </w:rPr>
        <w:t xml:space="preserve"> f) i titoli che non rappresentano investimenti o immobilizzi;</w:t>
      </w:r>
    </w:p>
    <w:p w:rsidR="001C56E9" w:rsidRPr="001C56E9" w:rsidRDefault="001C56E9" w:rsidP="001C56E9">
      <w:pPr>
        <w:rPr>
          <w:rFonts w:ascii="Arial" w:hAnsi="Arial" w:cs="Arial"/>
          <w:sz w:val="24"/>
          <w:szCs w:val="24"/>
        </w:rPr>
      </w:pPr>
      <w:r w:rsidRPr="001C56E9">
        <w:rPr>
          <w:rFonts w:ascii="Arial" w:hAnsi="Arial" w:cs="Arial"/>
          <w:b/>
          <w:sz w:val="24"/>
          <w:szCs w:val="24"/>
        </w:rPr>
        <w:t xml:space="preserve"> g) le disponibilità liquide (fondo di cassa ed eventuali depositi bancari)</w:t>
      </w:r>
      <w:r w:rsidRPr="001C56E9">
        <w:rPr>
          <w:rFonts w:ascii="Arial" w:hAnsi="Arial" w:cs="Arial"/>
          <w:b/>
          <w:sz w:val="24"/>
          <w:szCs w:val="24"/>
        </w:rPr>
        <w:sym w:font="Wingdings" w:char="00E0"/>
      </w:r>
      <w:r w:rsidRPr="001C56E9">
        <w:rPr>
          <w:rFonts w:ascii="Arial" w:hAnsi="Arial" w:cs="Arial"/>
          <w:sz w:val="24"/>
          <w:szCs w:val="24"/>
          <w:u w:val="single"/>
        </w:rPr>
        <w:t xml:space="preserve"> Disponibilità liquide (BIV)</w:t>
      </w:r>
      <w:r w:rsidRPr="001C56E9">
        <w:rPr>
          <w:rFonts w:ascii="Arial" w:hAnsi="Arial" w:cs="Arial"/>
          <w:sz w:val="24"/>
          <w:szCs w:val="24"/>
        </w:rPr>
        <w:t xml:space="preserve"> Vanno rilevate nel gruppo le disponibilità di denaro riscuotibili a breve termine e depositate o presso il tesoriere o presso istituti bancari. Il gruppo è distinto in fondo di cassa e depositi bancari. Sono rappresentate dal conto di tesoreria, altri depositi bancari, postale e conti accesi presso la Tesoreria Statale  Le somme depositate </w:t>
      </w:r>
      <w:r w:rsidRPr="001C56E9">
        <w:rPr>
          <w:rFonts w:ascii="Arial" w:hAnsi="Arial" w:cs="Arial"/>
          <w:sz w:val="24"/>
          <w:szCs w:val="24"/>
        </w:rPr>
        <w:lastRenderedPageBreak/>
        <w:t>in conti corrente postali alla chiusura dell'esercizio devono essere rilevate nella contabilità finanziaria come residui attivi e nel conto del patrimonio alla corrispondente voce dei gruppo BII "Crediti". Rilevazioni Fondo di cassa: dal fondo di cassa risultante dal conto del tesoriere al 31 dicembre; Depositi bancari: dal saldo dei conti intestati all'ente per depositi diversi da quelli rilevati nella voce BII5a</w:t>
      </w:r>
    </w:p>
    <w:p w:rsidR="001C56E9" w:rsidRPr="001C56E9" w:rsidRDefault="001C56E9" w:rsidP="001C56E9">
      <w:pPr>
        <w:rPr>
          <w:rFonts w:ascii="Arial" w:hAnsi="Arial" w:cs="Arial"/>
          <w:b/>
          <w:sz w:val="24"/>
          <w:szCs w:val="24"/>
        </w:rPr>
      </w:pPr>
    </w:p>
    <w:p w:rsidR="001C56E9" w:rsidRPr="001C56E9" w:rsidRDefault="001C56E9" w:rsidP="001C56E9">
      <w:pPr>
        <w:rPr>
          <w:rFonts w:ascii="Arial" w:hAnsi="Arial" w:cs="Arial"/>
          <w:b/>
          <w:sz w:val="24"/>
          <w:szCs w:val="24"/>
        </w:rPr>
      </w:pPr>
      <w:r w:rsidRPr="001C56E9">
        <w:rPr>
          <w:rFonts w:ascii="Arial" w:hAnsi="Arial" w:cs="Arial"/>
          <w:b/>
          <w:sz w:val="24"/>
          <w:szCs w:val="24"/>
        </w:rPr>
        <w:t xml:space="preserve"> h) i ratei attivi e i) i risconti attivi.</w:t>
      </w:r>
    </w:p>
    <w:p w:rsidR="001C56E9" w:rsidRPr="001C56E9" w:rsidRDefault="001C56E9" w:rsidP="001C56E9">
      <w:pPr>
        <w:rPr>
          <w:rFonts w:ascii="Arial" w:hAnsi="Arial" w:cs="Arial"/>
          <w:sz w:val="24"/>
          <w:szCs w:val="24"/>
        </w:rPr>
      </w:pPr>
      <w:r w:rsidRPr="001C56E9">
        <w:rPr>
          <w:rFonts w:ascii="Arial" w:hAnsi="Arial" w:cs="Arial"/>
          <w:sz w:val="24"/>
          <w:szCs w:val="24"/>
        </w:rPr>
        <w:t xml:space="preserve"> I ratei attivi sono rappresentati dalle quote di ricavi e proventi che sono di competenza economica dell’esercizio in chiusura ma avranno manifestazione finanziaria futura </w:t>
      </w:r>
    </w:p>
    <w:p w:rsidR="001C56E9" w:rsidRPr="001C56E9" w:rsidRDefault="001C56E9" w:rsidP="001C56E9">
      <w:pPr>
        <w:rPr>
          <w:rFonts w:ascii="Arial" w:hAnsi="Arial" w:cs="Arial"/>
          <w:sz w:val="24"/>
          <w:szCs w:val="24"/>
        </w:rPr>
      </w:pPr>
      <w:r w:rsidRPr="001C56E9">
        <w:rPr>
          <w:rFonts w:ascii="Arial" w:hAnsi="Arial" w:cs="Arial"/>
          <w:sz w:val="24"/>
          <w:szCs w:val="24"/>
        </w:rPr>
        <w:t xml:space="preserve"> I risconti attivi sono rappresentati dalle quote di oneri e costi che hanno già avuto manifestazione finanziaria nell’esercizio con la liquidazione della spesa ma che sono di competenza economica di futuri esercizi </w:t>
      </w:r>
    </w:p>
    <w:p w:rsidR="001C56E9" w:rsidRPr="001C56E9" w:rsidRDefault="001C56E9" w:rsidP="001C56E9">
      <w:pPr>
        <w:rPr>
          <w:rFonts w:ascii="Arial" w:hAnsi="Arial" w:cs="Arial"/>
          <w:sz w:val="24"/>
          <w:szCs w:val="24"/>
        </w:rPr>
      </w:pPr>
      <w:r w:rsidRPr="001C56E9">
        <w:rPr>
          <w:rFonts w:ascii="Arial" w:hAnsi="Arial" w:cs="Arial"/>
          <w:sz w:val="24"/>
          <w:szCs w:val="24"/>
        </w:rPr>
        <w:t>Il gruppo è distinto in CI "Ratei attivi" e CII "Risconti attivi". I valori derivano dalle integrazioni agli accertamenti e dalle rettifiche agli impegni, effettuate per ricondurli alla competenza economica. I costi di esercizi futuri possono essere compresi tra i risconti attivi, oppure distintamente rilevati nei conti d'ordine, analogamente ai residui passivi del titolo II, con specifica menzione nella relazione illustrativa al rendiconto. I ratei aggiungono ricavi, i risconti attivi riducono gli oneri, i costi di esercizi futuri riducono impegni non costituenti costi o oneri.</w:t>
      </w:r>
    </w:p>
    <w:p w:rsidR="001C56E9" w:rsidRPr="001C56E9" w:rsidRDefault="001C56E9" w:rsidP="001C56E9">
      <w:pPr>
        <w:rPr>
          <w:rFonts w:ascii="Arial" w:hAnsi="Arial" w:cs="Arial"/>
          <w:b/>
          <w:sz w:val="24"/>
          <w:szCs w:val="24"/>
        </w:rPr>
      </w:pPr>
    </w:p>
    <w:p w:rsidR="001C56E9" w:rsidRPr="001C56E9" w:rsidRDefault="001C56E9" w:rsidP="001C56E9">
      <w:pPr>
        <w:rPr>
          <w:rFonts w:ascii="Arial" w:hAnsi="Arial" w:cs="Arial"/>
          <w:b/>
          <w:color w:val="FF0000"/>
          <w:sz w:val="24"/>
          <w:szCs w:val="24"/>
        </w:rPr>
      </w:pPr>
      <w:r w:rsidRPr="001C56E9">
        <w:rPr>
          <w:rFonts w:ascii="Arial" w:hAnsi="Arial" w:cs="Arial"/>
          <w:b/>
          <w:color w:val="FF0000"/>
          <w:sz w:val="24"/>
          <w:szCs w:val="24"/>
        </w:rPr>
        <w:t xml:space="preserve">Passivo </w:t>
      </w:r>
    </w:p>
    <w:p w:rsidR="001C56E9" w:rsidRPr="001C56E9" w:rsidRDefault="001C56E9" w:rsidP="001C56E9">
      <w:pPr>
        <w:autoSpaceDE w:val="0"/>
        <w:autoSpaceDN w:val="0"/>
        <w:adjustRightInd w:val="0"/>
        <w:spacing w:line="240" w:lineRule="auto"/>
        <w:jc w:val="both"/>
        <w:rPr>
          <w:rFonts w:ascii="Arial" w:hAnsi="Arial" w:cs="Arial"/>
          <w:sz w:val="24"/>
          <w:szCs w:val="24"/>
        </w:rPr>
      </w:pPr>
      <w:r w:rsidRPr="001C56E9">
        <w:rPr>
          <w:rFonts w:ascii="Arial" w:hAnsi="Arial" w:cs="Arial"/>
          <w:b/>
          <w:sz w:val="24"/>
          <w:szCs w:val="24"/>
        </w:rPr>
        <w:t>a) il patrimonio netto (netto patrimoniale e da beni del demanio, ai fini del pareggio dei valori dei beni inventariati);</w:t>
      </w:r>
      <w:r w:rsidRPr="001C56E9">
        <w:rPr>
          <w:rFonts w:ascii="Arial" w:hAnsi="Arial" w:cs="Arial"/>
          <w:b/>
          <w:sz w:val="24"/>
          <w:szCs w:val="24"/>
        </w:rPr>
        <w:sym w:font="Wingdings" w:char="00E0"/>
      </w:r>
      <w:r w:rsidRPr="001C56E9">
        <w:rPr>
          <w:rFonts w:ascii="Arial" w:hAnsi="Arial" w:cs="Arial"/>
          <w:sz w:val="24"/>
          <w:szCs w:val="24"/>
          <w:u w:val="single"/>
        </w:rPr>
        <w:t xml:space="preserve"> Patrimonio netto (A</w:t>
      </w:r>
      <w:r w:rsidRPr="001C56E9">
        <w:rPr>
          <w:rFonts w:ascii="Arial" w:hAnsi="Arial" w:cs="Arial"/>
          <w:sz w:val="24"/>
          <w:szCs w:val="24"/>
        </w:rPr>
        <w:t>) Per la denominazione e classificazione del capitale o fondo di dotazione dell’ente e delle riserve si applicano i criteri indicati nel documento n. 28 dei principi contabili “Il patrimonio netto”, nei limiti in cui siano compatibili con i presenti principi.</w:t>
      </w:r>
    </w:p>
    <w:p w:rsidR="001C56E9" w:rsidRPr="001C56E9" w:rsidRDefault="001C56E9" w:rsidP="001C56E9">
      <w:pPr>
        <w:spacing w:line="240" w:lineRule="auto"/>
        <w:jc w:val="both"/>
        <w:rPr>
          <w:rFonts w:ascii="Arial" w:hAnsi="Arial" w:cs="Arial"/>
          <w:sz w:val="24"/>
          <w:szCs w:val="24"/>
        </w:rPr>
      </w:pPr>
      <w:r w:rsidRPr="001C56E9">
        <w:rPr>
          <w:rFonts w:ascii="Arial" w:hAnsi="Arial" w:cs="Arial"/>
          <w:sz w:val="24"/>
          <w:szCs w:val="24"/>
        </w:rPr>
        <w:t>Per le Amministrazioni pubbliche che fino ad oggi rappresentano il patrimonio netto all’interno di un’unica posta di bilancio, il patrimonio netto alla data di chiusura del bilancio dovrà essere articolato nelle seguenti poste:</w:t>
      </w:r>
    </w:p>
    <w:p w:rsidR="001C56E9" w:rsidRPr="001C56E9" w:rsidRDefault="001C56E9" w:rsidP="001C56E9">
      <w:pPr>
        <w:numPr>
          <w:ilvl w:val="0"/>
          <w:numId w:val="33"/>
        </w:numPr>
        <w:spacing w:line="240" w:lineRule="auto"/>
        <w:contextualSpacing/>
        <w:jc w:val="both"/>
        <w:rPr>
          <w:rFonts w:ascii="Arial" w:hAnsi="Arial" w:cs="Arial"/>
          <w:sz w:val="24"/>
          <w:szCs w:val="24"/>
        </w:rPr>
      </w:pPr>
      <w:r w:rsidRPr="001C56E9">
        <w:rPr>
          <w:rFonts w:ascii="Arial" w:hAnsi="Arial" w:cs="Arial"/>
          <w:sz w:val="24"/>
          <w:szCs w:val="24"/>
        </w:rPr>
        <w:t>Fondo di dotazione</w:t>
      </w:r>
    </w:p>
    <w:p w:rsidR="001C56E9" w:rsidRPr="001C56E9" w:rsidRDefault="001C56E9" w:rsidP="001C56E9">
      <w:pPr>
        <w:numPr>
          <w:ilvl w:val="0"/>
          <w:numId w:val="33"/>
        </w:numPr>
        <w:spacing w:line="240" w:lineRule="auto"/>
        <w:contextualSpacing/>
        <w:jc w:val="both"/>
        <w:rPr>
          <w:rFonts w:ascii="Arial" w:hAnsi="Arial" w:cs="Arial"/>
          <w:sz w:val="24"/>
          <w:szCs w:val="24"/>
        </w:rPr>
      </w:pPr>
      <w:r w:rsidRPr="001C56E9">
        <w:rPr>
          <w:rFonts w:ascii="Arial" w:hAnsi="Arial" w:cs="Arial"/>
          <w:sz w:val="24"/>
          <w:szCs w:val="24"/>
        </w:rPr>
        <w:t xml:space="preserve">Riserve </w:t>
      </w:r>
    </w:p>
    <w:p w:rsidR="001C56E9" w:rsidRPr="001C56E9" w:rsidRDefault="001C56E9" w:rsidP="001C56E9">
      <w:pPr>
        <w:numPr>
          <w:ilvl w:val="0"/>
          <w:numId w:val="33"/>
        </w:numPr>
        <w:spacing w:line="240" w:lineRule="auto"/>
        <w:contextualSpacing/>
        <w:jc w:val="both"/>
        <w:rPr>
          <w:rFonts w:ascii="Arial" w:hAnsi="Arial" w:cs="Arial"/>
          <w:sz w:val="24"/>
          <w:szCs w:val="24"/>
        </w:rPr>
      </w:pPr>
      <w:r w:rsidRPr="001C56E9">
        <w:rPr>
          <w:rFonts w:ascii="Arial" w:hAnsi="Arial" w:cs="Arial"/>
          <w:sz w:val="24"/>
          <w:szCs w:val="24"/>
        </w:rPr>
        <w:t>Risultato economico di esercizio</w:t>
      </w:r>
    </w:p>
    <w:p w:rsidR="001C56E9" w:rsidRPr="001C56E9" w:rsidRDefault="001C56E9" w:rsidP="001C56E9">
      <w:pPr>
        <w:spacing w:line="240" w:lineRule="auto"/>
        <w:jc w:val="both"/>
        <w:rPr>
          <w:rFonts w:ascii="Arial" w:hAnsi="Arial" w:cs="Arial"/>
          <w:sz w:val="24"/>
          <w:szCs w:val="24"/>
        </w:rPr>
      </w:pPr>
    </w:p>
    <w:p w:rsidR="001C56E9" w:rsidRPr="001C56E9" w:rsidRDefault="001C56E9" w:rsidP="001C56E9">
      <w:pPr>
        <w:spacing w:line="240" w:lineRule="auto"/>
        <w:jc w:val="both"/>
        <w:rPr>
          <w:rFonts w:ascii="Arial" w:hAnsi="Arial" w:cs="Arial"/>
          <w:sz w:val="24"/>
          <w:szCs w:val="24"/>
        </w:rPr>
      </w:pPr>
      <w:r w:rsidRPr="001C56E9">
        <w:rPr>
          <w:rFonts w:ascii="Arial" w:hAnsi="Arial" w:cs="Arial"/>
          <w:sz w:val="24"/>
          <w:szCs w:val="24"/>
        </w:rPr>
        <w:t xml:space="preserve">La suddetta articolazione è realizzata mediante apposita delibera assunta dalla Giunta. A tal fine si potrà fare riferimento ai risultati economici dei primi esercizi di adozione della contabilità economico-patrimoniale o, per le amministrazioni che già adottano la contabilità economico patrimoniale, si potrà fare riferimento ai risultati economici degli esercizi più recenti che rappresentano una prima indicazione di quanto appostare nel fondo di dotazione e di quanto appostare tra le riserve di utili. </w:t>
      </w:r>
    </w:p>
    <w:p w:rsidR="001C56E9" w:rsidRPr="001C56E9" w:rsidRDefault="001C56E9" w:rsidP="001C56E9">
      <w:pPr>
        <w:spacing w:line="240" w:lineRule="auto"/>
        <w:jc w:val="both"/>
        <w:rPr>
          <w:rFonts w:ascii="Arial" w:hAnsi="Arial" w:cs="Arial"/>
          <w:sz w:val="24"/>
          <w:szCs w:val="24"/>
        </w:rPr>
      </w:pPr>
      <w:r w:rsidRPr="001C56E9">
        <w:rPr>
          <w:rFonts w:ascii="Arial" w:hAnsi="Arial" w:cs="Arial"/>
          <w:sz w:val="24"/>
          <w:szCs w:val="24"/>
        </w:rPr>
        <w:lastRenderedPageBreak/>
        <w:t xml:space="preserve">Il fondo di dotazione rappresenta la parte indisponibile del patrimonio netto, a garanzia della struttura patrimoniale dell’Amministrazione pubblica. </w:t>
      </w:r>
    </w:p>
    <w:p w:rsidR="001C56E9" w:rsidRPr="001C56E9" w:rsidRDefault="001C56E9" w:rsidP="001C56E9">
      <w:pPr>
        <w:spacing w:line="240" w:lineRule="auto"/>
        <w:jc w:val="both"/>
        <w:rPr>
          <w:rFonts w:ascii="Arial" w:hAnsi="Arial" w:cs="Arial"/>
          <w:sz w:val="24"/>
          <w:szCs w:val="24"/>
        </w:rPr>
      </w:pPr>
      <w:r w:rsidRPr="001C56E9">
        <w:rPr>
          <w:rFonts w:ascii="Arial" w:hAnsi="Arial" w:cs="Arial"/>
          <w:sz w:val="24"/>
          <w:szCs w:val="24"/>
        </w:rPr>
        <w:t>Il fondo di dotazione può essere alimentato mediante destinazione degli utili di esercizio sulla base di apposita delibera del Consiglio in sede di approvazione del bilancio consuntivo.</w:t>
      </w:r>
    </w:p>
    <w:p w:rsidR="001C56E9" w:rsidRPr="001C56E9" w:rsidRDefault="001C56E9" w:rsidP="001C56E9">
      <w:pPr>
        <w:spacing w:line="240" w:lineRule="auto"/>
        <w:jc w:val="both"/>
        <w:rPr>
          <w:rFonts w:ascii="Arial" w:hAnsi="Arial" w:cs="Arial"/>
          <w:sz w:val="24"/>
          <w:szCs w:val="24"/>
        </w:rPr>
      </w:pPr>
    </w:p>
    <w:p w:rsidR="001C56E9" w:rsidRPr="001C56E9" w:rsidRDefault="001C56E9" w:rsidP="001C56E9">
      <w:pPr>
        <w:spacing w:line="240" w:lineRule="auto"/>
        <w:jc w:val="both"/>
        <w:rPr>
          <w:rFonts w:ascii="Arial" w:hAnsi="Arial" w:cs="Arial"/>
          <w:sz w:val="24"/>
          <w:szCs w:val="24"/>
        </w:rPr>
      </w:pPr>
      <w:r w:rsidRPr="001C56E9">
        <w:rPr>
          <w:rFonts w:ascii="Arial" w:hAnsi="Arial" w:cs="Arial"/>
          <w:sz w:val="24"/>
          <w:szCs w:val="24"/>
        </w:rPr>
        <w:t>Le riserve costituiscono la parte del patrimonio netto che, in caso di perdita, è primariamente utilizzabile per la copertura, a garanzia del fondo di dotazione previa apposita delibera del Consiglio. Al pari del fondo di dotazione, sono alimentate anche mediante destinazione degli utili di esercizio, con apposita delibera del Consiglio in occasione dell’approvazione del bilancio consuntivo. L’Amministrazione è chiamata a fornire un’adeguata informativa all’interno della relazione sulla gestione del Presidente/Sindaco dell’Amministrazione, sulla copertura delle perdite; in particolare, l’eventuale perdita risultante dal bilancio d’esercizio deve trovare copertura all’interno del patrimonio netto, escluso il fondo di dotazione. Qualora il patrimonio netto (escluso il fondo di dotazione) non dovesse essere capiente rispetto alla perdita d’esercizio, la parte eccedente è rinviata agli esercizi successivi (perdita portata a nuovo) al fine di assicurarne la copertura con i ricavi futuri.</w:t>
      </w:r>
    </w:p>
    <w:p w:rsidR="001C56E9" w:rsidRPr="001C56E9" w:rsidRDefault="001C56E9" w:rsidP="001C56E9">
      <w:pPr>
        <w:rPr>
          <w:rFonts w:ascii="Arial" w:hAnsi="Arial" w:cs="Arial"/>
          <w:b/>
          <w:sz w:val="24"/>
          <w:szCs w:val="24"/>
        </w:rPr>
      </w:pPr>
      <w:r w:rsidRPr="001C56E9">
        <w:rPr>
          <w:rFonts w:ascii="Arial" w:hAnsi="Arial" w:cs="Arial"/>
          <w:sz w:val="24"/>
          <w:szCs w:val="24"/>
        </w:rPr>
        <w:t>Per i comuni, la quota dei permessi di costruire che - nei limiti stabiliti dalla legge - non è destinata al finanziamento delle spese correnti, costituisce incremento delle riserve</w:t>
      </w:r>
    </w:p>
    <w:p w:rsidR="001C56E9" w:rsidRPr="001C56E9" w:rsidRDefault="001C56E9" w:rsidP="001C56E9">
      <w:pPr>
        <w:rPr>
          <w:rFonts w:ascii="Arial" w:hAnsi="Arial" w:cs="Arial"/>
          <w:b/>
          <w:sz w:val="24"/>
          <w:szCs w:val="24"/>
        </w:rPr>
      </w:pPr>
      <w:r w:rsidRPr="001C56E9">
        <w:rPr>
          <w:rFonts w:ascii="Arial" w:hAnsi="Arial" w:cs="Arial"/>
          <w:b/>
          <w:sz w:val="24"/>
          <w:szCs w:val="24"/>
        </w:rPr>
        <w:t xml:space="preserve"> b) i conferimenti da trasferimenti in capitale e da concessioni a edificare;</w:t>
      </w:r>
    </w:p>
    <w:p w:rsidR="001C56E9" w:rsidRPr="001C56E9" w:rsidRDefault="001C56E9" w:rsidP="001C56E9">
      <w:pPr>
        <w:spacing w:line="240" w:lineRule="auto"/>
        <w:jc w:val="both"/>
        <w:rPr>
          <w:rFonts w:ascii="Arial" w:hAnsi="Arial" w:cs="Arial"/>
          <w:b/>
          <w:sz w:val="24"/>
          <w:szCs w:val="24"/>
        </w:rPr>
      </w:pPr>
      <w:r w:rsidRPr="001C56E9">
        <w:rPr>
          <w:rFonts w:ascii="Arial" w:hAnsi="Arial" w:cs="Arial"/>
          <w:b/>
          <w:sz w:val="24"/>
          <w:szCs w:val="24"/>
        </w:rPr>
        <w:t xml:space="preserve"> c) i residui passivi, compresi i debiti Iva e quelli verso imprese controllate e/o collegate</w:t>
      </w:r>
      <w:r w:rsidRPr="001C56E9">
        <w:rPr>
          <w:rFonts w:ascii="Arial" w:hAnsi="Arial" w:cs="Arial"/>
          <w:b/>
          <w:sz w:val="24"/>
          <w:szCs w:val="24"/>
        </w:rPr>
        <w:sym w:font="Wingdings" w:char="00E0"/>
      </w:r>
      <w:r w:rsidRPr="001C56E9">
        <w:rPr>
          <w:rFonts w:ascii="Arial" w:hAnsi="Arial" w:cs="Arial"/>
          <w:b/>
          <w:sz w:val="24"/>
          <w:szCs w:val="24"/>
        </w:rPr>
        <w:t xml:space="preserve"> a) Debiti di funzionamento (residui passivi) </w:t>
      </w:r>
    </w:p>
    <w:p w:rsidR="001C56E9" w:rsidRPr="001C56E9" w:rsidRDefault="001C56E9" w:rsidP="001C56E9">
      <w:pPr>
        <w:spacing w:line="240" w:lineRule="auto"/>
        <w:jc w:val="both"/>
        <w:rPr>
          <w:rFonts w:ascii="Arial" w:hAnsi="Arial" w:cs="Arial"/>
          <w:sz w:val="24"/>
          <w:szCs w:val="24"/>
        </w:rPr>
      </w:pPr>
      <w:r w:rsidRPr="001C56E9">
        <w:rPr>
          <w:rFonts w:ascii="Arial" w:hAnsi="Arial" w:cs="Arial"/>
          <w:sz w:val="24"/>
          <w:szCs w:val="24"/>
        </w:rPr>
        <w:t>I debiti di funzionamento sono iscritti nello stato patrimoniale solo se corrispondenti a obbligazioni giuridiche perfezionate esigibili per le quali il servizio è stato reso o è avvenuto lo scambio dei beni.</w:t>
      </w:r>
    </w:p>
    <w:p w:rsidR="001C56E9" w:rsidRPr="001C56E9" w:rsidRDefault="001C56E9" w:rsidP="001C56E9">
      <w:pPr>
        <w:spacing w:line="240" w:lineRule="auto"/>
        <w:jc w:val="both"/>
        <w:rPr>
          <w:rFonts w:ascii="Arial" w:hAnsi="Arial" w:cs="Arial"/>
          <w:sz w:val="24"/>
          <w:szCs w:val="24"/>
        </w:rPr>
      </w:pPr>
      <w:r w:rsidRPr="001C56E9">
        <w:rPr>
          <w:rFonts w:ascii="Arial" w:hAnsi="Arial" w:cs="Arial"/>
          <w:sz w:val="24"/>
          <w:szCs w:val="24"/>
        </w:rPr>
        <w:t xml:space="preserve">La corretta applicazione del principio della competenza finanziaria garantisce la corrispondenza tra i residui passivi diversi da quelli di finanziamento e l’ammontare dei debiti di funzionamento. </w:t>
      </w:r>
    </w:p>
    <w:p w:rsidR="001C56E9" w:rsidRPr="001C56E9" w:rsidRDefault="001C56E9" w:rsidP="001C56E9">
      <w:pPr>
        <w:spacing w:line="240" w:lineRule="auto"/>
        <w:jc w:val="both"/>
        <w:rPr>
          <w:rFonts w:ascii="Arial" w:hAnsi="Arial" w:cs="Arial"/>
          <w:sz w:val="24"/>
          <w:szCs w:val="24"/>
        </w:rPr>
      </w:pPr>
      <w:r w:rsidRPr="001C56E9">
        <w:rPr>
          <w:rFonts w:ascii="Arial" w:hAnsi="Arial" w:cs="Arial"/>
          <w:sz w:val="24"/>
          <w:szCs w:val="24"/>
        </w:rPr>
        <w:t xml:space="preserve">I debiti sono esposti al loro valore nominale. </w:t>
      </w:r>
    </w:p>
    <w:p w:rsidR="001C56E9" w:rsidRPr="001C56E9" w:rsidRDefault="001C56E9" w:rsidP="001C56E9">
      <w:pPr>
        <w:rPr>
          <w:rFonts w:ascii="Arial" w:hAnsi="Arial" w:cs="Arial"/>
          <w:b/>
          <w:sz w:val="24"/>
          <w:szCs w:val="24"/>
        </w:rPr>
      </w:pPr>
    </w:p>
    <w:p w:rsidR="001C56E9" w:rsidRPr="001C56E9" w:rsidRDefault="001C56E9" w:rsidP="001C56E9">
      <w:pPr>
        <w:rPr>
          <w:rFonts w:ascii="Arial" w:hAnsi="Arial" w:cs="Arial"/>
          <w:sz w:val="24"/>
          <w:szCs w:val="24"/>
        </w:rPr>
      </w:pPr>
      <w:r w:rsidRPr="001C56E9">
        <w:rPr>
          <w:rFonts w:ascii="Arial" w:hAnsi="Arial" w:cs="Arial"/>
          <w:b/>
          <w:sz w:val="24"/>
          <w:szCs w:val="24"/>
        </w:rPr>
        <w:t xml:space="preserve"> d) i ratei passivi e i risconti passivi</w:t>
      </w:r>
      <w:r w:rsidRPr="001C56E9">
        <w:rPr>
          <w:rFonts w:ascii="Arial" w:hAnsi="Arial" w:cs="Arial"/>
          <w:sz w:val="24"/>
          <w:szCs w:val="24"/>
        </w:rPr>
        <w:t>.</w:t>
      </w:r>
    </w:p>
    <w:p w:rsidR="001C56E9" w:rsidRPr="001C56E9" w:rsidRDefault="001C56E9" w:rsidP="001C56E9">
      <w:pPr>
        <w:spacing w:line="240" w:lineRule="auto"/>
        <w:jc w:val="both"/>
        <w:rPr>
          <w:rFonts w:ascii="Arial" w:hAnsi="Arial" w:cs="Arial"/>
          <w:sz w:val="24"/>
          <w:szCs w:val="24"/>
        </w:rPr>
      </w:pPr>
      <w:r w:rsidRPr="001C56E9">
        <w:rPr>
          <w:rFonts w:ascii="Arial" w:hAnsi="Arial" w:cs="Arial"/>
          <w:sz w:val="24"/>
          <w:szCs w:val="24"/>
        </w:rPr>
        <w:t xml:space="preserve"> Il documento annota anche i "conti d'ordine" (di pari importo iscritto nell’attivo e nel passivo), ossia le opere impegnate e non ancora realizzate, i conferimenti ad aziende speciali e i beni di terzi. I ratei e risconti sono iscritti e valutati in conformità a quanto precisato dall’art. 2424-bis, comma 6, codice civile.</w:t>
      </w:r>
    </w:p>
    <w:p w:rsidR="001C56E9" w:rsidRPr="001C56E9" w:rsidRDefault="001C56E9" w:rsidP="001C56E9">
      <w:pPr>
        <w:spacing w:line="240" w:lineRule="auto"/>
        <w:jc w:val="both"/>
        <w:rPr>
          <w:rFonts w:ascii="Arial" w:hAnsi="Arial" w:cs="Arial"/>
          <w:sz w:val="24"/>
          <w:szCs w:val="24"/>
        </w:rPr>
      </w:pPr>
      <w:r w:rsidRPr="001C56E9">
        <w:rPr>
          <w:rFonts w:ascii="Arial" w:hAnsi="Arial" w:cs="Arial"/>
          <w:sz w:val="24"/>
          <w:szCs w:val="24"/>
        </w:rPr>
        <w:t>I ratei passivi sono rappresentati, rispettivamente, dalle quote di costi/oneri che avranno manifestazione finanziaria futura (liquidazione della spesa), ma che devono, per competenza, essere attribuiti all’esercizio in chiusura (ad es. fitti passivi o premi di assicurazione con pagamento posticipato).</w:t>
      </w:r>
    </w:p>
    <w:p w:rsidR="001C56E9" w:rsidRPr="001C56E9" w:rsidRDefault="001C56E9" w:rsidP="001C56E9">
      <w:pPr>
        <w:spacing w:line="240" w:lineRule="auto"/>
        <w:jc w:val="both"/>
        <w:rPr>
          <w:rFonts w:ascii="Arial" w:hAnsi="Arial" w:cs="Arial"/>
          <w:sz w:val="24"/>
          <w:szCs w:val="24"/>
        </w:rPr>
      </w:pPr>
      <w:r w:rsidRPr="001C56E9">
        <w:rPr>
          <w:rFonts w:ascii="Arial" w:hAnsi="Arial" w:cs="Arial"/>
          <w:sz w:val="24"/>
          <w:szCs w:val="24"/>
        </w:rPr>
        <w:lastRenderedPageBreak/>
        <w:t>Le quote di competenza dei singoli esercizi si determinano in ragione del tempo di utilizzazione delle risorse economiche (beni e servizi) il cui costo/onere deve essere imputato.</w:t>
      </w:r>
    </w:p>
    <w:p w:rsidR="001C56E9" w:rsidRPr="001C56E9" w:rsidRDefault="001C56E9" w:rsidP="001C56E9">
      <w:pPr>
        <w:spacing w:line="240" w:lineRule="auto"/>
        <w:jc w:val="both"/>
        <w:rPr>
          <w:rFonts w:ascii="Arial" w:hAnsi="Arial" w:cs="Arial"/>
          <w:sz w:val="24"/>
          <w:szCs w:val="24"/>
        </w:rPr>
      </w:pPr>
      <w:r w:rsidRPr="001C56E9">
        <w:rPr>
          <w:rFonts w:ascii="Arial" w:hAnsi="Arial" w:cs="Arial"/>
          <w:sz w:val="24"/>
          <w:szCs w:val="24"/>
        </w:rPr>
        <w:t>I risconti passivi sono rappresentati dalle quote di ricavi che hanno avuto manifestazione finanziaria nell’esercizio (accertamento dell’entrata/incasso), ma che vanno rinviati in quanto di competenza di futuri esercizi.</w:t>
      </w:r>
    </w:p>
    <w:p w:rsidR="001C56E9" w:rsidRPr="001C56E9" w:rsidRDefault="001C56E9" w:rsidP="001C56E9">
      <w:pPr>
        <w:spacing w:line="240" w:lineRule="auto"/>
        <w:jc w:val="both"/>
        <w:rPr>
          <w:rFonts w:ascii="Arial" w:hAnsi="Arial" w:cs="Arial"/>
          <w:sz w:val="24"/>
          <w:szCs w:val="24"/>
        </w:rPr>
      </w:pPr>
      <w:r w:rsidRPr="001C56E9">
        <w:rPr>
          <w:rFonts w:ascii="Arial" w:hAnsi="Arial" w:cs="Arial"/>
          <w:sz w:val="24"/>
          <w:szCs w:val="24"/>
        </w:rPr>
        <w:t xml:space="preserve">La determinazione dei risconti passivi avviene considerando il periodo di validità della prestazione, indipendentemente dal momento della manifestazione finanziaria. </w:t>
      </w:r>
    </w:p>
    <w:p w:rsidR="001C56E9" w:rsidRPr="001C56E9" w:rsidRDefault="001C56E9" w:rsidP="001C56E9">
      <w:pPr>
        <w:spacing w:line="240" w:lineRule="auto"/>
        <w:jc w:val="both"/>
        <w:rPr>
          <w:rFonts w:ascii="Arial" w:hAnsi="Arial" w:cs="Arial"/>
          <w:sz w:val="24"/>
          <w:szCs w:val="24"/>
        </w:rPr>
      </w:pPr>
      <w:r w:rsidRPr="001C56E9">
        <w:rPr>
          <w:rFonts w:ascii="Arial" w:hAnsi="Arial" w:cs="Arial"/>
          <w:sz w:val="24"/>
          <w:szCs w:val="24"/>
        </w:rPr>
        <w:t>In sede di chiusura del bilancio consuntivo i ricavi rilevati nel corso dell’esercizio sono rettificati rispettivamente con l’iscrizione di risconti passivi commisurati alla quota da rinviare alla competenza dell’esercizio successivo.</w:t>
      </w:r>
    </w:p>
    <w:p w:rsidR="001C56E9" w:rsidRPr="001C56E9" w:rsidRDefault="001C56E9" w:rsidP="001C56E9">
      <w:pPr>
        <w:spacing w:line="240" w:lineRule="auto"/>
        <w:jc w:val="both"/>
        <w:rPr>
          <w:rFonts w:ascii="Arial" w:hAnsi="Arial" w:cs="Arial"/>
          <w:sz w:val="24"/>
          <w:szCs w:val="24"/>
        </w:rPr>
      </w:pPr>
    </w:p>
    <w:p w:rsidR="001C56E9" w:rsidRPr="001C56E9" w:rsidRDefault="001C56E9" w:rsidP="001C56E9">
      <w:pPr>
        <w:spacing w:line="240" w:lineRule="auto"/>
        <w:jc w:val="both"/>
        <w:rPr>
          <w:rFonts w:ascii="Arial" w:hAnsi="Arial" w:cs="Arial"/>
          <w:sz w:val="24"/>
          <w:szCs w:val="24"/>
        </w:rPr>
      </w:pPr>
    </w:p>
    <w:p w:rsidR="001C56E9" w:rsidRPr="001C56E9" w:rsidRDefault="001C56E9" w:rsidP="001C56E9">
      <w:pPr>
        <w:spacing w:line="240" w:lineRule="auto"/>
        <w:jc w:val="both"/>
        <w:rPr>
          <w:rFonts w:ascii="Arial" w:hAnsi="Arial" w:cs="Arial"/>
          <w:b/>
          <w:sz w:val="24"/>
          <w:szCs w:val="24"/>
        </w:rPr>
      </w:pPr>
      <w:r w:rsidRPr="001C56E9">
        <w:rPr>
          <w:rFonts w:ascii="Arial" w:hAnsi="Arial" w:cs="Arial"/>
          <w:b/>
          <w:sz w:val="24"/>
          <w:szCs w:val="24"/>
        </w:rPr>
        <w:t>e) Fondi per rischi e oneri</w:t>
      </w:r>
    </w:p>
    <w:p w:rsidR="001C56E9" w:rsidRPr="001C56E9" w:rsidRDefault="001C56E9" w:rsidP="001C56E9">
      <w:pPr>
        <w:spacing w:line="240" w:lineRule="auto"/>
        <w:jc w:val="both"/>
        <w:rPr>
          <w:rFonts w:ascii="Arial" w:hAnsi="Arial" w:cs="Arial"/>
          <w:sz w:val="24"/>
          <w:szCs w:val="24"/>
        </w:rPr>
      </w:pPr>
      <w:r w:rsidRPr="001C56E9">
        <w:rPr>
          <w:rFonts w:ascii="Arial" w:hAnsi="Arial" w:cs="Arial"/>
          <w:sz w:val="24"/>
          <w:szCs w:val="24"/>
        </w:rPr>
        <w:t>alla data di chiusura del bilancio occorre valutare i necessari accantonamenti a fondi rischi ed oneri destinati a coprire perdite o debiti aventi le seguenti caratteristiche:</w:t>
      </w:r>
    </w:p>
    <w:p w:rsidR="001C56E9" w:rsidRPr="001C56E9" w:rsidRDefault="001C56E9" w:rsidP="001C56E9">
      <w:pPr>
        <w:numPr>
          <w:ilvl w:val="0"/>
          <w:numId w:val="34"/>
        </w:numPr>
        <w:spacing w:line="240" w:lineRule="auto"/>
        <w:contextualSpacing/>
        <w:jc w:val="both"/>
        <w:rPr>
          <w:rFonts w:ascii="Arial" w:hAnsi="Arial" w:cs="Arial"/>
          <w:sz w:val="24"/>
          <w:szCs w:val="24"/>
        </w:rPr>
      </w:pPr>
      <w:r w:rsidRPr="001C56E9">
        <w:rPr>
          <w:rFonts w:ascii="Arial" w:hAnsi="Arial" w:cs="Arial"/>
          <w:sz w:val="24"/>
          <w:szCs w:val="24"/>
        </w:rPr>
        <w:t>Natura determinata</w:t>
      </w:r>
    </w:p>
    <w:p w:rsidR="001C56E9" w:rsidRPr="001C56E9" w:rsidRDefault="001C56E9" w:rsidP="001C56E9">
      <w:pPr>
        <w:numPr>
          <w:ilvl w:val="0"/>
          <w:numId w:val="34"/>
        </w:numPr>
        <w:spacing w:line="240" w:lineRule="auto"/>
        <w:contextualSpacing/>
        <w:jc w:val="both"/>
        <w:rPr>
          <w:rFonts w:ascii="Arial" w:hAnsi="Arial" w:cs="Arial"/>
          <w:sz w:val="24"/>
          <w:szCs w:val="24"/>
        </w:rPr>
      </w:pPr>
      <w:r w:rsidRPr="001C56E9">
        <w:rPr>
          <w:rFonts w:ascii="Arial" w:hAnsi="Arial" w:cs="Arial"/>
          <w:sz w:val="24"/>
          <w:szCs w:val="24"/>
        </w:rPr>
        <w:t>Esistenza certa o probabile</w:t>
      </w:r>
    </w:p>
    <w:p w:rsidR="001C56E9" w:rsidRPr="001C56E9" w:rsidRDefault="001C56E9" w:rsidP="001C56E9">
      <w:pPr>
        <w:numPr>
          <w:ilvl w:val="0"/>
          <w:numId w:val="34"/>
        </w:numPr>
        <w:spacing w:line="240" w:lineRule="auto"/>
        <w:contextualSpacing/>
        <w:jc w:val="both"/>
        <w:rPr>
          <w:rFonts w:ascii="Arial" w:hAnsi="Arial" w:cs="Arial"/>
          <w:sz w:val="24"/>
          <w:szCs w:val="24"/>
        </w:rPr>
      </w:pPr>
      <w:r w:rsidRPr="001C56E9">
        <w:rPr>
          <w:rFonts w:ascii="Arial" w:hAnsi="Arial" w:cs="Arial"/>
          <w:sz w:val="24"/>
          <w:szCs w:val="24"/>
        </w:rPr>
        <w:t>Ammontare o data di sopravvenienza indeterminati alla chiusura dell’esercizio.</w:t>
      </w:r>
    </w:p>
    <w:p w:rsidR="001C56E9" w:rsidRPr="001C56E9" w:rsidRDefault="001C56E9" w:rsidP="001C56E9">
      <w:pPr>
        <w:spacing w:line="240" w:lineRule="auto"/>
        <w:jc w:val="both"/>
        <w:rPr>
          <w:rFonts w:ascii="Arial" w:hAnsi="Arial" w:cs="Arial"/>
          <w:sz w:val="24"/>
          <w:szCs w:val="24"/>
        </w:rPr>
      </w:pPr>
    </w:p>
    <w:p w:rsidR="001C56E9" w:rsidRPr="001C56E9" w:rsidRDefault="001C56E9" w:rsidP="001C56E9">
      <w:pPr>
        <w:spacing w:line="240" w:lineRule="auto"/>
        <w:jc w:val="both"/>
        <w:rPr>
          <w:rFonts w:ascii="Arial" w:hAnsi="Arial" w:cs="Arial"/>
          <w:sz w:val="24"/>
          <w:szCs w:val="24"/>
        </w:rPr>
      </w:pPr>
      <w:r w:rsidRPr="001C56E9">
        <w:rPr>
          <w:rFonts w:ascii="Arial" w:hAnsi="Arial" w:cs="Arial"/>
          <w:sz w:val="24"/>
          <w:szCs w:val="24"/>
        </w:rPr>
        <w:t>Fattispecie tipiche delle Amministrazioni pubbliche sono rappresentate da eventuali controversie con il personale o con terzi, per le quali occorre stanziare a chiusura dell’esercizio un accantonamento commisurato all’esborso che si stima di dover sostenere al momento della definizione della controversia; la stima dei suddetti accantonamenti deve essere attendibile e pertanto si rende necessario avvalersi delle opportune fonti informative, quali le stime effettuate dai legali.</w:t>
      </w:r>
    </w:p>
    <w:p w:rsidR="001C56E9" w:rsidRPr="001C56E9" w:rsidRDefault="001C56E9" w:rsidP="001C56E9">
      <w:pPr>
        <w:autoSpaceDE w:val="0"/>
        <w:autoSpaceDN w:val="0"/>
        <w:adjustRightInd w:val="0"/>
        <w:spacing w:after="0" w:line="240" w:lineRule="auto"/>
        <w:jc w:val="both"/>
        <w:rPr>
          <w:rFonts w:ascii="Arial" w:hAnsi="Arial" w:cs="Arial"/>
          <w:sz w:val="24"/>
          <w:szCs w:val="24"/>
        </w:rPr>
      </w:pPr>
      <w:r w:rsidRPr="001C56E9">
        <w:rPr>
          <w:rFonts w:ascii="Arial" w:hAnsi="Arial" w:cs="Arial"/>
          <w:sz w:val="24"/>
          <w:szCs w:val="24"/>
        </w:rPr>
        <w:t>Le passività che danno luogo ad accantonamenti a fondi per rischi ed oneri sono di due tipi:</w:t>
      </w:r>
    </w:p>
    <w:p w:rsidR="001C56E9" w:rsidRPr="001C56E9" w:rsidRDefault="001C56E9" w:rsidP="001C56E9">
      <w:pPr>
        <w:autoSpaceDE w:val="0"/>
        <w:autoSpaceDN w:val="0"/>
        <w:adjustRightInd w:val="0"/>
        <w:spacing w:after="0" w:line="240" w:lineRule="auto"/>
        <w:ind w:left="142"/>
        <w:jc w:val="both"/>
        <w:rPr>
          <w:rFonts w:ascii="Arial" w:hAnsi="Arial" w:cs="Arial"/>
          <w:sz w:val="24"/>
          <w:szCs w:val="24"/>
        </w:rPr>
      </w:pPr>
      <w:r w:rsidRPr="001C56E9">
        <w:rPr>
          <w:rFonts w:ascii="Arial" w:hAnsi="Arial" w:cs="Arial"/>
          <w:i/>
          <w:iCs/>
          <w:sz w:val="24"/>
          <w:szCs w:val="24"/>
        </w:rPr>
        <w:t>a</w:t>
      </w:r>
      <w:r w:rsidRPr="001C56E9">
        <w:rPr>
          <w:rFonts w:ascii="Arial" w:hAnsi="Arial" w:cs="Arial"/>
          <w:sz w:val="24"/>
          <w:szCs w:val="24"/>
        </w:rPr>
        <w:t xml:space="preserve">) accantonamenti per passività certe, il cui ammontare o la cui data di estinzione sono indeterminati. Si tratta in sostanza di </w:t>
      </w:r>
      <w:r w:rsidRPr="001C56E9">
        <w:rPr>
          <w:rFonts w:ascii="Arial" w:hAnsi="Arial" w:cs="Arial"/>
          <w:sz w:val="24"/>
          <w:szCs w:val="24"/>
          <w:u w:val="single"/>
        </w:rPr>
        <w:t>fondi oneri</w:t>
      </w:r>
      <w:r w:rsidRPr="001C56E9">
        <w:rPr>
          <w:rFonts w:ascii="Arial" w:hAnsi="Arial" w:cs="Arial"/>
          <w:sz w:val="24"/>
          <w:szCs w:val="24"/>
        </w:rPr>
        <w:t>, ossia di costi, spese e perdite di competenza dell'esercizio in corso per obbligazioni già assunte alla data di bilancio od altri eventi già verificatisi (maturati) alla stessa data ma non ancora definiti esattamente nell'ammontare o nella data di estinzione. Si tratta, quindi, di obbligazioni che maturano con il passare del tempo o che sorgono con il verificarsi di un evento specifico dell'esercizio in corso, ovvero di perdite che si riferiscono ad un evento specifico verificatosi nell'esercizio in corso, le quali non sono ancora definite esattamente nell'ammontare ma che comportano un procedimento ragionieristico di stima. Gli stanziamenti per le predette obbligazioni vanno effettuati sulla base di una stima realistica dell'onere necessario per soddisfarle, misurato dai costi in vigore alla data di chiusura dell'esercizio, tenendo però conto di tutti gli aumenti di costo già noti a tale data, documentati e verificabili, che dovranno essere sostenuti per soddisfare le obbligazioni assunte.</w:t>
      </w:r>
    </w:p>
    <w:p w:rsidR="001C56E9" w:rsidRPr="001C56E9" w:rsidRDefault="001C56E9" w:rsidP="001C56E9">
      <w:pPr>
        <w:autoSpaceDE w:val="0"/>
        <w:autoSpaceDN w:val="0"/>
        <w:adjustRightInd w:val="0"/>
        <w:spacing w:after="0" w:line="240" w:lineRule="auto"/>
        <w:ind w:left="142"/>
        <w:jc w:val="both"/>
        <w:rPr>
          <w:rFonts w:ascii="Arial" w:hAnsi="Arial" w:cs="Arial"/>
          <w:sz w:val="24"/>
          <w:szCs w:val="24"/>
        </w:rPr>
      </w:pPr>
      <w:r w:rsidRPr="001C56E9">
        <w:rPr>
          <w:rFonts w:ascii="Arial" w:hAnsi="Arial" w:cs="Arial"/>
          <w:i/>
          <w:iCs/>
          <w:sz w:val="24"/>
          <w:szCs w:val="24"/>
        </w:rPr>
        <w:t>b</w:t>
      </w:r>
      <w:r w:rsidRPr="001C56E9">
        <w:rPr>
          <w:rFonts w:ascii="Arial" w:hAnsi="Arial" w:cs="Arial"/>
          <w:sz w:val="24"/>
          <w:szCs w:val="24"/>
        </w:rPr>
        <w:t xml:space="preserve">) Accantonamenti per passività la cui esistenza è solo probabile; si tratta delle cosiddette “passività potenziali” o </w:t>
      </w:r>
      <w:r w:rsidRPr="001C56E9">
        <w:rPr>
          <w:rFonts w:ascii="Arial" w:hAnsi="Arial" w:cs="Arial"/>
          <w:sz w:val="24"/>
          <w:szCs w:val="24"/>
          <w:u w:val="single"/>
        </w:rPr>
        <w:t>fondi rischi</w:t>
      </w:r>
      <w:r w:rsidRPr="001C56E9">
        <w:rPr>
          <w:rFonts w:ascii="Arial" w:hAnsi="Arial" w:cs="Arial"/>
          <w:sz w:val="24"/>
          <w:szCs w:val="24"/>
        </w:rPr>
        <w:t>.</w:t>
      </w:r>
    </w:p>
    <w:p w:rsidR="001C56E9" w:rsidRPr="001C56E9" w:rsidRDefault="001C56E9" w:rsidP="001C56E9">
      <w:pPr>
        <w:autoSpaceDE w:val="0"/>
        <w:autoSpaceDN w:val="0"/>
        <w:adjustRightInd w:val="0"/>
        <w:spacing w:after="0" w:line="240" w:lineRule="auto"/>
        <w:ind w:left="142"/>
        <w:jc w:val="both"/>
        <w:rPr>
          <w:rFonts w:ascii="Arial" w:hAnsi="Arial" w:cs="Arial"/>
          <w:sz w:val="24"/>
          <w:szCs w:val="24"/>
        </w:rPr>
      </w:pPr>
    </w:p>
    <w:p w:rsidR="001C56E9" w:rsidRPr="001C56E9" w:rsidRDefault="001C56E9" w:rsidP="001C56E9">
      <w:pPr>
        <w:autoSpaceDE w:val="0"/>
        <w:autoSpaceDN w:val="0"/>
        <w:adjustRightInd w:val="0"/>
        <w:spacing w:after="0" w:line="240" w:lineRule="auto"/>
        <w:jc w:val="both"/>
        <w:rPr>
          <w:rFonts w:ascii="Arial" w:hAnsi="Arial" w:cs="Arial"/>
          <w:sz w:val="24"/>
          <w:szCs w:val="24"/>
        </w:rPr>
      </w:pPr>
      <w:r w:rsidRPr="001C56E9">
        <w:rPr>
          <w:rFonts w:ascii="Arial" w:hAnsi="Arial" w:cs="Arial"/>
          <w:sz w:val="24"/>
          <w:szCs w:val="24"/>
        </w:rPr>
        <w:t>I fondi del passivo non possono essere utilizzati per attuare “politiche di bilancio”, tramite la costituzione di generici fondi rischi privi di giustificazione economica.</w:t>
      </w:r>
    </w:p>
    <w:p w:rsidR="001C56E9" w:rsidRPr="001C56E9" w:rsidRDefault="001C56E9" w:rsidP="001C56E9">
      <w:pPr>
        <w:autoSpaceDE w:val="0"/>
        <w:autoSpaceDN w:val="0"/>
        <w:adjustRightInd w:val="0"/>
        <w:spacing w:after="0" w:line="240" w:lineRule="auto"/>
        <w:jc w:val="both"/>
        <w:rPr>
          <w:rFonts w:ascii="Arial" w:hAnsi="Arial" w:cs="Arial"/>
          <w:sz w:val="24"/>
          <w:szCs w:val="24"/>
        </w:rPr>
      </w:pPr>
      <w:r w:rsidRPr="001C56E9">
        <w:rPr>
          <w:rFonts w:ascii="Arial" w:hAnsi="Arial" w:cs="Arial"/>
          <w:sz w:val="24"/>
          <w:szCs w:val="24"/>
        </w:rPr>
        <w:t xml:space="preserve">Nella valutazione dei </w:t>
      </w:r>
      <w:r w:rsidRPr="001C56E9">
        <w:rPr>
          <w:rFonts w:ascii="Arial" w:hAnsi="Arial" w:cs="Arial"/>
          <w:b/>
          <w:sz w:val="24"/>
          <w:szCs w:val="24"/>
          <w:u w:val="single"/>
        </w:rPr>
        <w:t>Fondi per oneri</w:t>
      </w:r>
      <w:r w:rsidRPr="001C56E9">
        <w:rPr>
          <w:rFonts w:ascii="Arial" w:hAnsi="Arial" w:cs="Arial"/>
          <w:sz w:val="24"/>
          <w:szCs w:val="24"/>
        </w:rPr>
        <w:t xml:space="preserve"> occorre tenere presente i principi generali del bilancio, in particolare i postulati della competenza e della prudenza.</w:t>
      </w:r>
    </w:p>
    <w:p w:rsidR="001C56E9" w:rsidRPr="001C56E9" w:rsidRDefault="001C56E9" w:rsidP="001C56E9">
      <w:pPr>
        <w:pStyle w:val="Paragrafoelenco"/>
        <w:autoSpaceDE w:val="0"/>
        <w:autoSpaceDN w:val="0"/>
        <w:adjustRightInd w:val="0"/>
        <w:spacing w:after="0" w:line="240" w:lineRule="auto"/>
        <w:ind w:left="0"/>
        <w:jc w:val="both"/>
        <w:rPr>
          <w:rFonts w:ascii="Arial" w:hAnsi="Arial" w:cs="Arial"/>
          <w:b/>
          <w:i/>
          <w:iCs/>
          <w:sz w:val="24"/>
          <w:szCs w:val="24"/>
        </w:rPr>
      </w:pPr>
      <w:r w:rsidRPr="001C56E9">
        <w:rPr>
          <w:rFonts w:ascii="Arial" w:hAnsi="Arial" w:cs="Arial"/>
          <w:b/>
          <w:i/>
          <w:iCs/>
          <w:sz w:val="24"/>
          <w:szCs w:val="24"/>
        </w:rPr>
        <w:t>-Fondi di quiescenza e obblighi simili</w:t>
      </w:r>
    </w:p>
    <w:p w:rsidR="001C56E9" w:rsidRPr="001C56E9" w:rsidRDefault="001C56E9" w:rsidP="001C56E9">
      <w:pPr>
        <w:autoSpaceDE w:val="0"/>
        <w:autoSpaceDN w:val="0"/>
        <w:adjustRightInd w:val="0"/>
        <w:spacing w:after="0" w:line="240" w:lineRule="auto"/>
        <w:jc w:val="both"/>
        <w:rPr>
          <w:rFonts w:ascii="Arial" w:hAnsi="Arial" w:cs="Arial"/>
          <w:sz w:val="24"/>
          <w:szCs w:val="24"/>
        </w:rPr>
      </w:pPr>
      <w:r w:rsidRPr="001C56E9">
        <w:rPr>
          <w:rFonts w:ascii="Arial" w:hAnsi="Arial" w:cs="Arial"/>
          <w:sz w:val="24"/>
          <w:szCs w:val="24"/>
        </w:rPr>
        <w:t>La voce accoglie i fondi diversi dal trattamento di fine rapporto ex art. 2120 Codice Civile, quali ad esempio:</w:t>
      </w:r>
    </w:p>
    <w:p w:rsidR="001C56E9" w:rsidRPr="001C56E9" w:rsidRDefault="001C56E9" w:rsidP="001C56E9">
      <w:pPr>
        <w:numPr>
          <w:ilvl w:val="0"/>
          <w:numId w:val="35"/>
        </w:numPr>
        <w:autoSpaceDE w:val="0"/>
        <w:autoSpaceDN w:val="0"/>
        <w:adjustRightInd w:val="0"/>
        <w:spacing w:after="0" w:line="240" w:lineRule="auto"/>
        <w:jc w:val="both"/>
        <w:rPr>
          <w:rFonts w:ascii="Arial" w:hAnsi="Arial" w:cs="Arial"/>
          <w:sz w:val="24"/>
          <w:szCs w:val="24"/>
        </w:rPr>
      </w:pPr>
      <w:r w:rsidRPr="001C56E9">
        <w:rPr>
          <w:rFonts w:ascii="Arial" w:hAnsi="Arial" w:cs="Arial"/>
          <w:sz w:val="24"/>
          <w:szCs w:val="24"/>
        </w:rPr>
        <w:t>i fondi di pensione costituiti in aggiunta al trattamento previdenziale di legge (ad es. INPS ecc.) per il personale dipendente;</w:t>
      </w:r>
    </w:p>
    <w:p w:rsidR="001C56E9" w:rsidRPr="001C56E9" w:rsidRDefault="001C56E9" w:rsidP="001C56E9">
      <w:pPr>
        <w:numPr>
          <w:ilvl w:val="0"/>
          <w:numId w:val="35"/>
        </w:numPr>
        <w:autoSpaceDE w:val="0"/>
        <w:autoSpaceDN w:val="0"/>
        <w:adjustRightInd w:val="0"/>
        <w:spacing w:after="0" w:line="240" w:lineRule="auto"/>
        <w:jc w:val="both"/>
        <w:rPr>
          <w:rFonts w:ascii="Arial" w:hAnsi="Arial" w:cs="Arial"/>
          <w:sz w:val="24"/>
          <w:szCs w:val="24"/>
        </w:rPr>
      </w:pPr>
      <w:r w:rsidRPr="001C56E9">
        <w:rPr>
          <w:rFonts w:ascii="Arial" w:hAnsi="Arial" w:cs="Arial"/>
          <w:sz w:val="24"/>
          <w:szCs w:val="24"/>
        </w:rPr>
        <w:t>i fondi di pensione integrativa derivanti da accordi aziendali, interaziendali o collettivi per il personale dipendente;</w:t>
      </w:r>
    </w:p>
    <w:p w:rsidR="001C56E9" w:rsidRPr="001C56E9" w:rsidRDefault="001C56E9" w:rsidP="001C56E9">
      <w:pPr>
        <w:numPr>
          <w:ilvl w:val="0"/>
          <w:numId w:val="35"/>
        </w:numPr>
        <w:spacing w:line="240" w:lineRule="auto"/>
        <w:jc w:val="both"/>
        <w:rPr>
          <w:rFonts w:ascii="Arial" w:hAnsi="Arial" w:cs="Arial"/>
          <w:sz w:val="24"/>
          <w:szCs w:val="24"/>
        </w:rPr>
      </w:pPr>
      <w:r w:rsidRPr="001C56E9">
        <w:rPr>
          <w:rFonts w:ascii="Arial" w:hAnsi="Arial" w:cs="Arial"/>
          <w:sz w:val="24"/>
          <w:szCs w:val="24"/>
        </w:rPr>
        <w:t>i fondi di indennità per cessazione di rapporti di collaborazione coordinata e continuativa.</w:t>
      </w:r>
    </w:p>
    <w:p w:rsidR="001C56E9" w:rsidRPr="001C56E9" w:rsidRDefault="001C56E9" w:rsidP="001C56E9">
      <w:pPr>
        <w:autoSpaceDE w:val="0"/>
        <w:autoSpaceDN w:val="0"/>
        <w:adjustRightInd w:val="0"/>
        <w:spacing w:after="0" w:line="240" w:lineRule="auto"/>
        <w:jc w:val="both"/>
        <w:rPr>
          <w:rFonts w:ascii="Arial" w:hAnsi="Arial" w:cs="Arial"/>
          <w:sz w:val="24"/>
          <w:szCs w:val="24"/>
        </w:rPr>
      </w:pPr>
      <w:r w:rsidRPr="001C56E9">
        <w:rPr>
          <w:rFonts w:ascii="Arial" w:hAnsi="Arial" w:cs="Arial"/>
          <w:sz w:val="24"/>
          <w:szCs w:val="24"/>
        </w:rPr>
        <w:t>Tali fondi sono certi nell'esistenza e indeterminati nell'ammontare, in quanto basati su calcoli matematico-attuariali o condizionati da eventi futuri come il raggiungimento di una determinata anzianità di servizio e la vita utile lavorativa, ma sono stimabili con ragionevolezza.</w:t>
      </w:r>
    </w:p>
    <w:p w:rsidR="001C56E9" w:rsidRPr="001C56E9" w:rsidRDefault="001C56E9" w:rsidP="001C56E9">
      <w:pPr>
        <w:autoSpaceDE w:val="0"/>
        <w:autoSpaceDN w:val="0"/>
        <w:adjustRightInd w:val="0"/>
        <w:spacing w:after="0" w:line="240" w:lineRule="auto"/>
        <w:jc w:val="both"/>
        <w:rPr>
          <w:rFonts w:ascii="Arial" w:hAnsi="Arial" w:cs="Arial"/>
          <w:sz w:val="24"/>
          <w:szCs w:val="24"/>
        </w:rPr>
      </w:pPr>
      <w:r w:rsidRPr="001C56E9">
        <w:rPr>
          <w:rFonts w:ascii="Arial" w:hAnsi="Arial" w:cs="Arial"/>
          <w:sz w:val="24"/>
          <w:szCs w:val="24"/>
        </w:rPr>
        <w:t>-</w:t>
      </w:r>
      <w:r w:rsidRPr="001C56E9">
        <w:rPr>
          <w:rFonts w:ascii="Arial" w:hAnsi="Arial" w:cs="Arial"/>
          <w:b/>
          <w:i/>
          <w:iCs/>
          <w:sz w:val="24"/>
          <w:szCs w:val="24"/>
        </w:rPr>
        <w:t>Fondo manutenzione ciclica</w:t>
      </w:r>
    </w:p>
    <w:p w:rsidR="001C56E9" w:rsidRPr="001C56E9" w:rsidRDefault="001C56E9" w:rsidP="001C56E9">
      <w:pPr>
        <w:autoSpaceDE w:val="0"/>
        <w:autoSpaceDN w:val="0"/>
        <w:adjustRightInd w:val="0"/>
        <w:spacing w:after="0" w:line="240" w:lineRule="auto"/>
        <w:jc w:val="both"/>
        <w:rPr>
          <w:rFonts w:ascii="Arial" w:hAnsi="Arial" w:cs="Arial"/>
          <w:sz w:val="24"/>
          <w:szCs w:val="24"/>
        </w:rPr>
      </w:pPr>
      <w:r w:rsidRPr="001C56E9">
        <w:rPr>
          <w:rFonts w:ascii="Arial" w:hAnsi="Arial" w:cs="Arial"/>
          <w:sz w:val="24"/>
          <w:szCs w:val="24"/>
        </w:rPr>
        <w:t>A fronte delle spese di manutenzione ordinaria svolte periodicamente dopo un certo numero di anni o ore di servizio maturate in più esercizi su certi grandi impianti o su immobilizzazioni sulla base di norme di legge o regolamenti dell’ente viene iscritto nello stato patrimoniale un fondo manutenzione ciclica o periodica.</w:t>
      </w:r>
    </w:p>
    <w:p w:rsidR="001C56E9" w:rsidRPr="001C56E9" w:rsidRDefault="001C56E9" w:rsidP="001C56E9">
      <w:pPr>
        <w:autoSpaceDE w:val="0"/>
        <w:autoSpaceDN w:val="0"/>
        <w:adjustRightInd w:val="0"/>
        <w:spacing w:after="0" w:line="240" w:lineRule="auto"/>
        <w:jc w:val="both"/>
        <w:rPr>
          <w:rFonts w:ascii="Arial" w:hAnsi="Arial" w:cs="Arial"/>
          <w:sz w:val="24"/>
          <w:szCs w:val="24"/>
        </w:rPr>
      </w:pPr>
      <w:r w:rsidRPr="001C56E9">
        <w:rPr>
          <w:rFonts w:ascii="Arial" w:hAnsi="Arial" w:cs="Arial"/>
          <w:sz w:val="24"/>
          <w:szCs w:val="24"/>
        </w:rPr>
        <w:t>Tale fondo non intende coprire costi per apportare migliorie, modifiche, ristrutturazioni o rinnovamenti che si concretizzino in un incremento significativo e tangibile di capacità o di produttività o di sicurezza (manutenzioni di tipo straordinario), per i quali si rimanda al paragrafo sulle immobilizzazioni materiali.</w:t>
      </w:r>
    </w:p>
    <w:p w:rsidR="001C56E9" w:rsidRPr="001C56E9" w:rsidRDefault="001C56E9" w:rsidP="001C56E9">
      <w:pPr>
        <w:autoSpaceDE w:val="0"/>
        <w:autoSpaceDN w:val="0"/>
        <w:adjustRightInd w:val="0"/>
        <w:spacing w:after="0" w:line="240" w:lineRule="auto"/>
        <w:jc w:val="both"/>
        <w:rPr>
          <w:rFonts w:ascii="Arial" w:hAnsi="Arial" w:cs="Arial"/>
          <w:sz w:val="24"/>
          <w:szCs w:val="24"/>
        </w:rPr>
      </w:pPr>
      <w:r w:rsidRPr="001C56E9">
        <w:rPr>
          <w:rFonts w:ascii="Arial" w:hAnsi="Arial" w:cs="Arial"/>
          <w:sz w:val="24"/>
          <w:szCs w:val="24"/>
        </w:rPr>
        <w:t>Gli stanziamenti a tale fondo hanno l'obiettivo di ripartire, secondo il principio della competenza fra i vari esercizi, il costo di manutenzione che, benché effettuata dopo un certo numero di anni, si riferisce ad un'usura del bene verificatasi anche negli esercizi precedenti a quello in cui la manutenzione viene eseguita. Pertanto, accantonamenti periodici a questo fondo vanno effettuati se ricorrono le seguenti condizioni:</w:t>
      </w:r>
    </w:p>
    <w:p w:rsidR="001C56E9" w:rsidRPr="001C56E9" w:rsidRDefault="001C56E9" w:rsidP="001C56E9">
      <w:pPr>
        <w:autoSpaceDE w:val="0"/>
        <w:autoSpaceDN w:val="0"/>
        <w:adjustRightInd w:val="0"/>
        <w:spacing w:after="0" w:line="240" w:lineRule="auto"/>
        <w:ind w:left="480"/>
        <w:jc w:val="both"/>
        <w:rPr>
          <w:rFonts w:ascii="Arial" w:hAnsi="Arial" w:cs="Arial"/>
          <w:sz w:val="24"/>
          <w:szCs w:val="24"/>
        </w:rPr>
      </w:pPr>
      <w:r w:rsidRPr="001C56E9">
        <w:rPr>
          <w:rFonts w:ascii="Arial" w:hAnsi="Arial" w:cs="Arial"/>
          <w:i/>
          <w:iCs/>
          <w:sz w:val="24"/>
          <w:szCs w:val="24"/>
        </w:rPr>
        <w:t>a</w:t>
      </w:r>
      <w:r w:rsidRPr="001C56E9">
        <w:rPr>
          <w:rFonts w:ascii="Arial" w:hAnsi="Arial" w:cs="Arial"/>
          <w:sz w:val="24"/>
          <w:szCs w:val="24"/>
        </w:rPr>
        <w:t>) trattasi di manutenzione che sicuramente verrà eseguita (ed è già pianificata) ad intervalli periodici;</w:t>
      </w:r>
    </w:p>
    <w:p w:rsidR="001C56E9" w:rsidRPr="001C56E9" w:rsidRDefault="001C56E9" w:rsidP="001C56E9">
      <w:pPr>
        <w:autoSpaceDE w:val="0"/>
        <w:autoSpaceDN w:val="0"/>
        <w:adjustRightInd w:val="0"/>
        <w:spacing w:after="0" w:line="240" w:lineRule="auto"/>
        <w:ind w:left="480"/>
        <w:jc w:val="both"/>
        <w:rPr>
          <w:rFonts w:ascii="Arial" w:hAnsi="Arial" w:cs="Arial"/>
          <w:sz w:val="24"/>
          <w:szCs w:val="24"/>
        </w:rPr>
      </w:pPr>
      <w:r w:rsidRPr="001C56E9">
        <w:rPr>
          <w:rFonts w:ascii="Arial" w:hAnsi="Arial" w:cs="Arial"/>
          <w:i/>
          <w:iCs/>
          <w:sz w:val="24"/>
          <w:szCs w:val="24"/>
        </w:rPr>
        <w:t>b</w:t>
      </w:r>
      <w:r w:rsidRPr="001C56E9">
        <w:rPr>
          <w:rFonts w:ascii="Arial" w:hAnsi="Arial" w:cs="Arial"/>
          <w:sz w:val="24"/>
          <w:szCs w:val="24"/>
        </w:rPr>
        <w:t>) vi è la ragionevole certezza che il bene continuerà ad essere utilizzato almeno fino al prossimo ciclo di manutenzione;</w:t>
      </w:r>
    </w:p>
    <w:p w:rsidR="001C56E9" w:rsidRPr="001C56E9" w:rsidRDefault="001C56E9" w:rsidP="001C56E9">
      <w:pPr>
        <w:autoSpaceDE w:val="0"/>
        <w:autoSpaceDN w:val="0"/>
        <w:adjustRightInd w:val="0"/>
        <w:spacing w:after="0" w:line="240" w:lineRule="auto"/>
        <w:ind w:left="480"/>
        <w:jc w:val="both"/>
        <w:rPr>
          <w:rFonts w:ascii="Arial" w:hAnsi="Arial" w:cs="Arial"/>
          <w:sz w:val="24"/>
          <w:szCs w:val="24"/>
        </w:rPr>
      </w:pPr>
      <w:r w:rsidRPr="001C56E9">
        <w:rPr>
          <w:rFonts w:ascii="Arial" w:hAnsi="Arial" w:cs="Arial"/>
          <w:i/>
          <w:iCs/>
          <w:sz w:val="24"/>
          <w:szCs w:val="24"/>
        </w:rPr>
        <w:t>c</w:t>
      </w:r>
      <w:r w:rsidRPr="001C56E9">
        <w:rPr>
          <w:rFonts w:ascii="Arial" w:hAnsi="Arial" w:cs="Arial"/>
          <w:sz w:val="24"/>
          <w:szCs w:val="24"/>
        </w:rPr>
        <w:t>) la manutenzione ciclica non può essere sostituita da più frequenti, ma comunque sporadici, interventi di manutenzione ordinaria;</w:t>
      </w:r>
    </w:p>
    <w:p w:rsidR="001C56E9" w:rsidRPr="001C56E9" w:rsidRDefault="001C56E9" w:rsidP="001C56E9">
      <w:pPr>
        <w:autoSpaceDE w:val="0"/>
        <w:autoSpaceDN w:val="0"/>
        <w:adjustRightInd w:val="0"/>
        <w:spacing w:after="0" w:line="240" w:lineRule="auto"/>
        <w:ind w:left="480"/>
        <w:jc w:val="both"/>
        <w:rPr>
          <w:rFonts w:ascii="Arial" w:hAnsi="Arial" w:cs="Arial"/>
          <w:sz w:val="24"/>
          <w:szCs w:val="24"/>
        </w:rPr>
      </w:pPr>
      <w:r w:rsidRPr="001C56E9">
        <w:rPr>
          <w:rFonts w:ascii="Arial" w:hAnsi="Arial" w:cs="Arial"/>
          <w:i/>
          <w:iCs/>
          <w:sz w:val="24"/>
          <w:szCs w:val="24"/>
        </w:rPr>
        <w:t>d</w:t>
      </w:r>
      <w:r w:rsidRPr="001C56E9">
        <w:rPr>
          <w:rFonts w:ascii="Arial" w:hAnsi="Arial" w:cs="Arial"/>
          <w:sz w:val="24"/>
          <w:szCs w:val="24"/>
        </w:rPr>
        <w:t>) la manutenzione ciclica ad intervalli pluriennali non viene sostituita da una serie di interventi ciclici con periodicità annuale, i cui costi vengono sistematicamente addebitati all'esercizio.</w:t>
      </w:r>
    </w:p>
    <w:p w:rsidR="001C56E9" w:rsidRPr="001C56E9" w:rsidRDefault="001C56E9" w:rsidP="001C56E9">
      <w:pPr>
        <w:autoSpaceDE w:val="0"/>
        <w:autoSpaceDN w:val="0"/>
        <w:adjustRightInd w:val="0"/>
        <w:spacing w:after="0" w:line="240" w:lineRule="auto"/>
        <w:jc w:val="both"/>
        <w:rPr>
          <w:rFonts w:ascii="Arial" w:hAnsi="Arial" w:cs="Arial"/>
          <w:sz w:val="24"/>
          <w:szCs w:val="24"/>
        </w:rPr>
      </w:pPr>
      <w:r w:rsidRPr="001C56E9">
        <w:rPr>
          <w:rFonts w:ascii="Arial" w:hAnsi="Arial" w:cs="Arial"/>
          <w:sz w:val="24"/>
          <w:szCs w:val="24"/>
        </w:rPr>
        <w:t>Lo stanziamento è effettuato suddividendo la spesa prevista in base ad appropriati parametri che riflettano il principio della competenza.</w:t>
      </w:r>
    </w:p>
    <w:p w:rsidR="001C56E9" w:rsidRPr="001C56E9" w:rsidRDefault="001C56E9" w:rsidP="001C56E9">
      <w:pPr>
        <w:autoSpaceDE w:val="0"/>
        <w:autoSpaceDN w:val="0"/>
        <w:adjustRightInd w:val="0"/>
        <w:spacing w:after="0" w:line="240" w:lineRule="auto"/>
        <w:jc w:val="both"/>
        <w:rPr>
          <w:rFonts w:ascii="Arial" w:hAnsi="Arial" w:cs="Arial"/>
          <w:sz w:val="24"/>
          <w:szCs w:val="24"/>
        </w:rPr>
      </w:pPr>
      <w:r w:rsidRPr="001C56E9">
        <w:rPr>
          <w:rFonts w:ascii="Arial" w:hAnsi="Arial" w:cs="Arial"/>
          <w:sz w:val="24"/>
          <w:szCs w:val="24"/>
        </w:rPr>
        <w:t>Il costo totale stimato dei lavori deve essere pari a quello che si sosterrebbe se la manutenzione fosse effettuata alla data di chiusura dell'esercizio, tenendo però conto di tutti gli aumenti di costo già noti a tale data, documentati e verificabili, che dovranno essere sostenuti per svolgere la manutenzione. Pertanto, non sono anticipati gli effetti di eventuali incrementi dei costi sulla base di proiezioni future di tassi inflazionistici.</w:t>
      </w:r>
    </w:p>
    <w:p w:rsidR="001C56E9" w:rsidRPr="001C56E9" w:rsidRDefault="001C56E9" w:rsidP="001C56E9">
      <w:pPr>
        <w:autoSpaceDE w:val="0"/>
        <w:autoSpaceDN w:val="0"/>
        <w:adjustRightInd w:val="0"/>
        <w:spacing w:after="0" w:line="240" w:lineRule="auto"/>
        <w:jc w:val="both"/>
        <w:rPr>
          <w:rFonts w:ascii="Arial" w:hAnsi="Arial" w:cs="Arial"/>
          <w:sz w:val="24"/>
          <w:szCs w:val="24"/>
        </w:rPr>
      </w:pPr>
      <w:r w:rsidRPr="001C56E9">
        <w:rPr>
          <w:rFonts w:ascii="Arial" w:hAnsi="Arial" w:cs="Arial"/>
          <w:sz w:val="24"/>
          <w:szCs w:val="24"/>
        </w:rPr>
        <w:lastRenderedPageBreak/>
        <w:t>La congruità del fondo, stimato per categorie omogenee di beni, deve essere riesaminata periodicamente per tenere conto di eventuali variazioni nei tempi di esecuzione dei lavori di manutenzione e del costo stimato dei lavori stessi.</w:t>
      </w:r>
    </w:p>
    <w:p w:rsidR="001C56E9" w:rsidRPr="001C56E9" w:rsidRDefault="001C56E9" w:rsidP="001C56E9">
      <w:pPr>
        <w:autoSpaceDE w:val="0"/>
        <w:autoSpaceDN w:val="0"/>
        <w:adjustRightInd w:val="0"/>
        <w:spacing w:after="0" w:line="240" w:lineRule="auto"/>
        <w:jc w:val="both"/>
        <w:rPr>
          <w:rFonts w:ascii="Arial" w:hAnsi="Arial" w:cs="Arial"/>
          <w:b/>
          <w:i/>
          <w:iCs/>
          <w:sz w:val="24"/>
          <w:szCs w:val="24"/>
        </w:rPr>
      </w:pPr>
      <w:r w:rsidRPr="001C56E9">
        <w:rPr>
          <w:rFonts w:ascii="Arial" w:hAnsi="Arial" w:cs="Arial"/>
          <w:sz w:val="24"/>
          <w:szCs w:val="24"/>
        </w:rPr>
        <w:t>-</w:t>
      </w:r>
      <w:r w:rsidRPr="001C56E9">
        <w:rPr>
          <w:rFonts w:ascii="Arial" w:hAnsi="Arial" w:cs="Arial"/>
          <w:b/>
          <w:i/>
          <w:iCs/>
          <w:sz w:val="24"/>
          <w:szCs w:val="24"/>
        </w:rPr>
        <w:t>Fondo per copertura perdite di società partecipate</w:t>
      </w:r>
    </w:p>
    <w:p w:rsidR="001C56E9" w:rsidRPr="001C56E9" w:rsidRDefault="001C56E9" w:rsidP="001C56E9">
      <w:pPr>
        <w:autoSpaceDE w:val="0"/>
        <w:autoSpaceDN w:val="0"/>
        <w:adjustRightInd w:val="0"/>
        <w:spacing w:after="0" w:line="240" w:lineRule="auto"/>
        <w:jc w:val="both"/>
        <w:rPr>
          <w:rFonts w:ascii="Arial" w:hAnsi="Arial" w:cs="Arial"/>
          <w:sz w:val="24"/>
          <w:szCs w:val="24"/>
        </w:rPr>
      </w:pPr>
      <w:r w:rsidRPr="001C56E9">
        <w:rPr>
          <w:rFonts w:ascii="Arial" w:hAnsi="Arial" w:cs="Arial"/>
          <w:sz w:val="24"/>
          <w:szCs w:val="24"/>
        </w:rPr>
        <w:t>Qualora l’ente abbia partecipazioni immobilizzate in società che registrano perdite che non hanno natura durevole (in caso di durevolezza della perdita, infatti, occorre svalutare direttamente le partecipazioni) e abbia l'obbligo o l'intenzione di coprire tali perdite per la quota di pertinenza, accantona ad un fondo del passivo di stato patrimoniale un ammontare pari all'onere assunto.</w:t>
      </w:r>
    </w:p>
    <w:p w:rsidR="001C56E9" w:rsidRPr="001C56E9" w:rsidRDefault="001C56E9" w:rsidP="001C56E9">
      <w:pPr>
        <w:autoSpaceDE w:val="0"/>
        <w:autoSpaceDN w:val="0"/>
        <w:adjustRightInd w:val="0"/>
        <w:spacing w:after="0" w:line="240" w:lineRule="auto"/>
        <w:jc w:val="both"/>
        <w:rPr>
          <w:rFonts w:ascii="Arial" w:hAnsi="Arial" w:cs="Arial"/>
          <w:sz w:val="24"/>
          <w:szCs w:val="24"/>
        </w:rPr>
      </w:pPr>
      <w:r w:rsidRPr="001C56E9">
        <w:rPr>
          <w:rFonts w:ascii="Arial" w:hAnsi="Arial" w:cs="Arial"/>
          <w:sz w:val="24"/>
          <w:szCs w:val="24"/>
        </w:rPr>
        <w:t>In relazione alla tipologia dell'impegno, se il relativo onere ha già la natura di debito, sarà classificato come tale.</w:t>
      </w:r>
    </w:p>
    <w:p w:rsidR="001C56E9" w:rsidRPr="001C56E9" w:rsidRDefault="001C56E9" w:rsidP="001C56E9">
      <w:pPr>
        <w:autoSpaceDE w:val="0"/>
        <w:autoSpaceDN w:val="0"/>
        <w:adjustRightInd w:val="0"/>
        <w:spacing w:after="0" w:line="240" w:lineRule="auto"/>
        <w:ind w:left="360"/>
        <w:jc w:val="both"/>
        <w:rPr>
          <w:rFonts w:ascii="Arial" w:hAnsi="Arial" w:cs="Arial"/>
          <w:sz w:val="24"/>
          <w:szCs w:val="24"/>
        </w:rPr>
      </w:pPr>
    </w:p>
    <w:p w:rsidR="001C56E9" w:rsidRPr="001C56E9" w:rsidRDefault="001C56E9" w:rsidP="001C56E9">
      <w:pPr>
        <w:pStyle w:val="Paragrafoelenco"/>
        <w:autoSpaceDE w:val="0"/>
        <w:autoSpaceDN w:val="0"/>
        <w:adjustRightInd w:val="0"/>
        <w:spacing w:after="0" w:line="240" w:lineRule="auto"/>
        <w:ind w:left="0"/>
        <w:jc w:val="both"/>
        <w:rPr>
          <w:rFonts w:ascii="Arial" w:hAnsi="Arial" w:cs="Arial"/>
          <w:sz w:val="24"/>
          <w:szCs w:val="24"/>
        </w:rPr>
      </w:pPr>
      <w:r w:rsidRPr="001C56E9">
        <w:rPr>
          <w:rFonts w:ascii="Arial" w:hAnsi="Arial" w:cs="Arial"/>
          <w:sz w:val="24"/>
          <w:szCs w:val="24"/>
        </w:rPr>
        <w:t>Con l'espressione “</w:t>
      </w:r>
      <w:r w:rsidRPr="001C56E9">
        <w:rPr>
          <w:rFonts w:ascii="Arial" w:hAnsi="Arial" w:cs="Arial"/>
          <w:sz w:val="24"/>
          <w:szCs w:val="24"/>
          <w:u w:val="single"/>
        </w:rPr>
        <w:t>passività potenziali</w:t>
      </w:r>
      <w:r w:rsidRPr="001C56E9">
        <w:rPr>
          <w:rFonts w:ascii="Arial" w:hAnsi="Arial" w:cs="Arial"/>
          <w:sz w:val="24"/>
          <w:szCs w:val="24"/>
        </w:rPr>
        <w:t>” ci si riferisce a passività connesse a “potenzialità”, cioè a situazioni già esistenti ma con esito pendente in quanto si risolveranno in futuro.</w:t>
      </w:r>
    </w:p>
    <w:p w:rsidR="001C56E9" w:rsidRPr="001C56E9" w:rsidRDefault="001C56E9" w:rsidP="001C56E9">
      <w:pPr>
        <w:autoSpaceDE w:val="0"/>
        <w:autoSpaceDN w:val="0"/>
        <w:adjustRightInd w:val="0"/>
        <w:spacing w:after="0" w:line="240" w:lineRule="auto"/>
        <w:jc w:val="both"/>
        <w:rPr>
          <w:rFonts w:ascii="Arial" w:hAnsi="Arial" w:cs="Arial"/>
          <w:sz w:val="24"/>
          <w:szCs w:val="24"/>
        </w:rPr>
      </w:pPr>
      <w:r w:rsidRPr="001C56E9">
        <w:rPr>
          <w:rFonts w:ascii="Arial" w:hAnsi="Arial" w:cs="Arial"/>
          <w:sz w:val="24"/>
          <w:szCs w:val="24"/>
        </w:rPr>
        <w:t>In particolare, per “potenzialità” si intendono una situazione, una condizione od una fattispecie esistenti alla data del bilancio, caratterizzate da uno stato d'incertezza, le quali, al verificarsi o meno di uno o più eventi futuri, potranno concretizzarsi per l’ente in una perdita, confermando il sorgere di una passività o la perdita parziale o totale di un'attività (ad esempio, una causa passiva, l'inosservanza di una clausola contrattuale o di una norma di legge, un pignoramento, rischi non assicurati, ecc.).</w:t>
      </w:r>
    </w:p>
    <w:p w:rsidR="001C56E9" w:rsidRPr="001C56E9" w:rsidRDefault="001C56E9" w:rsidP="001C56E9">
      <w:pPr>
        <w:autoSpaceDE w:val="0"/>
        <w:autoSpaceDN w:val="0"/>
        <w:adjustRightInd w:val="0"/>
        <w:spacing w:after="0" w:line="240" w:lineRule="auto"/>
        <w:jc w:val="both"/>
        <w:rPr>
          <w:rFonts w:ascii="Arial" w:hAnsi="Arial" w:cs="Arial"/>
          <w:sz w:val="24"/>
          <w:szCs w:val="24"/>
        </w:rPr>
      </w:pPr>
      <w:r w:rsidRPr="001C56E9">
        <w:rPr>
          <w:rFonts w:ascii="Arial" w:hAnsi="Arial" w:cs="Arial"/>
          <w:sz w:val="24"/>
          <w:szCs w:val="24"/>
        </w:rPr>
        <w:t>La valutazione delle potenzialità deve essere sorretta dalle conoscenze delle specifiche situazioni, dall'esperienza del passato e da ogni altro elemento utile e devono essere effettuati nel rispetto dei postulati del bilancio d'esercizio ed in particolare di quelli della imparzialità e della verificabilità.</w:t>
      </w:r>
    </w:p>
    <w:p w:rsidR="001C56E9" w:rsidRPr="001C56E9" w:rsidRDefault="001C56E9" w:rsidP="001C56E9">
      <w:pPr>
        <w:autoSpaceDE w:val="0"/>
        <w:autoSpaceDN w:val="0"/>
        <w:adjustRightInd w:val="0"/>
        <w:spacing w:after="0" w:line="240" w:lineRule="auto"/>
        <w:jc w:val="both"/>
        <w:rPr>
          <w:rFonts w:ascii="Arial" w:hAnsi="Arial" w:cs="Arial"/>
          <w:sz w:val="24"/>
          <w:szCs w:val="24"/>
        </w:rPr>
      </w:pPr>
      <w:r w:rsidRPr="001C56E9">
        <w:rPr>
          <w:rFonts w:ascii="Arial" w:hAnsi="Arial" w:cs="Arial"/>
          <w:sz w:val="24"/>
          <w:szCs w:val="24"/>
        </w:rPr>
        <w:t>Il trattamento contabile delle perdite derivanti da potenzialità dipende dai seguenti due elementi:</w:t>
      </w:r>
    </w:p>
    <w:p w:rsidR="001C56E9" w:rsidRPr="001C56E9" w:rsidRDefault="001C56E9" w:rsidP="001C56E9">
      <w:pPr>
        <w:autoSpaceDE w:val="0"/>
        <w:autoSpaceDN w:val="0"/>
        <w:adjustRightInd w:val="0"/>
        <w:spacing w:after="0" w:line="240" w:lineRule="auto"/>
        <w:ind w:left="480"/>
        <w:jc w:val="both"/>
        <w:rPr>
          <w:rFonts w:ascii="Arial" w:hAnsi="Arial" w:cs="Arial"/>
          <w:sz w:val="24"/>
          <w:szCs w:val="24"/>
        </w:rPr>
      </w:pPr>
      <w:r w:rsidRPr="001C56E9">
        <w:rPr>
          <w:rFonts w:ascii="Arial" w:hAnsi="Arial" w:cs="Arial"/>
          <w:sz w:val="24"/>
          <w:szCs w:val="24"/>
        </w:rPr>
        <w:t>1) dal grado di realizzazione e di avveramento dell'evento futuro;</w:t>
      </w:r>
    </w:p>
    <w:p w:rsidR="001C56E9" w:rsidRPr="001C56E9" w:rsidRDefault="001C56E9" w:rsidP="001C56E9">
      <w:pPr>
        <w:autoSpaceDE w:val="0"/>
        <w:autoSpaceDN w:val="0"/>
        <w:adjustRightInd w:val="0"/>
        <w:spacing w:after="0" w:line="240" w:lineRule="auto"/>
        <w:ind w:left="480"/>
        <w:jc w:val="both"/>
        <w:rPr>
          <w:rFonts w:ascii="Arial" w:hAnsi="Arial" w:cs="Arial"/>
          <w:sz w:val="24"/>
          <w:szCs w:val="24"/>
        </w:rPr>
      </w:pPr>
      <w:r w:rsidRPr="001C56E9">
        <w:rPr>
          <w:rFonts w:ascii="Arial" w:hAnsi="Arial" w:cs="Arial"/>
          <w:sz w:val="24"/>
          <w:szCs w:val="24"/>
        </w:rPr>
        <w:t>2) dalla possibilità di stimare l'ammontare delle perdite.</w:t>
      </w:r>
    </w:p>
    <w:p w:rsidR="001C56E9" w:rsidRPr="001C56E9" w:rsidRDefault="001C56E9" w:rsidP="001C56E9">
      <w:pPr>
        <w:autoSpaceDE w:val="0"/>
        <w:autoSpaceDN w:val="0"/>
        <w:adjustRightInd w:val="0"/>
        <w:spacing w:after="0" w:line="240" w:lineRule="auto"/>
        <w:jc w:val="both"/>
        <w:rPr>
          <w:rFonts w:ascii="Arial" w:hAnsi="Arial" w:cs="Arial"/>
          <w:sz w:val="24"/>
          <w:szCs w:val="24"/>
        </w:rPr>
      </w:pPr>
      <w:r w:rsidRPr="001C56E9">
        <w:rPr>
          <w:rFonts w:ascii="Arial" w:hAnsi="Arial" w:cs="Arial"/>
          <w:sz w:val="24"/>
          <w:szCs w:val="24"/>
        </w:rPr>
        <w:t>Tali determinazioni sono spesso difficili da effettuare e richiedono discernimento, oculatezza e giudizio da parte del redattore del bilancio, applicati con competenza ed onestà e con l'utilizzo della più ampia conoscenza dei fatti e delle circostanze.</w:t>
      </w:r>
    </w:p>
    <w:p w:rsidR="001C56E9" w:rsidRPr="001C56E9" w:rsidRDefault="001C56E9" w:rsidP="001C56E9">
      <w:pPr>
        <w:autoSpaceDE w:val="0"/>
        <w:autoSpaceDN w:val="0"/>
        <w:adjustRightInd w:val="0"/>
        <w:spacing w:after="0" w:line="240" w:lineRule="auto"/>
        <w:jc w:val="both"/>
        <w:rPr>
          <w:rFonts w:ascii="Arial" w:hAnsi="Arial" w:cs="Arial"/>
          <w:sz w:val="24"/>
          <w:szCs w:val="24"/>
        </w:rPr>
      </w:pPr>
      <w:r w:rsidRPr="001C56E9">
        <w:rPr>
          <w:rFonts w:ascii="Arial" w:hAnsi="Arial" w:cs="Arial"/>
          <w:sz w:val="24"/>
          <w:szCs w:val="24"/>
        </w:rPr>
        <w:t>Le informazioni da utilizzare comprendono anche pareri legali e di altri esperti, dati relativi alla esperienza passata dell’ente in casi similari, le decisioni che l’ente intenderà adottare, ecc.</w:t>
      </w:r>
    </w:p>
    <w:p w:rsidR="001C56E9" w:rsidRPr="001C56E9" w:rsidRDefault="001C56E9" w:rsidP="001C56E9">
      <w:pPr>
        <w:autoSpaceDE w:val="0"/>
        <w:autoSpaceDN w:val="0"/>
        <w:adjustRightInd w:val="0"/>
        <w:spacing w:after="0" w:line="240" w:lineRule="auto"/>
        <w:jc w:val="both"/>
        <w:rPr>
          <w:rFonts w:ascii="Arial" w:hAnsi="Arial" w:cs="Arial"/>
          <w:sz w:val="24"/>
          <w:szCs w:val="24"/>
        </w:rPr>
      </w:pPr>
      <w:r w:rsidRPr="001C56E9">
        <w:rPr>
          <w:rFonts w:ascii="Arial" w:hAnsi="Arial" w:cs="Arial"/>
          <w:sz w:val="24"/>
          <w:szCs w:val="24"/>
        </w:rPr>
        <w:t>Al fine di misurare il grado di realizzazione e di avveramento dell'evento futuro tali eventi possono classificarsi in: probabili, possibili o remoti.</w:t>
      </w:r>
    </w:p>
    <w:p w:rsidR="001C56E9" w:rsidRPr="001C56E9" w:rsidRDefault="001C56E9" w:rsidP="001C56E9">
      <w:pPr>
        <w:autoSpaceDE w:val="0"/>
        <w:autoSpaceDN w:val="0"/>
        <w:adjustRightInd w:val="0"/>
        <w:spacing w:after="0" w:line="240" w:lineRule="auto"/>
        <w:jc w:val="both"/>
        <w:rPr>
          <w:rFonts w:ascii="Arial" w:hAnsi="Arial" w:cs="Arial"/>
          <w:sz w:val="24"/>
          <w:szCs w:val="24"/>
        </w:rPr>
      </w:pPr>
      <w:r w:rsidRPr="001C56E9">
        <w:rPr>
          <w:rFonts w:ascii="Arial" w:hAnsi="Arial" w:cs="Arial"/>
          <w:sz w:val="24"/>
          <w:szCs w:val="24"/>
        </w:rPr>
        <w:t>Un evento dicesi probabile qualora se ne ammetta l'accadimento in base a motivi seri o attendibili ma non certi, ossia se l'accadimento è credibile, verosimile o ammissibile in base a motivi ed argomenti abbastanza sicuri. Opinione probabile è del resto quella basata su ragioni tali da meritare l'assenso di persona prudente.</w:t>
      </w:r>
    </w:p>
    <w:p w:rsidR="001C56E9" w:rsidRPr="001C56E9" w:rsidRDefault="001C56E9" w:rsidP="001C56E9">
      <w:pPr>
        <w:autoSpaceDE w:val="0"/>
        <w:autoSpaceDN w:val="0"/>
        <w:adjustRightInd w:val="0"/>
        <w:spacing w:after="0" w:line="240" w:lineRule="auto"/>
        <w:jc w:val="both"/>
        <w:rPr>
          <w:rFonts w:ascii="Arial" w:hAnsi="Arial" w:cs="Arial"/>
          <w:sz w:val="24"/>
          <w:szCs w:val="24"/>
        </w:rPr>
      </w:pPr>
      <w:r w:rsidRPr="001C56E9">
        <w:rPr>
          <w:rFonts w:ascii="Arial" w:hAnsi="Arial" w:cs="Arial"/>
          <w:sz w:val="24"/>
          <w:szCs w:val="24"/>
        </w:rPr>
        <w:t>Con il termine possibile, il grado di realizzazione e di avveramento dell'evento futuro è inferiore al probabile. L'evento possibile è quello che può accadere o verificarsi, che cioè è eventuale o può avvenire.</w:t>
      </w:r>
    </w:p>
    <w:p w:rsidR="001C56E9" w:rsidRPr="001C56E9" w:rsidRDefault="001C56E9" w:rsidP="001C56E9">
      <w:pPr>
        <w:autoSpaceDE w:val="0"/>
        <w:autoSpaceDN w:val="0"/>
        <w:adjustRightInd w:val="0"/>
        <w:spacing w:after="0" w:line="240" w:lineRule="auto"/>
        <w:jc w:val="both"/>
        <w:rPr>
          <w:rFonts w:ascii="Arial" w:hAnsi="Arial" w:cs="Arial"/>
          <w:sz w:val="24"/>
          <w:szCs w:val="24"/>
        </w:rPr>
      </w:pPr>
      <w:r w:rsidRPr="001C56E9">
        <w:rPr>
          <w:rFonts w:ascii="Arial" w:hAnsi="Arial" w:cs="Arial"/>
          <w:sz w:val="24"/>
          <w:szCs w:val="24"/>
        </w:rPr>
        <w:t>L'evento remoto è invece quello che ha scarsissime possibilità di verificarsi, ossia, che potrà accadere molto difficilmente.</w:t>
      </w:r>
    </w:p>
    <w:p w:rsidR="001C56E9" w:rsidRPr="001C56E9" w:rsidRDefault="001C56E9" w:rsidP="001C56E9">
      <w:pPr>
        <w:autoSpaceDE w:val="0"/>
        <w:autoSpaceDN w:val="0"/>
        <w:adjustRightInd w:val="0"/>
        <w:spacing w:after="0" w:line="240" w:lineRule="auto"/>
        <w:jc w:val="both"/>
        <w:rPr>
          <w:rFonts w:ascii="Arial" w:hAnsi="Arial" w:cs="Arial"/>
          <w:sz w:val="24"/>
          <w:szCs w:val="24"/>
        </w:rPr>
      </w:pPr>
      <w:r w:rsidRPr="001C56E9">
        <w:rPr>
          <w:rFonts w:ascii="Arial" w:hAnsi="Arial" w:cs="Arial"/>
          <w:sz w:val="24"/>
          <w:szCs w:val="24"/>
        </w:rPr>
        <w:t>Le perdite derivanti da potenzialità e pertanto anche quelle connesse a passività potenziali sono rilevate in bilancio come fondi accesi a costi, spese e perdite di competenza stimati quando sussistono le seguenti condizioni:</w:t>
      </w:r>
    </w:p>
    <w:p w:rsidR="001C56E9" w:rsidRPr="001C56E9" w:rsidRDefault="001C56E9" w:rsidP="001C56E9">
      <w:pPr>
        <w:numPr>
          <w:ilvl w:val="1"/>
          <w:numId w:val="36"/>
        </w:numPr>
        <w:autoSpaceDE w:val="0"/>
        <w:autoSpaceDN w:val="0"/>
        <w:adjustRightInd w:val="0"/>
        <w:spacing w:after="0" w:line="240" w:lineRule="auto"/>
        <w:jc w:val="both"/>
        <w:rPr>
          <w:rFonts w:ascii="Arial" w:hAnsi="Arial" w:cs="Arial"/>
          <w:sz w:val="24"/>
          <w:szCs w:val="24"/>
        </w:rPr>
      </w:pPr>
      <w:r w:rsidRPr="001C56E9">
        <w:rPr>
          <w:rFonts w:ascii="Arial" w:hAnsi="Arial" w:cs="Arial"/>
          <w:sz w:val="24"/>
          <w:szCs w:val="24"/>
        </w:rPr>
        <w:t>la disponibilità, al momento della redazione del bilancio, di informazioni che facciano ritenere probabile il verificarsi degli eventi comportanti il sorgere di una passività o la diminuzione di una attività;</w:t>
      </w:r>
    </w:p>
    <w:p w:rsidR="001C56E9" w:rsidRPr="001C56E9" w:rsidRDefault="001C56E9" w:rsidP="001C56E9">
      <w:pPr>
        <w:numPr>
          <w:ilvl w:val="1"/>
          <w:numId w:val="37"/>
        </w:numPr>
        <w:autoSpaceDE w:val="0"/>
        <w:autoSpaceDN w:val="0"/>
        <w:adjustRightInd w:val="0"/>
        <w:spacing w:after="0" w:line="240" w:lineRule="auto"/>
        <w:jc w:val="both"/>
        <w:rPr>
          <w:rFonts w:ascii="Arial" w:hAnsi="Arial" w:cs="Arial"/>
          <w:sz w:val="24"/>
          <w:szCs w:val="24"/>
        </w:rPr>
      </w:pPr>
      <w:r w:rsidRPr="001C56E9">
        <w:rPr>
          <w:rFonts w:ascii="Arial" w:hAnsi="Arial" w:cs="Arial"/>
          <w:sz w:val="24"/>
          <w:szCs w:val="24"/>
        </w:rPr>
        <w:lastRenderedPageBreak/>
        <w:t>la possibilità di stimare l'entità dell'onere con sufficiente ragionevolezza.</w:t>
      </w:r>
    </w:p>
    <w:p w:rsidR="001C56E9" w:rsidRPr="001C56E9" w:rsidRDefault="001C56E9" w:rsidP="001C56E9">
      <w:pPr>
        <w:autoSpaceDE w:val="0"/>
        <w:autoSpaceDN w:val="0"/>
        <w:adjustRightInd w:val="0"/>
        <w:spacing w:after="0" w:line="240" w:lineRule="auto"/>
        <w:jc w:val="both"/>
        <w:rPr>
          <w:rFonts w:ascii="Arial" w:hAnsi="Arial" w:cs="Arial"/>
          <w:sz w:val="24"/>
          <w:szCs w:val="24"/>
        </w:rPr>
      </w:pPr>
    </w:p>
    <w:p w:rsidR="001C56E9" w:rsidRPr="001C56E9" w:rsidRDefault="001C56E9" w:rsidP="001C56E9">
      <w:pPr>
        <w:autoSpaceDE w:val="0"/>
        <w:autoSpaceDN w:val="0"/>
        <w:adjustRightInd w:val="0"/>
        <w:spacing w:after="0" w:line="240" w:lineRule="auto"/>
        <w:jc w:val="both"/>
        <w:rPr>
          <w:rFonts w:ascii="Arial" w:hAnsi="Arial" w:cs="Arial"/>
          <w:sz w:val="24"/>
          <w:szCs w:val="24"/>
        </w:rPr>
      </w:pPr>
      <w:r w:rsidRPr="001C56E9">
        <w:rPr>
          <w:rFonts w:ascii="Arial" w:hAnsi="Arial" w:cs="Arial"/>
          <w:sz w:val="24"/>
          <w:szCs w:val="24"/>
        </w:rPr>
        <w:t>Se una perdita connessa ad una potenzialità è stata stanziata in bilancio, la situazione d'incertezza e l'ammontare dello stanziamento sono indicati in nota integrativa se tali informazioni sono necessarie per una corretta comprensibilità del bilancio.</w:t>
      </w:r>
    </w:p>
    <w:p w:rsidR="001C56E9" w:rsidRPr="001C56E9" w:rsidRDefault="001C56E9" w:rsidP="001C56E9">
      <w:pPr>
        <w:autoSpaceDE w:val="0"/>
        <w:autoSpaceDN w:val="0"/>
        <w:adjustRightInd w:val="0"/>
        <w:spacing w:after="0" w:line="240" w:lineRule="auto"/>
        <w:jc w:val="both"/>
        <w:rPr>
          <w:rFonts w:ascii="Arial" w:hAnsi="Arial" w:cs="Arial"/>
          <w:sz w:val="24"/>
          <w:szCs w:val="24"/>
        </w:rPr>
      </w:pPr>
      <w:r w:rsidRPr="001C56E9">
        <w:rPr>
          <w:rFonts w:ascii="Arial" w:hAnsi="Arial" w:cs="Arial"/>
          <w:sz w:val="24"/>
          <w:szCs w:val="24"/>
        </w:rPr>
        <w:t>Tali stanziamenti sono rilevati nei fondi per rischi ed oneri.</w:t>
      </w:r>
    </w:p>
    <w:p w:rsidR="001C56E9" w:rsidRPr="001C56E9" w:rsidRDefault="001C56E9" w:rsidP="001C56E9">
      <w:pPr>
        <w:autoSpaceDE w:val="0"/>
        <w:autoSpaceDN w:val="0"/>
        <w:adjustRightInd w:val="0"/>
        <w:spacing w:after="0" w:line="240" w:lineRule="auto"/>
        <w:jc w:val="both"/>
        <w:rPr>
          <w:rFonts w:ascii="Arial" w:hAnsi="Arial" w:cs="Arial"/>
          <w:sz w:val="24"/>
          <w:szCs w:val="24"/>
        </w:rPr>
      </w:pPr>
      <w:r w:rsidRPr="001C56E9">
        <w:rPr>
          <w:rFonts w:ascii="Arial" w:hAnsi="Arial" w:cs="Arial"/>
          <w:sz w:val="24"/>
          <w:szCs w:val="24"/>
        </w:rPr>
        <w:t>Se è probabile che l'evento futuro si verifichi ma la stima non può essere effettuata, in quanto l'ammontare che ne risulterebbe sarebbe particolarmente aleatorio ed arbitrario, salvo il caso in cui sia possibile stimare e stanziare in bilancio un importo minimo, sono fornite in nota integrativa le stesse informazioni da indicare nel caso che l'evento sia possibile; inoltre si indicherà che è probabile che la perdita verrà sostenuta.</w:t>
      </w:r>
    </w:p>
    <w:p w:rsidR="001C56E9" w:rsidRPr="001C56E9" w:rsidRDefault="001C56E9" w:rsidP="001C56E9">
      <w:pPr>
        <w:autoSpaceDE w:val="0"/>
        <w:autoSpaceDN w:val="0"/>
        <w:adjustRightInd w:val="0"/>
        <w:spacing w:after="0" w:line="240" w:lineRule="auto"/>
        <w:jc w:val="both"/>
        <w:rPr>
          <w:rFonts w:ascii="Arial" w:hAnsi="Arial" w:cs="Arial"/>
          <w:sz w:val="24"/>
          <w:szCs w:val="24"/>
        </w:rPr>
      </w:pPr>
      <w:r w:rsidRPr="001C56E9">
        <w:rPr>
          <w:rFonts w:ascii="Arial" w:hAnsi="Arial" w:cs="Arial"/>
          <w:sz w:val="24"/>
          <w:szCs w:val="24"/>
        </w:rPr>
        <w:t>Nel caso in cui l'evento e quindi la perdita sia possibile, ma non probabile, sono indicate in nota integrativa le seguenti informazioni:</w:t>
      </w:r>
    </w:p>
    <w:p w:rsidR="001C56E9" w:rsidRPr="001C56E9" w:rsidRDefault="001C56E9" w:rsidP="001C56E9">
      <w:pPr>
        <w:numPr>
          <w:ilvl w:val="0"/>
          <w:numId w:val="38"/>
        </w:numPr>
        <w:autoSpaceDE w:val="0"/>
        <w:autoSpaceDN w:val="0"/>
        <w:adjustRightInd w:val="0"/>
        <w:spacing w:after="0" w:line="240" w:lineRule="auto"/>
        <w:ind w:firstLine="87"/>
        <w:jc w:val="both"/>
        <w:rPr>
          <w:rFonts w:ascii="Arial" w:hAnsi="Arial" w:cs="Arial"/>
          <w:sz w:val="24"/>
          <w:szCs w:val="24"/>
        </w:rPr>
      </w:pPr>
      <w:r w:rsidRPr="001C56E9">
        <w:rPr>
          <w:rFonts w:ascii="Arial" w:hAnsi="Arial" w:cs="Arial"/>
          <w:sz w:val="24"/>
          <w:szCs w:val="24"/>
        </w:rPr>
        <w:t xml:space="preserve"> la situazione d'incertezza che potrebbe procurare la perdita;</w:t>
      </w:r>
    </w:p>
    <w:p w:rsidR="001C56E9" w:rsidRPr="001C56E9" w:rsidRDefault="001C56E9" w:rsidP="001C56E9">
      <w:pPr>
        <w:numPr>
          <w:ilvl w:val="0"/>
          <w:numId w:val="38"/>
        </w:numPr>
        <w:autoSpaceDE w:val="0"/>
        <w:autoSpaceDN w:val="0"/>
        <w:adjustRightInd w:val="0"/>
        <w:spacing w:after="0" w:line="240" w:lineRule="auto"/>
        <w:ind w:firstLine="87"/>
        <w:jc w:val="both"/>
        <w:rPr>
          <w:rFonts w:ascii="Arial" w:hAnsi="Arial" w:cs="Arial"/>
          <w:sz w:val="24"/>
          <w:szCs w:val="24"/>
        </w:rPr>
      </w:pPr>
      <w:r w:rsidRPr="001C56E9">
        <w:rPr>
          <w:rFonts w:ascii="Arial" w:hAnsi="Arial" w:cs="Arial"/>
          <w:sz w:val="24"/>
          <w:szCs w:val="24"/>
        </w:rPr>
        <w:t xml:space="preserve"> l'ammontare stimato della possibile perdita o l'indicazione che la stessa non può essere effettuata;</w:t>
      </w:r>
    </w:p>
    <w:p w:rsidR="001C56E9" w:rsidRPr="001C56E9" w:rsidRDefault="001C56E9" w:rsidP="001C56E9">
      <w:pPr>
        <w:numPr>
          <w:ilvl w:val="0"/>
          <w:numId w:val="38"/>
        </w:numPr>
        <w:autoSpaceDE w:val="0"/>
        <w:autoSpaceDN w:val="0"/>
        <w:adjustRightInd w:val="0"/>
        <w:spacing w:after="0" w:line="240" w:lineRule="auto"/>
        <w:ind w:firstLine="87"/>
        <w:jc w:val="both"/>
        <w:rPr>
          <w:rFonts w:ascii="Arial" w:hAnsi="Arial" w:cs="Arial"/>
          <w:sz w:val="24"/>
          <w:szCs w:val="24"/>
        </w:rPr>
      </w:pPr>
      <w:r w:rsidRPr="001C56E9">
        <w:rPr>
          <w:rFonts w:ascii="Arial" w:hAnsi="Arial" w:cs="Arial"/>
          <w:sz w:val="24"/>
          <w:szCs w:val="24"/>
        </w:rPr>
        <w:t xml:space="preserve"> altri possibili effetti se non evidenti;</w:t>
      </w:r>
    </w:p>
    <w:p w:rsidR="001C56E9" w:rsidRPr="001C56E9" w:rsidRDefault="001C56E9" w:rsidP="001C56E9">
      <w:pPr>
        <w:numPr>
          <w:ilvl w:val="0"/>
          <w:numId w:val="38"/>
        </w:numPr>
        <w:autoSpaceDE w:val="0"/>
        <w:autoSpaceDN w:val="0"/>
        <w:adjustRightInd w:val="0"/>
        <w:spacing w:after="0" w:line="240" w:lineRule="auto"/>
        <w:ind w:firstLine="87"/>
        <w:jc w:val="both"/>
        <w:rPr>
          <w:rFonts w:ascii="Arial" w:hAnsi="Arial" w:cs="Arial"/>
          <w:sz w:val="24"/>
          <w:szCs w:val="24"/>
        </w:rPr>
      </w:pPr>
      <w:r w:rsidRPr="001C56E9">
        <w:rPr>
          <w:rFonts w:ascii="Arial" w:hAnsi="Arial" w:cs="Arial"/>
          <w:sz w:val="24"/>
          <w:szCs w:val="24"/>
        </w:rPr>
        <w:t xml:space="preserve"> preferibilmente, l'indicazione del parere di consulenti legali ed altri esperti.</w:t>
      </w:r>
    </w:p>
    <w:p w:rsidR="001C56E9" w:rsidRPr="001C56E9" w:rsidRDefault="001C56E9" w:rsidP="001C56E9">
      <w:pPr>
        <w:autoSpaceDE w:val="0"/>
        <w:autoSpaceDN w:val="0"/>
        <w:adjustRightInd w:val="0"/>
        <w:spacing w:after="0" w:line="240" w:lineRule="auto"/>
        <w:jc w:val="both"/>
        <w:rPr>
          <w:rFonts w:ascii="Arial" w:hAnsi="Arial" w:cs="Arial"/>
          <w:sz w:val="24"/>
          <w:szCs w:val="24"/>
        </w:rPr>
      </w:pPr>
      <w:r w:rsidRPr="001C56E9">
        <w:rPr>
          <w:rFonts w:ascii="Arial" w:hAnsi="Arial" w:cs="Arial"/>
          <w:sz w:val="24"/>
          <w:szCs w:val="24"/>
        </w:rPr>
        <w:t>Quando gli ammontari richiesti in una causa o in una controversia sono marcatamente esagerati rispetto alla reale situazione non è necessario, anzi può essere fuorviante, mettere in evidenza l'ammontare dei danni richiesti.</w:t>
      </w:r>
    </w:p>
    <w:p w:rsidR="001C56E9" w:rsidRPr="001C56E9" w:rsidRDefault="001C56E9" w:rsidP="001C56E9">
      <w:pPr>
        <w:autoSpaceDE w:val="0"/>
        <w:autoSpaceDN w:val="0"/>
        <w:adjustRightInd w:val="0"/>
        <w:spacing w:after="0" w:line="240" w:lineRule="auto"/>
        <w:jc w:val="both"/>
        <w:rPr>
          <w:rFonts w:ascii="Arial" w:hAnsi="Arial" w:cs="Arial"/>
          <w:sz w:val="24"/>
          <w:szCs w:val="24"/>
        </w:rPr>
      </w:pPr>
      <w:r w:rsidRPr="001C56E9">
        <w:rPr>
          <w:rFonts w:ascii="Arial" w:hAnsi="Arial" w:cs="Arial"/>
          <w:sz w:val="24"/>
          <w:szCs w:val="24"/>
        </w:rPr>
        <w:t>L'esistenza e l'ammontare di garanzie prestate direttamente o indirettamente (fidejussioni, avalli, altre garanzie personali e reali), sono posti in evidenza nei conti d'ordine e in nota integrativa anche se la perdita che l’ente potrà subire è improbabile. Qualora invece la perdita sia probabile si stanzia un apposito fondo rischi.</w:t>
      </w:r>
    </w:p>
    <w:p w:rsidR="001C56E9" w:rsidRPr="001C56E9" w:rsidRDefault="001C56E9" w:rsidP="001C56E9">
      <w:pPr>
        <w:autoSpaceDE w:val="0"/>
        <w:autoSpaceDN w:val="0"/>
        <w:adjustRightInd w:val="0"/>
        <w:spacing w:after="0" w:line="240" w:lineRule="auto"/>
        <w:jc w:val="both"/>
        <w:rPr>
          <w:rFonts w:ascii="Arial" w:hAnsi="Arial" w:cs="Arial"/>
          <w:sz w:val="24"/>
          <w:szCs w:val="24"/>
        </w:rPr>
      </w:pPr>
      <w:r w:rsidRPr="001C56E9">
        <w:rPr>
          <w:rFonts w:ascii="Arial" w:hAnsi="Arial" w:cs="Arial"/>
          <w:sz w:val="24"/>
          <w:szCs w:val="24"/>
        </w:rPr>
        <w:t>Gli stanziamenti a fronte delle perdite connesse a potenzialità includono anche la stima delle spese legali e degli altri costi che saranno sostenuti per quella fattispecie.</w:t>
      </w:r>
    </w:p>
    <w:p w:rsidR="001C56E9" w:rsidRPr="001C56E9" w:rsidRDefault="001C56E9" w:rsidP="001C56E9">
      <w:pPr>
        <w:spacing w:line="240" w:lineRule="auto"/>
        <w:jc w:val="both"/>
        <w:rPr>
          <w:rFonts w:ascii="Arial" w:hAnsi="Arial" w:cs="Arial"/>
          <w:b/>
          <w:sz w:val="24"/>
          <w:szCs w:val="24"/>
          <w:lang w:eastAsia="zh-TW"/>
        </w:rPr>
      </w:pPr>
    </w:p>
    <w:p w:rsidR="001C56E9" w:rsidRPr="001C56E9" w:rsidRDefault="001C56E9" w:rsidP="001C56E9">
      <w:pPr>
        <w:rPr>
          <w:rFonts w:ascii="Arial" w:hAnsi="Arial" w:cs="Arial"/>
          <w:sz w:val="24"/>
          <w:szCs w:val="24"/>
        </w:rPr>
      </w:pPr>
      <w:r w:rsidRPr="001C56E9">
        <w:rPr>
          <w:rFonts w:ascii="Arial" w:hAnsi="Arial" w:cs="Arial"/>
          <w:sz w:val="24"/>
          <w:szCs w:val="24"/>
        </w:rPr>
        <w:t>CONTO ECONOMICO</w:t>
      </w:r>
    </w:p>
    <w:p w:rsidR="001C56E9" w:rsidRPr="001C56E9" w:rsidRDefault="001C56E9" w:rsidP="001C56E9">
      <w:pPr>
        <w:rPr>
          <w:rFonts w:ascii="Arial" w:hAnsi="Arial" w:cs="Arial"/>
          <w:sz w:val="24"/>
          <w:szCs w:val="24"/>
        </w:rPr>
      </w:pPr>
      <w:r w:rsidRPr="001C56E9">
        <w:rPr>
          <w:rFonts w:ascii="Arial" w:hAnsi="Arial" w:cs="Arial"/>
          <w:sz w:val="24"/>
          <w:szCs w:val="24"/>
        </w:rPr>
        <w:t xml:space="preserve">Il conto economico risulta redatto a struttura scalare, in cui le voci sono classificate secondo la loro natura, con rilevazione di risultati parziali e dei risultati economici finali. In tale modo il conto economico evidenzia le componenti positive e negative dell'attività dell'ente, secondo criteri di competenza economica. Il conto economico ricomprende: </w:t>
      </w:r>
    </w:p>
    <w:p w:rsidR="001C56E9" w:rsidRPr="001C56E9" w:rsidRDefault="001C56E9" w:rsidP="001C56E9">
      <w:pPr>
        <w:rPr>
          <w:rFonts w:ascii="Arial" w:hAnsi="Arial" w:cs="Arial"/>
          <w:sz w:val="24"/>
          <w:szCs w:val="24"/>
        </w:rPr>
      </w:pPr>
      <w:r w:rsidRPr="001C56E9">
        <w:rPr>
          <w:rFonts w:ascii="Arial" w:hAnsi="Arial" w:cs="Arial"/>
          <w:sz w:val="24"/>
          <w:szCs w:val="24"/>
        </w:rPr>
        <w:t xml:space="preserve">1) gli accertamenti e gli impegni del conto del bilancio, rettificati in maniera da costituire la dimensione finanziaria dei valori economici riferiti alla gestione di competenza; </w:t>
      </w:r>
    </w:p>
    <w:p w:rsidR="001C56E9" w:rsidRPr="001C56E9" w:rsidRDefault="001C56E9" w:rsidP="001C56E9">
      <w:pPr>
        <w:rPr>
          <w:rFonts w:ascii="Arial" w:hAnsi="Arial" w:cs="Arial"/>
          <w:sz w:val="24"/>
          <w:szCs w:val="24"/>
        </w:rPr>
      </w:pPr>
      <w:r w:rsidRPr="001C56E9">
        <w:rPr>
          <w:rFonts w:ascii="Arial" w:hAnsi="Arial" w:cs="Arial"/>
          <w:sz w:val="24"/>
          <w:szCs w:val="24"/>
        </w:rPr>
        <w:t>2) le insussistenze e le sopravvenienze conseguenti alla gestione dei residui (minori e maggiori riaccertamenti di residui);</w:t>
      </w:r>
    </w:p>
    <w:p w:rsidR="001C56E9" w:rsidRPr="001C56E9" w:rsidRDefault="001C56E9" w:rsidP="001C56E9">
      <w:pPr>
        <w:rPr>
          <w:rFonts w:ascii="Arial" w:hAnsi="Arial" w:cs="Arial"/>
          <w:sz w:val="24"/>
          <w:szCs w:val="24"/>
        </w:rPr>
      </w:pPr>
      <w:r w:rsidRPr="001C56E9">
        <w:rPr>
          <w:rFonts w:ascii="Arial" w:hAnsi="Arial" w:cs="Arial"/>
          <w:sz w:val="24"/>
          <w:szCs w:val="24"/>
        </w:rPr>
        <w:t xml:space="preserve"> 3) gli elementi economici non rilevati nel conto del bilancio.</w:t>
      </w:r>
    </w:p>
    <w:p w:rsidR="001C56E9" w:rsidRPr="001C56E9" w:rsidRDefault="001C56E9" w:rsidP="001C56E9">
      <w:pPr>
        <w:rPr>
          <w:rFonts w:ascii="Arial" w:hAnsi="Arial" w:cs="Arial"/>
          <w:sz w:val="24"/>
          <w:szCs w:val="24"/>
        </w:rPr>
      </w:pPr>
      <w:r w:rsidRPr="001C56E9">
        <w:rPr>
          <w:rFonts w:ascii="Arial" w:hAnsi="Arial" w:cs="Arial"/>
          <w:b/>
          <w:sz w:val="24"/>
          <w:szCs w:val="24"/>
        </w:rPr>
        <w:t>Costituiscono componenti positivi del conto</w:t>
      </w:r>
      <w:r w:rsidRPr="001C56E9">
        <w:rPr>
          <w:rFonts w:ascii="Arial" w:hAnsi="Arial" w:cs="Arial"/>
          <w:sz w:val="24"/>
          <w:szCs w:val="24"/>
        </w:rPr>
        <w:t xml:space="preserve">: </w:t>
      </w:r>
    </w:p>
    <w:p w:rsidR="001C56E9" w:rsidRPr="001C56E9" w:rsidRDefault="001C56E9" w:rsidP="001C56E9">
      <w:pPr>
        <w:rPr>
          <w:rFonts w:ascii="Arial" w:hAnsi="Arial" w:cs="Arial"/>
          <w:sz w:val="24"/>
          <w:szCs w:val="24"/>
        </w:rPr>
      </w:pPr>
      <w:r w:rsidRPr="001C56E9">
        <w:rPr>
          <w:rFonts w:ascii="Arial" w:hAnsi="Arial" w:cs="Arial"/>
          <w:sz w:val="24"/>
          <w:szCs w:val="24"/>
        </w:rPr>
        <w:t xml:space="preserve">a) i tributi dei quali l'ente è soggetto attivo; </w:t>
      </w:r>
    </w:p>
    <w:p w:rsidR="001C56E9" w:rsidRPr="001C56E9" w:rsidRDefault="001C56E9" w:rsidP="001C56E9">
      <w:pPr>
        <w:rPr>
          <w:rFonts w:ascii="Arial" w:hAnsi="Arial" w:cs="Arial"/>
          <w:sz w:val="24"/>
          <w:szCs w:val="24"/>
        </w:rPr>
      </w:pPr>
      <w:r w:rsidRPr="001C56E9">
        <w:rPr>
          <w:rFonts w:ascii="Arial" w:hAnsi="Arial" w:cs="Arial"/>
          <w:sz w:val="24"/>
          <w:szCs w:val="24"/>
        </w:rPr>
        <w:t>b) i trasferimenti correnti in favore dell'ente;</w:t>
      </w:r>
    </w:p>
    <w:p w:rsidR="001C56E9" w:rsidRPr="001C56E9" w:rsidRDefault="001C56E9" w:rsidP="001C56E9">
      <w:pPr>
        <w:rPr>
          <w:rFonts w:ascii="Arial" w:hAnsi="Arial" w:cs="Arial"/>
          <w:sz w:val="24"/>
          <w:szCs w:val="24"/>
        </w:rPr>
      </w:pPr>
      <w:r w:rsidRPr="001C56E9">
        <w:rPr>
          <w:rFonts w:ascii="Arial" w:hAnsi="Arial" w:cs="Arial"/>
          <w:sz w:val="24"/>
          <w:szCs w:val="24"/>
        </w:rPr>
        <w:t xml:space="preserve"> c) i proventi dei servizi pubblici; </w:t>
      </w:r>
    </w:p>
    <w:p w:rsidR="001C56E9" w:rsidRPr="001C56E9" w:rsidRDefault="001C56E9" w:rsidP="001C56E9">
      <w:pPr>
        <w:rPr>
          <w:rFonts w:ascii="Arial" w:hAnsi="Arial" w:cs="Arial"/>
          <w:sz w:val="24"/>
          <w:szCs w:val="24"/>
        </w:rPr>
      </w:pPr>
      <w:r w:rsidRPr="001C56E9">
        <w:rPr>
          <w:rFonts w:ascii="Arial" w:hAnsi="Arial" w:cs="Arial"/>
          <w:sz w:val="24"/>
          <w:szCs w:val="24"/>
        </w:rPr>
        <w:lastRenderedPageBreak/>
        <w:t>d) i proventi derivanti dalla gestione del patrimonio;</w:t>
      </w:r>
    </w:p>
    <w:p w:rsidR="001C56E9" w:rsidRPr="001C56E9" w:rsidRDefault="001C56E9" w:rsidP="001C56E9">
      <w:pPr>
        <w:rPr>
          <w:rFonts w:ascii="Arial" w:hAnsi="Arial" w:cs="Arial"/>
          <w:sz w:val="24"/>
          <w:szCs w:val="24"/>
        </w:rPr>
      </w:pPr>
      <w:r w:rsidRPr="001C56E9">
        <w:rPr>
          <w:rFonts w:ascii="Arial" w:hAnsi="Arial" w:cs="Arial"/>
          <w:sz w:val="24"/>
          <w:szCs w:val="24"/>
        </w:rPr>
        <w:t xml:space="preserve"> e) i proventi finanziari; </w:t>
      </w:r>
    </w:p>
    <w:p w:rsidR="001C56E9" w:rsidRPr="001C56E9" w:rsidRDefault="001C56E9" w:rsidP="001C56E9">
      <w:pPr>
        <w:rPr>
          <w:rFonts w:ascii="Arial" w:hAnsi="Arial" w:cs="Arial"/>
          <w:sz w:val="24"/>
          <w:szCs w:val="24"/>
        </w:rPr>
      </w:pPr>
      <w:r w:rsidRPr="001C56E9">
        <w:rPr>
          <w:rFonts w:ascii="Arial" w:hAnsi="Arial" w:cs="Arial"/>
          <w:sz w:val="24"/>
          <w:szCs w:val="24"/>
        </w:rPr>
        <w:t xml:space="preserve">f) le insussistenze passive (minori riaccertamenti di residui passivi); </w:t>
      </w:r>
    </w:p>
    <w:p w:rsidR="001C56E9" w:rsidRPr="001C56E9" w:rsidRDefault="001C56E9" w:rsidP="001C56E9">
      <w:pPr>
        <w:rPr>
          <w:rFonts w:ascii="Arial" w:hAnsi="Arial" w:cs="Arial"/>
          <w:sz w:val="24"/>
          <w:szCs w:val="24"/>
        </w:rPr>
      </w:pPr>
      <w:r w:rsidRPr="001C56E9">
        <w:rPr>
          <w:rFonts w:ascii="Arial" w:hAnsi="Arial" w:cs="Arial"/>
          <w:sz w:val="24"/>
          <w:szCs w:val="24"/>
        </w:rPr>
        <w:t xml:space="preserve">g) le sopravvenienze attive (maggiori riaccertamenti di residui attivi); </w:t>
      </w:r>
    </w:p>
    <w:p w:rsidR="001C56E9" w:rsidRPr="001C56E9" w:rsidRDefault="001C56E9" w:rsidP="001C56E9">
      <w:pPr>
        <w:rPr>
          <w:rFonts w:ascii="Arial" w:hAnsi="Arial" w:cs="Arial"/>
          <w:sz w:val="24"/>
          <w:szCs w:val="24"/>
        </w:rPr>
      </w:pPr>
      <w:r w:rsidRPr="001C56E9">
        <w:rPr>
          <w:rFonts w:ascii="Arial" w:hAnsi="Arial" w:cs="Arial"/>
          <w:sz w:val="24"/>
          <w:szCs w:val="24"/>
        </w:rPr>
        <w:t xml:space="preserve">h) le plusvalenze risultanti da alienazioni e rivalutazioni patrimoniali. </w:t>
      </w:r>
    </w:p>
    <w:p w:rsidR="001C56E9" w:rsidRPr="001C56E9" w:rsidRDefault="001C56E9" w:rsidP="001C56E9">
      <w:pPr>
        <w:rPr>
          <w:rFonts w:ascii="Arial" w:hAnsi="Arial" w:cs="Arial"/>
          <w:b/>
          <w:sz w:val="24"/>
          <w:szCs w:val="24"/>
        </w:rPr>
      </w:pPr>
      <w:r w:rsidRPr="001C56E9">
        <w:rPr>
          <w:rFonts w:ascii="Arial" w:hAnsi="Arial" w:cs="Arial"/>
          <w:b/>
          <w:sz w:val="24"/>
          <w:szCs w:val="24"/>
        </w:rPr>
        <w:t xml:space="preserve">Costituiscono componenti negativi del conto: </w:t>
      </w:r>
    </w:p>
    <w:p w:rsidR="001C56E9" w:rsidRPr="001C56E9" w:rsidRDefault="001C56E9" w:rsidP="001C56E9">
      <w:pPr>
        <w:rPr>
          <w:rFonts w:ascii="Arial" w:hAnsi="Arial" w:cs="Arial"/>
          <w:sz w:val="24"/>
          <w:szCs w:val="24"/>
        </w:rPr>
      </w:pPr>
      <w:r w:rsidRPr="001C56E9">
        <w:rPr>
          <w:rFonts w:ascii="Arial" w:hAnsi="Arial" w:cs="Arial"/>
          <w:sz w:val="24"/>
          <w:szCs w:val="24"/>
        </w:rPr>
        <w:t>a) le spese di personale;</w:t>
      </w:r>
    </w:p>
    <w:p w:rsidR="001C56E9" w:rsidRPr="001C56E9" w:rsidRDefault="001C56E9" w:rsidP="001C56E9">
      <w:pPr>
        <w:rPr>
          <w:rFonts w:ascii="Arial" w:hAnsi="Arial" w:cs="Arial"/>
          <w:sz w:val="24"/>
          <w:szCs w:val="24"/>
        </w:rPr>
      </w:pPr>
      <w:r w:rsidRPr="001C56E9">
        <w:rPr>
          <w:rFonts w:ascii="Arial" w:hAnsi="Arial" w:cs="Arial"/>
          <w:sz w:val="24"/>
          <w:szCs w:val="24"/>
        </w:rPr>
        <w:t xml:space="preserve"> b) gli acquisti di materie prime e di beni di consumo; </w:t>
      </w:r>
    </w:p>
    <w:p w:rsidR="001C56E9" w:rsidRPr="001C56E9" w:rsidRDefault="001C56E9" w:rsidP="001C56E9">
      <w:pPr>
        <w:rPr>
          <w:rFonts w:ascii="Arial" w:hAnsi="Arial" w:cs="Arial"/>
          <w:sz w:val="24"/>
          <w:szCs w:val="24"/>
        </w:rPr>
      </w:pPr>
      <w:r w:rsidRPr="001C56E9">
        <w:rPr>
          <w:rFonts w:ascii="Arial" w:hAnsi="Arial" w:cs="Arial"/>
          <w:sz w:val="24"/>
          <w:szCs w:val="24"/>
        </w:rPr>
        <w:t xml:space="preserve">c) le spese per prestazioni di servizi; d) le spese per l'utilizzo di beni di terzi; </w:t>
      </w:r>
    </w:p>
    <w:p w:rsidR="001C56E9" w:rsidRPr="001C56E9" w:rsidRDefault="001C56E9" w:rsidP="001C56E9">
      <w:pPr>
        <w:rPr>
          <w:rFonts w:ascii="Arial" w:hAnsi="Arial" w:cs="Arial"/>
          <w:sz w:val="24"/>
          <w:szCs w:val="24"/>
        </w:rPr>
      </w:pPr>
      <w:r w:rsidRPr="001C56E9">
        <w:rPr>
          <w:rFonts w:ascii="Arial" w:hAnsi="Arial" w:cs="Arial"/>
          <w:sz w:val="24"/>
          <w:szCs w:val="24"/>
        </w:rPr>
        <w:t>e) i trasferimenti correnti a terzi;</w:t>
      </w:r>
    </w:p>
    <w:p w:rsidR="001C56E9" w:rsidRPr="001C56E9" w:rsidRDefault="001C56E9" w:rsidP="001C56E9">
      <w:pPr>
        <w:rPr>
          <w:rFonts w:ascii="Arial" w:hAnsi="Arial" w:cs="Arial"/>
          <w:sz w:val="24"/>
          <w:szCs w:val="24"/>
        </w:rPr>
      </w:pPr>
      <w:r w:rsidRPr="001C56E9">
        <w:rPr>
          <w:rFonts w:ascii="Arial" w:hAnsi="Arial" w:cs="Arial"/>
          <w:sz w:val="24"/>
          <w:szCs w:val="24"/>
        </w:rPr>
        <w:t xml:space="preserve"> f) gli interessi passivi e gli oneri finanziari a carico dell'ente; </w:t>
      </w:r>
    </w:p>
    <w:p w:rsidR="001C56E9" w:rsidRPr="001C56E9" w:rsidRDefault="001C56E9" w:rsidP="001C56E9">
      <w:pPr>
        <w:rPr>
          <w:rFonts w:ascii="Arial" w:hAnsi="Arial" w:cs="Arial"/>
          <w:sz w:val="24"/>
          <w:szCs w:val="24"/>
        </w:rPr>
      </w:pPr>
      <w:r w:rsidRPr="001C56E9">
        <w:rPr>
          <w:rFonts w:ascii="Arial" w:hAnsi="Arial" w:cs="Arial"/>
          <w:sz w:val="24"/>
          <w:szCs w:val="24"/>
        </w:rPr>
        <w:t>g) le imposte e tasse a carico dell'ente;</w:t>
      </w:r>
    </w:p>
    <w:p w:rsidR="001C56E9" w:rsidRPr="001C56E9" w:rsidRDefault="001C56E9" w:rsidP="001C56E9">
      <w:pPr>
        <w:rPr>
          <w:rFonts w:ascii="Arial" w:hAnsi="Arial" w:cs="Arial"/>
          <w:sz w:val="24"/>
          <w:szCs w:val="24"/>
        </w:rPr>
      </w:pPr>
      <w:r w:rsidRPr="001C56E9">
        <w:rPr>
          <w:rFonts w:ascii="Arial" w:hAnsi="Arial" w:cs="Arial"/>
          <w:sz w:val="24"/>
          <w:szCs w:val="24"/>
        </w:rPr>
        <w:t xml:space="preserve"> h) gli oneri straordinari;</w:t>
      </w:r>
    </w:p>
    <w:p w:rsidR="001C56E9" w:rsidRPr="001C56E9" w:rsidRDefault="001C56E9" w:rsidP="001C56E9">
      <w:pPr>
        <w:rPr>
          <w:rFonts w:ascii="Arial" w:hAnsi="Arial" w:cs="Arial"/>
          <w:sz w:val="24"/>
          <w:szCs w:val="24"/>
        </w:rPr>
      </w:pPr>
      <w:r w:rsidRPr="001C56E9">
        <w:rPr>
          <w:rFonts w:ascii="Arial" w:hAnsi="Arial" w:cs="Arial"/>
          <w:sz w:val="24"/>
          <w:szCs w:val="24"/>
        </w:rPr>
        <w:t xml:space="preserve"> i) le insussistenze attive (minori riaccertamenti di residui attivi); </w:t>
      </w:r>
    </w:p>
    <w:p w:rsidR="001C56E9" w:rsidRPr="001C56E9" w:rsidRDefault="001C56E9" w:rsidP="001C56E9">
      <w:pPr>
        <w:rPr>
          <w:rFonts w:ascii="Arial" w:hAnsi="Arial" w:cs="Arial"/>
          <w:sz w:val="24"/>
          <w:szCs w:val="24"/>
        </w:rPr>
      </w:pPr>
      <w:r w:rsidRPr="001C56E9">
        <w:rPr>
          <w:rFonts w:ascii="Arial" w:hAnsi="Arial" w:cs="Arial"/>
          <w:sz w:val="24"/>
          <w:szCs w:val="24"/>
        </w:rPr>
        <w:t>l) le minusvalenze risultanti da alienazioni e svalutazioni patrimoniali;</w:t>
      </w:r>
    </w:p>
    <w:p w:rsidR="001C56E9" w:rsidRPr="001C56E9" w:rsidRDefault="001C56E9" w:rsidP="001C56E9">
      <w:pPr>
        <w:rPr>
          <w:rFonts w:ascii="Arial" w:hAnsi="Arial" w:cs="Arial"/>
          <w:sz w:val="24"/>
          <w:szCs w:val="24"/>
        </w:rPr>
      </w:pPr>
      <w:r w:rsidRPr="001C56E9">
        <w:rPr>
          <w:rFonts w:ascii="Arial" w:hAnsi="Arial" w:cs="Arial"/>
          <w:sz w:val="24"/>
          <w:szCs w:val="24"/>
        </w:rPr>
        <w:t xml:space="preserve"> m) gli ammortamenti.</w:t>
      </w:r>
    </w:p>
    <w:p w:rsidR="001C56E9" w:rsidRPr="001C56E9" w:rsidRDefault="001C56E9" w:rsidP="001C56E9">
      <w:pPr>
        <w:rPr>
          <w:rFonts w:ascii="Arial" w:hAnsi="Arial" w:cs="Arial"/>
          <w:sz w:val="24"/>
          <w:szCs w:val="24"/>
        </w:rPr>
      </w:pPr>
      <w:r w:rsidRPr="001C56E9">
        <w:rPr>
          <w:rFonts w:ascii="Arial" w:hAnsi="Arial" w:cs="Arial"/>
          <w:sz w:val="24"/>
          <w:szCs w:val="24"/>
        </w:rPr>
        <w:t xml:space="preserve"> Per ciò che riguarda gli accertamenti, essi vanno rettificati rilevando: a) i "ratei attivi", cioè le quote di ricavi che numericamente avverranno nell'esercizio futuro, ma che, in parte, interessano l'esercizio che si va a chiudere. I ratei attivi potrebbero già correttamente essere rilevati nella contabilità finanziaria, ove si provvedesse, al momento dell'insorgenza del diritto a riscuotere, a effettuare l'accertamento nell'esercizio di competenza per trasformarlo, alla chiusura dell'esercizio medesimo, in residuo attivo;</w:t>
      </w:r>
    </w:p>
    <w:p w:rsidR="001C56E9" w:rsidRPr="001C56E9" w:rsidRDefault="001C56E9" w:rsidP="001C56E9">
      <w:pPr>
        <w:rPr>
          <w:rFonts w:ascii="Arial" w:hAnsi="Arial" w:cs="Arial"/>
          <w:sz w:val="24"/>
          <w:szCs w:val="24"/>
        </w:rPr>
      </w:pPr>
      <w:r w:rsidRPr="001C56E9">
        <w:rPr>
          <w:rFonts w:ascii="Arial" w:hAnsi="Arial" w:cs="Arial"/>
          <w:sz w:val="24"/>
          <w:szCs w:val="24"/>
        </w:rPr>
        <w:t xml:space="preserve">b) i "risconti attivi", ossia i costi sostenuti in via anticipata, anche se relativi, per una quota, all'esercizio futuro, e che, pertanto, hanno la manifestazione numeraria nell'esercizio che si va a chiudere. Nell'esercizio in cui è avvenuta la manifestazione numeraria, il risconto attivo viene sottratto agli impegni e iscritto nello stato patrimoniale. Nell'esercizio successivo verrà riportato fra i costi, in attuazione del principio della competenza economica; </w:t>
      </w:r>
    </w:p>
    <w:p w:rsidR="001C56E9" w:rsidRPr="001C56E9" w:rsidRDefault="001C56E9" w:rsidP="001C56E9">
      <w:pPr>
        <w:rPr>
          <w:rFonts w:ascii="Arial" w:hAnsi="Arial" w:cs="Arial"/>
          <w:sz w:val="24"/>
          <w:szCs w:val="24"/>
        </w:rPr>
      </w:pPr>
      <w:r w:rsidRPr="001C56E9">
        <w:rPr>
          <w:rFonts w:ascii="Arial" w:hAnsi="Arial" w:cs="Arial"/>
          <w:sz w:val="24"/>
          <w:szCs w:val="24"/>
        </w:rPr>
        <w:t>c) le variazioni in aumento delle rimanenze;</w:t>
      </w:r>
    </w:p>
    <w:p w:rsidR="001C56E9" w:rsidRPr="001C56E9" w:rsidRDefault="001C56E9" w:rsidP="001C56E9">
      <w:pPr>
        <w:rPr>
          <w:rFonts w:ascii="Arial" w:hAnsi="Arial" w:cs="Arial"/>
          <w:sz w:val="24"/>
          <w:szCs w:val="24"/>
        </w:rPr>
      </w:pPr>
      <w:r w:rsidRPr="001C56E9">
        <w:rPr>
          <w:rFonts w:ascii="Arial" w:hAnsi="Arial" w:cs="Arial"/>
          <w:sz w:val="24"/>
          <w:szCs w:val="24"/>
        </w:rPr>
        <w:t xml:space="preserve"> d) i "costi capitalizzati", costituiti da quella parte di costi sostenuti fra le spese correnti per la produzione in economia di valori da porre, dal punto di vista economico, a carico di più esercizi. Le entità finanziarie di costo relative agli esercizi futuri vengono scorporate alla </w:t>
      </w:r>
      <w:r w:rsidRPr="001C56E9">
        <w:rPr>
          <w:rFonts w:ascii="Arial" w:hAnsi="Arial" w:cs="Arial"/>
          <w:sz w:val="24"/>
          <w:szCs w:val="24"/>
        </w:rPr>
        <w:lastRenderedPageBreak/>
        <w:t xml:space="preserve">chiusura dell'esercizio e iscritte nello stato patrimoniale. Negli esercizi successivi (in ciascuno per la relativa quota di esercizio) verranno riportati fra i costi; </w:t>
      </w:r>
    </w:p>
    <w:p w:rsidR="001C56E9" w:rsidRPr="001C56E9" w:rsidRDefault="001C56E9" w:rsidP="001C56E9">
      <w:pPr>
        <w:rPr>
          <w:rFonts w:ascii="Arial" w:hAnsi="Arial" w:cs="Arial"/>
          <w:sz w:val="24"/>
          <w:szCs w:val="24"/>
        </w:rPr>
      </w:pPr>
      <w:r w:rsidRPr="001C56E9">
        <w:rPr>
          <w:rFonts w:ascii="Arial" w:hAnsi="Arial" w:cs="Arial"/>
          <w:sz w:val="24"/>
          <w:szCs w:val="24"/>
        </w:rPr>
        <w:t xml:space="preserve">e) le quote di ricavi già inserite nei risconti di anni precedenti; </w:t>
      </w:r>
    </w:p>
    <w:p w:rsidR="001C56E9" w:rsidRDefault="001C56E9" w:rsidP="001C56E9">
      <w:pPr>
        <w:rPr>
          <w:rFonts w:ascii="Arial" w:hAnsi="Arial" w:cs="Arial"/>
          <w:sz w:val="24"/>
          <w:szCs w:val="24"/>
        </w:rPr>
      </w:pPr>
      <w:r w:rsidRPr="001C56E9">
        <w:rPr>
          <w:rFonts w:ascii="Arial" w:hAnsi="Arial" w:cs="Arial"/>
          <w:sz w:val="24"/>
          <w:szCs w:val="24"/>
        </w:rPr>
        <w:t>f) le quote di ricavi pluriennali pari agli accertamenti degli introiti vincolati, anche di parte corrente, che alla chiusura dell'esercizio non si trasformano in costi e, pertanto, devono essere mantenuti disponibili nella spesa per essere utilizzati nell'esercizio successivo o restituiti se non impiegati. Le somme non utilizzate non costituiscono "costi" (in quanto ciò falserebbe le rilevazioni economiche), ma fondi da considerare nel passivo patrimoniale. A sua volta, la parte di introiti vincolati non utilizzata non può costituire "ricavo", ma una permutazione patrimoniale analoga al risconto passivo; g) l'imposta sul valore aggiunto, per le attività effettuate in regime di impresa.</w:t>
      </w:r>
    </w:p>
    <w:p w:rsidR="0017434A" w:rsidRDefault="0017434A" w:rsidP="001C56E9">
      <w:pPr>
        <w:rPr>
          <w:rFonts w:ascii="Arial" w:hAnsi="Arial" w:cs="Arial"/>
          <w:sz w:val="24"/>
          <w:szCs w:val="24"/>
        </w:rPr>
      </w:pPr>
      <w:r>
        <w:rPr>
          <w:rFonts w:ascii="Arial" w:hAnsi="Arial" w:cs="Arial"/>
          <w:sz w:val="24"/>
          <w:szCs w:val="24"/>
        </w:rPr>
        <w:t>BILANCIO CONSOLIDATO</w:t>
      </w:r>
    </w:p>
    <w:p w:rsidR="0017434A" w:rsidRDefault="0017434A" w:rsidP="001C56E9">
      <w:pPr>
        <w:rPr>
          <w:rFonts w:ascii="Arial" w:hAnsi="Arial" w:cs="Arial"/>
          <w:sz w:val="24"/>
          <w:szCs w:val="24"/>
        </w:rPr>
      </w:pPr>
      <w:r>
        <w:rPr>
          <w:rFonts w:ascii="Arial" w:hAnsi="Arial" w:cs="Arial"/>
          <w:sz w:val="24"/>
          <w:szCs w:val="24"/>
        </w:rPr>
        <w:t>Gli enti locali redigono un bilancio consolidato co i propri enti e organismi strumentali, aziende,società controllate e partecipate secondo le modalità reviste dal dlgs 118/2011</w:t>
      </w:r>
    </w:p>
    <w:p w:rsidR="0017434A" w:rsidRDefault="0017434A" w:rsidP="001C56E9">
      <w:pPr>
        <w:rPr>
          <w:rFonts w:ascii="Arial" w:hAnsi="Arial" w:cs="Arial"/>
          <w:sz w:val="24"/>
          <w:szCs w:val="24"/>
        </w:rPr>
      </w:pPr>
      <w:r>
        <w:rPr>
          <w:rFonts w:ascii="Arial" w:hAnsi="Arial" w:cs="Arial"/>
          <w:sz w:val="24"/>
          <w:szCs w:val="24"/>
        </w:rPr>
        <w:t>Il bilancio consolidato è costituito dal conto economico consolidato, dallo stato patrimoniale consolidatoe dai seguenti allegati:</w:t>
      </w:r>
      <w:r>
        <w:rPr>
          <w:rFonts w:ascii="Arial" w:hAnsi="Arial" w:cs="Arial"/>
          <w:sz w:val="24"/>
          <w:szCs w:val="24"/>
        </w:rPr>
        <w:br/>
      </w:r>
    </w:p>
    <w:p w:rsidR="0017434A" w:rsidRPr="0017434A" w:rsidRDefault="0017434A" w:rsidP="0017434A">
      <w:pPr>
        <w:pStyle w:val="Paragrafoelenco"/>
        <w:numPr>
          <w:ilvl w:val="1"/>
          <w:numId w:val="37"/>
        </w:numPr>
        <w:rPr>
          <w:rFonts w:ascii="Arial" w:hAnsi="Arial" w:cs="Arial"/>
          <w:sz w:val="24"/>
          <w:szCs w:val="24"/>
        </w:rPr>
      </w:pPr>
      <w:r w:rsidRPr="0017434A">
        <w:rPr>
          <w:rFonts w:ascii="Arial" w:hAnsi="Arial" w:cs="Arial"/>
          <w:sz w:val="24"/>
          <w:szCs w:val="24"/>
        </w:rPr>
        <w:t>relazione sulla gestione consolidata che comprende la nota integrativa</w:t>
      </w:r>
    </w:p>
    <w:p w:rsidR="0017434A" w:rsidRDefault="0017434A" w:rsidP="0017434A">
      <w:pPr>
        <w:pStyle w:val="Paragrafoelenco"/>
        <w:numPr>
          <w:ilvl w:val="1"/>
          <w:numId w:val="37"/>
        </w:numPr>
        <w:rPr>
          <w:rFonts w:ascii="Arial" w:hAnsi="Arial" w:cs="Arial"/>
          <w:sz w:val="24"/>
          <w:szCs w:val="24"/>
        </w:rPr>
      </w:pPr>
      <w:r w:rsidRPr="0017434A">
        <w:rPr>
          <w:rFonts w:ascii="Arial" w:hAnsi="Arial" w:cs="Arial"/>
          <w:sz w:val="24"/>
          <w:szCs w:val="24"/>
        </w:rPr>
        <w:t xml:space="preserve">Relazione del collegio dei revisori  </w:t>
      </w:r>
    </w:p>
    <w:p w:rsidR="0017434A" w:rsidRDefault="0017434A" w:rsidP="0017434A">
      <w:pPr>
        <w:rPr>
          <w:rFonts w:ascii="Arial" w:hAnsi="Arial" w:cs="Arial"/>
          <w:sz w:val="24"/>
          <w:szCs w:val="24"/>
        </w:rPr>
      </w:pPr>
    </w:p>
    <w:p w:rsidR="0017434A" w:rsidRDefault="002144A0" w:rsidP="0017434A">
      <w:pPr>
        <w:rPr>
          <w:rFonts w:ascii="Arial" w:hAnsi="Arial" w:cs="Arial"/>
          <w:sz w:val="24"/>
          <w:szCs w:val="24"/>
        </w:rPr>
      </w:pPr>
      <w:r>
        <w:rPr>
          <w:rFonts w:ascii="Arial" w:hAnsi="Arial" w:cs="Arial"/>
          <w:sz w:val="24"/>
          <w:szCs w:val="24"/>
        </w:rPr>
        <w:t>ENTI DISSESTATI E RISABNAMENTO FINANZIARIO</w:t>
      </w:r>
    </w:p>
    <w:p w:rsidR="002144A0" w:rsidRDefault="002144A0" w:rsidP="0017434A">
      <w:pPr>
        <w:rPr>
          <w:rFonts w:ascii="Arial" w:hAnsi="Arial" w:cs="Arial"/>
          <w:sz w:val="24"/>
          <w:szCs w:val="24"/>
        </w:rPr>
      </w:pPr>
      <w:r>
        <w:rPr>
          <w:rFonts w:ascii="Arial" w:hAnsi="Arial" w:cs="Arial"/>
          <w:sz w:val="24"/>
          <w:szCs w:val="24"/>
        </w:rPr>
        <w:t>Un comune è in dissesto quando l’ente non riesce più a garantire le funzioni e servizi indispensabiliovvero quano esistono nei confronti dell’ente crediti liquidi ed esigibili di terzi a cui il comune non riesce a far fronte con i provvedimenti di riequilibro di bilancio. Il CC deve deliberare lo stato di dissesto.</w:t>
      </w:r>
    </w:p>
    <w:p w:rsidR="002144A0" w:rsidRDefault="002144A0" w:rsidP="0017434A">
      <w:pPr>
        <w:rPr>
          <w:rFonts w:ascii="Arial" w:hAnsi="Arial" w:cs="Arial"/>
          <w:sz w:val="24"/>
          <w:szCs w:val="24"/>
        </w:rPr>
      </w:pPr>
      <w:r>
        <w:rPr>
          <w:rFonts w:ascii="Arial" w:hAnsi="Arial" w:cs="Arial"/>
          <w:sz w:val="24"/>
          <w:szCs w:val="24"/>
        </w:rPr>
        <w:t>COLLEGIO REVISORI</w:t>
      </w:r>
    </w:p>
    <w:p w:rsidR="002144A0" w:rsidRDefault="002144A0" w:rsidP="0017434A">
      <w:pPr>
        <w:rPr>
          <w:rFonts w:ascii="Arial" w:hAnsi="Arial" w:cs="Arial"/>
          <w:sz w:val="24"/>
          <w:szCs w:val="24"/>
        </w:rPr>
      </w:pPr>
      <w:r>
        <w:rPr>
          <w:rFonts w:ascii="Arial" w:hAnsi="Arial" w:cs="Arial"/>
          <w:sz w:val="24"/>
          <w:szCs w:val="24"/>
        </w:rPr>
        <w:t>TESORERIA</w:t>
      </w:r>
    </w:p>
    <w:p w:rsidR="002144A0" w:rsidRPr="0017434A" w:rsidRDefault="002144A0" w:rsidP="0017434A">
      <w:pPr>
        <w:rPr>
          <w:rFonts w:ascii="Arial" w:hAnsi="Arial" w:cs="Arial"/>
          <w:sz w:val="24"/>
          <w:szCs w:val="24"/>
        </w:rPr>
      </w:pPr>
      <w:r>
        <w:rPr>
          <w:rFonts w:ascii="Arial" w:hAnsi="Arial" w:cs="Arial"/>
          <w:sz w:val="24"/>
          <w:szCs w:val="24"/>
        </w:rPr>
        <w:t xml:space="preserve">DEBITI FUORI BILANCIO </w:t>
      </w:r>
    </w:p>
    <w:p w:rsidR="001C56E9" w:rsidRPr="001C56E9" w:rsidRDefault="001C56E9" w:rsidP="001C56E9">
      <w:pPr>
        <w:rPr>
          <w:rFonts w:ascii="Arial" w:hAnsi="Arial" w:cs="Arial"/>
          <w:sz w:val="24"/>
          <w:szCs w:val="24"/>
        </w:rPr>
      </w:pPr>
    </w:p>
    <w:p w:rsidR="001C56E9" w:rsidRPr="001C56E9" w:rsidRDefault="001C56E9" w:rsidP="00272205">
      <w:pPr>
        <w:pStyle w:val="NormaleWeb"/>
        <w:shd w:val="clear" w:color="auto" w:fill="FFFFFF"/>
        <w:spacing w:before="0" w:beforeAutospacing="0" w:after="0" w:afterAutospacing="0"/>
        <w:rPr>
          <w:rFonts w:ascii="Arial" w:hAnsi="Arial" w:cs="Arial"/>
          <w:color w:val="000000"/>
        </w:rPr>
      </w:pPr>
    </w:p>
    <w:sectPr w:rsidR="001C56E9" w:rsidRPr="001C56E9" w:rsidSect="00C034FD">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373EE" w:rsidRDefault="00C373EE" w:rsidP="00C603D4">
      <w:pPr>
        <w:spacing w:after="0" w:line="240" w:lineRule="auto"/>
      </w:pPr>
      <w:r>
        <w:separator/>
      </w:r>
    </w:p>
  </w:endnote>
  <w:endnote w:type="continuationSeparator" w:id="0">
    <w:p w:rsidR="00C373EE" w:rsidRDefault="00C373EE" w:rsidP="00C603D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373EE" w:rsidRDefault="00C373EE" w:rsidP="00C603D4">
      <w:pPr>
        <w:spacing w:after="0" w:line="240" w:lineRule="auto"/>
      </w:pPr>
      <w:r>
        <w:separator/>
      </w:r>
    </w:p>
  </w:footnote>
  <w:footnote w:type="continuationSeparator" w:id="0">
    <w:p w:rsidR="00C373EE" w:rsidRDefault="00C373EE" w:rsidP="00C603D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C098E"/>
    <w:multiLevelType w:val="hybridMultilevel"/>
    <w:tmpl w:val="8E1ADC7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06620A1C"/>
    <w:multiLevelType w:val="hybridMultilevel"/>
    <w:tmpl w:val="A8B6E4F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08B54316"/>
    <w:multiLevelType w:val="hybridMultilevel"/>
    <w:tmpl w:val="BF802EDC"/>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
    <w:nsid w:val="10536A9A"/>
    <w:multiLevelType w:val="hybridMultilevel"/>
    <w:tmpl w:val="BA1C345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15505D71"/>
    <w:multiLevelType w:val="hybridMultilevel"/>
    <w:tmpl w:val="D3505A3C"/>
    <w:lvl w:ilvl="0" w:tplc="E9D659D2">
      <w:start w:val="1"/>
      <w:numFmt w:val="lowerLetter"/>
      <w:lvlText w:val="%1)"/>
      <w:lvlJc w:val="left"/>
      <w:pPr>
        <w:ind w:left="720" w:hanging="360"/>
      </w:pPr>
      <w:rPr>
        <w:rFonts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19D82273"/>
    <w:multiLevelType w:val="singleLevel"/>
    <w:tmpl w:val="040C000F"/>
    <w:lvl w:ilvl="0">
      <w:start w:val="1"/>
      <w:numFmt w:val="decimal"/>
      <w:lvlText w:val="%1."/>
      <w:lvlJc w:val="left"/>
      <w:pPr>
        <w:tabs>
          <w:tab w:val="num" w:pos="360"/>
        </w:tabs>
        <w:ind w:left="360" w:hanging="360"/>
      </w:pPr>
    </w:lvl>
  </w:abstractNum>
  <w:abstractNum w:abstractNumId="6">
    <w:nsid w:val="1B2471C0"/>
    <w:multiLevelType w:val="hybridMultilevel"/>
    <w:tmpl w:val="328A27CA"/>
    <w:lvl w:ilvl="0" w:tplc="5C3E0946">
      <w:start w:val="1"/>
      <w:numFmt w:val="lowerLetter"/>
      <w:lvlText w:val="%1)"/>
      <w:lvlJc w:val="left"/>
      <w:pPr>
        <w:ind w:left="502" w:hanging="360"/>
      </w:pPr>
      <w:rPr>
        <w:rFonts w:hint="default"/>
      </w:r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abstractNum w:abstractNumId="7">
    <w:nsid w:val="1B4E30BD"/>
    <w:multiLevelType w:val="hybridMultilevel"/>
    <w:tmpl w:val="6272067E"/>
    <w:lvl w:ilvl="0" w:tplc="CFEAF9F2">
      <w:start w:val="5"/>
      <w:numFmt w:val="bullet"/>
      <w:lvlText w:val="-"/>
      <w:lvlJc w:val="left"/>
      <w:pPr>
        <w:ind w:left="720" w:hanging="360"/>
      </w:pPr>
      <w:rPr>
        <w:rFonts w:ascii="Garamond" w:eastAsia="PMingLiU" w:hAnsi="Garamond"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1D50451F"/>
    <w:multiLevelType w:val="multilevel"/>
    <w:tmpl w:val="DF322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22F20DB"/>
    <w:multiLevelType w:val="hybridMultilevel"/>
    <w:tmpl w:val="3D7C23BE"/>
    <w:lvl w:ilvl="0" w:tplc="FFFFFFFF">
      <w:start w:val="1"/>
      <w:numFmt w:val="ideographDigital"/>
      <w:lvlText w:val="."/>
      <w:lvlJc w:val="left"/>
      <w:rPr>
        <w:rFonts w:cs="Times New Roman"/>
      </w:rPr>
    </w:lvl>
    <w:lvl w:ilvl="1" w:tplc="04100001">
      <w:start w:val="1"/>
      <w:numFmt w:val="bullet"/>
      <w:lvlText w:val=""/>
      <w:lvlJc w:val="left"/>
      <w:rPr>
        <w:rFonts w:ascii="Symbol" w:hAnsi="Symbol" w:hint="default"/>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nsid w:val="248666AE"/>
    <w:multiLevelType w:val="hybridMultilevel"/>
    <w:tmpl w:val="BB728766"/>
    <w:lvl w:ilvl="0" w:tplc="04100001">
      <w:start w:val="1"/>
      <w:numFmt w:val="bullet"/>
      <w:lvlText w:val=""/>
      <w:lvlJc w:val="left"/>
      <w:pPr>
        <w:ind w:left="644" w:hanging="360"/>
      </w:pPr>
      <w:rPr>
        <w:rFonts w:ascii="Symbol" w:hAnsi="Symbol"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11">
    <w:nsid w:val="25072A89"/>
    <w:multiLevelType w:val="hybridMultilevel"/>
    <w:tmpl w:val="57B400F0"/>
    <w:lvl w:ilvl="0" w:tplc="04100001">
      <w:start w:val="1"/>
      <w:numFmt w:val="bullet"/>
      <w:lvlText w:val=""/>
      <w:lvlJc w:val="left"/>
      <w:pPr>
        <w:ind w:left="1200" w:hanging="360"/>
      </w:pPr>
      <w:rPr>
        <w:rFonts w:ascii="Symbol" w:hAnsi="Symbol" w:hint="default"/>
      </w:rPr>
    </w:lvl>
    <w:lvl w:ilvl="1" w:tplc="68342524">
      <w:numFmt w:val="bullet"/>
      <w:lvlText w:val="—"/>
      <w:lvlJc w:val="left"/>
      <w:pPr>
        <w:ind w:left="1920" w:hanging="360"/>
      </w:pPr>
      <w:rPr>
        <w:rFonts w:ascii="Times New Roman" w:eastAsia="Times New Roman" w:hAnsi="Times New Roman"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2">
    <w:nsid w:val="2CFB63E9"/>
    <w:multiLevelType w:val="hybridMultilevel"/>
    <w:tmpl w:val="E8D000FA"/>
    <w:lvl w:ilvl="0" w:tplc="B30C697A">
      <w:start w:val="10"/>
      <w:numFmt w:val="decimal"/>
      <w:lvlText w:val="%1."/>
      <w:lvlJc w:val="left"/>
      <w:pPr>
        <w:ind w:left="360" w:hanging="360"/>
      </w:pPr>
      <w:rPr>
        <w:rFonts w:hint="default"/>
        <w:b/>
        <w:i w:val="0"/>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2DE900BA"/>
    <w:multiLevelType w:val="hybridMultilevel"/>
    <w:tmpl w:val="1F508338"/>
    <w:lvl w:ilvl="0" w:tplc="0410000B">
      <w:start w:val="1"/>
      <w:numFmt w:val="bullet"/>
      <w:lvlText w:val=""/>
      <w:lvlJc w:val="left"/>
      <w:pPr>
        <w:ind w:left="1065" w:hanging="360"/>
      </w:pPr>
      <w:rPr>
        <w:rFonts w:ascii="Wingdings" w:hAnsi="Wingdings" w:hint="default"/>
        <w:b/>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4">
    <w:nsid w:val="2FCD1AE6"/>
    <w:multiLevelType w:val="hybridMultilevel"/>
    <w:tmpl w:val="7FA45ADE"/>
    <w:lvl w:ilvl="0" w:tplc="04100001">
      <w:start w:val="1"/>
      <w:numFmt w:val="bullet"/>
      <w:lvlText w:val=""/>
      <w:lvlJc w:val="left"/>
      <w:pPr>
        <w:ind w:left="770" w:hanging="360"/>
      </w:pPr>
      <w:rPr>
        <w:rFonts w:ascii="Symbol" w:hAnsi="Symbol" w:hint="default"/>
      </w:rPr>
    </w:lvl>
    <w:lvl w:ilvl="1" w:tplc="04100003" w:tentative="1">
      <w:start w:val="1"/>
      <w:numFmt w:val="bullet"/>
      <w:lvlText w:val="o"/>
      <w:lvlJc w:val="left"/>
      <w:pPr>
        <w:ind w:left="1490" w:hanging="360"/>
      </w:pPr>
      <w:rPr>
        <w:rFonts w:ascii="Courier New" w:hAnsi="Courier New" w:cs="Courier New" w:hint="default"/>
      </w:rPr>
    </w:lvl>
    <w:lvl w:ilvl="2" w:tplc="04100005" w:tentative="1">
      <w:start w:val="1"/>
      <w:numFmt w:val="bullet"/>
      <w:lvlText w:val=""/>
      <w:lvlJc w:val="left"/>
      <w:pPr>
        <w:ind w:left="2210" w:hanging="360"/>
      </w:pPr>
      <w:rPr>
        <w:rFonts w:ascii="Wingdings" w:hAnsi="Wingdings" w:hint="default"/>
      </w:rPr>
    </w:lvl>
    <w:lvl w:ilvl="3" w:tplc="04100001" w:tentative="1">
      <w:start w:val="1"/>
      <w:numFmt w:val="bullet"/>
      <w:lvlText w:val=""/>
      <w:lvlJc w:val="left"/>
      <w:pPr>
        <w:ind w:left="2930" w:hanging="360"/>
      </w:pPr>
      <w:rPr>
        <w:rFonts w:ascii="Symbol" w:hAnsi="Symbol" w:hint="default"/>
      </w:rPr>
    </w:lvl>
    <w:lvl w:ilvl="4" w:tplc="04100003" w:tentative="1">
      <w:start w:val="1"/>
      <w:numFmt w:val="bullet"/>
      <w:lvlText w:val="o"/>
      <w:lvlJc w:val="left"/>
      <w:pPr>
        <w:ind w:left="3650" w:hanging="360"/>
      </w:pPr>
      <w:rPr>
        <w:rFonts w:ascii="Courier New" w:hAnsi="Courier New" w:cs="Courier New" w:hint="default"/>
      </w:rPr>
    </w:lvl>
    <w:lvl w:ilvl="5" w:tplc="04100005" w:tentative="1">
      <w:start w:val="1"/>
      <w:numFmt w:val="bullet"/>
      <w:lvlText w:val=""/>
      <w:lvlJc w:val="left"/>
      <w:pPr>
        <w:ind w:left="4370" w:hanging="360"/>
      </w:pPr>
      <w:rPr>
        <w:rFonts w:ascii="Wingdings" w:hAnsi="Wingdings" w:hint="default"/>
      </w:rPr>
    </w:lvl>
    <w:lvl w:ilvl="6" w:tplc="04100001" w:tentative="1">
      <w:start w:val="1"/>
      <w:numFmt w:val="bullet"/>
      <w:lvlText w:val=""/>
      <w:lvlJc w:val="left"/>
      <w:pPr>
        <w:ind w:left="5090" w:hanging="360"/>
      </w:pPr>
      <w:rPr>
        <w:rFonts w:ascii="Symbol" w:hAnsi="Symbol" w:hint="default"/>
      </w:rPr>
    </w:lvl>
    <w:lvl w:ilvl="7" w:tplc="04100003" w:tentative="1">
      <w:start w:val="1"/>
      <w:numFmt w:val="bullet"/>
      <w:lvlText w:val="o"/>
      <w:lvlJc w:val="left"/>
      <w:pPr>
        <w:ind w:left="5810" w:hanging="360"/>
      </w:pPr>
      <w:rPr>
        <w:rFonts w:ascii="Courier New" w:hAnsi="Courier New" w:cs="Courier New" w:hint="default"/>
      </w:rPr>
    </w:lvl>
    <w:lvl w:ilvl="8" w:tplc="04100005" w:tentative="1">
      <w:start w:val="1"/>
      <w:numFmt w:val="bullet"/>
      <w:lvlText w:val=""/>
      <w:lvlJc w:val="left"/>
      <w:pPr>
        <w:ind w:left="6530" w:hanging="360"/>
      </w:pPr>
      <w:rPr>
        <w:rFonts w:ascii="Wingdings" w:hAnsi="Wingdings" w:hint="default"/>
      </w:rPr>
    </w:lvl>
  </w:abstractNum>
  <w:abstractNum w:abstractNumId="15">
    <w:nsid w:val="31B80BF3"/>
    <w:multiLevelType w:val="hybridMultilevel"/>
    <w:tmpl w:val="55A032AA"/>
    <w:lvl w:ilvl="0" w:tplc="04100001">
      <w:start w:val="1"/>
      <w:numFmt w:val="bullet"/>
      <w:lvlText w:val=""/>
      <w:lvlJc w:val="left"/>
      <w:pPr>
        <w:ind w:left="770" w:hanging="360"/>
      </w:pPr>
      <w:rPr>
        <w:rFonts w:ascii="Symbol" w:hAnsi="Symbol" w:hint="default"/>
      </w:rPr>
    </w:lvl>
    <w:lvl w:ilvl="1" w:tplc="04100003" w:tentative="1">
      <w:start w:val="1"/>
      <w:numFmt w:val="bullet"/>
      <w:lvlText w:val="o"/>
      <w:lvlJc w:val="left"/>
      <w:pPr>
        <w:ind w:left="1490" w:hanging="360"/>
      </w:pPr>
      <w:rPr>
        <w:rFonts w:ascii="Courier New" w:hAnsi="Courier New" w:cs="Courier New" w:hint="default"/>
      </w:rPr>
    </w:lvl>
    <w:lvl w:ilvl="2" w:tplc="04100005" w:tentative="1">
      <w:start w:val="1"/>
      <w:numFmt w:val="bullet"/>
      <w:lvlText w:val=""/>
      <w:lvlJc w:val="left"/>
      <w:pPr>
        <w:ind w:left="2210" w:hanging="360"/>
      </w:pPr>
      <w:rPr>
        <w:rFonts w:ascii="Wingdings" w:hAnsi="Wingdings" w:hint="default"/>
      </w:rPr>
    </w:lvl>
    <w:lvl w:ilvl="3" w:tplc="04100001" w:tentative="1">
      <w:start w:val="1"/>
      <w:numFmt w:val="bullet"/>
      <w:lvlText w:val=""/>
      <w:lvlJc w:val="left"/>
      <w:pPr>
        <w:ind w:left="2930" w:hanging="360"/>
      </w:pPr>
      <w:rPr>
        <w:rFonts w:ascii="Symbol" w:hAnsi="Symbol" w:hint="default"/>
      </w:rPr>
    </w:lvl>
    <w:lvl w:ilvl="4" w:tplc="04100003" w:tentative="1">
      <w:start w:val="1"/>
      <w:numFmt w:val="bullet"/>
      <w:lvlText w:val="o"/>
      <w:lvlJc w:val="left"/>
      <w:pPr>
        <w:ind w:left="3650" w:hanging="360"/>
      </w:pPr>
      <w:rPr>
        <w:rFonts w:ascii="Courier New" w:hAnsi="Courier New" w:cs="Courier New" w:hint="default"/>
      </w:rPr>
    </w:lvl>
    <w:lvl w:ilvl="5" w:tplc="04100005" w:tentative="1">
      <w:start w:val="1"/>
      <w:numFmt w:val="bullet"/>
      <w:lvlText w:val=""/>
      <w:lvlJc w:val="left"/>
      <w:pPr>
        <w:ind w:left="4370" w:hanging="360"/>
      </w:pPr>
      <w:rPr>
        <w:rFonts w:ascii="Wingdings" w:hAnsi="Wingdings" w:hint="default"/>
      </w:rPr>
    </w:lvl>
    <w:lvl w:ilvl="6" w:tplc="04100001" w:tentative="1">
      <w:start w:val="1"/>
      <w:numFmt w:val="bullet"/>
      <w:lvlText w:val=""/>
      <w:lvlJc w:val="left"/>
      <w:pPr>
        <w:ind w:left="5090" w:hanging="360"/>
      </w:pPr>
      <w:rPr>
        <w:rFonts w:ascii="Symbol" w:hAnsi="Symbol" w:hint="default"/>
      </w:rPr>
    </w:lvl>
    <w:lvl w:ilvl="7" w:tplc="04100003" w:tentative="1">
      <w:start w:val="1"/>
      <w:numFmt w:val="bullet"/>
      <w:lvlText w:val="o"/>
      <w:lvlJc w:val="left"/>
      <w:pPr>
        <w:ind w:left="5810" w:hanging="360"/>
      </w:pPr>
      <w:rPr>
        <w:rFonts w:ascii="Courier New" w:hAnsi="Courier New" w:cs="Courier New" w:hint="default"/>
      </w:rPr>
    </w:lvl>
    <w:lvl w:ilvl="8" w:tplc="04100005" w:tentative="1">
      <w:start w:val="1"/>
      <w:numFmt w:val="bullet"/>
      <w:lvlText w:val=""/>
      <w:lvlJc w:val="left"/>
      <w:pPr>
        <w:ind w:left="6530" w:hanging="360"/>
      </w:pPr>
      <w:rPr>
        <w:rFonts w:ascii="Wingdings" w:hAnsi="Wingdings" w:hint="default"/>
      </w:rPr>
    </w:lvl>
  </w:abstractNum>
  <w:abstractNum w:abstractNumId="16">
    <w:nsid w:val="31BB08F0"/>
    <w:multiLevelType w:val="hybridMultilevel"/>
    <w:tmpl w:val="B2BEBFA4"/>
    <w:lvl w:ilvl="0" w:tplc="04100001">
      <w:start w:val="1"/>
      <w:numFmt w:val="bullet"/>
      <w:lvlText w:val=""/>
      <w:lvlJc w:val="left"/>
      <w:pPr>
        <w:ind w:left="1200" w:hanging="360"/>
      </w:pPr>
      <w:rPr>
        <w:rFonts w:ascii="Symbol" w:hAnsi="Symbol" w:hint="default"/>
      </w:rPr>
    </w:lvl>
    <w:lvl w:ilvl="1" w:tplc="04100001">
      <w:start w:val="1"/>
      <w:numFmt w:val="bullet"/>
      <w:lvlText w:val=""/>
      <w:lvlJc w:val="left"/>
      <w:pPr>
        <w:ind w:left="1920" w:hanging="360"/>
      </w:pPr>
      <w:rPr>
        <w:rFonts w:ascii="Symbol" w:hAnsi="Symbol" w:hint="default"/>
      </w:rPr>
    </w:lvl>
    <w:lvl w:ilvl="2" w:tplc="B04E558A">
      <w:numFmt w:val="bullet"/>
      <w:lvlText w:val="-"/>
      <w:lvlJc w:val="left"/>
      <w:pPr>
        <w:ind w:left="2640" w:hanging="360"/>
      </w:pPr>
      <w:rPr>
        <w:rFonts w:ascii="Times New Roman" w:eastAsia="Times New Roman" w:hAnsi="Times New Roman" w:cs="Times New Roman" w:hint="default"/>
      </w:r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nsid w:val="32290069"/>
    <w:multiLevelType w:val="hybridMultilevel"/>
    <w:tmpl w:val="E10054EE"/>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18">
    <w:nsid w:val="33417E57"/>
    <w:multiLevelType w:val="hybridMultilevel"/>
    <w:tmpl w:val="327C271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35512AF0"/>
    <w:multiLevelType w:val="hybridMultilevel"/>
    <w:tmpl w:val="FC1206F4"/>
    <w:lvl w:ilvl="0" w:tplc="04100001">
      <w:start w:val="1"/>
      <w:numFmt w:val="bullet"/>
      <w:lvlText w:val=""/>
      <w:lvlJc w:val="left"/>
      <w:rPr>
        <w:rFonts w:ascii="Symbol" w:hAnsi="Symbol" w:hint="default"/>
      </w:rPr>
    </w:lvl>
    <w:lvl w:ilvl="1" w:tplc="04100001">
      <w:start w:val="1"/>
      <w:numFmt w:val="bullet"/>
      <w:lvlText w:val=""/>
      <w:lvlJc w:val="left"/>
      <w:rPr>
        <w:rFonts w:ascii="Symbol" w:hAnsi="Symbol" w:hint="default"/>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0">
    <w:nsid w:val="360D3E2C"/>
    <w:multiLevelType w:val="hybridMultilevel"/>
    <w:tmpl w:val="0FCA10D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nsid w:val="3F513C46"/>
    <w:multiLevelType w:val="hybridMultilevel"/>
    <w:tmpl w:val="BE58AF04"/>
    <w:lvl w:ilvl="0" w:tplc="04100017">
      <w:start w:val="1"/>
      <w:numFmt w:val="lowerLetter"/>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2">
    <w:nsid w:val="448E3902"/>
    <w:multiLevelType w:val="multilevel"/>
    <w:tmpl w:val="64AC7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4DE2A7F"/>
    <w:multiLevelType w:val="hybridMultilevel"/>
    <w:tmpl w:val="16E23744"/>
    <w:lvl w:ilvl="0" w:tplc="04100019">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4">
    <w:nsid w:val="46585CBB"/>
    <w:multiLevelType w:val="hybridMultilevel"/>
    <w:tmpl w:val="619CF672"/>
    <w:lvl w:ilvl="0" w:tplc="37261C72">
      <w:start w:val="4"/>
      <w:numFmt w:val="lowerLetter"/>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nsid w:val="4D3F2251"/>
    <w:multiLevelType w:val="hybridMultilevel"/>
    <w:tmpl w:val="093474BE"/>
    <w:lvl w:ilvl="0" w:tplc="C27C9DCC">
      <w:start w:val="7"/>
      <w:numFmt w:val="bullet"/>
      <w:lvlText w:val="-"/>
      <w:lvlJc w:val="left"/>
      <w:pPr>
        <w:ind w:left="720" w:hanging="360"/>
      </w:pPr>
      <w:rPr>
        <w:rFonts w:ascii="Times New Roman" w:eastAsia="Times New Roman" w:hAnsi="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nsid w:val="4D946DEA"/>
    <w:multiLevelType w:val="hybridMultilevel"/>
    <w:tmpl w:val="D3505A3C"/>
    <w:lvl w:ilvl="0" w:tplc="E9D659D2">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nsid w:val="4DFE54A5"/>
    <w:multiLevelType w:val="hybridMultilevel"/>
    <w:tmpl w:val="8BEED3FA"/>
    <w:lvl w:ilvl="0" w:tplc="04100001">
      <w:start w:val="1"/>
      <w:numFmt w:val="bullet"/>
      <w:lvlText w:val=""/>
      <w:lvlJc w:val="left"/>
      <w:rPr>
        <w:rFonts w:ascii="Symbol" w:hAnsi="Symbol" w:hint="default"/>
      </w:rPr>
    </w:lvl>
    <w:lvl w:ilvl="1" w:tplc="04100001">
      <w:start w:val="1"/>
      <w:numFmt w:val="bullet"/>
      <w:lvlText w:val=""/>
      <w:lvlJc w:val="left"/>
      <w:rPr>
        <w:rFonts w:ascii="Symbol" w:hAnsi="Symbol" w:hint="default"/>
      </w:rPr>
    </w:lvl>
    <w:lvl w:ilvl="2" w:tplc="FFFFFFFF">
      <w:numFmt w:val="decimal"/>
      <w:lvlText w:val=""/>
      <w:lvlJc w:val="left"/>
      <w:rPr>
        <w:rFonts w:cs="Times New Roman"/>
      </w:rPr>
    </w:lvl>
    <w:lvl w:ilvl="3" w:tplc="FFFFFFFF">
      <w:numFmt w:val="decimal"/>
      <w:lvlText w:val=""/>
      <w:lvlJc w:val="left"/>
      <w:rPr>
        <w:rFonts w:cs="Times New Roman"/>
      </w:rPr>
    </w:lvl>
    <w:lvl w:ilvl="4" w:tplc="04100001">
      <w:start w:val="1"/>
      <w:numFmt w:val="bullet"/>
      <w:lvlText w:val=""/>
      <w:lvlJc w:val="left"/>
      <w:rPr>
        <w:rFonts w:ascii="Symbol" w:hAnsi="Symbol" w:hint="default"/>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8">
    <w:nsid w:val="5486615D"/>
    <w:multiLevelType w:val="hybridMultilevel"/>
    <w:tmpl w:val="E016668C"/>
    <w:lvl w:ilvl="0" w:tplc="FFFFFFFF">
      <w:start w:val="1"/>
      <w:numFmt w:val="ideographDigital"/>
      <w:lvlText w:val=""/>
      <w:lvlJc w:val="left"/>
    </w:lvl>
    <w:lvl w:ilvl="1" w:tplc="04100001">
      <w:start w:val="1"/>
      <w:numFmt w:val="bullet"/>
      <w:lvlText w:val=""/>
      <w:lvlJc w:val="left"/>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nsid w:val="54B742B0"/>
    <w:multiLevelType w:val="multilevel"/>
    <w:tmpl w:val="4260EEAC"/>
    <w:lvl w:ilvl="0">
      <w:start w:val="1"/>
      <w:numFmt w:val="bullet"/>
      <w:lvlText w:val=""/>
      <w:lvlJc w:val="left"/>
      <w:pPr>
        <w:ind w:left="480" w:hanging="480"/>
      </w:pPr>
      <w:rPr>
        <w:rFonts w:ascii="Symbol" w:hAnsi="Symbol" w:hint="default"/>
      </w:rPr>
    </w:lvl>
    <w:lvl w:ilvl="1">
      <w:start w:val="5"/>
      <w:numFmt w:val="decimal"/>
      <w:lvlText w:val="%1.%2"/>
      <w:lvlJc w:val="left"/>
      <w:pPr>
        <w:ind w:left="480" w:hanging="480"/>
      </w:pPr>
      <w:rPr>
        <w:rFonts w:cs="Times New Roman"/>
      </w:rPr>
    </w:lvl>
    <w:lvl w:ilvl="2">
      <w:start w:val="4"/>
      <w:numFmt w:val="decimal"/>
      <w:lvlText w:val="%1.%2.%3"/>
      <w:lvlJc w:val="left"/>
      <w:pPr>
        <w:ind w:left="720" w:hanging="720"/>
      </w:pPr>
      <w:rPr>
        <w:rFonts w:cs="Times New Roman"/>
        <w:b/>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30">
    <w:nsid w:val="5C81084F"/>
    <w:multiLevelType w:val="hybridMultilevel"/>
    <w:tmpl w:val="8E92F834"/>
    <w:lvl w:ilvl="0" w:tplc="483C8700">
      <w:start w:val="1"/>
      <w:numFmt w:val="lowerLetter"/>
      <w:lvlText w:val="%1)"/>
      <w:lvlJc w:val="left"/>
      <w:pPr>
        <w:ind w:left="720" w:hanging="360"/>
      </w:pPr>
      <w:rPr>
        <w:rFonts w:cs="Times New Roman"/>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1">
    <w:nsid w:val="5CC536AA"/>
    <w:multiLevelType w:val="hybridMultilevel"/>
    <w:tmpl w:val="C04223BE"/>
    <w:lvl w:ilvl="0" w:tplc="04100017">
      <w:start w:val="1"/>
      <w:numFmt w:val="low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nsid w:val="6090424E"/>
    <w:multiLevelType w:val="hybridMultilevel"/>
    <w:tmpl w:val="E494B5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nsid w:val="69470FEF"/>
    <w:multiLevelType w:val="hybridMultilevel"/>
    <w:tmpl w:val="773A6CE2"/>
    <w:lvl w:ilvl="0" w:tplc="04100001">
      <w:start w:val="1"/>
      <w:numFmt w:val="bullet"/>
      <w:lvlText w:val=""/>
      <w:lvlJc w:val="left"/>
      <w:pPr>
        <w:ind w:left="1200" w:hanging="360"/>
      </w:pPr>
      <w:rPr>
        <w:rFonts w:ascii="Symbol" w:hAnsi="Symbol" w:hint="default"/>
      </w:rPr>
    </w:lvl>
    <w:lvl w:ilvl="1" w:tplc="04100001">
      <w:start w:val="1"/>
      <w:numFmt w:val="bullet"/>
      <w:lvlText w:val=""/>
      <w:lvlJc w:val="left"/>
      <w:pPr>
        <w:ind w:left="1920" w:hanging="360"/>
      </w:pPr>
      <w:rPr>
        <w:rFonts w:ascii="Symbol" w:hAnsi="Symbol"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4">
    <w:nsid w:val="6B1E3B55"/>
    <w:multiLevelType w:val="hybridMultilevel"/>
    <w:tmpl w:val="0706E2C0"/>
    <w:lvl w:ilvl="0" w:tplc="1D76B102">
      <w:start w:val="1"/>
      <w:numFmt w:val="lowerLetter"/>
      <w:lvlText w:val="%1)"/>
      <w:lvlJc w:val="left"/>
      <w:pPr>
        <w:ind w:left="502" w:hanging="360"/>
      </w:pPr>
      <w:rPr>
        <w:rFonts w:hint="default"/>
      </w:r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abstractNum w:abstractNumId="35">
    <w:nsid w:val="6DFD4FBF"/>
    <w:multiLevelType w:val="multilevel"/>
    <w:tmpl w:val="40009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F183217"/>
    <w:multiLevelType w:val="multilevel"/>
    <w:tmpl w:val="A18E3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0066218"/>
    <w:multiLevelType w:val="hybridMultilevel"/>
    <w:tmpl w:val="03169D9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nsid w:val="70750485"/>
    <w:multiLevelType w:val="hybridMultilevel"/>
    <w:tmpl w:val="D3505A3C"/>
    <w:lvl w:ilvl="0" w:tplc="E9D659D2">
      <w:start w:val="1"/>
      <w:numFmt w:val="lowerLetter"/>
      <w:lvlText w:val="%1)"/>
      <w:lvlJc w:val="left"/>
      <w:pPr>
        <w:ind w:left="720" w:hanging="360"/>
      </w:pPr>
      <w:rPr>
        <w:rFonts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nsid w:val="73206CB8"/>
    <w:multiLevelType w:val="hybridMultilevel"/>
    <w:tmpl w:val="571A08B0"/>
    <w:lvl w:ilvl="0" w:tplc="04100001">
      <w:start w:val="1"/>
      <w:numFmt w:val="bullet"/>
      <w:lvlText w:val=""/>
      <w:lvlJc w:val="left"/>
      <w:pPr>
        <w:ind w:left="502" w:hanging="360"/>
      </w:pPr>
      <w:rPr>
        <w:rFonts w:ascii="Symbol" w:hAnsi="Symbol"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40">
    <w:nsid w:val="780E7264"/>
    <w:multiLevelType w:val="hybridMultilevel"/>
    <w:tmpl w:val="F10E2A68"/>
    <w:lvl w:ilvl="0" w:tplc="05C0E940">
      <w:start w:val="2"/>
      <w:numFmt w:val="bullet"/>
      <w:lvlText w:val=""/>
      <w:lvlJc w:val="left"/>
      <w:pPr>
        <w:ind w:left="420" w:hanging="360"/>
      </w:pPr>
      <w:rPr>
        <w:rFonts w:ascii="Wingdings" w:eastAsiaTheme="minorHAnsi" w:hAnsi="Wingdings" w:cs="Arial" w:hint="default"/>
      </w:rPr>
    </w:lvl>
    <w:lvl w:ilvl="1" w:tplc="04100003" w:tentative="1">
      <w:start w:val="1"/>
      <w:numFmt w:val="bullet"/>
      <w:lvlText w:val="o"/>
      <w:lvlJc w:val="left"/>
      <w:pPr>
        <w:ind w:left="1140" w:hanging="360"/>
      </w:pPr>
      <w:rPr>
        <w:rFonts w:ascii="Courier New" w:hAnsi="Courier New" w:cs="Courier New" w:hint="default"/>
      </w:rPr>
    </w:lvl>
    <w:lvl w:ilvl="2" w:tplc="04100005" w:tentative="1">
      <w:start w:val="1"/>
      <w:numFmt w:val="bullet"/>
      <w:lvlText w:val=""/>
      <w:lvlJc w:val="left"/>
      <w:pPr>
        <w:ind w:left="1860" w:hanging="360"/>
      </w:pPr>
      <w:rPr>
        <w:rFonts w:ascii="Wingdings" w:hAnsi="Wingdings" w:hint="default"/>
      </w:rPr>
    </w:lvl>
    <w:lvl w:ilvl="3" w:tplc="04100001" w:tentative="1">
      <w:start w:val="1"/>
      <w:numFmt w:val="bullet"/>
      <w:lvlText w:val=""/>
      <w:lvlJc w:val="left"/>
      <w:pPr>
        <w:ind w:left="2580" w:hanging="360"/>
      </w:pPr>
      <w:rPr>
        <w:rFonts w:ascii="Symbol" w:hAnsi="Symbol" w:hint="default"/>
      </w:rPr>
    </w:lvl>
    <w:lvl w:ilvl="4" w:tplc="04100003" w:tentative="1">
      <w:start w:val="1"/>
      <w:numFmt w:val="bullet"/>
      <w:lvlText w:val="o"/>
      <w:lvlJc w:val="left"/>
      <w:pPr>
        <w:ind w:left="3300" w:hanging="360"/>
      </w:pPr>
      <w:rPr>
        <w:rFonts w:ascii="Courier New" w:hAnsi="Courier New" w:cs="Courier New" w:hint="default"/>
      </w:rPr>
    </w:lvl>
    <w:lvl w:ilvl="5" w:tplc="04100005" w:tentative="1">
      <w:start w:val="1"/>
      <w:numFmt w:val="bullet"/>
      <w:lvlText w:val=""/>
      <w:lvlJc w:val="left"/>
      <w:pPr>
        <w:ind w:left="4020" w:hanging="360"/>
      </w:pPr>
      <w:rPr>
        <w:rFonts w:ascii="Wingdings" w:hAnsi="Wingdings" w:hint="default"/>
      </w:rPr>
    </w:lvl>
    <w:lvl w:ilvl="6" w:tplc="04100001" w:tentative="1">
      <w:start w:val="1"/>
      <w:numFmt w:val="bullet"/>
      <w:lvlText w:val=""/>
      <w:lvlJc w:val="left"/>
      <w:pPr>
        <w:ind w:left="4740" w:hanging="360"/>
      </w:pPr>
      <w:rPr>
        <w:rFonts w:ascii="Symbol" w:hAnsi="Symbol" w:hint="default"/>
      </w:rPr>
    </w:lvl>
    <w:lvl w:ilvl="7" w:tplc="04100003" w:tentative="1">
      <w:start w:val="1"/>
      <w:numFmt w:val="bullet"/>
      <w:lvlText w:val="o"/>
      <w:lvlJc w:val="left"/>
      <w:pPr>
        <w:ind w:left="5460" w:hanging="360"/>
      </w:pPr>
      <w:rPr>
        <w:rFonts w:ascii="Courier New" w:hAnsi="Courier New" w:cs="Courier New" w:hint="default"/>
      </w:rPr>
    </w:lvl>
    <w:lvl w:ilvl="8" w:tplc="04100005" w:tentative="1">
      <w:start w:val="1"/>
      <w:numFmt w:val="bullet"/>
      <w:lvlText w:val=""/>
      <w:lvlJc w:val="left"/>
      <w:pPr>
        <w:ind w:left="6180" w:hanging="360"/>
      </w:pPr>
      <w:rPr>
        <w:rFonts w:ascii="Wingdings" w:hAnsi="Wingdings" w:hint="default"/>
      </w:rPr>
    </w:lvl>
  </w:abstractNum>
  <w:num w:numId="1">
    <w:abstractNumId w:val="37"/>
  </w:num>
  <w:num w:numId="2">
    <w:abstractNumId w:val="32"/>
  </w:num>
  <w:num w:numId="3">
    <w:abstractNumId w:val="21"/>
  </w:num>
  <w:num w:numId="4">
    <w:abstractNumId w:val="6"/>
  </w:num>
  <w:num w:numId="5">
    <w:abstractNumId w:val="10"/>
  </w:num>
  <w:num w:numId="6">
    <w:abstractNumId w:val="25"/>
  </w:num>
  <w:num w:numId="7">
    <w:abstractNumId w:val="18"/>
  </w:num>
  <w:num w:numId="8">
    <w:abstractNumId w:val="3"/>
  </w:num>
  <w:num w:numId="9">
    <w:abstractNumId w:val="23"/>
  </w:num>
  <w:num w:numId="10">
    <w:abstractNumId w:val="24"/>
  </w:num>
  <w:num w:numId="11">
    <w:abstractNumId w:val="39"/>
  </w:num>
  <w:num w:numId="12">
    <w:abstractNumId w:val="28"/>
  </w:num>
  <w:num w:numId="13">
    <w:abstractNumId w:val="12"/>
  </w:num>
  <w:num w:numId="14">
    <w:abstractNumId w:val="9"/>
  </w:num>
  <w:num w:numId="15">
    <w:abstractNumId w:val="19"/>
  </w:num>
  <w:num w:numId="16">
    <w:abstractNumId w:val="4"/>
  </w:num>
  <w:num w:numId="17">
    <w:abstractNumId w:val="27"/>
  </w:num>
  <w:num w:numId="18">
    <w:abstractNumId w:val="38"/>
  </w:num>
  <w:num w:numId="19">
    <w:abstractNumId w:val="26"/>
  </w:num>
  <w:num w:numId="20">
    <w:abstractNumId w:val="1"/>
  </w:num>
  <w:num w:numId="21">
    <w:abstractNumId w:val="20"/>
  </w:num>
  <w:num w:numId="22">
    <w:abstractNumId w:val="17"/>
  </w:num>
  <w:num w:numId="23">
    <w:abstractNumId w:val="34"/>
  </w:num>
  <w:num w:numId="24">
    <w:abstractNumId w:val="35"/>
  </w:num>
  <w:num w:numId="25">
    <w:abstractNumId w:val="36"/>
  </w:num>
  <w:num w:numId="26">
    <w:abstractNumId w:val="8"/>
  </w:num>
  <w:num w:numId="27">
    <w:abstractNumId w:val="22"/>
  </w:num>
  <w:num w:numId="28">
    <w:abstractNumId w:val="7"/>
  </w:num>
  <w:num w:numId="29">
    <w:abstractNumId w:val="31"/>
  </w:num>
  <w:num w:numId="30">
    <w:abstractNumId w:val="0"/>
  </w:num>
  <w:num w:numId="3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5"/>
    <w:lvlOverride w:ilvl="0">
      <w:startOverride w:val="1"/>
    </w:lvlOverride>
  </w:num>
  <w:num w:numId="3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3"/>
  </w:num>
  <w:num w:numId="38">
    <w:abstractNumId w:val="29"/>
    <w:lvlOverride w:ilvl="0"/>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
  </w:num>
  <w:num w:numId="40">
    <w:abstractNumId w:val="13"/>
  </w:num>
  <w:num w:numId="41">
    <w:abstractNumId w:val="14"/>
  </w:num>
  <w:num w:numId="42">
    <w:abstractNumId w:val="15"/>
  </w:num>
  <w:num w:numId="43">
    <w:abstractNumId w:val="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08"/>
  <w:hyphenationZone w:val="283"/>
  <w:characterSpacingControl w:val="doNotCompress"/>
  <w:footnotePr>
    <w:footnote w:id="-1"/>
    <w:footnote w:id="0"/>
  </w:footnotePr>
  <w:endnotePr>
    <w:endnote w:id="-1"/>
    <w:endnote w:id="0"/>
  </w:endnotePr>
  <w:compat/>
  <w:rsids>
    <w:rsidRoot w:val="00C603D4"/>
    <w:rsid w:val="0000293C"/>
    <w:rsid w:val="0001140F"/>
    <w:rsid w:val="00024035"/>
    <w:rsid w:val="00044C39"/>
    <w:rsid w:val="000B6D11"/>
    <w:rsid w:val="00103572"/>
    <w:rsid w:val="0017434A"/>
    <w:rsid w:val="001C56E9"/>
    <w:rsid w:val="002144A0"/>
    <w:rsid w:val="002470BE"/>
    <w:rsid w:val="002659DF"/>
    <w:rsid w:val="00272205"/>
    <w:rsid w:val="002B3E3B"/>
    <w:rsid w:val="002F15D4"/>
    <w:rsid w:val="00345559"/>
    <w:rsid w:val="0035661F"/>
    <w:rsid w:val="0036413E"/>
    <w:rsid w:val="00426C50"/>
    <w:rsid w:val="004A2927"/>
    <w:rsid w:val="004F36A3"/>
    <w:rsid w:val="004F708A"/>
    <w:rsid w:val="00530749"/>
    <w:rsid w:val="0054222B"/>
    <w:rsid w:val="0054738F"/>
    <w:rsid w:val="00551370"/>
    <w:rsid w:val="00572054"/>
    <w:rsid w:val="00587419"/>
    <w:rsid w:val="005B3CB3"/>
    <w:rsid w:val="005E69F5"/>
    <w:rsid w:val="005F5E4D"/>
    <w:rsid w:val="00613A5B"/>
    <w:rsid w:val="00614CC2"/>
    <w:rsid w:val="00615357"/>
    <w:rsid w:val="006A4ED7"/>
    <w:rsid w:val="006B78B5"/>
    <w:rsid w:val="00701A40"/>
    <w:rsid w:val="007471EC"/>
    <w:rsid w:val="007C5700"/>
    <w:rsid w:val="008043DB"/>
    <w:rsid w:val="008E53D2"/>
    <w:rsid w:val="008F682B"/>
    <w:rsid w:val="00907E51"/>
    <w:rsid w:val="0094729F"/>
    <w:rsid w:val="009519A7"/>
    <w:rsid w:val="00965413"/>
    <w:rsid w:val="00992B79"/>
    <w:rsid w:val="009C6018"/>
    <w:rsid w:val="009D7F0A"/>
    <w:rsid w:val="009E6B5D"/>
    <w:rsid w:val="009F1BA0"/>
    <w:rsid w:val="00A148D0"/>
    <w:rsid w:val="00A3487A"/>
    <w:rsid w:val="00A66F03"/>
    <w:rsid w:val="00AC67A7"/>
    <w:rsid w:val="00BD77DE"/>
    <w:rsid w:val="00C034FD"/>
    <w:rsid w:val="00C06FBE"/>
    <w:rsid w:val="00C373EE"/>
    <w:rsid w:val="00C603D4"/>
    <w:rsid w:val="00CD247F"/>
    <w:rsid w:val="00CD2A6D"/>
    <w:rsid w:val="00DA76CA"/>
    <w:rsid w:val="00DD1DAF"/>
    <w:rsid w:val="00DF5EF4"/>
    <w:rsid w:val="00E354BE"/>
    <w:rsid w:val="00E475A1"/>
    <w:rsid w:val="00EB10DE"/>
    <w:rsid w:val="00EC2C9F"/>
    <w:rsid w:val="00F018B7"/>
    <w:rsid w:val="00F46E32"/>
    <w:rsid w:val="00F67129"/>
    <w:rsid w:val="00F701B8"/>
    <w:rsid w:val="00F75F2B"/>
    <w:rsid w:val="00FA2582"/>
    <w:rsid w:val="00FD75F7"/>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034FD"/>
  </w:style>
  <w:style w:type="paragraph" w:styleId="Titolo2">
    <w:name w:val="heading 2"/>
    <w:basedOn w:val="Normale"/>
    <w:link w:val="Titolo2Carattere"/>
    <w:uiPriority w:val="9"/>
    <w:qFormat/>
    <w:rsid w:val="002659DF"/>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C603D4"/>
    <w:pPr>
      <w:ind w:left="720"/>
      <w:contextualSpacing/>
    </w:pPr>
  </w:style>
  <w:style w:type="character" w:styleId="Rimandonotaapidipagina">
    <w:name w:val="footnote reference"/>
    <w:uiPriority w:val="99"/>
    <w:rsid w:val="00C603D4"/>
    <w:rPr>
      <w:rFonts w:cs="Times New Roman"/>
      <w:vertAlign w:val="superscript"/>
    </w:rPr>
  </w:style>
  <w:style w:type="paragraph" w:styleId="Testonotaapidipagina">
    <w:name w:val="footnote text"/>
    <w:basedOn w:val="Normale"/>
    <w:link w:val="TestonotaapidipaginaCarattere"/>
    <w:uiPriority w:val="99"/>
    <w:unhideWhenUsed/>
    <w:rsid w:val="00C603D4"/>
    <w:pPr>
      <w:spacing w:line="240" w:lineRule="auto"/>
      <w:ind w:left="-284"/>
      <w:jc w:val="both"/>
    </w:pPr>
    <w:rPr>
      <w:rFonts w:ascii="Cambria" w:eastAsia="Cambria" w:hAnsi="Cambria" w:cs="Times New Roman"/>
      <w:sz w:val="20"/>
      <w:szCs w:val="20"/>
    </w:rPr>
  </w:style>
  <w:style w:type="character" w:customStyle="1" w:styleId="TestonotaapidipaginaCarattere">
    <w:name w:val="Testo nota a piè di pagina Carattere"/>
    <w:basedOn w:val="Carpredefinitoparagrafo"/>
    <w:link w:val="Testonotaapidipagina"/>
    <w:uiPriority w:val="99"/>
    <w:rsid w:val="00C603D4"/>
    <w:rPr>
      <w:rFonts w:ascii="Cambria" w:eastAsia="Cambria" w:hAnsi="Cambria" w:cs="Times New Roman"/>
      <w:sz w:val="20"/>
      <w:szCs w:val="20"/>
    </w:rPr>
  </w:style>
  <w:style w:type="paragraph" w:customStyle="1" w:styleId="Paragrafoelenco1">
    <w:name w:val="Paragrafo elenco1"/>
    <w:basedOn w:val="Normale"/>
    <w:rsid w:val="006B78B5"/>
    <w:pPr>
      <w:spacing w:after="0" w:line="240" w:lineRule="auto"/>
      <w:ind w:left="720"/>
      <w:contextualSpacing/>
      <w:jc w:val="both"/>
    </w:pPr>
    <w:rPr>
      <w:rFonts w:ascii="Times New Roman" w:eastAsia="Times New Roman" w:hAnsi="Times New Roman" w:cs="Times New Roman"/>
      <w:sz w:val="24"/>
      <w:szCs w:val="24"/>
      <w:lang w:eastAsia="it-IT"/>
    </w:rPr>
  </w:style>
  <w:style w:type="paragraph" w:styleId="NormaleWeb">
    <w:name w:val="Normal (Web)"/>
    <w:basedOn w:val="Normale"/>
    <w:uiPriority w:val="99"/>
    <w:unhideWhenUsed/>
    <w:rsid w:val="00965413"/>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Default">
    <w:name w:val="Default"/>
    <w:rsid w:val="00965413"/>
    <w:pPr>
      <w:autoSpaceDE w:val="0"/>
      <w:autoSpaceDN w:val="0"/>
      <w:adjustRightInd w:val="0"/>
      <w:spacing w:line="240" w:lineRule="auto"/>
      <w:ind w:left="-284"/>
      <w:jc w:val="both"/>
    </w:pPr>
    <w:rPr>
      <w:rFonts w:ascii="Times New Roman" w:eastAsia="Times New Roman" w:hAnsi="Times New Roman" w:cs="Times New Roman"/>
      <w:color w:val="000000"/>
      <w:sz w:val="24"/>
      <w:szCs w:val="24"/>
      <w:lang w:eastAsia="it-IT"/>
    </w:rPr>
  </w:style>
  <w:style w:type="paragraph" w:styleId="Rientrocorpodeltesto2">
    <w:name w:val="Body Text Indent 2"/>
    <w:basedOn w:val="Normale"/>
    <w:link w:val="Rientrocorpodeltesto2Carattere"/>
    <w:uiPriority w:val="99"/>
    <w:rsid w:val="00965413"/>
    <w:pPr>
      <w:spacing w:after="120" w:line="480" w:lineRule="auto"/>
      <w:ind w:left="283"/>
      <w:jc w:val="both"/>
    </w:pPr>
    <w:rPr>
      <w:rFonts w:ascii="Calibri" w:eastAsia="Times New Roman" w:hAnsi="Calibri" w:cs="Times New Roman"/>
    </w:rPr>
  </w:style>
  <w:style w:type="character" w:customStyle="1" w:styleId="Rientrocorpodeltesto2Carattere">
    <w:name w:val="Rientro corpo del testo 2 Carattere"/>
    <w:basedOn w:val="Carpredefinitoparagrafo"/>
    <w:link w:val="Rientrocorpodeltesto2"/>
    <w:uiPriority w:val="99"/>
    <w:rsid w:val="00965413"/>
    <w:rPr>
      <w:rFonts w:ascii="Calibri" w:eastAsia="Times New Roman" w:hAnsi="Calibri" w:cs="Times New Roman"/>
    </w:rPr>
  </w:style>
  <w:style w:type="character" w:styleId="Collegamentoipertestuale">
    <w:name w:val="Hyperlink"/>
    <w:basedOn w:val="Carpredefinitoparagrafo"/>
    <w:uiPriority w:val="99"/>
    <w:semiHidden/>
    <w:unhideWhenUsed/>
    <w:rsid w:val="00DA76CA"/>
    <w:rPr>
      <w:color w:val="0000FF"/>
      <w:u w:val="single"/>
    </w:rPr>
  </w:style>
  <w:style w:type="character" w:customStyle="1" w:styleId="marker">
    <w:name w:val="marker"/>
    <w:basedOn w:val="Carpredefinitoparagrafo"/>
    <w:rsid w:val="002659DF"/>
  </w:style>
  <w:style w:type="character" w:customStyle="1" w:styleId="password-indicator">
    <w:name w:val="password-indicator"/>
    <w:basedOn w:val="Carpredefinitoparagrafo"/>
    <w:rsid w:val="002659DF"/>
  </w:style>
  <w:style w:type="character" w:styleId="Enfasigrassetto">
    <w:name w:val="Strong"/>
    <w:basedOn w:val="Carpredefinitoparagrafo"/>
    <w:uiPriority w:val="22"/>
    <w:qFormat/>
    <w:rsid w:val="002659DF"/>
    <w:rPr>
      <w:b/>
      <w:bCs/>
    </w:rPr>
  </w:style>
  <w:style w:type="character" w:customStyle="1" w:styleId="Titolo2Carattere">
    <w:name w:val="Titolo 2 Carattere"/>
    <w:basedOn w:val="Carpredefinitoparagrafo"/>
    <w:link w:val="Titolo2"/>
    <w:uiPriority w:val="9"/>
    <w:rsid w:val="002659DF"/>
    <w:rPr>
      <w:rFonts w:ascii="Times New Roman" w:eastAsia="Times New Roman" w:hAnsi="Times New Roman" w:cs="Times New Roman"/>
      <w:b/>
      <w:bCs/>
      <w:sz w:val="36"/>
      <w:szCs w:val="36"/>
      <w:lang w:eastAsia="it-IT"/>
    </w:rPr>
  </w:style>
  <w:style w:type="character" w:customStyle="1" w:styleId="ctools-owns-lock">
    <w:name w:val="ctools-owns-lock"/>
    <w:basedOn w:val="Carpredefinitoparagrafo"/>
    <w:rsid w:val="002659DF"/>
  </w:style>
  <w:style w:type="character" w:styleId="Enfasicorsivo">
    <w:name w:val="Emphasis"/>
    <w:basedOn w:val="Carpredefinitoparagrafo"/>
    <w:uiPriority w:val="20"/>
    <w:qFormat/>
    <w:rsid w:val="002659DF"/>
    <w:rPr>
      <w:i/>
      <w:iCs/>
    </w:rPr>
  </w:style>
  <w:style w:type="paragraph" w:customStyle="1" w:styleId="Normale2">
    <w:name w:val="Normale+2"/>
    <w:basedOn w:val="Normale"/>
    <w:next w:val="Normale"/>
    <w:uiPriority w:val="99"/>
    <w:rsid w:val="002470BE"/>
    <w:pPr>
      <w:autoSpaceDE w:val="0"/>
      <w:autoSpaceDN w:val="0"/>
      <w:adjustRightInd w:val="0"/>
      <w:spacing w:after="0" w:line="240" w:lineRule="auto"/>
    </w:pPr>
    <w:rPr>
      <w:rFonts w:ascii="Times New Roman" w:eastAsia="Calibri" w:hAnsi="Times New Roman" w:cs="Times New Roman"/>
      <w:sz w:val="24"/>
      <w:szCs w:val="24"/>
    </w:rPr>
  </w:style>
  <w:style w:type="paragraph" w:styleId="Testonormale">
    <w:name w:val="Plain Text"/>
    <w:basedOn w:val="Normale"/>
    <w:link w:val="TestonormaleCarattere"/>
    <w:uiPriority w:val="99"/>
    <w:unhideWhenUsed/>
    <w:rsid w:val="002470BE"/>
    <w:pPr>
      <w:spacing w:after="0" w:line="240" w:lineRule="auto"/>
    </w:pPr>
    <w:rPr>
      <w:rFonts w:ascii="Arial" w:eastAsia="Calibri" w:hAnsi="Arial" w:cs="Times New Roman"/>
      <w:color w:val="0000FF"/>
      <w:sz w:val="24"/>
      <w:szCs w:val="24"/>
    </w:rPr>
  </w:style>
  <w:style w:type="character" w:customStyle="1" w:styleId="TestonormaleCarattere">
    <w:name w:val="Testo normale Carattere"/>
    <w:basedOn w:val="Carpredefinitoparagrafo"/>
    <w:link w:val="Testonormale"/>
    <w:uiPriority w:val="99"/>
    <w:rsid w:val="002470BE"/>
    <w:rPr>
      <w:rFonts w:ascii="Arial" w:eastAsia="Calibri" w:hAnsi="Arial" w:cs="Times New Roman"/>
      <w:color w:val="0000FF"/>
      <w:sz w:val="24"/>
      <w:szCs w:val="24"/>
    </w:rPr>
  </w:style>
  <w:style w:type="paragraph" w:styleId="Corpodeltesto">
    <w:name w:val="Body Text"/>
    <w:basedOn w:val="Normale"/>
    <w:link w:val="CorpodeltestoCarattere"/>
    <w:uiPriority w:val="99"/>
    <w:semiHidden/>
    <w:unhideWhenUsed/>
    <w:rsid w:val="001C56E9"/>
    <w:pPr>
      <w:spacing w:after="120"/>
    </w:pPr>
  </w:style>
  <w:style w:type="character" w:customStyle="1" w:styleId="CorpodeltestoCarattere">
    <w:name w:val="Corpo del testo Carattere"/>
    <w:basedOn w:val="Carpredefinitoparagrafo"/>
    <w:link w:val="Corpodeltesto"/>
    <w:uiPriority w:val="99"/>
    <w:semiHidden/>
    <w:rsid w:val="001C56E9"/>
  </w:style>
</w:styles>
</file>

<file path=word/webSettings.xml><?xml version="1.0" encoding="utf-8"?>
<w:webSettings xmlns:r="http://schemas.openxmlformats.org/officeDocument/2006/relationships" xmlns:w="http://schemas.openxmlformats.org/wordprocessingml/2006/main">
  <w:divs>
    <w:div w:id="182744169">
      <w:bodyDiv w:val="1"/>
      <w:marLeft w:val="0"/>
      <w:marRight w:val="0"/>
      <w:marTop w:val="0"/>
      <w:marBottom w:val="0"/>
      <w:divBdr>
        <w:top w:val="none" w:sz="0" w:space="0" w:color="auto"/>
        <w:left w:val="none" w:sz="0" w:space="0" w:color="auto"/>
        <w:bottom w:val="none" w:sz="0" w:space="0" w:color="auto"/>
        <w:right w:val="none" w:sz="0" w:space="0" w:color="auto"/>
      </w:divBdr>
    </w:div>
    <w:div w:id="233778754">
      <w:bodyDiv w:val="1"/>
      <w:marLeft w:val="0"/>
      <w:marRight w:val="0"/>
      <w:marTop w:val="0"/>
      <w:marBottom w:val="0"/>
      <w:divBdr>
        <w:top w:val="none" w:sz="0" w:space="0" w:color="auto"/>
        <w:left w:val="none" w:sz="0" w:space="0" w:color="auto"/>
        <w:bottom w:val="none" w:sz="0" w:space="0" w:color="auto"/>
        <w:right w:val="none" w:sz="0" w:space="0" w:color="auto"/>
      </w:divBdr>
      <w:divsChild>
        <w:div w:id="1958945808">
          <w:marLeft w:val="0"/>
          <w:marRight w:val="0"/>
          <w:marTop w:val="0"/>
          <w:marBottom w:val="0"/>
          <w:divBdr>
            <w:top w:val="none" w:sz="0" w:space="0" w:color="auto"/>
            <w:left w:val="none" w:sz="0" w:space="0" w:color="auto"/>
            <w:bottom w:val="none" w:sz="0" w:space="0" w:color="auto"/>
            <w:right w:val="none" w:sz="0" w:space="0" w:color="auto"/>
          </w:divBdr>
          <w:divsChild>
            <w:div w:id="171215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584251">
      <w:bodyDiv w:val="1"/>
      <w:marLeft w:val="0"/>
      <w:marRight w:val="0"/>
      <w:marTop w:val="0"/>
      <w:marBottom w:val="0"/>
      <w:divBdr>
        <w:top w:val="none" w:sz="0" w:space="0" w:color="auto"/>
        <w:left w:val="none" w:sz="0" w:space="0" w:color="auto"/>
        <w:bottom w:val="none" w:sz="0" w:space="0" w:color="auto"/>
        <w:right w:val="none" w:sz="0" w:space="0" w:color="auto"/>
      </w:divBdr>
    </w:div>
    <w:div w:id="326446961">
      <w:bodyDiv w:val="1"/>
      <w:marLeft w:val="0"/>
      <w:marRight w:val="0"/>
      <w:marTop w:val="0"/>
      <w:marBottom w:val="0"/>
      <w:divBdr>
        <w:top w:val="none" w:sz="0" w:space="0" w:color="auto"/>
        <w:left w:val="none" w:sz="0" w:space="0" w:color="auto"/>
        <w:bottom w:val="none" w:sz="0" w:space="0" w:color="auto"/>
        <w:right w:val="none" w:sz="0" w:space="0" w:color="auto"/>
      </w:divBdr>
    </w:div>
    <w:div w:id="627705920">
      <w:bodyDiv w:val="1"/>
      <w:marLeft w:val="0"/>
      <w:marRight w:val="0"/>
      <w:marTop w:val="0"/>
      <w:marBottom w:val="0"/>
      <w:divBdr>
        <w:top w:val="none" w:sz="0" w:space="0" w:color="auto"/>
        <w:left w:val="none" w:sz="0" w:space="0" w:color="auto"/>
        <w:bottom w:val="none" w:sz="0" w:space="0" w:color="auto"/>
        <w:right w:val="none" w:sz="0" w:space="0" w:color="auto"/>
      </w:divBdr>
    </w:div>
    <w:div w:id="984821332">
      <w:bodyDiv w:val="1"/>
      <w:marLeft w:val="0"/>
      <w:marRight w:val="0"/>
      <w:marTop w:val="0"/>
      <w:marBottom w:val="0"/>
      <w:divBdr>
        <w:top w:val="none" w:sz="0" w:space="0" w:color="auto"/>
        <w:left w:val="none" w:sz="0" w:space="0" w:color="auto"/>
        <w:bottom w:val="none" w:sz="0" w:space="0" w:color="auto"/>
        <w:right w:val="none" w:sz="0" w:space="0" w:color="auto"/>
      </w:divBdr>
    </w:div>
    <w:div w:id="1061559422">
      <w:bodyDiv w:val="1"/>
      <w:marLeft w:val="0"/>
      <w:marRight w:val="0"/>
      <w:marTop w:val="0"/>
      <w:marBottom w:val="0"/>
      <w:divBdr>
        <w:top w:val="none" w:sz="0" w:space="0" w:color="auto"/>
        <w:left w:val="none" w:sz="0" w:space="0" w:color="auto"/>
        <w:bottom w:val="none" w:sz="0" w:space="0" w:color="auto"/>
        <w:right w:val="none" w:sz="0" w:space="0" w:color="auto"/>
      </w:divBdr>
    </w:div>
    <w:div w:id="1434937315">
      <w:bodyDiv w:val="1"/>
      <w:marLeft w:val="0"/>
      <w:marRight w:val="0"/>
      <w:marTop w:val="0"/>
      <w:marBottom w:val="0"/>
      <w:divBdr>
        <w:top w:val="none" w:sz="0" w:space="0" w:color="auto"/>
        <w:left w:val="none" w:sz="0" w:space="0" w:color="auto"/>
        <w:bottom w:val="none" w:sz="0" w:space="0" w:color="auto"/>
        <w:right w:val="none" w:sz="0" w:space="0" w:color="auto"/>
      </w:divBdr>
    </w:div>
    <w:div w:id="1755741561">
      <w:bodyDiv w:val="1"/>
      <w:marLeft w:val="0"/>
      <w:marRight w:val="0"/>
      <w:marTop w:val="0"/>
      <w:marBottom w:val="0"/>
      <w:divBdr>
        <w:top w:val="none" w:sz="0" w:space="0" w:color="auto"/>
        <w:left w:val="none" w:sz="0" w:space="0" w:color="auto"/>
        <w:bottom w:val="none" w:sz="0" w:space="0" w:color="auto"/>
        <w:right w:val="none" w:sz="0" w:space="0" w:color="auto"/>
      </w:divBdr>
    </w:div>
    <w:div w:id="1974212546">
      <w:bodyDiv w:val="1"/>
      <w:marLeft w:val="0"/>
      <w:marRight w:val="0"/>
      <w:marTop w:val="0"/>
      <w:marBottom w:val="0"/>
      <w:divBdr>
        <w:top w:val="none" w:sz="0" w:space="0" w:color="auto"/>
        <w:left w:val="none" w:sz="0" w:space="0" w:color="auto"/>
        <w:bottom w:val="none" w:sz="0" w:space="0" w:color="auto"/>
        <w:right w:val="none" w:sz="0" w:space="0" w:color="auto"/>
      </w:divBdr>
    </w:div>
    <w:div w:id="2067757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474</TotalTime>
  <Pages>1</Pages>
  <Words>18812</Words>
  <Characters>107231</Characters>
  <Application>Microsoft Office Word</Application>
  <DocSecurity>0</DocSecurity>
  <Lines>893</Lines>
  <Paragraphs>251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125792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2019-04-05T10:35:00Z</dcterms:created>
  <dcterms:modified xsi:type="dcterms:W3CDTF">2019-04-08T23:17:00Z</dcterms:modified>
</cp:coreProperties>
</file>