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850393" w14:textId="5F615C05" w:rsidR="00A27E04" w:rsidRDefault="00A27E04" w:rsidP="00A27E04">
      <w:pPr>
        <w:pStyle w:val="Citazioneintensa"/>
        <w:ind w:left="0" w:firstLine="708"/>
        <w:jc w:val="center"/>
        <w:rPr>
          <w:sz w:val="48"/>
          <w:szCs w:val="48"/>
        </w:rPr>
      </w:pPr>
      <w:r>
        <w:rPr>
          <w:sz w:val="48"/>
          <w:szCs w:val="48"/>
        </w:rPr>
        <w:t>Elementi fondamentali del bilancio armonizzato e della contabilità pubblica</w:t>
      </w:r>
    </w:p>
    <w:p w14:paraId="514E6FB8" w14:textId="77777777" w:rsidR="00807BA9" w:rsidRPr="00807BA9" w:rsidRDefault="00807BA9" w:rsidP="00807BA9">
      <w:pPr>
        <w:rPr>
          <w:sz w:val="20"/>
          <w:szCs w:val="20"/>
        </w:rPr>
      </w:pPr>
      <w:r w:rsidRPr="00807BA9">
        <w:rPr>
          <w:sz w:val="20"/>
          <w:szCs w:val="20"/>
        </w:rPr>
        <w:t>l’articolo 3 del decreto legislativo n. 118 del 2011 prevede che le amministrazioni pubbliche territoriali e i loro enti strumentali in contabilità finanziaria conformano la propria gestione a regole contabili uniformi definite sotto forma di principi contabili generali e di principi contabili applicati.</w:t>
      </w:r>
    </w:p>
    <w:p w14:paraId="4920D4E3" w14:textId="77777777" w:rsidR="00807BA9" w:rsidRPr="00807BA9" w:rsidRDefault="00807BA9" w:rsidP="00807BA9">
      <w:pPr>
        <w:rPr>
          <w:sz w:val="20"/>
          <w:szCs w:val="20"/>
        </w:rPr>
      </w:pPr>
    </w:p>
    <w:p w14:paraId="0B93E9A6" w14:textId="77777777" w:rsidR="00807BA9" w:rsidRPr="00807BA9" w:rsidRDefault="00807BA9" w:rsidP="00807BA9">
      <w:pPr>
        <w:rPr>
          <w:sz w:val="20"/>
          <w:szCs w:val="20"/>
        </w:rPr>
      </w:pPr>
      <w:r w:rsidRPr="00807BA9">
        <w:rPr>
          <w:sz w:val="20"/>
          <w:szCs w:val="20"/>
        </w:rPr>
        <w:t>I principi contabili applicati sono norme tecniche di dettaglio, di specificazione ed interpretazione delle norme contabili e dei principi generali, che svolgono una funzione di completamento del sistema generale e favoriscono comportamenti uniformi e corretti.</w:t>
      </w:r>
    </w:p>
    <w:p w14:paraId="44774F55" w14:textId="77777777" w:rsidR="00807BA9" w:rsidRPr="00807BA9" w:rsidRDefault="00807BA9" w:rsidP="00807BA9">
      <w:pPr>
        <w:rPr>
          <w:sz w:val="20"/>
          <w:szCs w:val="20"/>
        </w:rPr>
      </w:pPr>
    </w:p>
    <w:p w14:paraId="302B5B67" w14:textId="77777777" w:rsidR="00807BA9" w:rsidRPr="00807BA9" w:rsidRDefault="00807BA9" w:rsidP="00807BA9">
      <w:pPr>
        <w:rPr>
          <w:sz w:val="20"/>
          <w:szCs w:val="20"/>
        </w:rPr>
      </w:pPr>
      <w:r w:rsidRPr="00807BA9">
        <w:rPr>
          <w:sz w:val="20"/>
          <w:szCs w:val="20"/>
        </w:rPr>
        <w:t>L’adozione dei principi applicati concernenti la contabilità economico-patrimoniale e il bilancio consolidato, può essere rinviata all’anno 2016, con l’esclusione degli enti che nel 2014 hanno partecipato alla sperimentazione prevista dal decreto legislativo n. 118 del 2011.</w:t>
      </w:r>
    </w:p>
    <w:p w14:paraId="0A5E4B00" w14:textId="77777777" w:rsidR="00807BA9" w:rsidRPr="00807BA9" w:rsidRDefault="00807BA9" w:rsidP="00807BA9">
      <w:pPr>
        <w:rPr>
          <w:sz w:val="20"/>
          <w:szCs w:val="20"/>
        </w:rPr>
      </w:pPr>
    </w:p>
    <w:p w14:paraId="5E6FE48A" w14:textId="77777777" w:rsidR="00807BA9" w:rsidRPr="00807BA9" w:rsidRDefault="00807BA9" w:rsidP="00807BA9">
      <w:pPr>
        <w:rPr>
          <w:sz w:val="20"/>
          <w:szCs w:val="20"/>
        </w:rPr>
      </w:pPr>
      <w:r w:rsidRPr="00807BA9">
        <w:rPr>
          <w:sz w:val="20"/>
          <w:szCs w:val="20"/>
        </w:rPr>
        <w:t xml:space="preserve">l’armonizzazione dei sistemi contabili e degli schemi di bilancio disciplinata dai decreti legislativi 23 </w:t>
      </w:r>
      <w:proofErr w:type="gramStart"/>
      <w:r w:rsidRPr="00807BA9">
        <w:rPr>
          <w:sz w:val="20"/>
          <w:szCs w:val="20"/>
        </w:rPr>
        <w:t>giugno  2011</w:t>
      </w:r>
      <w:proofErr w:type="gramEnd"/>
      <w:r w:rsidRPr="00807BA9">
        <w:rPr>
          <w:sz w:val="20"/>
          <w:szCs w:val="20"/>
        </w:rPr>
        <w:t xml:space="preserve">, n. 118 e 10 agosto 2014, n. 126 presenta contenuti innovativi e omogenei di grande rilievo che riguardano </w:t>
      </w:r>
    </w:p>
    <w:p w14:paraId="059F5C0D" w14:textId="77777777" w:rsidR="00807BA9" w:rsidRPr="00807BA9" w:rsidRDefault="00807BA9" w:rsidP="00807BA9">
      <w:pPr>
        <w:rPr>
          <w:sz w:val="20"/>
          <w:szCs w:val="20"/>
        </w:rPr>
      </w:pPr>
      <w:r w:rsidRPr="00807BA9">
        <w:rPr>
          <w:sz w:val="20"/>
          <w:szCs w:val="20"/>
        </w:rPr>
        <w:t>sia le Regioni che gli Enti locali e i loro organismi.  I principali riguardano:</w:t>
      </w:r>
    </w:p>
    <w:p w14:paraId="4D9B1100" w14:textId="77777777" w:rsidR="00807BA9" w:rsidRPr="00807BA9" w:rsidRDefault="00807BA9" w:rsidP="00807BA9">
      <w:pPr>
        <w:rPr>
          <w:sz w:val="20"/>
          <w:szCs w:val="20"/>
        </w:rPr>
      </w:pPr>
      <w:r w:rsidRPr="00807BA9">
        <w:rPr>
          <w:sz w:val="20"/>
          <w:szCs w:val="20"/>
        </w:rPr>
        <w:t>• la definizione di principi contabili generali e applicati cui si ispira l’intera procedura della formazione del bilancio, della gestione e della rendicontazione</w:t>
      </w:r>
    </w:p>
    <w:p w14:paraId="50E80245" w14:textId="77777777" w:rsidR="00807BA9" w:rsidRPr="00807BA9" w:rsidRDefault="00807BA9" w:rsidP="00807BA9">
      <w:pPr>
        <w:rPr>
          <w:sz w:val="20"/>
          <w:szCs w:val="20"/>
        </w:rPr>
      </w:pPr>
      <w:r w:rsidRPr="00807BA9">
        <w:rPr>
          <w:sz w:val="20"/>
          <w:szCs w:val="20"/>
        </w:rPr>
        <w:t xml:space="preserve">• l’introduzione di nuovi strumenti di programmazione economico-finanziaria (Documento di </w:t>
      </w:r>
      <w:proofErr w:type="spellStart"/>
      <w:r w:rsidRPr="00807BA9">
        <w:rPr>
          <w:sz w:val="20"/>
          <w:szCs w:val="20"/>
        </w:rPr>
        <w:t>economiae</w:t>
      </w:r>
      <w:proofErr w:type="spellEnd"/>
      <w:r w:rsidRPr="00807BA9">
        <w:rPr>
          <w:sz w:val="20"/>
          <w:szCs w:val="20"/>
        </w:rPr>
        <w:t xml:space="preserve"> finanza regionale (DEFR) nelle Regioni e Documento unico di programmazione (DUP) negli enti locali) </w:t>
      </w:r>
    </w:p>
    <w:p w14:paraId="6FABDFAA" w14:textId="77777777" w:rsidR="00807BA9" w:rsidRPr="00807BA9" w:rsidRDefault="00807BA9" w:rsidP="00807BA9">
      <w:pPr>
        <w:rPr>
          <w:sz w:val="20"/>
          <w:szCs w:val="20"/>
        </w:rPr>
      </w:pPr>
      <w:r w:rsidRPr="00807BA9">
        <w:rPr>
          <w:sz w:val="20"/>
          <w:szCs w:val="20"/>
        </w:rPr>
        <w:t xml:space="preserve">in linea con il Documento di economia e finanza introdotto nello Stato (DEF) </w:t>
      </w:r>
    </w:p>
    <w:p w14:paraId="2FB06B5A" w14:textId="77777777" w:rsidR="00807BA9" w:rsidRPr="00807BA9" w:rsidRDefault="00807BA9" w:rsidP="00807BA9">
      <w:pPr>
        <w:rPr>
          <w:sz w:val="20"/>
          <w:szCs w:val="20"/>
        </w:rPr>
      </w:pPr>
      <w:r w:rsidRPr="00807BA9">
        <w:rPr>
          <w:sz w:val="20"/>
          <w:szCs w:val="20"/>
        </w:rPr>
        <w:t xml:space="preserve">• la disciplina di un nuovo sistema di bilancio armonizzato misto di competenza e di cassa di durata triennale, collegata alla nuova definizione dell’impegno di spesa e a un nuovo regime dei residui </w:t>
      </w:r>
    </w:p>
    <w:p w14:paraId="1E13396F" w14:textId="77777777" w:rsidR="00807BA9" w:rsidRPr="00807BA9" w:rsidRDefault="00807BA9" w:rsidP="00807BA9">
      <w:pPr>
        <w:rPr>
          <w:sz w:val="20"/>
          <w:szCs w:val="20"/>
        </w:rPr>
      </w:pPr>
      <w:r w:rsidRPr="00807BA9">
        <w:rPr>
          <w:sz w:val="20"/>
          <w:szCs w:val="20"/>
        </w:rPr>
        <w:t>•</w:t>
      </w:r>
      <w:r w:rsidRPr="00807BA9">
        <w:rPr>
          <w:sz w:val="20"/>
          <w:szCs w:val="20"/>
        </w:rPr>
        <w:tab/>
        <w:t xml:space="preserve">l’introduzione di una nuova classificazione omogenea delle entrate e delle spese </w:t>
      </w:r>
    </w:p>
    <w:p w14:paraId="628F13B7" w14:textId="77777777" w:rsidR="00807BA9" w:rsidRPr="00807BA9" w:rsidRDefault="00807BA9" w:rsidP="00807BA9">
      <w:pPr>
        <w:rPr>
          <w:sz w:val="20"/>
          <w:szCs w:val="20"/>
        </w:rPr>
      </w:pPr>
      <w:r w:rsidRPr="00807BA9">
        <w:rPr>
          <w:sz w:val="20"/>
          <w:szCs w:val="20"/>
        </w:rPr>
        <w:t>• la configurazione di nuovi strumenti di contabilità economico-patrimoniale che affiancano il sistema della contabilità finanziaria</w:t>
      </w:r>
    </w:p>
    <w:p w14:paraId="25F43CC2" w14:textId="77777777" w:rsidR="00807BA9" w:rsidRPr="00807BA9" w:rsidRDefault="00807BA9" w:rsidP="00807BA9">
      <w:pPr>
        <w:rPr>
          <w:sz w:val="20"/>
          <w:szCs w:val="20"/>
        </w:rPr>
      </w:pPr>
      <w:r w:rsidRPr="00807BA9">
        <w:rPr>
          <w:sz w:val="20"/>
          <w:szCs w:val="20"/>
        </w:rPr>
        <w:t xml:space="preserve">• l’adozione del Piano dei conti integrato al fine di consentire il consolidamento e il monitoraggio </w:t>
      </w:r>
      <w:proofErr w:type="gramStart"/>
      <w:r w:rsidRPr="00807BA9">
        <w:rPr>
          <w:sz w:val="20"/>
          <w:szCs w:val="20"/>
        </w:rPr>
        <w:t>dei  conti</w:t>
      </w:r>
      <w:proofErr w:type="gramEnd"/>
      <w:r w:rsidRPr="00807BA9">
        <w:rPr>
          <w:sz w:val="20"/>
          <w:szCs w:val="20"/>
        </w:rPr>
        <w:t xml:space="preserve"> nelle fasi della previsione, gestione e rendicontazione</w:t>
      </w:r>
    </w:p>
    <w:p w14:paraId="25CB99D2" w14:textId="77777777" w:rsidR="00807BA9" w:rsidRPr="00807BA9" w:rsidRDefault="00807BA9" w:rsidP="00807BA9">
      <w:pPr>
        <w:rPr>
          <w:sz w:val="20"/>
          <w:szCs w:val="20"/>
        </w:rPr>
      </w:pPr>
      <w:r w:rsidRPr="00807BA9">
        <w:rPr>
          <w:sz w:val="20"/>
          <w:szCs w:val="20"/>
        </w:rPr>
        <w:t xml:space="preserve">• l’introduzione del bilancio consolidato delle amministrazioni pubbliche con le proprie aziende, </w:t>
      </w:r>
      <w:proofErr w:type="gramStart"/>
      <w:r w:rsidRPr="00807BA9">
        <w:rPr>
          <w:sz w:val="20"/>
          <w:szCs w:val="20"/>
        </w:rPr>
        <w:t>società  partecipate</w:t>
      </w:r>
      <w:proofErr w:type="gramEnd"/>
      <w:r w:rsidRPr="00807BA9">
        <w:rPr>
          <w:sz w:val="20"/>
          <w:szCs w:val="20"/>
        </w:rPr>
        <w:t xml:space="preserve"> ed altri organismi, secondo uno schema comune</w:t>
      </w:r>
    </w:p>
    <w:p w14:paraId="0ED8E1BD" w14:textId="77777777" w:rsidR="00807BA9" w:rsidRPr="00807BA9" w:rsidRDefault="00807BA9" w:rsidP="00807BA9">
      <w:pPr>
        <w:rPr>
          <w:sz w:val="20"/>
          <w:szCs w:val="20"/>
        </w:rPr>
      </w:pPr>
      <w:r w:rsidRPr="00807BA9">
        <w:rPr>
          <w:sz w:val="20"/>
          <w:szCs w:val="20"/>
        </w:rPr>
        <w:t>Quindi sono state dettate regole uniformi, comuni per permettere l’armonizzazione dei sistemi contabili in particolare PRINCIPI CONTABILI GENERALI E PRINCIPI CONTABILI APPPLICABILI</w:t>
      </w:r>
    </w:p>
    <w:p w14:paraId="3158B7F9" w14:textId="77777777" w:rsidR="00807BA9" w:rsidRPr="00807BA9" w:rsidRDefault="00807BA9" w:rsidP="00807BA9">
      <w:pPr>
        <w:rPr>
          <w:sz w:val="20"/>
          <w:szCs w:val="20"/>
        </w:rPr>
      </w:pPr>
      <w:r w:rsidRPr="00807BA9">
        <w:rPr>
          <w:sz w:val="20"/>
          <w:szCs w:val="20"/>
        </w:rPr>
        <w:t>Principi contabili generali (allegato 1)</w:t>
      </w:r>
    </w:p>
    <w:p w14:paraId="33969AA8" w14:textId="77777777" w:rsidR="00807BA9" w:rsidRPr="00807BA9" w:rsidRDefault="00807BA9" w:rsidP="00807BA9">
      <w:pPr>
        <w:rPr>
          <w:sz w:val="20"/>
          <w:szCs w:val="20"/>
        </w:rPr>
      </w:pPr>
      <w:r w:rsidRPr="00807BA9">
        <w:rPr>
          <w:sz w:val="20"/>
          <w:szCs w:val="20"/>
        </w:rPr>
        <w:t>Questi principi vanno osservati nella formazione degli strumenti di bilancio, nelle operazioni di gestione, nella formazione dei rendiconti e in altri documenti contabili.</w:t>
      </w:r>
    </w:p>
    <w:p w14:paraId="33B7F8A6" w14:textId="77777777" w:rsidR="00807BA9" w:rsidRPr="00807BA9" w:rsidRDefault="00807BA9" w:rsidP="00807BA9">
      <w:pPr>
        <w:rPr>
          <w:sz w:val="20"/>
          <w:szCs w:val="20"/>
        </w:rPr>
      </w:pPr>
      <w:r w:rsidRPr="00807BA9">
        <w:rPr>
          <w:sz w:val="20"/>
          <w:szCs w:val="20"/>
        </w:rPr>
        <w:t>Sono i seguenti:</w:t>
      </w:r>
    </w:p>
    <w:p w14:paraId="33CAB513" w14:textId="77777777" w:rsidR="00807BA9" w:rsidRPr="00807BA9" w:rsidRDefault="00807BA9" w:rsidP="00807BA9">
      <w:pPr>
        <w:rPr>
          <w:sz w:val="20"/>
          <w:szCs w:val="20"/>
        </w:rPr>
      </w:pPr>
      <w:r w:rsidRPr="00807BA9">
        <w:rPr>
          <w:sz w:val="20"/>
          <w:szCs w:val="20"/>
        </w:rPr>
        <w:t>• Principio dell’annualità</w:t>
      </w:r>
    </w:p>
    <w:p w14:paraId="0291594C" w14:textId="77777777" w:rsidR="00807BA9" w:rsidRPr="00807BA9" w:rsidRDefault="00807BA9" w:rsidP="00807BA9">
      <w:pPr>
        <w:rPr>
          <w:sz w:val="20"/>
          <w:szCs w:val="20"/>
        </w:rPr>
      </w:pPr>
      <w:r w:rsidRPr="00807BA9">
        <w:rPr>
          <w:sz w:val="20"/>
          <w:szCs w:val="20"/>
        </w:rPr>
        <w:t>• Principio dell’unità</w:t>
      </w:r>
    </w:p>
    <w:p w14:paraId="1D1B5F5A" w14:textId="77777777" w:rsidR="00807BA9" w:rsidRPr="00807BA9" w:rsidRDefault="00807BA9" w:rsidP="00807BA9">
      <w:pPr>
        <w:rPr>
          <w:sz w:val="20"/>
          <w:szCs w:val="20"/>
        </w:rPr>
      </w:pPr>
      <w:r w:rsidRPr="00807BA9">
        <w:rPr>
          <w:sz w:val="20"/>
          <w:szCs w:val="20"/>
        </w:rPr>
        <w:t>• Principio dell’universalità</w:t>
      </w:r>
    </w:p>
    <w:p w14:paraId="3E25AFA7" w14:textId="77777777" w:rsidR="00807BA9" w:rsidRPr="00807BA9" w:rsidRDefault="00807BA9" w:rsidP="00807BA9">
      <w:pPr>
        <w:rPr>
          <w:sz w:val="20"/>
          <w:szCs w:val="20"/>
        </w:rPr>
      </w:pPr>
      <w:r w:rsidRPr="00807BA9">
        <w:rPr>
          <w:sz w:val="20"/>
          <w:szCs w:val="20"/>
        </w:rPr>
        <w:t>• Principio dell’integrità</w:t>
      </w:r>
    </w:p>
    <w:p w14:paraId="46D06DBD" w14:textId="77777777" w:rsidR="00807BA9" w:rsidRPr="00807BA9" w:rsidRDefault="00807BA9" w:rsidP="00807BA9">
      <w:pPr>
        <w:rPr>
          <w:sz w:val="20"/>
          <w:szCs w:val="20"/>
        </w:rPr>
      </w:pPr>
      <w:r w:rsidRPr="00807BA9">
        <w:rPr>
          <w:sz w:val="20"/>
          <w:szCs w:val="20"/>
        </w:rPr>
        <w:t>• Principio della veridicità, attendibilità, correttezza, e comprensibilità</w:t>
      </w:r>
    </w:p>
    <w:p w14:paraId="450EBDDB" w14:textId="77777777" w:rsidR="00807BA9" w:rsidRPr="00807BA9" w:rsidRDefault="00807BA9" w:rsidP="00807BA9">
      <w:pPr>
        <w:rPr>
          <w:sz w:val="20"/>
          <w:szCs w:val="20"/>
        </w:rPr>
      </w:pPr>
      <w:r w:rsidRPr="00807BA9">
        <w:rPr>
          <w:sz w:val="20"/>
          <w:szCs w:val="20"/>
        </w:rPr>
        <w:t>• Principio della significatività e rilevanza</w:t>
      </w:r>
    </w:p>
    <w:p w14:paraId="61965E5D" w14:textId="77777777" w:rsidR="00807BA9" w:rsidRPr="00807BA9" w:rsidRDefault="00807BA9" w:rsidP="00807BA9">
      <w:pPr>
        <w:rPr>
          <w:sz w:val="20"/>
          <w:szCs w:val="20"/>
        </w:rPr>
      </w:pPr>
      <w:r w:rsidRPr="00807BA9">
        <w:rPr>
          <w:sz w:val="20"/>
          <w:szCs w:val="20"/>
        </w:rPr>
        <w:t>• Principio della flessibilità</w:t>
      </w:r>
    </w:p>
    <w:p w14:paraId="60AEED86" w14:textId="77777777" w:rsidR="00807BA9" w:rsidRPr="00807BA9" w:rsidRDefault="00807BA9" w:rsidP="00807BA9">
      <w:pPr>
        <w:rPr>
          <w:sz w:val="20"/>
          <w:szCs w:val="20"/>
        </w:rPr>
      </w:pPr>
      <w:r w:rsidRPr="00807BA9">
        <w:rPr>
          <w:sz w:val="20"/>
          <w:szCs w:val="20"/>
        </w:rPr>
        <w:t xml:space="preserve">• Principio della congruità </w:t>
      </w:r>
    </w:p>
    <w:p w14:paraId="31DB226B" w14:textId="77777777" w:rsidR="00807BA9" w:rsidRPr="00807BA9" w:rsidRDefault="00807BA9" w:rsidP="00807BA9">
      <w:pPr>
        <w:rPr>
          <w:sz w:val="20"/>
          <w:szCs w:val="20"/>
        </w:rPr>
      </w:pPr>
      <w:r w:rsidRPr="00807BA9">
        <w:rPr>
          <w:sz w:val="20"/>
          <w:szCs w:val="20"/>
        </w:rPr>
        <w:t>• Principio della prudenza</w:t>
      </w:r>
    </w:p>
    <w:p w14:paraId="3EC43C90" w14:textId="77777777" w:rsidR="00807BA9" w:rsidRPr="00807BA9" w:rsidRDefault="00807BA9" w:rsidP="00807BA9">
      <w:pPr>
        <w:rPr>
          <w:sz w:val="20"/>
          <w:szCs w:val="20"/>
        </w:rPr>
      </w:pPr>
      <w:r w:rsidRPr="00807BA9">
        <w:rPr>
          <w:sz w:val="20"/>
          <w:szCs w:val="20"/>
        </w:rPr>
        <w:t>• Principio della coerenza</w:t>
      </w:r>
    </w:p>
    <w:p w14:paraId="0954240D" w14:textId="77777777" w:rsidR="00807BA9" w:rsidRPr="00807BA9" w:rsidRDefault="00807BA9" w:rsidP="00807BA9">
      <w:pPr>
        <w:rPr>
          <w:sz w:val="20"/>
          <w:szCs w:val="20"/>
        </w:rPr>
      </w:pPr>
      <w:r w:rsidRPr="00807BA9">
        <w:rPr>
          <w:sz w:val="20"/>
          <w:szCs w:val="20"/>
        </w:rPr>
        <w:t xml:space="preserve">• Principio della continuità e della costanza </w:t>
      </w:r>
    </w:p>
    <w:p w14:paraId="7BF7C1FD" w14:textId="77777777" w:rsidR="00807BA9" w:rsidRPr="00807BA9" w:rsidRDefault="00807BA9" w:rsidP="00807BA9">
      <w:pPr>
        <w:rPr>
          <w:sz w:val="20"/>
          <w:szCs w:val="20"/>
        </w:rPr>
      </w:pPr>
      <w:r w:rsidRPr="00807BA9">
        <w:rPr>
          <w:sz w:val="20"/>
          <w:szCs w:val="20"/>
        </w:rPr>
        <w:t>• Principio della comparabilità e della verificabilità</w:t>
      </w:r>
    </w:p>
    <w:p w14:paraId="6AD9FABF" w14:textId="77777777" w:rsidR="00807BA9" w:rsidRPr="00807BA9" w:rsidRDefault="00807BA9" w:rsidP="00807BA9">
      <w:pPr>
        <w:rPr>
          <w:sz w:val="20"/>
          <w:szCs w:val="20"/>
        </w:rPr>
      </w:pPr>
      <w:r w:rsidRPr="00807BA9">
        <w:rPr>
          <w:sz w:val="20"/>
          <w:szCs w:val="20"/>
        </w:rPr>
        <w:t>• Principio della neutralità</w:t>
      </w:r>
    </w:p>
    <w:p w14:paraId="47756AB2" w14:textId="77777777" w:rsidR="00807BA9" w:rsidRPr="00807BA9" w:rsidRDefault="00807BA9" w:rsidP="00807BA9">
      <w:pPr>
        <w:rPr>
          <w:sz w:val="20"/>
          <w:szCs w:val="20"/>
        </w:rPr>
      </w:pPr>
      <w:r w:rsidRPr="00807BA9">
        <w:rPr>
          <w:sz w:val="20"/>
          <w:szCs w:val="20"/>
        </w:rPr>
        <w:t>• Principio della pubblicità</w:t>
      </w:r>
    </w:p>
    <w:p w14:paraId="7E8B0B7F" w14:textId="77777777" w:rsidR="00807BA9" w:rsidRPr="00807BA9" w:rsidRDefault="00807BA9" w:rsidP="00807BA9">
      <w:pPr>
        <w:rPr>
          <w:sz w:val="20"/>
          <w:szCs w:val="20"/>
        </w:rPr>
      </w:pPr>
      <w:r w:rsidRPr="00807BA9">
        <w:rPr>
          <w:sz w:val="20"/>
          <w:szCs w:val="20"/>
        </w:rPr>
        <w:t>• Principio degli equilibri di bilancio</w:t>
      </w:r>
    </w:p>
    <w:p w14:paraId="3745095D" w14:textId="77777777" w:rsidR="00807BA9" w:rsidRPr="00807BA9" w:rsidRDefault="00807BA9" w:rsidP="00807BA9">
      <w:pPr>
        <w:rPr>
          <w:sz w:val="20"/>
          <w:szCs w:val="20"/>
        </w:rPr>
      </w:pPr>
      <w:r w:rsidRPr="00807BA9">
        <w:rPr>
          <w:sz w:val="20"/>
          <w:szCs w:val="20"/>
        </w:rPr>
        <w:t>• Principio della competenza finanziaria</w:t>
      </w:r>
    </w:p>
    <w:p w14:paraId="6E8502EF" w14:textId="77777777" w:rsidR="00807BA9" w:rsidRPr="00807BA9" w:rsidRDefault="00807BA9" w:rsidP="00807BA9">
      <w:pPr>
        <w:rPr>
          <w:sz w:val="20"/>
          <w:szCs w:val="20"/>
        </w:rPr>
      </w:pPr>
      <w:r w:rsidRPr="00807BA9">
        <w:rPr>
          <w:sz w:val="20"/>
          <w:szCs w:val="20"/>
        </w:rPr>
        <w:t>• Principio della competenza economica</w:t>
      </w:r>
    </w:p>
    <w:p w14:paraId="7FCE75F8" w14:textId="77777777" w:rsidR="00807BA9" w:rsidRPr="00807BA9" w:rsidRDefault="00807BA9" w:rsidP="00807BA9">
      <w:pPr>
        <w:rPr>
          <w:sz w:val="20"/>
          <w:szCs w:val="20"/>
        </w:rPr>
      </w:pPr>
      <w:r w:rsidRPr="00807BA9">
        <w:rPr>
          <w:sz w:val="20"/>
          <w:szCs w:val="20"/>
        </w:rPr>
        <w:t>• Principio della prevalenza della sostanza sulla forma.</w:t>
      </w:r>
    </w:p>
    <w:p w14:paraId="01DBCB60" w14:textId="77777777" w:rsidR="00807BA9" w:rsidRPr="00807BA9" w:rsidRDefault="00807BA9" w:rsidP="00807BA9">
      <w:pPr>
        <w:rPr>
          <w:sz w:val="20"/>
          <w:szCs w:val="20"/>
        </w:rPr>
      </w:pPr>
      <w:r w:rsidRPr="00807BA9">
        <w:rPr>
          <w:sz w:val="20"/>
          <w:szCs w:val="20"/>
        </w:rPr>
        <w:t xml:space="preserve">Principi contabili applicati </w:t>
      </w:r>
    </w:p>
    <w:p w14:paraId="6815E10A" w14:textId="77777777" w:rsidR="00807BA9" w:rsidRPr="00807BA9" w:rsidRDefault="00807BA9" w:rsidP="00807BA9">
      <w:pPr>
        <w:rPr>
          <w:sz w:val="20"/>
          <w:szCs w:val="20"/>
        </w:rPr>
      </w:pPr>
      <w:r w:rsidRPr="00807BA9">
        <w:rPr>
          <w:sz w:val="20"/>
          <w:szCs w:val="20"/>
        </w:rPr>
        <w:t xml:space="preserve">Accanto ai princìpi contabili generali, sono stati dettati ulteriori princìpi ai quali gli Enti locali </w:t>
      </w:r>
      <w:proofErr w:type="spellStart"/>
      <w:r w:rsidRPr="00807BA9">
        <w:rPr>
          <w:sz w:val="20"/>
          <w:szCs w:val="20"/>
        </w:rPr>
        <w:t>ele</w:t>
      </w:r>
      <w:proofErr w:type="spellEnd"/>
      <w:r w:rsidRPr="00807BA9">
        <w:rPr>
          <w:sz w:val="20"/>
          <w:szCs w:val="20"/>
        </w:rPr>
        <w:t xml:space="preserve"> regioni devono materialmente attenersi nella formazione e tenuta degli strumenti contabili e che presentano </w:t>
      </w:r>
      <w:proofErr w:type="gramStart"/>
      <w:r w:rsidRPr="00807BA9">
        <w:rPr>
          <w:sz w:val="20"/>
          <w:szCs w:val="20"/>
        </w:rPr>
        <w:t>una  natura</w:t>
      </w:r>
      <w:proofErr w:type="gramEnd"/>
      <w:r w:rsidRPr="00807BA9">
        <w:rPr>
          <w:sz w:val="20"/>
          <w:szCs w:val="20"/>
        </w:rPr>
        <w:t xml:space="preserve"> strettamente operativa.</w:t>
      </w:r>
    </w:p>
    <w:p w14:paraId="2A671B32" w14:textId="77777777" w:rsidR="00807BA9" w:rsidRPr="00807BA9" w:rsidRDefault="00807BA9" w:rsidP="00807BA9">
      <w:pPr>
        <w:rPr>
          <w:sz w:val="20"/>
          <w:szCs w:val="20"/>
        </w:rPr>
      </w:pPr>
      <w:r w:rsidRPr="00807BA9">
        <w:rPr>
          <w:sz w:val="20"/>
          <w:szCs w:val="20"/>
        </w:rPr>
        <w:t>Questi princìpi sono:</w:t>
      </w:r>
    </w:p>
    <w:p w14:paraId="508B207C" w14:textId="77777777" w:rsidR="00807BA9" w:rsidRPr="00807BA9" w:rsidRDefault="00807BA9" w:rsidP="00807BA9">
      <w:pPr>
        <w:rPr>
          <w:sz w:val="20"/>
          <w:szCs w:val="20"/>
        </w:rPr>
      </w:pPr>
      <w:r w:rsidRPr="00807BA9">
        <w:rPr>
          <w:sz w:val="20"/>
          <w:szCs w:val="20"/>
        </w:rPr>
        <w:t>•</w:t>
      </w:r>
      <w:r w:rsidRPr="00807BA9">
        <w:rPr>
          <w:sz w:val="20"/>
          <w:szCs w:val="20"/>
        </w:rPr>
        <w:tab/>
        <w:t>il principio della programmazione di bilancio</w:t>
      </w:r>
    </w:p>
    <w:p w14:paraId="046A0E4A" w14:textId="77777777" w:rsidR="00807BA9" w:rsidRPr="00807BA9" w:rsidRDefault="00807BA9" w:rsidP="00807BA9">
      <w:pPr>
        <w:rPr>
          <w:sz w:val="20"/>
          <w:szCs w:val="20"/>
        </w:rPr>
      </w:pPr>
      <w:r w:rsidRPr="00807BA9">
        <w:rPr>
          <w:sz w:val="20"/>
          <w:szCs w:val="20"/>
        </w:rPr>
        <w:t>•</w:t>
      </w:r>
      <w:r w:rsidRPr="00807BA9">
        <w:rPr>
          <w:sz w:val="20"/>
          <w:szCs w:val="20"/>
        </w:rPr>
        <w:tab/>
        <w:t xml:space="preserve">il principio della contabilità finanziaria </w:t>
      </w:r>
    </w:p>
    <w:p w14:paraId="73B2ED2B" w14:textId="77777777" w:rsidR="00807BA9" w:rsidRPr="00807BA9" w:rsidRDefault="00807BA9" w:rsidP="00807BA9">
      <w:pPr>
        <w:rPr>
          <w:sz w:val="20"/>
          <w:szCs w:val="20"/>
        </w:rPr>
      </w:pPr>
      <w:r w:rsidRPr="00807BA9">
        <w:rPr>
          <w:sz w:val="20"/>
          <w:szCs w:val="20"/>
        </w:rPr>
        <w:t>•</w:t>
      </w:r>
      <w:r w:rsidRPr="00807BA9">
        <w:rPr>
          <w:sz w:val="20"/>
          <w:szCs w:val="20"/>
        </w:rPr>
        <w:tab/>
        <w:t>il principio della contabilità economico-patrimoniale</w:t>
      </w:r>
    </w:p>
    <w:p w14:paraId="324184FB" w14:textId="77777777" w:rsidR="00807BA9" w:rsidRPr="00807BA9" w:rsidRDefault="00807BA9" w:rsidP="00807BA9">
      <w:pPr>
        <w:rPr>
          <w:sz w:val="20"/>
          <w:szCs w:val="20"/>
        </w:rPr>
      </w:pPr>
      <w:r w:rsidRPr="00807BA9">
        <w:rPr>
          <w:sz w:val="20"/>
          <w:szCs w:val="20"/>
        </w:rPr>
        <w:t>•</w:t>
      </w:r>
      <w:r w:rsidRPr="00807BA9">
        <w:rPr>
          <w:sz w:val="20"/>
          <w:szCs w:val="20"/>
        </w:rPr>
        <w:tab/>
        <w:t>il principio del bilancio consolidato</w:t>
      </w:r>
    </w:p>
    <w:p w14:paraId="16975C7D" w14:textId="77777777" w:rsidR="00807BA9" w:rsidRPr="00807BA9" w:rsidRDefault="00807BA9" w:rsidP="00807BA9">
      <w:pPr>
        <w:rPr>
          <w:sz w:val="20"/>
          <w:szCs w:val="20"/>
        </w:rPr>
      </w:pPr>
      <w:r w:rsidRPr="00807BA9">
        <w:rPr>
          <w:sz w:val="20"/>
          <w:szCs w:val="20"/>
        </w:rPr>
        <w:t>Iniziamo quindi con l’analisi di questi /principi contabili applicati che ci aiuteranno a comprendere il grosso cambiamento per i sistemi contabili dei nostri enti territoriali.</w:t>
      </w:r>
    </w:p>
    <w:p w14:paraId="47C3EFF1" w14:textId="77777777" w:rsidR="00807BA9" w:rsidRPr="00807BA9" w:rsidRDefault="00807BA9" w:rsidP="00807BA9">
      <w:pPr>
        <w:rPr>
          <w:sz w:val="20"/>
          <w:szCs w:val="20"/>
        </w:rPr>
      </w:pPr>
      <w:r w:rsidRPr="00807BA9">
        <w:rPr>
          <w:sz w:val="20"/>
          <w:szCs w:val="20"/>
        </w:rPr>
        <w:t>PRINCIPIO DELLA PROGRAMMAZIONE DI BILANCIO</w:t>
      </w:r>
    </w:p>
    <w:p w14:paraId="42D8C3CC" w14:textId="77777777" w:rsidR="00807BA9" w:rsidRPr="00807BA9" w:rsidRDefault="00807BA9" w:rsidP="00807BA9">
      <w:pPr>
        <w:rPr>
          <w:sz w:val="20"/>
          <w:szCs w:val="20"/>
        </w:rPr>
      </w:pPr>
      <w:r w:rsidRPr="00807BA9">
        <w:rPr>
          <w:sz w:val="20"/>
          <w:szCs w:val="20"/>
        </w:rPr>
        <w:t>Uno degli obiettivi dichiarati del processo di armonizzazione contabile è il rafforzamento della programmazione.</w:t>
      </w:r>
    </w:p>
    <w:p w14:paraId="10DC3B62" w14:textId="77777777" w:rsidR="00807BA9" w:rsidRPr="00807BA9" w:rsidRDefault="00807BA9" w:rsidP="00807BA9">
      <w:pPr>
        <w:rPr>
          <w:sz w:val="20"/>
          <w:szCs w:val="20"/>
        </w:rPr>
      </w:pPr>
      <w:r w:rsidRPr="00807BA9">
        <w:rPr>
          <w:sz w:val="20"/>
          <w:szCs w:val="20"/>
        </w:rPr>
        <w:t>Di fatto, quasi tutte le numerose innovazioni introdotte nel sistema di contabilità e bilancio degli enti locali possono essere interpretate alla luce di questa finalità</w:t>
      </w:r>
    </w:p>
    <w:p w14:paraId="6BDEE302" w14:textId="77777777" w:rsidR="00807BA9" w:rsidRPr="00807BA9" w:rsidRDefault="00807BA9" w:rsidP="00807BA9">
      <w:pPr>
        <w:rPr>
          <w:sz w:val="20"/>
          <w:szCs w:val="20"/>
        </w:rPr>
      </w:pPr>
      <w:r w:rsidRPr="00807BA9">
        <w:rPr>
          <w:sz w:val="20"/>
          <w:szCs w:val="20"/>
        </w:rPr>
        <w:t>Programmare significa definire cosa si vuole realizzare (obiettivi o, in altri termini, performance attese) • come ci si propone di farlo (mezzi), cioè con quali soluzioni finanziarie, organizzative e</w:t>
      </w:r>
    </w:p>
    <w:p w14:paraId="60B7BDB5" w14:textId="77777777" w:rsidR="00807BA9" w:rsidRPr="00807BA9" w:rsidRDefault="00807BA9" w:rsidP="00807BA9">
      <w:pPr>
        <w:rPr>
          <w:sz w:val="20"/>
          <w:szCs w:val="20"/>
        </w:rPr>
      </w:pPr>
      <w:r w:rsidRPr="00807BA9">
        <w:rPr>
          <w:sz w:val="20"/>
          <w:szCs w:val="20"/>
        </w:rPr>
        <w:t xml:space="preserve">Gestionali • quando (tempi), in un periodo futuro, breve (fino ad un anno), medio (fino a tre anni) o lungo (oltre i tre </w:t>
      </w:r>
      <w:proofErr w:type="gramStart"/>
      <w:r w:rsidRPr="00807BA9">
        <w:rPr>
          <w:sz w:val="20"/>
          <w:szCs w:val="20"/>
        </w:rPr>
        <w:t>anni)-</w:t>
      </w:r>
      <w:proofErr w:type="gramEnd"/>
    </w:p>
    <w:p w14:paraId="03F5BDDF" w14:textId="77777777" w:rsidR="00807BA9" w:rsidRPr="00807BA9" w:rsidRDefault="00807BA9" w:rsidP="00807BA9">
      <w:pPr>
        <w:rPr>
          <w:sz w:val="20"/>
          <w:szCs w:val="20"/>
        </w:rPr>
      </w:pPr>
      <w:r w:rsidRPr="00807BA9">
        <w:rPr>
          <w:sz w:val="20"/>
          <w:szCs w:val="20"/>
        </w:rPr>
        <w:t>Nel principio applicato programmazione e controllo dei risultati costituiscono un “circuito” continuo che si svolge ininterrottamente e nel corso del quale si devono, a precise scadenze, rilevare ed esaminare accuratamente i risultati realmente conseguiti per poi confermare e/o correggere le decisioni prese generando le opportune modifiche nei documenti di programmazione (nota di aggiornamento del DUP, variazioni di bilancio, variazioni del PEG).</w:t>
      </w:r>
    </w:p>
    <w:p w14:paraId="0581C3D2" w14:textId="77777777" w:rsidR="00807BA9" w:rsidRPr="00807BA9" w:rsidRDefault="00807BA9" w:rsidP="00807BA9">
      <w:pPr>
        <w:rPr>
          <w:sz w:val="20"/>
          <w:szCs w:val="20"/>
        </w:rPr>
      </w:pPr>
      <w:r w:rsidRPr="00807BA9">
        <w:rPr>
          <w:sz w:val="20"/>
          <w:szCs w:val="20"/>
        </w:rPr>
        <w:t>Rendere più trasparente e veritiera la</w:t>
      </w:r>
    </w:p>
    <w:p w14:paraId="5E41FE6B" w14:textId="77777777" w:rsidR="00807BA9" w:rsidRPr="00807BA9" w:rsidRDefault="00807BA9" w:rsidP="00807BA9">
      <w:pPr>
        <w:rPr>
          <w:sz w:val="20"/>
          <w:szCs w:val="20"/>
        </w:rPr>
      </w:pPr>
      <w:r w:rsidRPr="00807BA9">
        <w:rPr>
          <w:sz w:val="20"/>
          <w:szCs w:val="20"/>
        </w:rPr>
        <w:t>rappresentazione contabile della situazione finanziaria, economica e patrimoniale dell’ente è, senza dubbio, la prima e irrinunciabile condizione da soddisfare affinché la funzione di programmazione si possa svolgere in modo efficace</w:t>
      </w:r>
    </w:p>
    <w:p w14:paraId="24CA3261" w14:textId="77777777" w:rsidR="00807BA9" w:rsidRPr="00807BA9" w:rsidRDefault="00807BA9" w:rsidP="00807BA9">
      <w:pPr>
        <w:rPr>
          <w:sz w:val="20"/>
          <w:szCs w:val="20"/>
        </w:rPr>
      </w:pPr>
      <w:r w:rsidRPr="00807BA9">
        <w:rPr>
          <w:sz w:val="20"/>
          <w:szCs w:val="20"/>
        </w:rPr>
        <w:t>L ’ introduzione del nuovo principio di competenza finanziaria obbliga a imputare a ogni esercizio solo le obbligazioni attive e passive che vengono a scadenza, fermo restando l’obbligo di rilevare tali obbligazioni nel momento in cui sorgono. L’IMMEDIATA CONSEGUENZA E’</w:t>
      </w:r>
    </w:p>
    <w:p w14:paraId="7BFB6F1A" w14:textId="77777777" w:rsidR="00807BA9" w:rsidRPr="00807BA9" w:rsidRDefault="00807BA9" w:rsidP="00807BA9">
      <w:pPr>
        <w:rPr>
          <w:sz w:val="20"/>
          <w:szCs w:val="20"/>
        </w:rPr>
      </w:pPr>
    </w:p>
    <w:p w14:paraId="77E23DAA" w14:textId="77777777" w:rsidR="00807BA9" w:rsidRPr="00807BA9" w:rsidRDefault="00807BA9" w:rsidP="00807BA9">
      <w:pPr>
        <w:rPr>
          <w:sz w:val="20"/>
          <w:szCs w:val="20"/>
        </w:rPr>
      </w:pPr>
      <w:r w:rsidRPr="00807BA9">
        <w:rPr>
          <w:sz w:val="20"/>
          <w:szCs w:val="20"/>
        </w:rPr>
        <w:t xml:space="preserve">Finalmente grazie al principio di competenza finanziaria </w:t>
      </w:r>
      <w:proofErr w:type="gramStart"/>
      <w:r w:rsidRPr="00807BA9">
        <w:rPr>
          <w:sz w:val="20"/>
          <w:szCs w:val="20"/>
        </w:rPr>
        <w:t>potenziata ,</w:t>
      </w:r>
      <w:proofErr w:type="gramEnd"/>
      <w:r w:rsidRPr="00807BA9">
        <w:rPr>
          <w:sz w:val="20"/>
          <w:szCs w:val="20"/>
        </w:rPr>
        <w:t xml:space="preserve"> il bilancio di previsione finanziaria (BPF) evidenzia per un periodo almeno triennale quante risorse saranno effettivamente disponibili in entrata e quante effettivamente esigibili in spesa e ne consente un reale coordinamento</w:t>
      </w:r>
    </w:p>
    <w:p w14:paraId="3D64A176" w14:textId="77777777" w:rsidR="00807BA9" w:rsidRPr="00807BA9" w:rsidRDefault="00807BA9" w:rsidP="00807BA9">
      <w:pPr>
        <w:rPr>
          <w:sz w:val="20"/>
          <w:szCs w:val="20"/>
        </w:rPr>
      </w:pPr>
      <w:proofErr w:type="gramStart"/>
      <w:r w:rsidRPr="00807BA9">
        <w:rPr>
          <w:sz w:val="20"/>
          <w:szCs w:val="20"/>
        </w:rPr>
        <w:t>I contenuti della programmazione,</w:t>
      </w:r>
      <w:proofErr w:type="gramEnd"/>
      <w:r w:rsidRPr="00807BA9">
        <w:rPr>
          <w:sz w:val="20"/>
          <w:szCs w:val="20"/>
        </w:rPr>
        <w:t xml:space="preserve"> devono essere declinati in coerenza con: </w:t>
      </w:r>
    </w:p>
    <w:p w14:paraId="58930BB3" w14:textId="77777777" w:rsidR="00807BA9" w:rsidRPr="00807BA9" w:rsidRDefault="00807BA9" w:rsidP="00807BA9">
      <w:pPr>
        <w:rPr>
          <w:sz w:val="20"/>
          <w:szCs w:val="20"/>
        </w:rPr>
      </w:pPr>
      <w:r w:rsidRPr="00807BA9">
        <w:rPr>
          <w:sz w:val="20"/>
          <w:szCs w:val="20"/>
        </w:rPr>
        <w:t xml:space="preserve">1. il programma di governo, che definisce le finalità e gli obiettivi di gestione perseguiti dall'ente anche attraverso il sistema di enti </w:t>
      </w:r>
    </w:p>
    <w:p w14:paraId="1C34B815" w14:textId="77777777" w:rsidR="00807BA9" w:rsidRPr="00807BA9" w:rsidRDefault="00807BA9" w:rsidP="00807BA9">
      <w:pPr>
        <w:rPr>
          <w:sz w:val="20"/>
          <w:szCs w:val="20"/>
        </w:rPr>
      </w:pPr>
      <w:r w:rsidRPr="00807BA9">
        <w:rPr>
          <w:sz w:val="20"/>
          <w:szCs w:val="20"/>
        </w:rPr>
        <w:t xml:space="preserve">strumentali e società controllate e partecipate (il cd gruppo amministrazioni pubblica); </w:t>
      </w:r>
    </w:p>
    <w:p w14:paraId="2D86C03E" w14:textId="77777777" w:rsidR="00807BA9" w:rsidRPr="00807BA9" w:rsidRDefault="00807BA9" w:rsidP="00807BA9">
      <w:pPr>
        <w:rPr>
          <w:sz w:val="20"/>
          <w:szCs w:val="20"/>
        </w:rPr>
      </w:pPr>
      <w:r w:rsidRPr="00807BA9">
        <w:rPr>
          <w:sz w:val="20"/>
          <w:szCs w:val="20"/>
        </w:rPr>
        <w:t xml:space="preserve">2. gli indirizzi di finanza pubblica definiti in ambito comunitario e nazionale. </w:t>
      </w:r>
    </w:p>
    <w:p w14:paraId="2589D05C" w14:textId="77777777" w:rsidR="00807BA9" w:rsidRPr="00807BA9" w:rsidRDefault="00807BA9" w:rsidP="00807BA9">
      <w:pPr>
        <w:rPr>
          <w:sz w:val="20"/>
          <w:szCs w:val="20"/>
        </w:rPr>
      </w:pPr>
    </w:p>
    <w:p w14:paraId="330B17FD" w14:textId="77777777" w:rsidR="00807BA9" w:rsidRPr="00807BA9" w:rsidRDefault="00807BA9" w:rsidP="00807BA9">
      <w:pPr>
        <w:rPr>
          <w:sz w:val="20"/>
          <w:szCs w:val="20"/>
        </w:rPr>
      </w:pPr>
      <w:r w:rsidRPr="00807BA9">
        <w:rPr>
          <w:sz w:val="20"/>
          <w:szCs w:val="20"/>
        </w:rPr>
        <w:t xml:space="preserve">Le finalità e gli obiettivi di gestione devono essere misurabili e monitorabili in modo da potere verificare il loro grado di raggiungimento e gli eventuali scostamenti fra risultati attesi ed effettivi. </w:t>
      </w:r>
    </w:p>
    <w:p w14:paraId="4BA41216" w14:textId="77777777" w:rsidR="00807BA9" w:rsidRPr="00807BA9" w:rsidRDefault="00807BA9" w:rsidP="00807BA9">
      <w:pPr>
        <w:rPr>
          <w:sz w:val="20"/>
          <w:szCs w:val="20"/>
        </w:rPr>
      </w:pPr>
      <w:r w:rsidRPr="00807BA9">
        <w:rPr>
          <w:sz w:val="20"/>
          <w:szCs w:val="20"/>
        </w:rPr>
        <w:t xml:space="preserve">I risultati riferiti alle finalità sono rilevabili nel medio periodo e sono espressi in termini di impatto atteso sui bisogni esterni quale effetto dell'attuazione di politiche, programmi ed eventuali progetti. </w:t>
      </w:r>
    </w:p>
    <w:p w14:paraId="7056B346" w14:textId="77777777" w:rsidR="00807BA9" w:rsidRPr="00807BA9" w:rsidRDefault="00807BA9" w:rsidP="00807BA9">
      <w:pPr>
        <w:rPr>
          <w:sz w:val="20"/>
          <w:szCs w:val="20"/>
        </w:rPr>
      </w:pPr>
      <w:r w:rsidRPr="00807BA9">
        <w:rPr>
          <w:sz w:val="20"/>
          <w:szCs w:val="20"/>
        </w:rPr>
        <w:t xml:space="preserve">I risultati riferiti agli obiettivi di gestione, nei quali si declinano le politiche, i programmi e gli eventuali progetti dell'ente, </w:t>
      </w:r>
      <w:proofErr w:type="gramStart"/>
      <w:r w:rsidRPr="00807BA9">
        <w:rPr>
          <w:sz w:val="20"/>
          <w:szCs w:val="20"/>
        </w:rPr>
        <w:t>sono  rilevabili</w:t>
      </w:r>
      <w:proofErr w:type="gramEnd"/>
      <w:r w:rsidRPr="00807BA9">
        <w:rPr>
          <w:sz w:val="20"/>
          <w:szCs w:val="20"/>
        </w:rPr>
        <w:t xml:space="preserve"> nel breve termine e possono essere espressi in termini di: </w:t>
      </w:r>
    </w:p>
    <w:p w14:paraId="49288A1A" w14:textId="77777777" w:rsidR="00807BA9" w:rsidRPr="00807BA9" w:rsidRDefault="00807BA9" w:rsidP="00807BA9">
      <w:pPr>
        <w:rPr>
          <w:sz w:val="20"/>
          <w:szCs w:val="20"/>
        </w:rPr>
      </w:pPr>
      <w:r w:rsidRPr="00807BA9">
        <w:rPr>
          <w:sz w:val="20"/>
          <w:szCs w:val="20"/>
        </w:rPr>
        <w:t xml:space="preserve">a) efficacia, intesa quale grado di conseguimento degli obiettivi di gestione. Per gli enti locali i risultati in termini di efficacia possono essere letti secondo profili di qualità, di equità dei servizi e di soddisfazione dell'utenza. </w:t>
      </w:r>
    </w:p>
    <w:p w14:paraId="3346E315" w14:textId="77777777" w:rsidR="00807BA9" w:rsidRPr="00807BA9" w:rsidRDefault="00807BA9" w:rsidP="00807BA9">
      <w:pPr>
        <w:rPr>
          <w:sz w:val="20"/>
          <w:szCs w:val="20"/>
        </w:rPr>
      </w:pPr>
      <w:r w:rsidRPr="00807BA9">
        <w:rPr>
          <w:sz w:val="20"/>
          <w:szCs w:val="20"/>
        </w:rPr>
        <w:t>b) efficienza, intesa quale rapporto tra risorse utilizzate e quantità di servizi prodotti o attività svolta.</w:t>
      </w:r>
    </w:p>
    <w:p w14:paraId="41827C16" w14:textId="77777777" w:rsidR="00807BA9" w:rsidRPr="00807BA9" w:rsidRDefault="00807BA9" w:rsidP="00807BA9">
      <w:pPr>
        <w:rPr>
          <w:sz w:val="20"/>
          <w:szCs w:val="20"/>
        </w:rPr>
      </w:pPr>
      <w:r w:rsidRPr="00807BA9">
        <w:rPr>
          <w:sz w:val="20"/>
          <w:szCs w:val="20"/>
        </w:rPr>
        <w:t>Gli strumenti della programmazione regionale</w:t>
      </w:r>
    </w:p>
    <w:p w14:paraId="45DF4191" w14:textId="77777777" w:rsidR="00807BA9" w:rsidRPr="00807BA9" w:rsidRDefault="00807BA9" w:rsidP="00807BA9">
      <w:pPr>
        <w:rPr>
          <w:sz w:val="20"/>
          <w:szCs w:val="20"/>
        </w:rPr>
      </w:pPr>
      <w:r w:rsidRPr="00807BA9">
        <w:rPr>
          <w:sz w:val="20"/>
          <w:szCs w:val="20"/>
        </w:rPr>
        <w:t xml:space="preserve">Gli strumenti di programmazione delle regioni sono i seguenti: </w:t>
      </w:r>
    </w:p>
    <w:p w14:paraId="20E32EE5" w14:textId="77777777" w:rsidR="00807BA9" w:rsidRPr="00807BA9" w:rsidRDefault="00807BA9" w:rsidP="00807BA9">
      <w:pPr>
        <w:rPr>
          <w:sz w:val="20"/>
          <w:szCs w:val="20"/>
        </w:rPr>
      </w:pPr>
      <w:r w:rsidRPr="00807BA9">
        <w:rPr>
          <w:sz w:val="20"/>
          <w:szCs w:val="20"/>
        </w:rPr>
        <w:t>a) entro il 30 giugno di ciascun anno la Giunta regionale presenta al Consiglio il Documento di economia e finanza regionale (</w:t>
      </w:r>
      <w:proofErr w:type="gramStart"/>
      <w:r w:rsidRPr="00807BA9">
        <w:rPr>
          <w:sz w:val="20"/>
          <w:szCs w:val="20"/>
        </w:rPr>
        <w:t>DEFR)  per</w:t>
      </w:r>
      <w:proofErr w:type="gramEnd"/>
      <w:r w:rsidRPr="00807BA9">
        <w:rPr>
          <w:sz w:val="20"/>
          <w:szCs w:val="20"/>
        </w:rPr>
        <w:t xml:space="preserve"> le conseguenti deliberazioni; </w:t>
      </w:r>
    </w:p>
    <w:p w14:paraId="468ACB27" w14:textId="77777777" w:rsidR="00807BA9" w:rsidRPr="00807BA9" w:rsidRDefault="00807BA9" w:rsidP="00807BA9">
      <w:pPr>
        <w:rPr>
          <w:sz w:val="20"/>
          <w:szCs w:val="20"/>
        </w:rPr>
      </w:pPr>
      <w:r w:rsidRPr="00807BA9">
        <w:rPr>
          <w:sz w:val="20"/>
          <w:szCs w:val="20"/>
        </w:rPr>
        <w:t xml:space="preserve">b) la Nota di aggiornamento del DEFR, da presentare al Consiglio entro 30 giorni dalla presentazione della Nota di aggiornamento del DEF nazionale per le conseguenti deliberazioni e comunque non oltre la data di presentazione sul disegno di legge di bilancio; </w:t>
      </w:r>
    </w:p>
    <w:p w14:paraId="55A06757" w14:textId="77777777" w:rsidR="00807BA9" w:rsidRPr="00807BA9" w:rsidRDefault="00807BA9" w:rsidP="00807BA9">
      <w:pPr>
        <w:rPr>
          <w:sz w:val="20"/>
          <w:szCs w:val="20"/>
        </w:rPr>
      </w:pPr>
      <w:r w:rsidRPr="00807BA9">
        <w:rPr>
          <w:sz w:val="20"/>
          <w:szCs w:val="20"/>
        </w:rPr>
        <w:t xml:space="preserve">c)) il disegno di legge di stabilità regionale, da presentare al Consiglio entro il 31 ottobre di ogni anno e comunque non oltre 30 giorni dalla presentazione del disegno di legge di bilancio dello Stato; </w:t>
      </w:r>
    </w:p>
    <w:p w14:paraId="05A95C16" w14:textId="77777777" w:rsidR="00807BA9" w:rsidRPr="00807BA9" w:rsidRDefault="00807BA9" w:rsidP="00807BA9">
      <w:pPr>
        <w:rPr>
          <w:sz w:val="20"/>
          <w:szCs w:val="20"/>
        </w:rPr>
      </w:pPr>
      <w:r w:rsidRPr="00807BA9">
        <w:rPr>
          <w:sz w:val="20"/>
          <w:szCs w:val="20"/>
        </w:rPr>
        <w:t xml:space="preserve">d) il disegno di legge di bilancio, da presentare al Consiglio entro il 31 ottobre di ogni anno e comunque non oltre 30 giorni dall'approvazione del disegno di legge di stabilità dello Stato; </w:t>
      </w:r>
    </w:p>
    <w:p w14:paraId="4D3E658C" w14:textId="77777777" w:rsidR="00807BA9" w:rsidRPr="00807BA9" w:rsidRDefault="00807BA9" w:rsidP="00807BA9">
      <w:pPr>
        <w:rPr>
          <w:sz w:val="20"/>
          <w:szCs w:val="20"/>
        </w:rPr>
      </w:pPr>
      <w:r w:rsidRPr="00807BA9">
        <w:rPr>
          <w:sz w:val="20"/>
          <w:szCs w:val="20"/>
        </w:rPr>
        <w:t xml:space="preserve">e) il piano degli indicatori di bilancio, approvato dalla giunta entro 30 giorni dall'approvazione del bilancio di previsione </w:t>
      </w:r>
      <w:proofErr w:type="gramStart"/>
      <w:r w:rsidRPr="00807BA9">
        <w:rPr>
          <w:sz w:val="20"/>
          <w:szCs w:val="20"/>
        </w:rPr>
        <w:t>e  dall'approvazione</w:t>
      </w:r>
      <w:proofErr w:type="gramEnd"/>
      <w:r w:rsidRPr="00807BA9">
        <w:rPr>
          <w:sz w:val="20"/>
          <w:szCs w:val="20"/>
        </w:rPr>
        <w:t xml:space="preserve"> del rendiconto e comunicato al Consiglio; f) il disegno di legge di assestamento del bilancio, presentato al Consiglio entro il 30 giugno di ogni anno; </w:t>
      </w:r>
    </w:p>
    <w:p w14:paraId="6DCA967B" w14:textId="77777777" w:rsidR="00807BA9" w:rsidRPr="00807BA9" w:rsidRDefault="00807BA9" w:rsidP="00807BA9">
      <w:pPr>
        <w:rPr>
          <w:sz w:val="20"/>
          <w:szCs w:val="20"/>
        </w:rPr>
      </w:pPr>
      <w:r w:rsidRPr="00807BA9">
        <w:rPr>
          <w:sz w:val="20"/>
          <w:szCs w:val="20"/>
        </w:rPr>
        <w:t xml:space="preserve">g) gli eventuali disegni di legge di variazione di bilancio; </w:t>
      </w:r>
    </w:p>
    <w:p w14:paraId="0FFBD8BC" w14:textId="77777777" w:rsidR="00807BA9" w:rsidRPr="00807BA9" w:rsidRDefault="00807BA9" w:rsidP="00807BA9">
      <w:pPr>
        <w:rPr>
          <w:sz w:val="20"/>
          <w:szCs w:val="20"/>
        </w:rPr>
      </w:pPr>
      <w:r w:rsidRPr="00807BA9">
        <w:rPr>
          <w:sz w:val="20"/>
          <w:szCs w:val="20"/>
        </w:rPr>
        <w:t xml:space="preserve">j) gli eventuali disegni di legge collegati alla manovra di bilancio, da presentare al Consiglio entro il mese di ottobre di ogni anno; </w:t>
      </w:r>
    </w:p>
    <w:p w14:paraId="4BB65513" w14:textId="77777777" w:rsidR="00807BA9" w:rsidRPr="00807BA9" w:rsidRDefault="00807BA9" w:rsidP="00807BA9">
      <w:pPr>
        <w:rPr>
          <w:sz w:val="20"/>
          <w:szCs w:val="20"/>
        </w:rPr>
      </w:pPr>
      <w:r w:rsidRPr="00807BA9">
        <w:rPr>
          <w:sz w:val="20"/>
          <w:szCs w:val="20"/>
        </w:rPr>
        <w:t xml:space="preserve">k) gli specifici strumenti di programmazione regionale formulati in attuazione di programmi statali, comunitari e regionali e definiti nelle specifiche normative regionali in materia di programmazione generale e settoriale. </w:t>
      </w:r>
    </w:p>
    <w:p w14:paraId="2CEA9D42" w14:textId="77777777" w:rsidR="00807BA9" w:rsidRPr="00807BA9" w:rsidRDefault="00807BA9" w:rsidP="00807BA9">
      <w:pPr>
        <w:rPr>
          <w:sz w:val="20"/>
          <w:szCs w:val="20"/>
        </w:rPr>
      </w:pPr>
      <w:r w:rsidRPr="00807BA9">
        <w:rPr>
          <w:sz w:val="20"/>
          <w:szCs w:val="20"/>
        </w:rPr>
        <w:t xml:space="preserve">Il rendiconto della gestione conclude il sistema di bilancio, da approvarsi entro il 30 aprile dell'anno successivo all'esercizio </w:t>
      </w:r>
      <w:proofErr w:type="gramStart"/>
      <w:r w:rsidRPr="00807BA9">
        <w:rPr>
          <w:sz w:val="20"/>
          <w:szCs w:val="20"/>
        </w:rPr>
        <w:t>di  riferimento</w:t>
      </w:r>
      <w:proofErr w:type="gramEnd"/>
      <w:r w:rsidRPr="00807BA9">
        <w:rPr>
          <w:sz w:val="20"/>
          <w:szCs w:val="20"/>
        </w:rPr>
        <w:t xml:space="preserve"> da parte della Giunta, ed entro il 31 luglio da parte del Consiglio. </w:t>
      </w:r>
    </w:p>
    <w:p w14:paraId="3F9FC145" w14:textId="77777777" w:rsidR="00807BA9" w:rsidRPr="00807BA9" w:rsidRDefault="00807BA9" w:rsidP="00807BA9">
      <w:pPr>
        <w:rPr>
          <w:sz w:val="20"/>
          <w:szCs w:val="20"/>
        </w:rPr>
      </w:pPr>
    </w:p>
    <w:p w14:paraId="6EC65B2A" w14:textId="77777777" w:rsidR="00807BA9" w:rsidRPr="00807BA9" w:rsidRDefault="00807BA9" w:rsidP="00807BA9">
      <w:pPr>
        <w:rPr>
          <w:sz w:val="20"/>
          <w:szCs w:val="20"/>
        </w:rPr>
      </w:pPr>
      <w:r w:rsidRPr="00807BA9">
        <w:rPr>
          <w:sz w:val="20"/>
          <w:szCs w:val="20"/>
        </w:rPr>
        <w:t xml:space="preserve">Gli strumenti di programmazione degli enti locali sono: </w:t>
      </w:r>
    </w:p>
    <w:p w14:paraId="4AA45810" w14:textId="77777777" w:rsidR="00807BA9" w:rsidRPr="00807BA9" w:rsidRDefault="00807BA9" w:rsidP="00807BA9">
      <w:pPr>
        <w:rPr>
          <w:sz w:val="20"/>
          <w:szCs w:val="20"/>
        </w:rPr>
      </w:pPr>
      <w:r w:rsidRPr="00807BA9">
        <w:rPr>
          <w:sz w:val="20"/>
          <w:szCs w:val="20"/>
        </w:rPr>
        <w:t xml:space="preserve">a) il Documento unico di programmazione (DUP), presentato al Consiglio, entro il 31 luglio di ciascun anno, per le </w:t>
      </w:r>
      <w:proofErr w:type="gramStart"/>
      <w:r w:rsidRPr="00807BA9">
        <w:rPr>
          <w:sz w:val="20"/>
          <w:szCs w:val="20"/>
        </w:rPr>
        <w:t>conseguenti  deliberazioni</w:t>
      </w:r>
      <w:proofErr w:type="gramEnd"/>
      <w:r w:rsidRPr="00807BA9">
        <w:rPr>
          <w:sz w:val="20"/>
          <w:szCs w:val="20"/>
        </w:rPr>
        <w:t xml:space="preserve">. Considerato che l'elaborazione del DUP presuppone una verifica dello stato di attuazione dei </w:t>
      </w:r>
      <w:proofErr w:type="gramStart"/>
      <w:r w:rsidRPr="00807BA9">
        <w:rPr>
          <w:sz w:val="20"/>
          <w:szCs w:val="20"/>
        </w:rPr>
        <w:t>programmi,  contestualmente</w:t>
      </w:r>
      <w:proofErr w:type="gramEnd"/>
      <w:r w:rsidRPr="00807BA9">
        <w:rPr>
          <w:sz w:val="20"/>
          <w:szCs w:val="20"/>
        </w:rPr>
        <w:t xml:space="preserve"> alla presentazione di tale documento si raccomanda di presentare al Consiglio anche lo stato di attuazione dei  programmi, da effettuare, ove previsto, ai sensi dell'art. 147-ter del TUEL; </w:t>
      </w:r>
    </w:p>
    <w:p w14:paraId="1DD336C1" w14:textId="77777777" w:rsidR="00807BA9" w:rsidRPr="00807BA9" w:rsidRDefault="00807BA9" w:rsidP="00807BA9">
      <w:pPr>
        <w:rPr>
          <w:sz w:val="20"/>
          <w:szCs w:val="20"/>
        </w:rPr>
      </w:pPr>
      <w:r w:rsidRPr="00807BA9">
        <w:rPr>
          <w:sz w:val="20"/>
          <w:szCs w:val="20"/>
        </w:rPr>
        <w:t xml:space="preserve">b) l'eventuale nota di aggiornamento del DUP, da presentare al Consiglio entro il 15 novembre di ogni anno, per le conseguenti deliberazioni; </w:t>
      </w:r>
    </w:p>
    <w:p w14:paraId="4AE854E4" w14:textId="77777777" w:rsidR="00807BA9" w:rsidRPr="00807BA9" w:rsidRDefault="00807BA9" w:rsidP="00807BA9">
      <w:pPr>
        <w:rPr>
          <w:sz w:val="20"/>
          <w:szCs w:val="20"/>
        </w:rPr>
      </w:pPr>
      <w:r w:rsidRPr="00807BA9">
        <w:rPr>
          <w:sz w:val="20"/>
          <w:szCs w:val="20"/>
        </w:rPr>
        <w:t xml:space="preserve">c) lo schema di bilancio di previsione finanziario, da presentare al Consiglio entro il 15 novembre di ogni anno. A seguito di variazioni del quadro normativo di riferimento la Giunta aggiorna lo schema di bilancio di previsione in corso di </w:t>
      </w:r>
      <w:proofErr w:type="gramStart"/>
      <w:r w:rsidRPr="00807BA9">
        <w:rPr>
          <w:sz w:val="20"/>
          <w:szCs w:val="20"/>
        </w:rPr>
        <w:t>approvazione  unitamente</w:t>
      </w:r>
      <w:proofErr w:type="gramEnd"/>
      <w:r w:rsidRPr="00807BA9">
        <w:rPr>
          <w:sz w:val="20"/>
          <w:szCs w:val="20"/>
        </w:rPr>
        <w:t xml:space="preserve"> al DUP. In occasione del riaccertamento ordinario o straordinario dei residui la Giunta aggiorna lo schema di bilancio </w:t>
      </w:r>
      <w:proofErr w:type="gramStart"/>
      <w:r w:rsidRPr="00807BA9">
        <w:rPr>
          <w:sz w:val="20"/>
          <w:szCs w:val="20"/>
        </w:rPr>
        <w:t>di  previsione</w:t>
      </w:r>
      <w:proofErr w:type="gramEnd"/>
      <w:r w:rsidRPr="00807BA9">
        <w:rPr>
          <w:sz w:val="20"/>
          <w:szCs w:val="20"/>
        </w:rPr>
        <w:t xml:space="preserve"> in corso di approvazione unitamente al DUP e al bilancio provvisorio in gestione; </w:t>
      </w:r>
    </w:p>
    <w:p w14:paraId="4E0D934E" w14:textId="77777777" w:rsidR="00807BA9" w:rsidRPr="00807BA9" w:rsidRDefault="00807BA9" w:rsidP="00807BA9">
      <w:pPr>
        <w:rPr>
          <w:sz w:val="20"/>
          <w:szCs w:val="20"/>
        </w:rPr>
      </w:pPr>
      <w:r w:rsidRPr="00807BA9">
        <w:rPr>
          <w:sz w:val="20"/>
          <w:szCs w:val="20"/>
        </w:rPr>
        <w:t xml:space="preserve">d) il piano esecutivo di gestione e delle performances approvato dalla Giunta entro 20 giorni dall'approvazione del bilancio; </w:t>
      </w:r>
    </w:p>
    <w:p w14:paraId="79D9076D" w14:textId="77777777" w:rsidR="00807BA9" w:rsidRPr="00807BA9" w:rsidRDefault="00807BA9" w:rsidP="00807BA9">
      <w:pPr>
        <w:rPr>
          <w:sz w:val="20"/>
          <w:szCs w:val="20"/>
        </w:rPr>
      </w:pPr>
      <w:r w:rsidRPr="00807BA9">
        <w:rPr>
          <w:sz w:val="20"/>
          <w:szCs w:val="20"/>
        </w:rPr>
        <w:t xml:space="preserve">f) il piano degli indicatori di bilancio presentato al Consiglio unitamente al bilancio di previsione e al rendiconto; </w:t>
      </w:r>
    </w:p>
    <w:p w14:paraId="15FED69D" w14:textId="77777777" w:rsidR="00807BA9" w:rsidRPr="00807BA9" w:rsidRDefault="00807BA9" w:rsidP="00807BA9">
      <w:pPr>
        <w:rPr>
          <w:sz w:val="20"/>
          <w:szCs w:val="20"/>
        </w:rPr>
      </w:pPr>
      <w:r w:rsidRPr="00807BA9">
        <w:rPr>
          <w:sz w:val="20"/>
          <w:szCs w:val="20"/>
        </w:rPr>
        <w:t xml:space="preserve">g) lo schema di delibera di assestamento del bilancio il controllo della salvaguardia degli equilibri di bilancio, da deliberarsi da parte del Consiglio entro il 31 luglio di ogni anno; </w:t>
      </w:r>
    </w:p>
    <w:p w14:paraId="6C7BFBCE" w14:textId="77777777" w:rsidR="00807BA9" w:rsidRPr="00807BA9" w:rsidRDefault="00807BA9" w:rsidP="00807BA9">
      <w:pPr>
        <w:rPr>
          <w:sz w:val="20"/>
          <w:szCs w:val="20"/>
        </w:rPr>
      </w:pPr>
      <w:r w:rsidRPr="00807BA9">
        <w:rPr>
          <w:sz w:val="20"/>
          <w:szCs w:val="20"/>
        </w:rPr>
        <w:t xml:space="preserve">h) le variazioni di bilancio; </w:t>
      </w:r>
    </w:p>
    <w:p w14:paraId="6B780592" w14:textId="77777777" w:rsidR="00807BA9" w:rsidRPr="00807BA9" w:rsidRDefault="00807BA9" w:rsidP="00807BA9">
      <w:pPr>
        <w:rPr>
          <w:sz w:val="20"/>
          <w:szCs w:val="20"/>
        </w:rPr>
      </w:pPr>
      <w:r w:rsidRPr="00807BA9">
        <w:rPr>
          <w:sz w:val="20"/>
          <w:szCs w:val="20"/>
        </w:rPr>
        <w:t>i) lo schema di rendiconto sulla gestione, che conclude il sistema di bilancio dell'ente, da approvarsi entro il 30 aprile dell'anno successivo all'esercizio di riferimento.</w:t>
      </w:r>
    </w:p>
    <w:p w14:paraId="767A9611" w14:textId="77777777" w:rsidR="00807BA9" w:rsidRPr="00807BA9" w:rsidRDefault="00807BA9" w:rsidP="00807BA9">
      <w:pPr>
        <w:rPr>
          <w:sz w:val="20"/>
          <w:szCs w:val="20"/>
        </w:rPr>
      </w:pPr>
      <w:r w:rsidRPr="00807BA9">
        <w:rPr>
          <w:sz w:val="20"/>
          <w:szCs w:val="20"/>
        </w:rPr>
        <w:t>DUP (DOCUMENTO UNICO DI PROGRAMMAZIONE)</w:t>
      </w:r>
    </w:p>
    <w:p w14:paraId="57DBF6E5" w14:textId="77777777" w:rsidR="00807BA9" w:rsidRPr="00807BA9" w:rsidRDefault="00807BA9" w:rsidP="00807BA9">
      <w:pPr>
        <w:rPr>
          <w:sz w:val="20"/>
          <w:szCs w:val="20"/>
        </w:rPr>
      </w:pPr>
      <w:r w:rsidRPr="00807BA9">
        <w:rPr>
          <w:sz w:val="20"/>
          <w:szCs w:val="20"/>
        </w:rPr>
        <w:t xml:space="preserve">Per i comuni inferiori ai 5000 abitanti, il decreto 20 maggio 2015 di modifica del Dlgs n. 118/2011 istituisce il DUP </w:t>
      </w:r>
      <w:proofErr w:type="gramStart"/>
      <w:r w:rsidRPr="00807BA9">
        <w:rPr>
          <w:sz w:val="20"/>
          <w:szCs w:val="20"/>
        </w:rPr>
        <w:t>semplificato .</w:t>
      </w:r>
      <w:proofErr w:type="gramEnd"/>
    </w:p>
    <w:p w14:paraId="2C9B9E9C" w14:textId="77777777" w:rsidR="00807BA9" w:rsidRPr="00807BA9" w:rsidRDefault="00807BA9" w:rsidP="00807BA9">
      <w:pPr>
        <w:rPr>
          <w:sz w:val="20"/>
          <w:szCs w:val="20"/>
        </w:rPr>
      </w:pPr>
      <w:r w:rsidRPr="00807BA9">
        <w:rPr>
          <w:sz w:val="20"/>
          <w:szCs w:val="20"/>
        </w:rPr>
        <w:t>Il Documento unico di programmazione è lo strumento che permette l'attività di guida strategica ed operativa degli enti locali e consente di fronteggiare in modo permanente, sistemico e unitario le discontinuità ambientali e organizzative.</w:t>
      </w:r>
    </w:p>
    <w:p w14:paraId="6920A454" w14:textId="77777777" w:rsidR="00807BA9" w:rsidRPr="00807BA9" w:rsidRDefault="00807BA9" w:rsidP="00807BA9">
      <w:pPr>
        <w:rPr>
          <w:sz w:val="20"/>
          <w:szCs w:val="20"/>
        </w:rPr>
      </w:pPr>
      <w:r w:rsidRPr="00807BA9">
        <w:rPr>
          <w:sz w:val="20"/>
          <w:szCs w:val="20"/>
        </w:rPr>
        <w:t>Il DUP costituisce, nel rispetto del principio del coordinamento e coerenza dei documenti di bilancio, il presupposto necessario di tutti gli altri documenti di programmazione.</w:t>
      </w:r>
    </w:p>
    <w:p w14:paraId="244D2CAB" w14:textId="77777777" w:rsidR="00807BA9" w:rsidRPr="00807BA9" w:rsidRDefault="00807BA9" w:rsidP="00807BA9">
      <w:pPr>
        <w:rPr>
          <w:sz w:val="20"/>
          <w:szCs w:val="20"/>
        </w:rPr>
      </w:pPr>
      <w:r w:rsidRPr="00807BA9">
        <w:rPr>
          <w:sz w:val="20"/>
          <w:szCs w:val="20"/>
        </w:rPr>
        <w:t>Si compone di due sezioni: la Sezione Strategica (</w:t>
      </w:r>
      <w:proofErr w:type="spellStart"/>
      <w:r w:rsidRPr="00807BA9">
        <w:rPr>
          <w:sz w:val="20"/>
          <w:szCs w:val="20"/>
        </w:rPr>
        <w:t>SeS</w:t>
      </w:r>
      <w:proofErr w:type="spellEnd"/>
      <w:r w:rsidRPr="00807BA9">
        <w:rPr>
          <w:sz w:val="20"/>
          <w:szCs w:val="20"/>
        </w:rPr>
        <w:t>) e la Sezione Operativa (</w:t>
      </w:r>
      <w:proofErr w:type="spellStart"/>
      <w:r w:rsidRPr="00807BA9">
        <w:rPr>
          <w:sz w:val="20"/>
          <w:szCs w:val="20"/>
        </w:rPr>
        <w:t>SeO</w:t>
      </w:r>
      <w:proofErr w:type="spellEnd"/>
      <w:r w:rsidRPr="00807BA9">
        <w:rPr>
          <w:sz w:val="20"/>
          <w:szCs w:val="20"/>
        </w:rPr>
        <w:t>).</w:t>
      </w:r>
    </w:p>
    <w:p w14:paraId="3FB76327" w14:textId="77777777" w:rsidR="00807BA9" w:rsidRPr="00807BA9" w:rsidRDefault="00807BA9" w:rsidP="00807BA9">
      <w:pPr>
        <w:rPr>
          <w:sz w:val="20"/>
          <w:szCs w:val="20"/>
        </w:rPr>
      </w:pPr>
      <w:r w:rsidRPr="00807BA9">
        <w:rPr>
          <w:sz w:val="20"/>
          <w:szCs w:val="20"/>
        </w:rPr>
        <w:t>La sezione strategica (</w:t>
      </w:r>
      <w:proofErr w:type="spellStart"/>
      <w:r w:rsidRPr="00807BA9">
        <w:rPr>
          <w:sz w:val="20"/>
          <w:szCs w:val="20"/>
        </w:rPr>
        <w:t>Ses</w:t>
      </w:r>
      <w:proofErr w:type="spellEnd"/>
      <w:r w:rsidRPr="00807BA9">
        <w:rPr>
          <w:sz w:val="20"/>
          <w:szCs w:val="20"/>
        </w:rPr>
        <w:t>) ha un orizzonte temporale di riferimento pari a quello del mandato amministrativo.</w:t>
      </w:r>
    </w:p>
    <w:p w14:paraId="7963B07F" w14:textId="77777777" w:rsidR="00807BA9" w:rsidRPr="00807BA9" w:rsidRDefault="00807BA9" w:rsidP="00807BA9">
      <w:pPr>
        <w:rPr>
          <w:sz w:val="20"/>
          <w:szCs w:val="20"/>
        </w:rPr>
      </w:pPr>
      <w:r w:rsidRPr="00807BA9">
        <w:rPr>
          <w:sz w:val="20"/>
          <w:szCs w:val="20"/>
        </w:rPr>
        <w:t>La Sezione Strategica sviluppa e concretizza le linee programmatiche di mandato di cui all'art. 46 comma 3 del decreto legislativo 18 agosto 2000, n. 267 e individua, in coerenza con il quadro normativo di riferimento, gli indirizzi strategici dell'ente. In particolare, la sezione individua, in coerenza con il quadro normativo di riferimento e con gli obiettivi generali di finanza pubblica, le principali scelte che caratterizzano il programma dell'amministrazione da realizzare nel corso del mandato amministrativo e che possono avere un impatto di medio e lungo periodo, le politiche di mandato che l'ente vuole sviluppare nel raggiungimento delle proprie finalità istituzionali e nel governo delle proprie funzioni fondamentali e gli indirizzi generali di programmazione riferiti al periodo di mandato.</w:t>
      </w:r>
    </w:p>
    <w:p w14:paraId="0076F678" w14:textId="77777777" w:rsidR="00807BA9" w:rsidRPr="00807BA9" w:rsidRDefault="00807BA9" w:rsidP="00807BA9">
      <w:pPr>
        <w:rPr>
          <w:sz w:val="20"/>
          <w:szCs w:val="20"/>
        </w:rPr>
      </w:pPr>
      <w:r w:rsidRPr="00807BA9">
        <w:rPr>
          <w:sz w:val="20"/>
          <w:szCs w:val="20"/>
        </w:rPr>
        <w:t>Nella Sezione Strategica sono anche indicati gli strumenti attraverso i quali l'ente locale intende rendicontare il proprio operato nel corso del mandato in maniera sistematica e trasparente, per informare i cittadini del livello di realizzazione dei programmi, di raggiungimento degli obiettivi e delle collegate aree di responsabilità politica o amministrativa.</w:t>
      </w:r>
    </w:p>
    <w:p w14:paraId="6EDA16A8" w14:textId="77777777" w:rsidR="00807BA9" w:rsidRPr="00807BA9" w:rsidRDefault="00807BA9" w:rsidP="00807BA9">
      <w:pPr>
        <w:rPr>
          <w:sz w:val="20"/>
          <w:szCs w:val="20"/>
        </w:rPr>
      </w:pPr>
      <w:r w:rsidRPr="00807BA9">
        <w:rPr>
          <w:sz w:val="20"/>
          <w:szCs w:val="20"/>
        </w:rPr>
        <w:t>Gli obiettivi strategici sono ricondotti alle missioni di bilancio e sono conseguenti ad un processo conoscitivo di analisi strategica delle condizioni esterne all'ente e di quelle interne, sia in termini attuali che prospettici e alla definizione di indirizzi generali di natura strategica.</w:t>
      </w:r>
    </w:p>
    <w:p w14:paraId="3FA42CA9" w14:textId="77777777" w:rsidR="00807BA9" w:rsidRPr="00807BA9" w:rsidRDefault="00807BA9" w:rsidP="00807BA9">
      <w:pPr>
        <w:rPr>
          <w:sz w:val="20"/>
          <w:szCs w:val="20"/>
        </w:rPr>
      </w:pPr>
      <w:r w:rsidRPr="00807BA9">
        <w:rPr>
          <w:sz w:val="20"/>
          <w:szCs w:val="20"/>
        </w:rPr>
        <w:t>La Sezione Operativa (</w:t>
      </w:r>
      <w:proofErr w:type="spellStart"/>
      <w:r w:rsidRPr="00807BA9">
        <w:rPr>
          <w:sz w:val="20"/>
          <w:szCs w:val="20"/>
        </w:rPr>
        <w:t>SeO</w:t>
      </w:r>
      <w:proofErr w:type="spellEnd"/>
      <w:r w:rsidRPr="00807BA9">
        <w:rPr>
          <w:sz w:val="20"/>
          <w:szCs w:val="20"/>
        </w:rPr>
        <w:t xml:space="preserve">) ha un orizzonte temporale di riferimento pari a quello del bilancio di </w:t>
      </w:r>
      <w:proofErr w:type="spellStart"/>
      <w:proofErr w:type="gramStart"/>
      <w:r w:rsidRPr="00807BA9">
        <w:rPr>
          <w:sz w:val="20"/>
          <w:szCs w:val="20"/>
        </w:rPr>
        <w:t>previsione.Ha</w:t>
      </w:r>
      <w:proofErr w:type="spellEnd"/>
      <w:proofErr w:type="gramEnd"/>
      <w:r w:rsidRPr="00807BA9">
        <w:rPr>
          <w:sz w:val="20"/>
          <w:szCs w:val="20"/>
        </w:rPr>
        <w:t xml:space="preserve"> carattere generale, contenuto programmatico e costituisce lo strumento a supporto del processo di previsione definito sulla base degli indirizzi generali e degli obiettivi strategici fissati nella Sezione Strategica del Documento unico di programmazione. In particolare, essa contiene la programmazione operativa dell'ente avendo a riferimento un arco temporale sia annuale che pluriennale. Il contenuto della Sezione Operativa, predisposto in base alle previsioni ed agli obiettivi fissati nella Sezione Strategica, costituisce giuda e vincolo ai processi di redazione dei documenti contabili di previsione dell'ente.</w:t>
      </w:r>
    </w:p>
    <w:p w14:paraId="1852178E" w14:textId="77777777" w:rsidR="00807BA9" w:rsidRPr="00807BA9" w:rsidRDefault="00807BA9" w:rsidP="00807BA9">
      <w:pPr>
        <w:rPr>
          <w:sz w:val="20"/>
          <w:szCs w:val="20"/>
        </w:rPr>
      </w:pPr>
      <w:r w:rsidRPr="00807BA9">
        <w:rPr>
          <w:sz w:val="20"/>
          <w:szCs w:val="20"/>
        </w:rPr>
        <w:t>Va redatta, per il suo contenuto finanziario, per competenza e cassa, e trova il suo fondamento su valutazioni di natura economico-patrimoniale: copre un arco temporale pari a quello del bilancio di previsione. Di fatto, questa seconda sezione supporta il processo di previsione per la predisposizione della manovra di bilancio.</w:t>
      </w:r>
    </w:p>
    <w:p w14:paraId="205E52FE" w14:textId="77777777" w:rsidR="00807BA9" w:rsidRPr="00807BA9" w:rsidRDefault="00807BA9" w:rsidP="00807BA9">
      <w:pPr>
        <w:rPr>
          <w:sz w:val="20"/>
          <w:szCs w:val="20"/>
        </w:rPr>
      </w:pPr>
      <w:r w:rsidRPr="00807BA9">
        <w:rPr>
          <w:sz w:val="20"/>
          <w:szCs w:val="20"/>
        </w:rPr>
        <w:t>Per ogni singola missione, sono individuati i programmi che l'ente intende realizzare per conseguire gli obiettivi strategici definiti nella Sezione Strategica. Per ogni programma, e per tutto il periodo di riferimento del Documento unico di programmazione, sono individuati gli obiettivi operativi annuali da raggiungere nonché gli aspetti finanziari, sia in termini di competenza che di cassa, della manovra di bilancio.</w:t>
      </w:r>
    </w:p>
    <w:p w14:paraId="5DA29AC9" w14:textId="77777777" w:rsidR="00807BA9" w:rsidRPr="00807BA9" w:rsidRDefault="00807BA9" w:rsidP="00807BA9">
      <w:pPr>
        <w:rPr>
          <w:sz w:val="20"/>
          <w:szCs w:val="20"/>
        </w:rPr>
      </w:pPr>
      <w:r w:rsidRPr="00807BA9">
        <w:rPr>
          <w:sz w:val="20"/>
          <w:szCs w:val="20"/>
        </w:rPr>
        <w:t>Nel DUP semplificato si individuano gli indirizzi generali riguardanti in particolar modo l'organizzazione e la gestione dei servizi pubblici alla luce dei fabbisogni e dei costi standard e del ruolo di eventuali organismi, entri strumentali, e società controllate e partecipate; l'individuazione delle risorse, degli impieghi e la verifica della sostenibilità economico-finanziaria attuale e prospettiva anche in termini di equilibri finanziari di bilancio e di gestione; la disponibilità e la gestione delle risorse umane; la coerenza con le disposizioni del patto di stabilità interno e i vincoli di finanza pubblica.</w:t>
      </w:r>
    </w:p>
    <w:p w14:paraId="4218F9EB" w14:textId="77777777" w:rsidR="00807BA9" w:rsidRPr="00807BA9" w:rsidRDefault="00807BA9" w:rsidP="00807BA9">
      <w:pPr>
        <w:rPr>
          <w:sz w:val="20"/>
          <w:szCs w:val="20"/>
        </w:rPr>
      </w:pPr>
      <w:r w:rsidRPr="00807BA9">
        <w:rPr>
          <w:sz w:val="20"/>
          <w:szCs w:val="20"/>
        </w:rPr>
        <w:t xml:space="preserve">Rispetto all'arco temporale coperto dal bilancio di previsione, il </w:t>
      </w:r>
      <w:proofErr w:type="spellStart"/>
      <w:r w:rsidRPr="00807BA9">
        <w:rPr>
          <w:sz w:val="20"/>
          <w:szCs w:val="20"/>
        </w:rPr>
        <w:t>Dup</w:t>
      </w:r>
      <w:proofErr w:type="spellEnd"/>
      <w:r w:rsidRPr="00807BA9">
        <w:rPr>
          <w:sz w:val="20"/>
          <w:szCs w:val="20"/>
        </w:rPr>
        <w:t xml:space="preserve"> comprende inoltre:</w:t>
      </w:r>
    </w:p>
    <w:p w14:paraId="53389199" w14:textId="77777777" w:rsidR="00807BA9" w:rsidRPr="00807BA9" w:rsidRDefault="00807BA9" w:rsidP="00807BA9">
      <w:pPr>
        <w:rPr>
          <w:sz w:val="20"/>
          <w:szCs w:val="20"/>
        </w:rPr>
      </w:pPr>
      <w:r w:rsidRPr="00807BA9">
        <w:rPr>
          <w:sz w:val="20"/>
          <w:szCs w:val="20"/>
        </w:rPr>
        <w:t>gli obiettivi degli organismi facenti parte del gruppo amministrazione pubblica;</w:t>
      </w:r>
    </w:p>
    <w:p w14:paraId="3C3683A2" w14:textId="77777777" w:rsidR="00807BA9" w:rsidRPr="00807BA9" w:rsidRDefault="00807BA9" w:rsidP="00807BA9">
      <w:pPr>
        <w:rPr>
          <w:sz w:val="20"/>
          <w:szCs w:val="20"/>
        </w:rPr>
      </w:pPr>
      <w:r w:rsidRPr="00807BA9">
        <w:rPr>
          <w:sz w:val="20"/>
          <w:szCs w:val="20"/>
        </w:rPr>
        <w:t>l'analisi della coerenza delle previsioni di bilancio con gli organismi urbanistici vigenti;</w:t>
      </w:r>
    </w:p>
    <w:p w14:paraId="1264AAA8" w14:textId="77777777" w:rsidR="00807BA9" w:rsidRPr="00807BA9" w:rsidRDefault="00807BA9" w:rsidP="00807BA9">
      <w:pPr>
        <w:rPr>
          <w:sz w:val="20"/>
          <w:szCs w:val="20"/>
        </w:rPr>
      </w:pPr>
      <w:r w:rsidRPr="00807BA9">
        <w:rPr>
          <w:sz w:val="20"/>
          <w:szCs w:val="20"/>
        </w:rPr>
        <w:t>la programmazione dei lavori pubblici;</w:t>
      </w:r>
    </w:p>
    <w:p w14:paraId="3AF3A97A" w14:textId="77777777" w:rsidR="00807BA9" w:rsidRPr="00807BA9" w:rsidRDefault="00807BA9" w:rsidP="00807BA9">
      <w:pPr>
        <w:rPr>
          <w:sz w:val="20"/>
          <w:szCs w:val="20"/>
        </w:rPr>
      </w:pPr>
      <w:r w:rsidRPr="00807BA9">
        <w:rPr>
          <w:sz w:val="20"/>
          <w:szCs w:val="20"/>
        </w:rPr>
        <w:t>la programmazione del fabbisogno di personale;</w:t>
      </w:r>
    </w:p>
    <w:p w14:paraId="30B97ADF" w14:textId="77777777" w:rsidR="00807BA9" w:rsidRPr="00807BA9" w:rsidRDefault="00807BA9" w:rsidP="00807BA9">
      <w:pPr>
        <w:rPr>
          <w:sz w:val="20"/>
          <w:szCs w:val="20"/>
        </w:rPr>
      </w:pPr>
      <w:r w:rsidRPr="00807BA9">
        <w:rPr>
          <w:sz w:val="20"/>
          <w:szCs w:val="20"/>
        </w:rPr>
        <w:t>la programmazione delle alienazioni e della valorizzazione dei beni patrimoniali.</w:t>
      </w:r>
    </w:p>
    <w:p w14:paraId="56AB96C6" w14:textId="77777777" w:rsidR="00807BA9" w:rsidRPr="00807BA9" w:rsidRDefault="00807BA9" w:rsidP="00807BA9">
      <w:pPr>
        <w:rPr>
          <w:sz w:val="20"/>
          <w:szCs w:val="20"/>
        </w:rPr>
      </w:pPr>
      <w:r w:rsidRPr="00807BA9">
        <w:rPr>
          <w:sz w:val="20"/>
          <w:szCs w:val="20"/>
        </w:rPr>
        <w:t>Il DUP è presentato dalla Giunta entro il 31 luglio "per le conseguenti deliberazioni".</w:t>
      </w:r>
    </w:p>
    <w:p w14:paraId="0FC41B00" w14:textId="77777777" w:rsidR="00807BA9" w:rsidRPr="00807BA9" w:rsidRDefault="00807BA9" w:rsidP="00807BA9">
      <w:pPr>
        <w:rPr>
          <w:sz w:val="20"/>
          <w:szCs w:val="20"/>
        </w:rPr>
      </w:pPr>
      <w:proofErr w:type="gramStart"/>
      <w:r w:rsidRPr="00807BA9">
        <w:rPr>
          <w:sz w:val="20"/>
          <w:szCs w:val="20"/>
        </w:rPr>
        <w:t>Pertanto</w:t>
      </w:r>
      <w:proofErr w:type="gramEnd"/>
      <w:r w:rsidRPr="00807BA9">
        <w:rPr>
          <w:sz w:val="20"/>
          <w:szCs w:val="20"/>
        </w:rPr>
        <w:t xml:space="preserve"> il Consiglio riceve, esamina, discute il DUP presentato a luglio e delibera. La deliberazione del Consiglio concernente il DUP può tradursi:</w:t>
      </w:r>
    </w:p>
    <w:p w14:paraId="714C8625" w14:textId="77777777" w:rsidR="00807BA9" w:rsidRPr="00807BA9" w:rsidRDefault="00807BA9" w:rsidP="00807BA9">
      <w:pPr>
        <w:rPr>
          <w:sz w:val="20"/>
          <w:szCs w:val="20"/>
        </w:rPr>
      </w:pPr>
      <w:r w:rsidRPr="00807BA9">
        <w:rPr>
          <w:sz w:val="20"/>
          <w:szCs w:val="20"/>
        </w:rPr>
        <w:t>a) in una approvazione, nel caso in cui il documento di programmazione rappresenta gli indirizzi strategici e operativi del Consiglio;</w:t>
      </w:r>
    </w:p>
    <w:p w14:paraId="1FC32DA8" w14:textId="77777777" w:rsidR="00807BA9" w:rsidRPr="00807BA9" w:rsidRDefault="00807BA9" w:rsidP="00807BA9">
      <w:pPr>
        <w:rPr>
          <w:sz w:val="20"/>
          <w:szCs w:val="20"/>
        </w:rPr>
      </w:pPr>
      <w:r w:rsidRPr="00807BA9">
        <w:rPr>
          <w:sz w:val="20"/>
          <w:szCs w:val="20"/>
        </w:rPr>
        <w:t>b) in una richiesta di integrazioni e modifiche del documento stesso, che costituiscono un atto di indirizzo politico del Consiglio nei confronti della Giunta, ai fini della predisposizione della successiva nota di aggiornamento.</w:t>
      </w:r>
    </w:p>
    <w:p w14:paraId="1DBB5562" w14:textId="77777777" w:rsidR="00807BA9" w:rsidRPr="00807BA9" w:rsidRDefault="00807BA9" w:rsidP="00807BA9">
      <w:pPr>
        <w:rPr>
          <w:sz w:val="20"/>
          <w:szCs w:val="20"/>
        </w:rPr>
      </w:pPr>
      <w:r w:rsidRPr="00807BA9">
        <w:rPr>
          <w:sz w:val="20"/>
          <w:szCs w:val="20"/>
        </w:rPr>
        <w:t>La deliberazione del DUP presentato a luglio costituisce una fase necessaria del ciclo della programmazione dell'ente;</w:t>
      </w:r>
    </w:p>
    <w:p w14:paraId="36C751CA" w14:textId="77777777" w:rsidR="00807BA9" w:rsidRPr="00807BA9" w:rsidRDefault="00807BA9" w:rsidP="00807BA9">
      <w:pPr>
        <w:rPr>
          <w:sz w:val="20"/>
          <w:szCs w:val="20"/>
        </w:rPr>
      </w:pPr>
      <w:r w:rsidRPr="00807BA9">
        <w:rPr>
          <w:sz w:val="20"/>
          <w:szCs w:val="20"/>
        </w:rPr>
        <w:t>Il termine del 15 novembre per l'aggiornamento del DUP comporta la necessità, per il Consiglio di deliberare il DUP in tempi utili per la presentazione dell'eventuale nota di aggiornamento. La deliberazione consiliare concernente il DUP non è un adempimento facoltativo, anche se non è prevista alcuna sanzione;</w:t>
      </w:r>
    </w:p>
    <w:p w14:paraId="17998D46" w14:textId="77777777" w:rsidR="00807BA9" w:rsidRPr="00807BA9" w:rsidRDefault="00807BA9" w:rsidP="00807BA9">
      <w:pPr>
        <w:rPr>
          <w:sz w:val="20"/>
          <w:szCs w:val="20"/>
        </w:rPr>
      </w:pPr>
      <w:r w:rsidRPr="00807BA9">
        <w:rPr>
          <w:sz w:val="20"/>
          <w:szCs w:val="20"/>
        </w:rPr>
        <w:t>PEG</w:t>
      </w:r>
    </w:p>
    <w:p w14:paraId="78CD7691" w14:textId="77777777" w:rsidR="00807BA9" w:rsidRPr="00807BA9" w:rsidRDefault="00807BA9" w:rsidP="00807BA9">
      <w:pPr>
        <w:rPr>
          <w:sz w:val="20"/>
          <w:szCs w:val="20"/>
        </w:rPr>
      </w:pPr>
      <w:r w:rsidRPr="00807BA9">
        <w:rPr>
          <w:sz w:val="20"/>
          <w:szCs w:val="20"/>
        </w:rPr>
        <w:t>“La giunta delibera il piano esecutivo di gestione (PEG) entro venti giorni dall'approvazione del bilancio di previsione, in termini di competenza. Con riferimento al primo esercizio il PEG è redatto anche in termini di cassa. Il PEG è riferito ai medesimi esercizi considerati nel bilancio, individua gli obiettivi della gestione e affida gli stessi, unitamente alle dotazioni necessarie, ai responsabili dei servizi”;</w:t>
      </w:r>
    </w:p>
    <w:p w14:paraId="7D4A8518" w14:textId="77777777" w:rsidR="00807BA9" w:rsidRPr="00807BA9" w:rsidRDefault="00807BA9" w:rsidP="00807BA9">
      <w:pPr>
        <w:rPr>
          <w:sz w:val="20"/>
          <w:szCs w:val="20"/>
        </w:rPr>
      </w:pPr>
      <w:r w:rsidRPr="00807BA9">
        <w:rPr>
          <w:sz w:val="20"/>
          <w:szCs w:val="20"/>
        </w:rPr>
        <w:t xml:space="preserve">Nel PEG le entrate sono articolate in titoli, tipologie, categorie, capitoli, ed eventualmente in articoli, secondo il rispettivo oggetto. Le spese sono articolate in missioni, programmi, titoli, macroaggregati, capitoli ed eventualmente in articoli. I capitoli costituiscono le unità elementari ai fini della gestione e della rendicontazione, e sono raccordati al quarto livello del piano dei conti finanziario di cui all'art. 157. IL </w:t>
      </w:r>
      <w:proofErr w:type="gramStart"/>
      <w:r w:rsidRPr="00807BA9">
        <w:rPr>
          <w:sz w:val="20"/>
          <w:szCs w:val="20"/>
        </w:rPr>
        <w:t>PEG  è</w:t>
      </w:r>
      <w:proofErr w:type="gramEnd"/>
      <w:r w:rsidRPr="00807BA9">
        <w:rPr>
          <w:sz w:val="20"/>
          <w:szCs w:val="20"/>
        </w:rPr>
        <w:t xml:space="preserve"> facoltativo per gli enti locali con popolazione inferiore a 5.000 abitanti, fermo restando l'obbligo di rilevare unitariamente i fatti gestionali secondo la struttura del piano dei conti </w:t>
      </w:r>
    </w:p>
    <w:p w14:paraId="2EE0E3A1" w14:textId="77777777" w:rsidR="00807BA9" w:rsidRPr="00807BA9" w:rsidRDefault="00807BA9" w:rsidP="00807BA9">
      <w:pPr>
        <w:rPr>
          <w:sz w:val="20"/>
          <w:szCs w:val="20"/>
        </w:rPr>
      </w:pPr>
      <w:r w:rsidRPr="00807BA9">
        <w:rPr>
          <w:sz w:val="20"/>
          <w:szCs w:val="20"/>
        </w:rPr>
        <w:t>Il PEG è deliberato in coerenza con il bilancio di previsione e con il documento unico di programmazione. Al PEG è allegato il prospetto concernente la ripartizione delle tipologie in categorie e dei programmi in macroaggregati, secondo lo schema di cui all'allegato n. 8 al decreto legislativo 23 giugno 2011, n. 118, e successive modificazioni.</w:t>
      </w:r>
    </w:p>
    <w:p w14:paraId="04895F59" w14:textId="77777777" w:rsidR="00807BA9" w:rsidRPr="00807BA9" w:rsidRDefault="00807BA9" w:rsidP="00807BA9">
      <w:pPr>
        <w:rPr>
          <w:sz w:val="20"/>
          <w:szCs w:val="20"/>
        </w:rPr>
      </w:pPr>
      <w:r w:rsidRPr="00807BA9">
        <w:rPr>
          <w:sz w:val="20"/>
          <w:szCs w:val="20"/>
        </w:rPr>
        <w:t xml:space="preserve">Il piano dettagliato degli obiettivi di cui all'art. 108, comma 1, del presente testo unico e il piano della performance di cui all'art. 10 del decreto legislativo 27 ottobre 2009, n. 150, sono unificati organicamente nel </w:t>
      </w:r>
      <w:proofErr w:type="spellStart"/>
      <w:r w:rsidRPr="00807BA9">
        <w:rPr>
          <w:sz w:val="20"/>
          <w:szCs w:val="20"/>
        </w:rPr>
        <w:t>PEG</w:t>
      </w:r>
      <w:proofErr w:type="gramStart"/>
      <w:r w:rsidRPr="00807BA9">
        <w:rPr>
          <w:sz w:val="20"/>
          <w:szCs w:val="20"/>
        </w:rPr>
        <w:t>”;La</w:t>
      </w:r>
      <w:proofErr w:type="spellEnd"/>
      <w:proofErr w:type="gramEnd"/>
      <w:r w:rsidRPr="00807BA9">
        <w:rPr>
          <w:sz w:val="20"/>
          <w:szCs w:val="20"/>
        </w:rPr>
        <w:t xml:space="preserve"> traduzione gestionale e operativa degli obiettivi del PEG viene operata, ai sensi degli articoli 108 e 197 del TUEL, tramite il Piano dettagliato degli obiettivi e delle performance (POP).</w:t>
      </w:r>
    </w:p>
    <w:p w14:paraId="251B943A" w14:textId="77777777" w:rsidR="00807BA9" w:rsidRPr="00807BA9" w:rsidRDefault="00807BA9" w:rsidP="00807BA9">
      <w:pPr>
        <w:rPr>
          <w:sz w:val="20"/>
          <w:szCs w:val="20"/>
        </w:rPr>
      </w:pPr>
    </w:p>
    <w:p w14:paraId="2E124612" w14:textId="77777777" w:rsidR="00807BA9" w:rsidRPr="00807BA9" w:rsidRDefault="00807BA9" w:rsidP="00807BA9">
      <w:pPr>
        <w:rPr>
          <w:sz w:val="20"/>
          <w:szCs w:val="20"/>
        </w:rPr>
      </w:pPr>
      <w:r w:rsidRPr="00807BA9">
        <w:rPr>
          <w:sz w:val="20"/>
          <w:szCs w:val="20"/>
        </w:rPr>
        <w:t xml:space="preserve"> </w:t>
      </w:r>
    </w:p>
    <w:p w14:paraId="0E16E195" w14:textId="77777777" w:rsidR="00807BA9" w:rsidRPr="00807BA9" w:rsidRDefault="00807BA9" w:rsidP="00807BA9">
      <w:pPr>
        <w:rPr>
          <w:sz w:val="20"/>
          <w:szCs w:val="20"/>
        </w:rPr>
      </w:pPr>
    </w:p>
    <w:p w14:paraId="1ED8B7B8" w14:textId="77777777" w:rsidR="00807BA9" w:rsidRPr="00807BA9" w:rsidRDefault="00807BA9" w:rsidP="00807BA9">
      <w:pPr>
        <w:rPr>
          <w:sz w:val="20"/>
          <w:szCs w:val="20"/>
        </w:rPr>
      </w:pPr>
      <w:r w:rsidRPr="00807BA9">
        <w:rPr>
          <w:sz w:val="20"/>
          <w:szCs w:val="20"/>
        </w:rPr>
        <w:t>BILANCIO DI PREVISIONE</w:t>
      </w:r>
    </w:p>
    <w:p w14:paraId="7B0CD639" w14:textId="77777777" w:rsidR="00807BA9" w:rsidRPr="00807BA9" w:rsidRDefault="00807BA9" w:rsidP="00807BA9">
      <w:pPr>
        <w:rPr>
          <w:sz w:val="20"/>
          <w:szCs w:val="20"/>
        </w:rPr>
      </w:pPr>
      <w:r w:rsidRPr="00807BA9">
        <w:rPr>
          <w:sz w:val="20"/>
          <w:szCs w:val="20"/>
        </w:rPr>
        <w:t xml:space="preserve">Il bilancio di previsione è approvato dall’assemblea dell’Ente Locale con cadenza annuale. Secondo quanto </w:t>
      </w:r>
      <w:proofErr w:type="gramStart"/>
      <w:r w:rsidRPr="00807BA9">
        <w:rPr>
          <w:sz w:val="20"/>
          <w:szCs w:val="20"/>
        </w:rPr>
        <w:t>previsto  dell’art.</w:t>
      </w:r>
      <w:proofErr w:type="gramEnd"/>
      <w:r w:rsidRPr="00807BA9">
        <w:rPr>
          <w:sz w:val="20"/>
          <w:szCs w:val="20"/>
        </w:rPr>
        <w:t xml:space="preserve"> 164 TUEL, esso ha natura autorizzatoria e una proiezione temporale almeno triennale. Ciò vuol dire, </w:t>
      </w:r>
      <w:proofErr w:type="gramStart"/>
      <w:r w:rsidRPr="00807BA9">
        <w:rPr>
          <w:sz w:val="20"/>
          <w:szCs w:val="20"/>
        </w:rPr>
        <w:t>per  esempio</w:t>
      </w:r>
      <w:proofErr w:type="gramEnd"/>
      <w:r w:rsidRPr="00807BA9">
        <w:rPr>
          <w:sz w:val="20"/>
          <w:szCs w:val="20"/>
        </w:rPr>
        <w:t xml:space="preserve">, che a dicembre 2030 un Ente Locale dovrà approvare un bilancio di previsione per il periodo 2031-2033. </w:t>
      </w:r>
      <w:proofErr w:type="gramStart"/>
      <w:r w:rsidRPr="00807BA9">
        <w:rPr>
          <w:sz w:val="20"/>
          <w:szCs w:val="20"/>
        </w:rPr>
        <w:t>Le  previsioni</w:t>
      </w:r>
      <w:proofErr w:type="gramEnd"/>
      <w:r w:rsidRPr="00807BA9">
        <w:rPr>
          <w:sz w:val="20"/>
          <w:szCs w:val="20"/>
        </w:rPr>
        <w:t xml:space="preserve"> ivi contenute circa le entrate e le spese costituiranno il fondamento giuridico (e il limite) per autorizzare l’Ente Locale a riscuotere e pagare le proprie risorse. </w:t>
      </w:r>
    </w:p>
    <w:p w14:paraId="36833461" w14:textId="77777777" w:rsidR="00807BA9" w:rsidRPr="00807BA9" w:rsidRDefault="00807BA9" w:rsidP="00807BA9">
      <w:pPr>
        <w:rPr>
          <w:sz w:val="20"/>
          <w:szCs w:val="20"/>
        </w:rPr>
      </w:pPr>
      <w:r w:rsidRPr="00807BA9">
        <w:rPr>
          <w:sz w:val="20"/>
          <w:szCs w:val="20"/>
        </w:rPr>
        <w:t xml:space="preserve">Qualora si rendesse necessario modificare nel corso dell’anno uno o più limiti di entrata o spesa come definiti </w:t>
      </w:r>
      <w:proofErr w:type="gramStart"/>
      <w:r w:rsidRPr="00807BA9">
        <w:rPr>
          <w:sz w:val="20"/>
          <w:szCs w:val="20"/>
        </w:rPr>
        <w:t>dal  bilancio</w:t>
      </w:r>
      <w:proofErr w:type="gramEnd"/>
      <w:r w:rsidRPr="00807BA9">
        <w:rPr>
          <w:sz w:val="20"/>
          <w:szCs w:val="20"/>
        </w:rPr>
        <w:t xml:space="preserve"> preventivo, l’assemblea legislativa dell’Ente sarà tenuta ad approvare una variazione di bilancio.</w:t>
      </w:r>
    </w:p>
    <w:p w14:paraId="1B3FD498" w14:textId="627D47D3" w:rsidR="001C4488" w:rsidRPr="001C4488" w:rsidRDefault="00807BA9" w:rsidP="00807BA9">
      <w:pPr>
        <w:rPr>
          <w:sz w:val="20"/>
          <w:szCs w:val="20"/>
        </w:rPr>
      </w:pPr>
      <w:r w:rsidRPr="00807BA9">
        <w:rPr>
          <w:sz w:val="20"/>
          <w:szCs w:val="20"/>
        </w:rPr>
        <w:t xml:space="preserve">Entro sei mesi dal termine dell’esercizio (ENTRO IL 30 APRILE PER GLI ENTI LOCALI), l’assemblea legislativa è tenuta ad approvare il bilancio consuntivo </w:t>
      </w:r>
      <w:proofErr w:type="gramStart"/>
      <w:r w:rsidRPr="00807BA9">
        <w:rPr>
          <w:sz w:val="20"/>
          <w:szCs w:val="20"/>
        </w:rPr>
        <w:t>( RENDICONTO</w:t>
      </w:r>
      <w:proofErr w:type="gramEnd"/>
      <w:r w:rsidRPr="00807BA9">
        <w:rPr>
          <w:sz w:val="20"/>
          <w:szCs w:val="20"/>
        </w:rPr>
        <w:t xml:space="preserve"> DI GESTIONE), ovvero il  riepilogo delle entrate e delle spese dell’anno precedente. In sede di bilancio consuntivo, si registrano gli scostamenti tra gli accertamenti e gli impegni autorizzati nel bilancio </w:t>
      </w:r>
      <w:proofErr w:type="gramStart"/>
      <w:r w:rsidRPr="00807BA9">
        <w:rPr>
          <w:sz w:val="20"/>
          <w:szCs w:val="20"/>
        </w:rPr>
        <w:t>di  previsione</w:t>
      </w:r>
      <w:proofErr w:type="gramEnd"/>
      <w:r w:rsidRPr="00807BA9">
        <w:rPr>
          <w:sz w:val="20"/>
          <w:szCs w:val="20"/>
        </w:rPr>
        <w:t xml:space="preserve">. In altre parole, verranno registrate quelle poste relative a entrate accertate o spese impegnate nel </w:t>
      </w:r>
      <w:proofErr w:type="gramStart"/>
      <w:r w:rsidRPr="00807BA9">
        <w:rPr>
          <w:sz w:val="20"/>
          <w:szCs w:val="20"/>
        </w:rPr>
        <w:t>periodo  di</w:t>
      </w:r>
      <w:proofErr w:type="gramEnd"/>
      <w:r w:rsidRPr="00807BA9">
        <w:rPr>
          <w:sz w:val="20"/>
          <w:szCs w:val="20"/>
        </w:rPr>
        <w:t xml:space="preserve"> competenza per le quali non ha avuto luogo un puntuale versamento o pagamento. Questi scostamenti </w:t>
      </w:r>
      <w:proofErr w:type="gramStart"/>
      <w:r w:rsidRPr="00807BA9">
        <w:rPr>
          <w:sz w:val="20"/>
          <w:szCs w:val="20"/>
        </w:rPr>
        <w:t>vengono  iscritti</w:t>
      </w:r>
      <w:proofErr w:type="gramEnd"/>
      <w:r w:rsidRPr="00807BA9">
        <w:rPr>
          <w:sz w:val="20"/>
          <w:szCs w:val="20"/>
        </w:rPr>
        <w:t xml:space="preserve"> nel bilancio consuntivo sotto la voce di residui attivi e passivi</w:t>
      </w:r>
    </w:p>
    <w:p w14:paraId="3B956A42" w14:textId="3A713B42" w:rsidR="001E6411" w:rsidRDefault="001E6411" w:rsidP="001E6411">
      <w:pPr>
        <w:jc w:val="center"/>
        <w:rPr>
          <w:b/>
          <w:i/>
          <w:sz w:val="20"/>
          <w:szCs w:val="20"/>
        </w:rPr>
      </w:pPr>
    </w:p>
    <w:p w14:paraId="6E1A3998" w14:textId="02F668F0" w:rsidR="001E6411" w:rsidRDefault="001E6411" w:rsidP="001E6411">
      <w:pPr>
        <w:rPr>
          <w:sz w:val="20"/>
          <w:szCs w:val="20"/>
        </w:rPr>
      </w:pPr>
      <w:r>
        <w:rPr>
          <w:sz w:val="20"/>
          <w:szCs w:val="20"/>
        </w:rPr>
        <w:t>È un documento contabile suddiviso in parte entrata e in parte spesa. La parte entrata è ordinata in titoli e tipologie, la parte spesa in missioni e programmi</w:t>
      </w:r>
      <w:r w:rsidR="0021688A">
        <w:rPr>
          <w:sz w:val="20"/>
          <w:szCs w:val="20"/>
        </w:rPr>
        <w:t xml:space="preserve">. </w:t>
      </w:r>
    </w:p>
    <w:p w14:paraId="7F207154" w14:textId="77777777" w:rsidR="009E6F4E" w:rsidRDefault="009E6F4E" w:rsidP="001E6411">
      <w:pPr>
        <w:rPr>
          <w:sz w:val="20"/>
          <w:szCs w:val="20"/>
        </w:rPr>
      </w:pPr>
      <w:r>
        <w:rPr>
          <w:sz w:val="20"/>
          <w:szCs w:val="20"/>
        </w:rPr>
        <w:t>Le entrate</w:t>
      </w:r>
      <w:r w:rsidR="0084078B">
        <w:rPr>
          <w:sz w:val="20"/>
          <w:szCs w:val="20"/>
        </w:rPr>
        <w:t xml:space="preserve"> (allegato 13)</w:t>
      </w:r>
      <w:r>
        <w:rPr>
          <w:sz w:val="20"/>
          <w:szCs w:val="20"/>
        </w:rPr>
        <w:t xml:space="preserve"> sono ripartite in </w:t>
      </w:r>
    </w:p>
    <w:p w14:paraId="1AA8A020" w14:textId="77777777" w:rsidR="009E6F4E" w:rsidRDefault="009E6F4E" w:rsidP="003F1CAA">
      <w:pPr>
        <w:pStyle w:val="Paragrafoelenco"/>
        <w:numPr>
          <w:ilvl w:val="0"/>
          <w:numId w:val="39"/>
        </w:numPr>
        <w:rPr>
          <w:sz w:val="20"/>
          <w:szCs w:val="20"/>
        </w:rPr>
      </w:pPr>
      <w:r>
        <w:rPr>
          <w:sz w:val="20"/>
          <w:szCs w:val="20"/>
        </w:rPr>
        <w:t>Titoli: sono definiti secondo la fonte di provenienza dell’entrata.</w:t>
      </w:r>
    </w:p>
    <w:p w14:paraId="5213A1CC" w14:textId="77777777" w:rsidR="009E6F4E" w:rsidRDefault="009E6F4E" w:rsidP="003F1CAA">
      <w:pPr>
        <w:pStyle w:val="Paragrafoelenco"/>
        <w:numPr>
          <w:ilvl w:val="0"/>
          <w:numId w:val="39"/>
        </w:numPr>
        <w:rPr>
          <w:sz w:val="20"/>
          <w:szCs w:val="20"/>
        </w:rPr>
      </w:pPr>
      <w:r w:rsidRPr="009E6F4E">
        <w:rPr>
          <w:sz w:val="20"/>
          <w:szCs w:val="20"/>
        </w:rPr>
        <w:t>Tipologie</w:t>
      </w:r>
      <w:r>
        <w:rPr>
          <w:sz w:val="20"/>
          <w:szCs w:val="20"/>
        </w:rPr>
        <w:t>: sono definite in base alla natura delle entrate nell’ambito di ciascuna fonte di provenienza ai fini dell’approvazione in termini di unità di voto. (unità di voto per la parte spesa sono i programmi)</w:t>
      </w:r>
    </w:p>
    <w:p w14:paraId="5632F576" w14:textId="77777777" w:rsidR="009E6F4E" w:rsidRDefault="009E6F4E" w:rsidP="009E6F4E">
      <w:pPr>
        <w:rPr>
          <w:sz w:val="20"/>
          <w:szCs w:val="20"/>
        </w:rPr>
      </w:pPr>
      <w:r>
        <w:rPr>
          <w:sz w:val="20"/>
          <w:szCs w:val="20"/>
        </w:rPr>
        <w:t>Per quanto riguarda le spese</w:t>
      </w:r>
      <w:r w:rsidR="0084078B">
        <w:rPr>
          <w:sz w:val="20"/>
          <w:szCs w:val="20"/>
        </w:rPr>
        <w:t xml:space="preserve"> (allegato 14)</w:t>
      </w:r>
      <w:r>
        <w:rPr>
          <w:sz w:val="20"/>
          <w:szCs w:val="20"/>
        </w:rPr>
        <w:t xml:space="preserve"> troviamo la suddivisione in </w:t>
      </w:r>
    </w:p>
    <w:p w14:paraId="7BFF8E59" w14:textId="77777777" w:rsidR="009E6F4E" w:rsidRDefault="009E6F4E" w:rsidP="003F1CAA">
      <w:pPr>
        <w:pStyle w:val="Paragrafoelenco"/>
        <w:numPr>
          <w:ilvl w:val="0"/>
          <w:numId w:val="40"/>
        </w:numPr>
        <w:rPr>
          <w:sz w:val="20"/>
          <w:szCs w:val="20"/>
        </w:rPr>
      </w:pPr>
      <w:r>
        <w:rPr>
          <w:sz w:val="20"/>
          <w:szCs w:val="20"/>
        </w:rPr>
        <w:t>Missioni: rappresentano le funzioni principali e gli obiettivi strategici perseguiti dall’ente utilizzando risorse finanziarie, umane e strumentali.</w:t>
      </w:r>
    </w:p>
    <w:p w14:paraId="1604EE69" w14:textId="77777777" w:rsidR="009E6F4E" w:rsidRDefault="009E6F4E" w:rsidP="003F1CAA">
      <w:pPr>
        <w:pStyle w:val="Paragrafoelenco"/>
        <w:numPr>
          <w:ilvl w:val="0"/>
          <w:numId w:val="40"/>
        </w:numPr>
        <w:rPr>
          <w:sz w:val="20"/>
          <w:szCs w:val="20"/>
        </w:rPr>
      </w:pPr>
      <w:r>
        <w:rPr>
          <w:sz w:val="20"/>
          <w:szCs w:val="20"/>
        </w:rPr>
        <w:t>I programmi: rappresentano gli aggregati omogenei di attività volti a perseguire gli obiettivi definiti dalle missioni. Essi si articolano in titoli e ai fini della gestione sono ripartiti in macroaggregati, in capitoli ed eventualmente in articoli.</w:t>
      </w:r>
    </w:p>
    <w:p w14:paraId="563AF235" w14:textId="77777777" w:rsidR="009E6F4E" w:rsidRDefault="009E6F4E">
      <w:pPr>
        <w:rPr>
          <w:sz w:val="20"/>
          <w:szCs w:val="20"/>
        </w:rPr>
      </w:pPr>
      <w:r>
        <w:rPr>
          <w:sz w:val="20"/>
          <w:szCs w:val="20"/>
        </w:rPr>
        <w:br w:type="page"/>
      </w:r>
    </w:p>
    <w:tbl>
      <w:tblPr>
        <w:tblW w:w="9920" w:type="dxa"/>
        <w:tblInd w:w="55" w:type="dxa"/>
        <w:tblCellMar>
          <w:left w:w="70" w:type="dxa"/>
          <w:right w:w="70" w:type="dxa"/>
        </w:tblCellMar>
        <w:tblLook w:val="04A0" w:firstRow="1" w:lastRow="0" w:firstColumn="1" w:lastColumn="0" w:noHBand="0" w:noVBand="1"/>
      </w:tblPr>
      <w:tblGrid>
        <w:gridCol w:w="4960"/>
        <w:gridCol w:w="4960"/>
      </w:tblGrid>
      <w:tr w:rsidR="009E6F4E" w:rsidRPr="009E6F4E" w14:paraId="68D991C5" w14:textId="77777777" w:rsidTr="00807BA9">
        <w:trPr>
          <w:trHeight w:val="300"/>
        </w:trPr>
        <w:tc>
          <w:tcPr>
            <w:tcW w:w="4960" w:type="dxa"/>
            <w:tcBorders>
              <w:top w:val="single" w:sz="4" w:space="0" w:color="auto"/>
              <w:left w:val="single" w:sz="4" w:space="0" w:color="auto"/>
              <w:bottom w:val="nil"/>
              <w:right w:val="nil"/>
            </w:tcBorders>
            <w:shd w:val="clear" w:color="auto" w:fill="auto"/>
            <w:noWrap/>
            <w:vAlign w:val="center"/>
            <w:hideMark/>
          </w:tcPr>
          <w:p w14:paraId="2E6AC0B5" w14:textId="77777777" w:rsidR="009E6F4E" w:rsidRPr="009E6F4E" w:rsidRDefault="009E6F4E" w:rsidP="009E6F4E">
            <w:pPr>
              <w:jc w:val="cente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ENTRATA</w:t>
            </w:r>
          </w:p>
        </w:tc>
        <w:tc>
          <w:tcPr>
            <w:tcW w:w="4960" w:type="dxa"/>
            <w:tcBorders>
              <w:top w:val="single" w:sz="4" w:space="0" w:color="auto"/>
              <w:left w:val="nil"/>
              <w:bottom w:val="nil"/>
              <w:right w:val="single" w:sz="4" w:space="0" w:color="auto"/>
            </w:tcBorders>
            <w:shd w:val="clear" w:color="auto" w:fill="auto"/>
            <w:noWrap/>
            <w:vAlign w:val="center"/>
            <w:hideMark/>
          </w:tcPr>
          <w:p w14:paraId="506FB758" w14:textId="77777777" w:rsidR="009E6F4E" w:rsidRPr="009E6F4E" w:rsidRDefault="009E6F4E" w:rsidP="009E6F4E">
            <w:pPr>
              <w:jc w:val="cente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SPESA</w:t>
            </w:r>
          </w:p>
        </w:tc>
      </w:tr>
      <w:tr w:rsidR="009E6F4E" w:rsidRPr="009E6F4E" w14:paraId="375DBEDF" w14:textId="77777777" w:rsidTr="00807BA9">
        <w:trPr>
          <w:trHeight w:val="300"/>
        </w:trPr>
        <w:tc>
          <w:tcPr>
            <w:tcW w:w="4960" w:type="dxa"/>
            <w:tcBorders>
              <w:top w:val="nil"/>
              <w:left w:val="single" w:sz="4" w:space="0" w:color="auto"/>
              <w:bottom w:val="nil"/>
              <w:right w:val="nil"/>
            </w:tcBorders>
            <w:shd w:val="clear" w:color="auto" w:fill="auto"/>
            <w:noWrap/>
            <w:vAlign w:val="bottom"/>
            <w:hideMark/>
          </w:tcPr>
          <w:p w14:paraId="7DBA147F" w14:textId="77777777" w:rsidR="009E6F4E" w:rsidRPr="009E6F4E" w:rsidRDefault="009E6F4E" w:rsidP="009E6F4E">
            <w:pPr>
              <w:rPr>
                <w:rFonts w:ascii="Calibri" w:eastAsia="Times New Roman" w:hAnsi="Calibri" w:cs="Times New Roman"/>
                <w:b/>
                <w:color w:val="000000"/>
                <w:sz w:val="20"/>
                <w:szCs w:val="20"/>
              </w:rPr>
            </w:pPr>
            <w:r w:rsidRPr="009E6F4E">
              <w:rPr>
                <w:rFonts w:ascii="Calibri" w:eastAsia="Times New Roman" w:hAnsi="Calibri" w:cs="Times New Roman"/>
                <w:b/>
                <w:color w:val="000000"/>
                <w:sz w:val="20"/>
                <w:szCs w:val="20"/>
              </w:rPr>
              <w:t>TITOLI</w:t>
            </w:r>
          </w:p>
        </w:tc>
        <w:tc>
          <w:tcPr>
            <w:tcW w:w="4960" w:type="dxa"/>
            <w:tcBorders>
              <w:top w:val="nil"/>
              <w:left w:val="nil"/>
              <w:bottom w:val="nil"/>
              <w:right w:val="single" w:sz="4" w:space="0" w:color="auto"/>
            </w:tcBorders>
            <w:shd w:val="clear" w:color="auto" w:fill="auto"/>
            <w:noWrap/>
            <w:vAlign w:val="bottom"/>
            <w:hideMark/>
          </w:tcPr>
          <w:p w14:paraId="66B1357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MISSIONI </w:t>
            </w:r>
          </w:p>
        </w:tc>
      </w:tr>
      <w:tr w:rsidR="009E6F4E" w:rsidRPr="009E6F4E" w14:paraId="4C22AB96" w14:textId="77777777" w:rsidTr="00807BA9">
        <w:trPr>
          <w:trHeight w:val="300"/>
        </w:trPr>
        <w:tc>
          <w:tcPr>
            <w:tcW w:w="4960" w:type="dxa"/>
            <w:tcBorders>
              <w:top w:val="nil"/>
              <w:left w:val="single" w:sz="4" w:space="0" w:color="auto"/>
              <w:bottom w:val="nil"/>
              <w:right w:val="nil"/>
            </w:tcBorders>
            <w:shd w:val="clear" w:color="auto" w:fill="auto"/>
            <w:noWrap/>
            <w:vAlign w:val="bottom"/>
            <w:hideMark/>
          </w:tcPr>
          <w:p w14:paraId="22704F46"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TIPOLOGIE</w:t>
            </w:r>
          </w:p>
        </w:tc>
        <w:tc>
          <w:tcPr>
            <w:tcW w:w="4960" w:type="dxa"/>
            <w:tcBorders>
              <w:top w:val="nil"/>
              <w:left w:val="nil"/>
              <w:bottom w:val="nil"/>
              <w:right w:val="single" w:sz="4" w:space="0" w:color="auto"/>
            </w:tcBorders>
            <w:shd w:val="clear" w:color="auto" w:fill="auto"/>
            <w:noWrap/>
            <w:vAlign w:val="bottom"/>
            <w:hideMark/>
          </w:tcPr>
          <w:p w14:paraId="499DF73D"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PROGRAMMI</w:t>
            </w:r>
          </w:p>
        </w:tc>
      </w:tr>
      <w:tr w:rsidR="009E6F4E" w:rsidRPr="009E6F4E" w14:paraId="2006C44F" w14:textId="77777777" w:rsidTr="00807BA9">
        <w:trPr>
          <w:trHeight w:val="300"/>
        </w:trPr>
        <w:tc>
          <w:tcPr>
            <w:tcW w:w="49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1D7DD2"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 xml:space="preserve">TITOLO I </w:t>
            </w:r>
          </w:p>
        </w:tc>
        <w:tc>
          <w:tcPr>
            <w:tcW w:w="4960" w:type="dxa"/>
            <w:tcBorders>
              <w:top w:val="single" w:sz="4" w:space="0" w:color="auto"/>
              <w:left w:val="nil"/>
              <w:bottom w:val="single" w:sz="4" w:space="0" w:color="auto"/>
              <w:right w:val="single" w:sz="4" w:space="0" w:color="auto"/>
            </w:tcBorders>
            <w:shd w:val="clear" w:color="auto" w:fill="auto"/>
            <w:noWrap/>
            <w:vAlign w:val="bottom"/>
            <w:hideMark/>
          </w:tcPr>
          <w:p w14:paraId="2B70C372"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w:t>
            </w:r>
          </w:p>
        </w:tc>
      </w:tr>
      <w:tr w:rsidR="009E6F4E" w:rsidRPr="009E6F4E" w14:paraId="5F04BD99"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3EA5C0A6"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 xml:space="preserve">entrate </w:t>
            </w:r>
            <w:proofErr w:type="gramStart"/>
            <w:r w:rsidRPr="008812D2">
              <w:rPr>
                <w:rFonts w:ascii="Calibri" w:eastAsia="Times New Roman" w:hAnsi="Calibri" w:cs="Times New Roman"/>
                <w:b/>
                <w:bCs/>
                <w:color w:val="000000"/>
                <w:sz w:val="20"/>
                <w:szCs w:val="20"/>
                <w:highlight w:val="green"/>
                <w:u w:val="single"/>
              </w:rPr>
              <w:t>tributarie ,</w:t>
            </w:r>
            <w:proofErr w:type="gramEnd"/>
            <w:r w:rsidRPr="008812D2">
              <w:rPr>
                <w:rFonts w:ascii="Calibri" w:eastAsia="Times New Roman" w:hAnsi="Calibri" w:cs="Times New Roman"/>
                <w:b/>
                <w:bCs/>
                <w:color w:val="000000"/>
                <w:sz w:val="20"/>
                <w:szCs w:val="20"/>
                <w:highlight w:val="green"/>
                <w:u w:val="single"/>
              </w:rPr>
              <w:t xml:space="preserve"> contributive e perequative</w:t>
            </w:r>
          </w:p>
        </w:tc>
        <w:tc>
          <w:tcPr>
            <w:tcW w:w="4960" w:type="dxa"/>
            <w:tcBorders>
              <w:top w:val="nil"/>
              <w:left w:val="nil"/>
              <w:bottom w:val="single" w:sz="4" w:space="0" w:color="auto"/>
              <w:right w:val="single" w:sz="4" w:space="0" w:color="auto"/>
            </w:tcBorders>
            <w:shd w:val="clear" w:color="auto" w:fill="auto"/>
            <w:noWrap/>
            <w:hideMark/>
          </w:tcPr>
          <w:p w14:paraId="77DC71C0"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spese correnti</w:t>
            </w:r>
          </w:p>
        </w:tc>
      </w:tr>
      <w:tr w:rsidR="009E6F4E" w:rsidRPr="009E6F4E" w14:paraId="75C7845B" w14:textId="77777777" w:rsidTr="00807BA9">
        <w:trPr>
          <w:trHeight w:val="700"/>
        </w:trPr>
        <w:tc>
          <w:tcPr>
            <w:tcW w:w="4960" w:type="dxa"/>
            <w:tcBorders>
              <w:top w:val="nil"/>
              <w:left w:val="single" w:sz="4" w:space="0" w:color="auto"/>
              <w:bottom w:val="single" w:sz="4" w:space="0" w:color="auto"/>
              <w:right w:val="single" w:sz="4" w:space="0" w:color="auto"/>
            </w:tcBorders>
            <w:shd w:val="clear" w:color="auto" w:fill="auto"/>
            <w:hideMark/>
          </w:tcPr>
          <w:p w14:paraId="53EA7152" w14:textId="27C0635E"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tributi (imposte e tasse)</w:t>
            </w:r>
            <w:r w:rsidR="00807BA9">
              <w:rPr>
                <w:rFonts w:ascii="Calibri" w:eastAsia="Times New Roman" w:hAnsi="Calibri" w:cs="Times New Roman"/>
                <w:color w:val="000000"/>
                <w:sz w:val="20"/>
                <w:szCs w:val="20"/>
              </w:rPr>
              <w:t xml:space="preserve">, contributi e fondi perequativi dalla regione o dallo Stato  </w:t>
            </w:r>
          </w:p>
        </w:tc>
        <w:tc>
          <w:tcPr>
            <w:tcW w:w="4960" w:type="dxa"/>
            <w:tcBorders>
              <w:top w:val="nil"/>
              <w:left w:val="nil"/>
              <w:bottom w:val="single" w:sz="4" w:space="0" w:color="auto"/>
              <w:right w:val="single" w:sz="4" w:space="0" w:color="auto"/>
            </w:tcBorders>
            <w:shd w:val="clear" w:color="auto" w:fill="auto"/>
            <w:vAlign w:val="bottom"/>
            <w:hideMark/>
          </w:tcPr>
          <w:p w14:paraId="640A2F5A"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acquisto beni o servizi che non hanno efficacia durevole per più di un anno</w:t>
            </w:r>
          </w:p>
        </w:tc>
      </w:tr>
      <w:tr w:rsidR="009E6F4E" w:rsidRPr="009E6F4E" w14:paraId="72287BDE" w14:textId="77777777" w:rsidTr="00807BA9">
        <w:trPr>
          <w:trHeight w:val="1120"/>
        </w:trPr>
        <w:tc>
          <w:tcPr>
            <w:tcW w:w="4960" w:type="dxa"/>
            <w:tcBorders>
              <w:top w:val="nil"/>
              <w:left w:val="single" w:sz="4" w:space="0" w:color="auto"/>
              <w:bottom w:val="single" w:sz="4" w:space="0" w:color="auto"/>
              <w:right w:val="single" w:sz="4" w:space="0" w:color="auto"/>
            </w:tcBorders>
            <w:shd w:val="clear" w:color="auto" w:fill="auto"/>
            <w:vAlign w:val="bottom"/>
          </w:tcPr>
          <w:p w14:paraId="022D9026" w14:textId="24FB288C" w:rsidR="009E6F4E" w:rsidRPr="009E6F4E" w:rsidRDefault="009E6F4E" w:rsidP="009E6F4E">
            <w:pPr>
              <w:rPr>
                <w:rFonts w:ascii="Calibri" w:eastAsia="Times New Roman" w:hAnsi="Calibri" w:cs="Times New Roman"/>
                <w:color w:val="000000"/>
                <w:sz w:val="20"/>
                <w:szCs w:val="20"/>
              </w:rPr>
            </w:pPr>
          </w:p>
        </w:tc>
        <w:tc>
          <w:tcPr>
            <w:tcW w:w="4960" w:type="dxa"/>
            <w:tcBorders>
              <w:top w:val="nil"/>
              <w:left w:val="nil"/>
              <w:bottom w:val="single" w:sz="4" w:space="0" w:color="auto"/>
              <w:right w:val="single" w:sz="4" w:space="0" w:color="auto"/>
            </w:tcBorders>
            <w:shd w:val="clear" w:color="auto" w:fill="auto"/>
            <w:noWrap/>
            <w:hideMark/>
          </w:tcPr>
          <w:p w14:paraId="28FFA34D"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le spese per il personale sono spese obbligatorie</w:t>
            </w:r>
          </w:p>
        </w:tc>
      </w:tr>
      <w:tr w:rsidR="009E6F4E" w:rsidRPr="009E6F4E" w14:paraId="0FAE5A5B" w14:textId="77777777" w:rsidTr="00807BA9">
        <w:trPr>
          <w:trHeight w:val="560"/>
        </w:trPr>
        <w:tc>
          <w:tcPr>
            <w:tcW w:w="4960" w:type="dxa"/>
            <w:tcBorders>
              <w:top w:val="nil"/>
              <w:left w:val="single" w:sz="4" w:space="0" w:color="auto"/>
              <w:bottom w:val="single" w:sz="4" w:space="0" w:color="auto"/>
              <w:right w:val="single" w:sz="4" w:space="0" w:color="auto"/>
            </w:tcBorders>
            <w:shd w:val="clear" w:color="auto" w:fill="auto"/>
            <w:vAlign w:val="bottom"/>
          </w:tcPr>
          <w:p w14:paraId="1624DBA7" w14:textId="524F46F8" w:rsidR="009E6F4E" w:rsidRPr="009E6F4E" w:rsidRDefault="009E6F4E" w:rsidP="009E6F4E">
            <w:pPr>
              <w:rPr>
                <w:rFonts w:ascii="Calibri" w:eastAsia="Times New Roman" w:hAnsi="Calibri" w:cs="Times New Roman"/>
                <w:color w:val="000000"/>
                <w:sz w:val="20"/>
                <w:szCs w:val="20"/>
              </w:rPr>
            </w:pPr>
          </w:p>
        </w:tc>
        <w:tc>
          <w:tcPr>
            <w:tcW w:w="4960" w:type="dxa"/>
            <w:tcBorders>
              <w:top w:val="nil"/>
              <w:left w:val="nil"/>
              <w:bottom w:val="single" w:sz="4" w:space="0" w:color="auto"/>
              <w:right w:val="single" w:sz="4" w:space="0" w:color="auto"/>
            </w:tcBorders>
            <w:shd w:val="clear" w:color="auto" w:fill="auto"/>
            <w:noWrap/>
            <w:hideMark/>
          </w:tcPr>
          <w:p w14:paraId="1F0B4DA4"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interessi passivi</w:t>
            </w:r>
          </w:p>
        </w:tc>
      </w:tr>
      <w:tr w:rsidR="009E6F4E" w:rsidRPr="009E6F4E" w14:paraId="3FCB630C"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ECD1D5E"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w:t>
            </w:r>
          </w:p>
        </w:tc>
        <w:tc>
          <w:tcPr>
            <w:tcW w:w="4960" w:type="dxa"/>
            <w:tcBorders>
              <w:top w:val="nil"/>
              <w:left w:val="nil"/>
              <w:bottom w:val="single" w:sz="4" w:space="0" w:color="auto"/>
              <w:right w:val="single" w:sz="4" w:space="0" w:color="auto"/>
            </w:tcBorders>
            <w:shd w:val="clear" w:color="auto" w:fill="auto"/>
            <w:noWrap/>
            <w:vAlign w:val="bottom"/>
            <w:hideMark/>
          </w:tcPr>
          <w:p w14:paraId="0DEC5D7E"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w:t>
            </w:r>
          </w:p>
        </w:tc>
      </w:tr>
      <w:tr w:rsidR="009E6F4E" w:rsidRPr="009E6F4E" w14:paraId="789C1FE6"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78A386A4"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entrate correnti da famiglie, PPAA, imprese e istituzioni</w:t>
            </w:r>
          </w:p>
        </w:tc>
        <w:tc>
          <w:tcPr>
            <w:tcW w:w="4960" w:type="dxa"/>
            <w:tcBorders>
              <w:top w:val="nil"/>
              <w:left w:val="nil"/>
              <w:bottom w:val="single" w:sz="4" w:space="0" w:color="auto"/>
              <w:right w:val="single" w:sz="4" w:space="0" w:color="auto"/>
            </w:tcBorders>
            <w:shd w:val="clear" w:color="auto" w:fill="auto"/>
            <w:noWrap/>
            <w:hideMark/>
          </w:tcPr>
          <w:p w14:paraId="34714621"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cyan"/>
                <w:u w:val="single"/>
              </w:rPr>
              <w:t>spese in c/capitale</w:t>
            </w:r>
            <w:r w:rsidR="00E87EFC">
              <w:rPr>
                <w:rFonts w:ascii="Calibri" w:eastAsia="Times New Roman" w:hAnsi="Calibri" w:cs="Times New Roman"/>
                <w:b/>
                <w:bCs/>
                <w:color w:val="000000"/>
                <w:sz w:val="20"/>
                <w:szCs w:val="20"/>
                <w:u w:val="single"/>
              </w:rPr>
              <w:t xml:space="preserve"> e spese x investimento</w:t>
            </w:r>
          </w:p>
        </w:tc>
      </w:tr>
      <w:tr w:rsidR="009E6F4E" w:rsidRPr="009E6F4E" w14:paraId="62FF9695" w14:textId="77777777" w:rsidTr="00807BA9">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1880B870"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trasferimenti </w:t>
            </w:r>
            <w:proofErr w:type="gramStart"/>
            <w:r w:rsidRPr="009E6F4E">
              <w:rPr>
                <w:rFonts w:ascii="Calibri" w:eastAsia="Times New Roman" w:hAnsi="Calibri" w:cs="Times New Roman"/>
                <w:color w:val="000000"/>
                <w:sz w:val="20"/>
                <w:szCs w:val="20"/>
              </w:rPr>
              <w:t>correnti  da</w:t>
            </w:r>
            <w:proofErr w:type="gramEnd"/>
            <w:r w:rsidRPr="009E6F4E">
              <w:rPr>
                <w:rFonts w:ascii="Calibri" w:eastAsia="Times New Roman" w:hAnsi="Calibri" w:cs="Times New Roman"/>
                <w:color w:val="000000"/>
                <w:sz w:val="20"/>
                <w:szCs w:val="20"/>
              </w:rPr>
              <w:t xml:space="preserve"> famiglie imprese PPAA e unione europea </w:t>
            </w:r>
          </w:p>
        </w:tc>
        <w:tc>
          <w:tcPr>
            <w:tcW w:w="4960" w:type="dxa"/>
            <w:tcBorders>
              <w:top w:val="nil"/>
              <w:left w:val="nil"/>
              <w:bottom w:val="single" w:sz="4" w:space="0" w:color="auto"/>
              <w:right w:val="single" w:sz="4" w:space="0" w:color="auto"/>
            </w:tcBorders>
            <w:shd w:val="clear" w:color="auto" w:fill="auto"/>
            <w:noWrap/>
            <w:hideMark/>
          </w:tcPr>
          <w:p w14:paraId="1D305A29"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spese per beni durevoli</w:t>
            </w:r>
          </w:p>
        </w:tc>
      </w:tr>
      <w:tr w:rsidR="009E6F4E" w:rsidRPr="009E6F4E" w14:paraId="03293883"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0240BB1C"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III</w:t>
            </w:r>
          </w:p>
        </w:tc>
        <w:tc>
          <w:tcPr>
            <w:tcW w:w="4960" w:type="dxa"/>
            <w:tcBorders>
              <w:top w:val="nil"/>
              <w:left w:val="nil"/>
              <w:bottom w:val="single" w:sz="4" w:space="0" w:color="auto"/>
              <w:right w:val="single" w:sz="4" w:space="0" w:color="auto"/>
            </w:tcBorders>
            <w:shd w:val="clear" w:color="auto" w:fill="auto"/>
            <w:noWrap/>
            <w:vAlign w:val="bottom"/>
            <w:hideMark/>
          </w:tcPr>
          <w:p w14:paraId="0856C0A5"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III</w:t>
            </w:r>
          </w:p>
        </w:tc>
      </w:tr>
      <w:tr w:rsidR="009E6F4E" w:rsidRPr="009E6F4E" w14:paraId="1D6E5AE9"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5F69B765"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 xml:space="preserve">entrate </w:t>
            </w:r>
            <w:r w:rsidR="00E72EB8" w:rsidRPr="008812D2">
              <w:rPr>
                <w:rFonts w:ascii="Calibri" w:eastAsia="Times New Roman" w:hAnsi="Calibri" w:cs="Times New Roman"/>
                <w:b/>
                <w:bCs/>
                <w:color w:val="000000"/>
                <w:sz w:val="20"/>
                <w:szCs w:val="20"/>
                <w:highlight w:val="green"/>
                <w:u w:val="single"/>
              </w:rPr>
              <w:t>extra tributarie</w:t>
            </w:r>
          </w:p>
        </w:tc>
        <w:tc>
          <w:tcPr>
            <w:tcW w:w="4960" w:type="dxa"/>
            <w:tcBorders>
              <w:top w:val="nil"/>
              <w:left w:val="nil"/>
              <w:bottom w:val="single" w:sz="4" w:space="0" w:color="auto"/>
              <w:right w:val="single" w:sz="4" w:space="0" w:color="auto"/>
            </w:tcBorders>
            <w:shd w:val="clear" w:color="auto" w:fill="auto"/>
            <w:noWrap/>
            <w:vAlign w:val="bottom"/>
            <w:hideMark/>
          </w:tcPr>
          <w:p w14:paraId="75AD8904"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lightGray"/>
                <w:u w:val="single"/>
              </w:rPr>
              <w:t>spese per incremento attività finanziarie</w:t>
            </w:r>
          </w:p>
        </w:tc>
      </w:tr>
      <w:tr w:rsidR="009E6F4E" w:rsidRPr="009E6F4E" w14:paraId="511F14A2" w14:textId="77777777" w:rsidTr="00807BA9">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DA26B3F"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sanzioni rilevanti dall'infrazione del codice della strada, tassa dei concorsi, </w:t>
            </w:r>
          </w:p>
        </w:tc>
        <w:tc>
          <w:tcPr>
            <w:tcW w:w="4960" w:type="dxa"/>
            <w:tcBorders>
              <w:top w:val="nil"/>
              <w:left w:val="nil"/>
              <w:bottom w:val="single" w:sz="4" w:space="0" w:color="auto"/>
              <w:right w:val="single" w:sz="4" w:space="0" w:color="auto"/>
            </w:tcBorders>
            <w:shd w:val="clear" w:color="auto" w:fill="auto"/>
            <w:noWrap/>
            <w:vAlign w:val="bottom"/>
            <w:hideMark/>
          </w:tcPr>
          <w:p w14:paraId="4AF9181E" w14:textId="275B52DD"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acquisto </w:t>
            </w:r>
            <w:r w:rsidR="00807BA9">
              <w:rPr>
                <w:rFonts w:ascii="Calibri" w:eastAsia="Times New Roman" w:hAnsi="Calibri" w:cs="Times New Roman"/>
                <w:color w:val="000000"/>
                <w:sz w:val="20"/>
                <w:szCs w:val="20"/>
              </w:rPr>
              <w:t>attività finanziarie dell’ente</w:t>
            </w:r>
          </w:p>
        </w:tc>
      </w:tr>
      <w:tr w:rsidR="009E6F4E" w:rsidRPr="009E6F4E" w14:paraId="042381D7"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30676D9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vendita di beni e servizi</w:t>
            </w:r>
            <w:r w:rsidR="0084078B">
              <w:rPr>
                <w:rFonts w:ascii="Calibri" w:eastAsia="Times New Roman" w:hAnsi="Calibri" w:cs="Times New Roman"/>
                <w:color w:val="000000"/>
                <w:sz w:val="20"/>
                <w:szCs w:val="20"/>
              </w:rPr>
              <w:t xml:space="preserve"> e proventi derivanti dalla gestione dei beni</w:t>
            </w:r>
          </w:p>
        </w:tc>
        <w:tc>
          <w:tcPr>
            <w:tcW w:w="4960" w:type="dxa"/>
            <w:tcBorders>
              <w:top w:val="nil"/>
              <w:left w:val="nil"/>
              <w:bottom w:val="single" w:sz="4" w:space="0" w:color="auto"/>
              <w:right w:val="single" w:sz="4" w:space="0" w:color="auto"/>
            </w:tcBorders>
            <w:shd w:val="clear" w:color="auto" w:fill="auto"/>
            <w:noWrap/>
            <w:vAlign w:val="bottom"/>
            <w:hideMark/>
          </w:tcPr>
          <w:p w14:paraId="0AE4BC96"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23DD42BD"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6138C32F"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rimborsi (indennizzi da assicurazione)</w:t>
            </w:r>
          </w:p>
        </w:tc>
        <w:tc>
          <w:tcPr>
            <w:tcW w:w="4960" w:type="dxa"/>
            <w:tcBorders>
              <w:top w:val="nil"/>
              <w:left w:val="nil"/>
              <w:bottom w:val="single" w:sz="4" w:space="0" w:color="auto"/>
              <w:right w:val="single" w:sz="4" w:space="0" w:color="auto"/>
            </w:tcBorders>
            <w:shd w:val="clear" w:color="auto" w:fill="auto"/>
            <w:noWrap/>
            <w:vAlign w:val="bottom"/>
            <w:hideMark/>
          </w:tcPr>
          <w:p w14:paraId="59A4D71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5FBE41C1"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7A55FFE8"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interessi attivi da titoli</w:t>
            </w:r>
          </w:p>
        </w:tc>
        <w:tc>
          <w:tcPr>
            <w:tcW w:w="4960" w:type="dxa"/>
            <w:tcBorders>
              <w:top w:val="nil"/>
              <w:left w:val="nil"/>
              <w:bottom w:val="single" w:sz="4" w:space="0" w:color="auto"/>
              <w:right w:val="single" w:sz="4" w:space="0" w:color="auto"/>
            </w:tcBorders>
            <w:shd w:val="clear" w:color="auto" w:fill="auto"/>
            <w:noWrap/>
            <w:vAlign w:val="bottom"/>
            <w:hideMark/>
          </w:tcPr>
          <w:p w14:paraId="504770C6"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6BF750E3"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0ED838C"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IV</w:t>
            </w:r>
          </w:p>
        </w:tc>
        <w:tc>
          <w:tcPr>
            <w:tcW w:w="4960" w:type="dxa"/>
            <w:tcBorders>
              <w:top w:val="nil"/>
              <w:left w:val="nil"/>
              <w:bottom w:val="single" w:sz="4" w:space="0" w:color="auto"/>
              <w:right w:val="single" w:sz="4" w:space="0" w:color="auto"/>
            </w:tcBorders>
            <w:shd w:val="clear" w:color="auto" w:fill="auto"/>
            <w:noWrap/>
            <w:vAlign w:val="bottom"/>
            <w:hideMark/>
          </w:tcPr>
          <w:p w14:paraId="52DC640E"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IV</w:t>
            </w:r>
          </w:p>
        </w:tc>
      </w:tr>
      <w:tr w:rsidR="009E6F4E" w:rsidRPr="009E6F4E" w14:paraId="696A5111"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09E71293"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cyan"/>
                <w:u w:val="single"/>
              </w:rPr>
              <w:t>entrate in c/capitale</w:t>
            </w:r>
          </w:p>
        </w:tc>
        <w:tc>
          <w:tcPr>
            <w:tcW w:w="4960" w:type="dxa"/>
            <w:tcBorders>
              <w:top w:val="nil"/>
              <w:left w:val="nil"/>
              <w:bottom w:val="single" w:sz="4" w:space="0" w:color="auto"/>
              <w:right w:val="single" w:sz="4" w:space="0" w:color="auto"/>
            </w:tcBorders>
            <w:shd w:val="clear" w:color="auto" w:fill="auto"/>
            <w:noWrap/>
            <w:vAlign w:val="bottom"/>
            <w:hideMark/>
          </w:tcPr>
          <w:p w14:paraId="00C0397E"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spese per rimborso prestiti</w:t>
            </w:r>
          </w:p>
        </w:tc>
      </w:tr>
      <w:tr w:rsidR="009E6F4E" w:rsidRPr="009E6F4E" w14:paraId="4FDAFD84"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EB4DF28"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tributi in conto capitale (imposte da sanatorie e condoni)</w:t>
            </w:r>
          </w:p>
        </w:tc>
        <w:tc>
          <w:tcPr>
            <w:tcW w:w="4960" w:type="dxa"/>
            <w:tcBorders>
              <w:top w:val="nil"/>
              <w:left w:val="nil"/>
              <w:bottom w:val="single" w:sz="4" w:space="0" w:color="auto"/>
              <w:right w:val="single" w:sz="4" w:space="0" w:color="auto"/>
            </w:tcBorders>
            <w:shd w:val="clear" w:color="auto" w:fill="auto"/>
            <w:noWrap/>
            <w:vAlign w:val="bottom"/>
            <w:hideMark/>
          </w:tcPr>
          <w:p w14:paraId="6BE1C8A3"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spese per rimborso mutui o prestiti a breve termine</w:t>
            </w:r>
          </w:p>
        </w:tc>
      </w:tr>
      <w:tr w:rsidR="009E6F4E" w:rsidRPr="009E6F4E" w14:paraId="1D494E03"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1F3C84CD"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altri trasferimenti: per ripiano disavanzi pregressi dell'ente</w:t>
            </w:r>
          </w:p>
        </w:tc>
        <w:tc>
          <w:tcPr>
            <w:tcW w:w="4960" w:type="dxa"/>
            <w:tcBorders>
              <w:top w:val="nil"/>
              <w:left w:val="nil"/>
              <w:bottom w:val="single" w:sz="4" w:space="0" w:color="auto"/>
              <w:right w:val="single" w:sz="4" w:space="0" w:color="auto"/>
            </w:tcBorders>
            <w:shd w:val="clear" w:color="auto" w:fill="auto"/>
            <w:noWrap/>
            <w:vAlign w:val="bottom"/>
            <w:hideMark/>
          </w:tcPr>
          <w:p w14:paraId="6FBF69C3"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6DA10850"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042796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entrate da alienazione di beni patrimoniali</w:t>
            </w:r>
          </w:p>
        </w:tc>
        <w:tc>
          <w:tcPr>
            <w:tcW w:w="4960" w:type="dxa"/>
            <w:tcBorders>
              <w:top w:val="nil"/>
              <w:left w:val="nil"/>
              <w:bottom w:val="single" w:sz="4" w:space="0" w:color="auto"/>
              <w:right w:val="single" w:sz="4" w:space="0" w:color="auto"/>
            </w:tcBorders>
            <w:shd w:val="clear" w:color="auto" w:fill="auto"/>
            <w:noWrap/>
            <w:vAlign w:val="bottom"/>
            <w:hideMark/>
          </w:tcPr>
          <w:p w14:paraId="3138DDC8"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293088EA"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55C8C9EA"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V</w:t>
            </w:r>
          </w:p>
        </w:tc>
        <w:tc>
          <w:tcPr>
            <w:tcW w:w="4960" w:type="dxa"/>
            <w:tcBorders>
              <w:top w:val="nil"/>
              <w:left w:val="nil"/>
              <w:bottom w:val="single" w:sz="4" w:space="0" w:color="auto"/>
              <w:right w:val="single" w:sz="4" w:space="0" w:color="auto"/>
            </w:tcBorders>
            <w:shd w:val="clear" w:color="000000" w:fill="FFFF00"/>
            <w:noWrap/>
            <w:vAlign w:val="bottom"/>
            <w:hideMark/>
          </w:tcPr>
          <w:p w14:paraId="12F702BB"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w:t>
            </w:r>
          </w:p>
        </w:tc>
      </w:tr>
      <w:tr w:rsidR="009E6F4E" w:rsidRPr="009E6F4E" w14:paraId="3C626ED8"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46014FB3"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lightGray"/>
                <w:u w:val="single"/>
              </w:rPr>
              <w:t>entrate derivanti da attività finanziarie</w:t>
            </w:r>
          </w:p>
        </w:tc>
        <w:tc>
          <w:tcPr>
            <w:tcW w:w="4960" w:type="dxa"/>
            <w:tcBorders>
              <w:top w:val="nil"/>
              <w:left w:val="nil"/>
              <w:bottom w:val="single" w:sz="4" w:space="0" w:color="auto"/>
              <w:right w:val="single" w:sz="4" w:space="0" w:color="auto"/>
            </w:tcBorders>
            <w:shd w:val="clear" w:color="auto" w:fill="auto"/>
            <w:noWrap/>
            <w:vAlign w:val="bottom"/>
            <w:hideMark/>
          </w:tcPr>
          <w:p w14:paraId="3B5B65F0"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chiusura anticipazione tesoreria</w:t>
            </w:r>
          </w:p>
        </w:tc>
      </w:tr>
      <w:tr w:rsidR="009E6F4E" w:rsidRPr="009E6F4E" w14:paraId="2D2409D5" w14:textId="77777777" w:rsidTr="00807BA9">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7433953"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alienazioni di attività finanziarie (quote di fondi comuni di investimento)</w:t>
            </w:r>
          </w:p>
        </w:tc>
        <w:tc>
          <w:tcPr>
            <w:tcW w:w="4960" w:type="dxa"/>
            <w:tcBorders>
              <w:top w:val="nil"/>
              <w:left w:val="nil"/>
              <w:bottom w:val="single" w:sz="4" w:space="0" w:color="auto"/>
              <w:right w:val="single" w:sz="4" w:space="0" w:color="auto"/>
            </w:tcBorders>
            <w:shd w:val="clear" w:color="auto" w:fill="auto"/>
            <w:noWrap/>
            <w:vAlign w:val="bottom"/>
            <w:hideMark/>
          </w:tcPr>
          <w:p w14:paraId="58FAEB5C" w14:textId="77777777" w:rsidR="009E6F4E" w:rsidRPr="00C82D5C" w:rsidRDefault="009E6F4E" w:rsidP="009E6F4E">
            <w:pPr>
              <w:rPr>
                <w:rFonts w:ascii="Calibri" w:eastAsia="Times New Roman" w:hAnsi="Calibri" w:cs="Times New Roman"/>
                <w:color w:val="000000"/>
                <w:sz w:val="20"/>
                <w:szCs w:val="20"/>
              </w:rPr>
            </w:pPr>
          </w:p>
        </w:tc>
      </w:tr>
      <w:tr w:rsidR="009E6F4E" w:rsidRPr="009E6F4E" w14:paraId="27FA4364" w14:textId="77777777" w:rsidTr="00807BA9">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5A99E8F3"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la regione ha titoli monetari, obbligazioni, tantissime attività finanziarie</w:t>
            </w:r>
          </w:p>
        </w:tc>
        <w:tc>
          <w:tcPr>
            <w:tcW w:w="4960" w:type="dxa"/>
            <w:tcBorders>
              <w:top w:val="nil"/>
              <w:left w:val="nil"/>
              <w:bottom w:val="single" w:sz="4" w:space="0" w:color="auto"/>
              <w:right w:val="single" w:sz="4" w:space="0" w:color="auto"/>
            </w:tcBorders>
            <w:shd w:val="clear" w:color="auto" w:fill="auto"/>
            <w:noWrap/>
            <w:vAlign w:val="bottom"/>
            <w:hideMark/>
          </w:tcPr>
          <w:p w14:paraId="5D8A916F" w14:textId="77777777" w:rsidR="009E6F4E" w:rsidRPr="009E6F4E" w:rsidRDefault="009E6F4E" w:rsidP="009E6F4E">
            <w:pPr>
              <w:rPr>
                <w:rFonts w:ascii="Calibri" w:eastAsia="Times New Roman" w:hAnsi="Calibri" w:cs="Times New Roman"/>
                <w:color w:val="000000"/>
                <w:sz w:val="20"/>
                <w:szCs w:val="20"/>
                <w:u w:val="single"/>
              </w:rPr>
            </w:pPr>
            <w:r w:rsidRPr="009E6F4E">
              <w:rPr>
                <w:rFonts w:ascii="Calibri" w:eastAsia="Times New Roman" w:hAnsi="Calibri" w:cs="Times New Roman"/>
                <w:color w:val="000000"/>
                <w:sz w:val="20"/>
                <w:szCs w:val="20"/>
                <w:u w:val="single"/>
              </w:rPr>
              <w:t> </w:t>
            </w:r>
          </w:p>
        </w:tc>
      </w:tr>
      <w:tr w:rsidR="009E6F4E" w:rsidRPr="009E6F4E" w14:paraId="762C8063"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46F814AA"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w:t>
            </w:r>
          </w:p>
        </w:tc>
        <w:tc>
          <w:tcPr>
            <w:tcW w:w="4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3DA695"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il titolo VI non rientra nella classificazione cofog</w:t>
            </w:r>
          </w:p>
        </w:tc>
      </w:tr>
      <w:tr w:rsidR="009E6F4E" w:rsidRPr="009E6F4E" w14:paraId="75E6C346"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4464323"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entrate derivanti da accensione di prestiti</w:t>
            </w:r>
          </w:p>
        </w:tc>
        <w:tc>
          <w:tcPr>
            <w:tcW w:w="4960" w:type="dxa"/>
            <w:vMerge/>
            <w:tcBorders>
              <w:top w:val="nil"/>
              <w:left w:val="single" w:sz="4" w:space="0" w:color="auto"/>
              <w:bottom w:val="single" w:sz="4" w:space="0" w:color="auto"/>
              <w:right w:val="single" w:sz="4" w:space="0" w:color="auto"/>
            </w:tcBorders>
            <w:vAlign w:val="center"/>
            <w:hideMark/>
          </w:tcPr>
          <w:p w14:paraId="368A6238" w14:textId="77777777" w:rsidR="009E6F4E" w:rsidRPr="009E6F4E" w:rsidRDefault="009E6F4E" w:rsidP="009E6F4E">
            <w:pPr>
              <w:rPr>
                <w:rFonts w:ascii="Calibri" w:eastAsia="Times New Roman" w:hAnsi="Calibri" w:cs="Times New Roman"/>
                <w:color w:val="000000"/>
                <w:sz w:val="20"/>
                <w:szCs w:val="20"/>
              </w:rPr>
            </w:pPr>
          </w:p>
        </w:tc>
      </w:tr>
      <w:tr w:rsidR="009E6F4E" w:rsidRPr="009E6F4E" w14:paraId="4728A3D1"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30DE58D4"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forme di indebitamento: mutui o prestiti a breve termine</w:t>
            </w:r>
          </w:p>
        </w:tc>
        <w:tc>
          <w:tcPr>
            <w:tcW w:w="4960" w:type="dxa"/>
            <w:tcBorders>
              <w:top w:val="nil"/>
              <w:left w:val="nil"/>
              <w:bottom w:val="single" w:sz="4" w:space="0" w:color="auto"/>
              <w:right w:val="single" w:sz="4" w:space="0" w:color="auto"/>
            </w:tcBorders>
            <w:shd w:val="clear" w:color="auto" w:fill="auto"/>
            <w:noWrap/>
            <w:vAlign w:val="bottom"/>
            <w:hideMark/>
          </w:tcPr>
          <w:p w14:paraId="5D02955B"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6672C11C"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7D216802"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VII</w:t>
            </w:r>
          </w:p>
        </w:tc>
        <w:tc>
          <w:tcPr>
            <w:tcW w:w="4960" w:type="dxa"/>
            <w:tcBorders>
              <w:top w:val="nil"/>
              <w:left w:val="nil"/>
              <w:bottom w:val="single" w:sz="4" w:space="0" w:color="auto"/>
              <w:right w:val="single" w:sz="4" w:space="0" w:color="auto"/>
            </w:tcBorders>
            <w:shd w:val="clear" w:color="000000" w:fill="FFFF00"/>
            <w:noWrap/>
            <w:vAlign w:val="bottom"/>
            <w:hideMark/>
          </w:tcPr>
          <w:p w14:paraId="05A001D3"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VII</w:t>
            </w:r>
          </w:p>
        </w:tc>
      </w:tr>
      <w:tr w:rsidR="009E6F4E" w:rsidRPr="009E6F4E" w14:paraId="6AFA9FE8"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5B67379F"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anticipazioni da tesoreria</w:t>
            </w:r>
          </w:p>
        </w:tc>
        <w:tc>
          <w:tcPr>
            <w:tcW w:w="4960" w:type="dxa"/>
            <w:tcBorders>
              <w:top w:val="nil"/>
              <w:left w:val="nil"/>
              <w:bottom w:val="single" w:sz="4" w:space="0" w:color="auto"/>
              <w:right w:val="single" w:sz="4" w:space="0" w:color="auto"/>
            </w:tcBorders>
            <w:shd w:val="clear" w:color="auto" w:fill="auto"/>
            <w:noWrap/>
            <w:vAlign w:val="bottom"/>
            <w:hideMark/>
          </w:tcPr>
          <w:p w14:paraId="21CDB08C"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spese per servizi c/terzi</w:t>
            </w:r>
            <w:r w:rsidR="00211A0E">
              <w:rPr>
                <w:rFonts w:ascii="Calibri" w:eastAsia="Times New Roman" w:hAnsi="Calibri" w:cs="Times New Roman"/>
                <w:b/>
                <w:bCs/>
                <w:color w:val="000000"/>
                <w:sz w:val="20"/>
                <w:szCs w:val="20"/>
                <w:u w:val="single"/>
              </w:rPr>
              <w:t xml:space="preserve"> e partite di giro</w:t>
            </w:r>
          </w:p>
        </w:tc>
      </w:tr>
      <w:tr w:rsidR="009E6F4E" w:rsidRPr="009E6F4E" w14:paraId="06ECF76A" w14:textId="77777777" w:rsidTr="00807BA9">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BD57833"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situazioni in cui l'ente non ha soldi e chiede un'anticipazione alla banca che gli fa da tesoriere.</w:t>
            </w:r>
          </w:p>
        </w:tc>
        <w:tc>
          <w:tcPr>
            <w:tcW w:w="4960" w:type="dxa"/>
            <w:tcBorders>
              <w:top w:val="nil"/>
              <w:left w:val="nil"/>
              <w:bottom w:val="single" w:sz="4" w:space="0" w:color="auto"/>
              <w:right w:val="single" w:sz="4" w:space="0" w:color="auto"/>
            </w:tcBorders>
            <w:shd w:val="clear" w:color="auto" w:fill="auto"/>
            <w:noWrap/>
            <w:vAlign w:val="bottom"/>
            <w:hideMark/>
          </w:tcPr>
          <w:p w14:paraId="37710C2D" w14:textId="77777777" w:rsidR="009E6F4E" w:rsidRPr="009E6F4E" w:rsidRDefault="009E6F4E" w:rsidP="009E6F4E">
            <w:pPr>
              <w:rPr>
                <w:rFonts w:ascii="Calibri" w:eastAsia="Times New Roman" w:hAnsi="Calibri" w:cs="Times New Roman"/>
                <w:color w:val="000000"/>
                <w:sz w:val="20"/>
                <w:szCs w:val="20"/>
                <w:u w:val="single"/>
              </w:rPr>
            </w:pPr>
            <w:r w:rsidRPr="009E6F4E">
              <w:rPr>
                <w:rFonts w:ascii="Calibri" w:eastAsia="Times New Roman" w:hAnsi="Calibri" w:cs="Times New Roman"/>
                <w:color w:val="000000"/>
                <w:sz w:val="20"/>
                <w:szCs w:val="20"/>
                <w:u w:val="single"/>
              </w:rPr>
              <w:t> </w:t>
            </w:r>
          </w:p>
        </w:tc>
      </w:tr>
      <w:tr w:rsidR="009E6F4E" w:rsidRPr="009E6F4E" w14:paraId="28F4F942" w14:textId="77777777" w:rsidTr="00807BA9">
        <w:trPr>
          <w:trHeight w:val="300"/>
        </w:trPr>
        <w:tc>
          <w:tcPr>
            <w:tcW w:w="4960" w:type="dxa"/>
            <w:vMerge w:val="restart"/>
            <w:tcBorders>
              <w:top w:val="nil"/>
              <w:left w:val="single" w:sz="4" w:space="0" w:color="auto"/>
              <w:bottom w:val="single" w:sz="4" w:space="0" w:color="auto"/>
              <w:right w:val="single" w:sz="4" w:space="0" w:color="auto"/>
            </w:tcBorders>
            <w:shd w:val="clear" w:color="auto" w:fill="auto"/>
            <w:vAlign w:val="center"/>
            <w:hideMark/>
          </w:tcPr>
          <w:p w14:paraId="4BDC418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Il titolo VIII non rientra nella classificazione COFOG</w:t>
            </w:r>
          </w:p>
        </w:tc>
        <w:tc>
          <w:tcPr>
            <w:tcW w:w="4960" w:type="dxa"/>
            <w:tcBorders>
              <w:top w:val="nil"/>
              <w:left w:val="nil"/>
              <w:bottom w:val="single" w:sz="4" w:space="0" w:color="auto"/>
              <w:right w:val="single" w:sz="4" w:space="0" w:color="auto"/>
            </w:tcBorders>
            <w:shd w:val="clear" w:color="auto" w:fill="auto"/>
            <w:noWrap/>
            <w:vAlign w:val="bottom"/>
            <w:hideMark/>
          </w:tcPr>
          <w:p w14:paraId="5BCB7FD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28CA2794" w14:textId="77777777" w:rsidTr="00807BA9">
        <w:trPr>
          <w:trHeight w:val="300"/>
        </w:trPr>
        <w:tc>
          <w:tcPr>
            <w:tcW w:w="4960" w:type="dxa"/>
            <w:vMerge/>
            <w:tcBorders>
              <w:top w:val="nil"/>
              <w:left w:val="single" w:sz="4" w:space="0" w:color="auto"/>
              <w:bottom w:val="single" w:sz="4" w:space="0" w:color="auto"/>
              <w:right w:val="single" w:sz="4" w:space="0" w:color="auto"/>
            </w:tcBorders>
            <w:vAlign w:val="center"/>
            <w:hideMark/>
          </w:tcPr>
          <w:p w14:paraId="590B26C0" w14:textId="77777777" w:rsidR="009E6F4E" w:rsidRPr="009E6F4E" w:rsidRDefault="009E6F4E" w:rsidP="009E6F4E">
            <w:pPr>
              <w:rPr>
                <w:rFonts w:ascii="Calibri" w:eastAsia="Times New Roman" w:hAnsi="Calibri" w:cs="Times New Roman"/>
                <w:color w:val="000000"/>
                <w:sz w:val="20"/>
                <w:szCs w:val="20"/>
              </w:rPr>
            </w:pPr>
          </w:p>
        </w:tc>
        <w:tc>
          <w:tcPr>
            <w:tcW w:w="4960" w:type="dxa"/>
            <w:tcBorders>
              <w:top w:val="nil"/>
              <w:left w:val="nil"/>
              <w:bottom w:val="single" w:sz="4" w:space="0" w:color="auto"/>
              <w:right w:val="single" w:sz="4" w:space="0" w:color="auto"/>
            </w:tcBorders>
            <w:shd w:val="clear" w:color="auto" w:fill="auto"/>
            <w:noWrap/>
            <w:vAlign w:val="bottom"/>
            <w:hideMark/>
          </w:tcPr>
          <w:p w14:paraId="1BDA826C"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 </w:t>
            </w:r>
          </w:p>
        </w:tc>
      </w:tr>
      <w:tr w:rsidR="009E6F4E" w:rsidRPr="009E6F4E" w14:paraId="18C968B5"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6E5D1109"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IX</w:t>
            </w:r>
          </w:p>
        </w:tc>
        <w:tc>
          <w:tcPr>
            <w:tcW w:w="4960" w:type="dxa"/>
            <w:tcBorders>
              <w:top w:val="nil"/>
              <w:left w:val="nil"/>
              <w:bottom w:val="single" w:sz="4" w:space="0" w:color="auto"/>
              <w:right w:val="single" w:sz="4" w:space="0" w:color="auto"/>
            </w:tcBorders>
            <w:shd w:val="clear" w:color="000000" w:fill="FFFF00"/>
            <w:noWrap/>
            <w:hideMark/>
          </w:tcPr>
          <w:p w14:paraId="03636FE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solo per la missione 60 e 99 possono essere previsti</w:t>
            </w:r>
            <w:r w:rsidR="002C26D7">
              <w:rPr>
                <w:rFonts w:ascii="Calibri" w:eastAsia="Times New Roman" w:hAnsi="Calibri" w:cs="Times New Roman"/>
                <w:color w:val="000000"/>
                <w:sz w:val="20"/>
                <w:szCs w:val="20"/>
              </w:rPr>
              <w:t xml:space="preserve"> i titoli 5 e 7, quindi i primi 4 titoli sono presenti per tutte le missioni, il 5 e il 7 solo per la missione 60 e 99.</w:t>
            </w:r>
          </w:p>
        </w:tc>
      </w:tr>
      <w:tr w:rsidR="009E6F4E" w:rsidRPr="009E6F4E" w14:paraId="0ECB2CD4" w14:textId="77777777" w:rsidTr="00807BA9">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01C2B589"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 xml:space="preserve">entrate per </w:t>
            </w:r>
            <w:r w:rsidR="00D368E4">
              <w:rPr>
                <w:rFonts w:ascii="Calibri" w:eastAsia="Times New Roman" w:hAnsi="Calibri" w:cs="Times New Roman"/>
                <w:b/>
                <w:bCs/>
                <w:color w:val="000000"/>
                <w:sz w:val="20"/>
                <w:szCs w:val="20"/>
                <w:u w:val="single"/>
              </w:rPr>
              <w:t xml:space="preserve">servizi </w:t>
            </w:r>
            <w:r w:rsidRPr="009E6F4E">
              <w:rPr>
                <w:rFonts w:ascii="Calibri" w:eastAsia="Times New Roman" w:hAnsi="Calibri" w:cs="Times New Roman"/>
                <w:b/>
                <w:bCs/>
                <w:color w:val="000000"/>
                <w:sz w:val="20"/>
                <w:szCs w:val="20"/>
                <w:u w:val="single"/>
              </w:rPr>
              <w:t>conto terzi e partite di giro</w:t>
            </w:r>
          </w:p>
        </w:tc>
        <w:tc>
          <w:tcPr>
            <w:tcW w:w="4960" w:type="dxa"/>
            <w:tcBorders>
              <w:top w:val="nil"/>
              <w:left w:val="nil"/>
              <w:bottom w:val="single" w:sz="4" w:space="0" w:color="auto"/>
              <w:right w:val="single" w:sz="4" w:space="0" w:color="auto"/>
            </w:tcBorders>
            <w:shd w:val="clear" w:color="auto" w:fill="auto"/>
            <w:noWrap/>
            <w:vAlign w:val="bottom"/>
            <w:hideMark/>
          </w:tcPr>
          <w:p w14:paraId="25BAEAB7"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6845B738" w14:textId="77777777" w:rsidTr="00807BA9">
        <w:trPr>
          <w:trHeight w:val="88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38369EE"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partite di giro: quando l'ente agisce come sostituto d'imposta. Il datore di lavoro agisce come sostituto d'imposta quando versa i contributi del dipendente.</w:t>
            </w:r>
          </w:p>
        </w:tc>
        <w:tc>
          <w:tcPr>
            <w:tcW w:w="4960" w:type="dxa"/>
            <w:tcBorders>
              <w:top w:val="nil"/>
              <w:left w:val="nil"/>
              <w:bottom w:val="single" w:sz="4" w:space="0" w:color="auto"/>
              <w:right w:val="single" w:sz="4" w:space="0" w:color="auto"/>
            </w:tcBorders>
            <w:shd w:val="clear" w:color="auto" w:fill="auto"/>
            <w:noWrap/>
            <w:vAlign w:val="bottom"/>
            <w:hideMark/>
          </w:tcPr>
          <w:p w14:paraId="038389AF"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12EC7BD9" w14:textId="77777777" w:rsidTr="00807BA9">
        <w:trPr>
          <w:trHeight w:val="112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5592C578"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servizio per conto terzi: se un comune fa da ente capofila per gli altri per la gestione associata di servizi, gli altri comuni che usufruiranno di quel servizio dovranno pagare il comune capofila che ha le spese a carico.</w:t>
            </w:r>
          </w:p>
        </w:tc>
        <w:tc>
          <w:tcPr>
            <w:tcW w:w="4960" w:type="dxa"/>
            <w:tcBorders>
              <w:top w:val="nil"/>
              <w:left w:val="nil"/>
              <w:bottom w:val="single" w:sz="4" w:space="0" w:color="auto"/>
              <w:right w:val="single" w:sz="4" w:space="0" w:color="auto"/>
            </w:tcBorders>
            <w:shd w:val="clear" w:color="auto" w:fill="auto"/>
            <w:noWrap/>
            <w:vAlign w:val="bottom"/>
            <w:hideMark/>
          </w:tcPr>
          <w:p w14:paraId="7AAE7C89" w14:textId="77777777" w:rsidR="009E6F4E" w:rsidRPr="009E6F4E" w:rsidRDefault="009E6F4E" w:rsidP="009E6F4E">
            <w:pPr>
              <w:rPr>
                <w:rFonts w:ascii="Calibri" w:eastAsia="Times New Roman" w:hAnsi="Calibri" w:cs="Times New Roman"/>
                <w:color w:val="000000"/>
              </w:rPr>
            </w:pPr>
            <w:r w:rsidRPr="009E6F4E">
              <w:rPr>
                <w:rFonts w:ascii="Calibri" w:eastAsia="Times New Roman" w:hAnsi="Calibri" w:cs="Times New Roman"/>
                <w:color w:val="000000"/>
              </w:rPr>
              <w:t> </w:t>
            </w:r>
          </w:p>
        </w:tc>
      </w:tr>
    </w:tbl>
    <w:p w14:paraId="1557F2DA" w14:textId="77777777" w:rsidR="002C26D7" w:rsidRDefault="002C26D7" w:rsidP="009E6F4E">
      <w:pPr>
        <w:rPr>
          <w:sz w:val="20"/>
          <w:szCs w:val="20"/>
        </w:rPr>
      </w:pPr>
      <w:r>
        <w:rPr>
          <w:sz w:val="20"/>
          <w:szCs w:val="20"/>
        </w:rPr>
        <w:t xml:space="preserve">ENTRATE: </w:t>
      </w:r>
      <w:r w:rsidR="0084078B">
        <w:rPr>
          <w:sz w:val="20"/>
          <w:szCs w:val="20"/>
        </w:rPr>
        <w:t xml:space="preserve">I titoli si suddividono in tipologie, quindi avremo tante tipologie, se il titolo è 1 la tipologia sarà 01= 101 imposte, tasse e proventi assimilati, 104 compartecipazione dei </w:t>
      </w:r>
      <w:proofErr w:type="gramStart"/>
      <w:r w:rsidR="0084078B">
        <w:rPr>
          <w:sz w:val="20"/>
          <w:szCs w:val="20"/>
        </w:rPr>
        <w:t>tributi….</w:t>
      </w:r>
      <w:proofErr w:type="gramEnd"/>
      <w:r w:rsidR="0084078B">
        <w:rPr>
          <w:sz w:val="20"/>
          <w:szCs w:val="20"/>
        </w:rPr>
        <w:t>il titolo mi da il primo numero, poi ho un ulteriore suddivisione a seconda della tipologia.</w:t>
      </w:r>
    </w:p>
    <w:p w14:paraId="6A0C3F74" w14:textId="77777777" w:rsidR="002C26D7" w:rsidRDefault="002C26D7" w:rsidP="009E6F4E">
      <w:pPr>
        <w:rPr>
          <w:sz w:val="20"/>
          <w:szCs w:val="20"/>
        </w:rPr>
      </w:pPr>
      <w:r>
        <w:rPr>
          <w:sz w:val="20"/>
          <w:szCs w:val="20"/>
        </w:rPr>
        <w:t>USCITE: ogni singola missione è suddivisa in tanti programmi e ogni singolo programma avrà questa suddivisione in titoli.</w:t>
      </w:r>
    </w:p>
    <w:p w14:paraId="46FF37CD" w14:textId="77777777" w:rsidR="00096C8F" w:rsidRDefault="00096C8F" w:rsidP="009E6F4E">
      <w:pPr>
        <w:rPr>
          <w:sz w:val="20"/>
          <w:szCs w:val="20"/>
        </w:rPr>
      </w:pPr>
    </w:p>
    <w:p w14:paraId="3FC8F10D" w14:textId="77777777" w:rsidR="00096C8F" w:rsidRPr="00096C8F" w:rsidRDefault="00096C8F" w:rsidP="00096C8F">
      <w:pPr>
        <w:rPr>
          <w:sz w:val="20"/>
          <w:szCs w:val="20"/>
        </w:rPr>
      </w:pPr>
      <w:r w:rsidRPr="00096C8F">
        <w:rPr>
          <w:sz w:val="20"/>
          <w:szCs w:val="20"/>
        </w:rPr>
        <w:t>I fondi di riserva</w:t>
      </w:r>
    </w:p>
    <w:p w14:paraId="1AD463C1" w14:textId="77777777" w:rsidR="00096C8F" w:rsidRPr="00096C8F" w:rsidRDefault="00096C8F" w:rsidP="00096C8F">
      <w:pPr>
        <w:rPr>
          <w:sz w:val="20"/>
          <w:szCs w:val="20"/>
        </w:rPr>
      </w:pPr>
      <w:r w:rsidRPr="00096C8F">
        <w:rPr>
          <w:sz w:val="20"/>
          <w:szCs w:val="20"/>
        </w:rPr>
        <w:t>«Art. 166 - Fondo di riserva</w:t>
      </w:r>
    </w:p>
    <w:p w14:paraId="6103A965" w14:textId="77777777" w:rsidR="00096C8F" w:rsidRPr="00096C8F" w:rsidRDefault="00096C8F" w:rsidP="00096C8F">
      <w:pPr>
        <w:rPr>
          <w:sz w:val="20"/>
          <w:szCs w:val="20"/>
        </w:rPr>
      </w:pPr>
      <w:r w:rsidRPr="00096C8F">
        <w:rPr>
          <w:sz w:val="20"/>
          <w:szCs w:val="20"/>
        </w:rPr>
        <w:t>1. Gli enti locali iscrivono nel proprio bilancio di previsione un fondo di riserva non inferiore allo 0,30 e non superiore al 2 per cento del totale delle spese correnti inizialmente previste in bilancio.</w:t>
      </w:r>
    </w:p>
    <w:p w14:paraId="64867011" w14:textId="77777777" w:rsidR="00096C8F" w:rsidRPr="00096C8F" w:rsidRDefault="00096C8F" w:rsidP="00096C8F">
      <w:pPr>
        <w:rPr>
          <w:sz w:val="20"/>
          <w:szCs w:val="20"/>
        </w:rPr>
      </w:pPr>
      <w:r w:rsidRPr="00096C8F">
        <w:rPr>
          <w:sz w:val="20"/>
          <w:szCs w:val="20"/>
        </w:rPr>
        <w:t>2. Il fondo è utilizzato, con deliberazioni dell'organo esecutivo da comunicare all'organo consiliare nei tempi stabiliti dal regolamento di contabilità, nei casi in cui si verifichino esigenze straordinarie di bilancio o le dotazioni degli interventi di spesa corrente si rivelino insufficienti.</w:t>
      </w:r>
    </w:p>
    <w:p w14:paraId="148616FE" w14:textId="77777777" w:rsidR="00096C8F" w:rsidRPr="00096C8F" w:rsidRDefault="00096C8F" w:rsidP="00096C8F">
      <w:pPr>
        <w:rPr>
          <w:sz w:val="20"/>
          <w:szCs w:val="20"/>
        </w:rPr>
      </w:pPr>
      <w:r w:rsidRPr="00096C8F">
        <w:rPr>
          <w:sz w:val="20"/>
          <w:szCs w:val="20"/>
        </w:rPr>
        <w:t>2-bis. La metà della quota minima prevista dai commi 1 e 2-ter è riservata alla copertura di eventuali spese non prevedibili, la cui mancata effettuazione comporta danni certi all'amministrazione.</w:t>
      </w:r>
    </w:p>
    <w:p w14:paraId="772CC771" w14:textId="77777777" w:rsidR="00096C8F" w:rsidRPr="00096C8F" w:rsidRDefault="00096C8F" w:rsidP="00096C8F">
      <w:pPr>
        <w:rPr>
          <w:sz w:val="20"/>
          <w:szCs w:val="20"/>
        </w:rPr>
      </w:pPr>
      <w:r w:rsidRPr="00096C8F">
        <w:rPr>
          <w:sz w:val="20"/>
          <w:szCs w:val="20"/>
        </w:rPr>
        <w:t>2-ter. Nel caso in cui l'ente si trovi in una delle situazioni previste dagli articoli 195 e 222, il limite minimo previsto dal comma 1 è stabilito nella misura dello 0,45 per cento del totale delle spese correnti inizialmente previste in bilancio»;</w:t>
      </w:r>
    </w:p>
    <w:p w14:paraId="0BEC2A99" w14:textId="77777777" w:rsidR="00096C8F" w:rsidRPr="00096C8F" w:rsidRDefault="00096C8F" w:rsidP="00096C8F">
      <w:pPr>
        <w:rPr>
          <w:sz w:val="20"/>
          <w:szCs w:val="20"/>
        </w:rPr>
      </w:pPr>
    </w:p>
    <w:p w14:paraId="7E2ADC76" w14:textId="77777777" w:rsidR="00096C8F" w:rsidRPr="00096C8F" w:rsidRDefault="00096C8F" w:rsidP="00096C8F">
      <w:pPr>
        <w:rPr>
          <w:sz w:val="20"/>
          <w:szCs w:val="20"/>
        </w:rPr>
      </w:pPr>
      <w:r w:rsidRPr="00096C8F">
        <w:rPr>
          <w:sz w:val="20"/>
          <w:szCs w:val="20"/>
        </w:rPr>
        <w:t xml:space="preserve"> </w:t>
      </w:r>
    </w:p>
    <w:p w14:paraId="4D589380" w14:textId="77777777" w:rsidR="00096C8F" w:rsidRPr="00096C8F" w:rsidRDefault="00096C8F" w:rsidP="00096C8F">
      <w:pPr>
        <w:rPr>
          <w:sz w:val="20"/>
          <w:szCs w:val="20"/>
        </w:rPr>
      </w:pPr>
    </w:p>
    <w:p w14:paraId="5A1F806C" w14:textId="77777777" w:rsidR="00096C8F" w:rsidRPr="00096C8F" w:rsidRDefault="00096C8F" w:rsidP="00096C8F">
      <w:pPr>
        <w:rPr>
          <w:sz w:val="20"/>
          <w:szCs w:val="20"/>
        </w:rPr>
      </w:pPr>
      <w:r w:rsidRPr="00096C8F">
        <w:rPr>
          <w:sz w:val="20"/>
          <w:szCs w:val="20"/>
        </w:rPr>
        <w:t>Art. 176 - Prelevamenti dal fondo di riserva</w:t>
      </w:r>
    </w:p>
    <w:p w14:paraId="23541639" w14:textId="058E90CB" w:rsidR="00096C8F" w:rsidRDefault="00096C8F" w:rsidP="00096C8F">
      <w:pPr>
        <w:rPr>
          <w:sz w:val="20"/>
          <w:szCs w:val="20"/>
        </w:rPr>
      </w:pPr>
      <w:r w:rsidRPr="00096C8F">
        <w:rPr>
          <w:sz w:val="20"/>
          <w:szCs w:val="20"/>
        </w:rPr>
        <w:t>1. I prelevamenti dal fondo di riserva sono di competenza dell'organo esecutivo e possono essere deliberati sino al 31 dicembre di ciascun anno.»</w:t>
      </w:r>
    </w:p>
    <w:p w14:paraId="4AA77BC4" w14:textId="77777777" w:rsidR="00807BA9" w:rsidRDefault="00807BA9" w:rsidP="009E6F4E">
      <w:pPr>
        <w:rPr>
          <w:sz w:val="20"/>
          <w:szCs w:val="20"/>
        </w:rPr>
      </w:pPr>
    </w:p>
    <w:p w14:paraId="4D534B5A" w14:textId="77777777" w:rsidR="00F70A83" w:rsidRDefault="006D5438" w:rsidP="009E6F4E">
      <w:pPr>
        <w:rPr>
          <w:sz w:val="20"/>
          <w:szCs w:val="20"/>
        </w:rPr>
      </w:pPr>
      <w:r>
        <w:rPr>
          <w:sz w:val="20"/>
          <w:szCs w:val="20"/>
        </w:rPr>
        <w:t>Nel primo anno del bilancio si riportano cassa e competenza, il secondo e il terzo anno solo competenza. Il primo anno è autorizzatorio. Il bilancio riporta sempre l’eventuale utilizzo del risultato di amministrazione presunto e il fondo pluriennale vincolato, non viene riportato il fondo crediti di dubbia esigibilità perché è già all’interno dell’avanzo di amministrazione. Troviamo la ripartizione in titoli, non rileveremo la singola entrata per un particolare tributo ma l’intero ammontare delle entrate correnti. E alla fine tutto deve tornare in pareggio: l’art 81 della Costituzione vale non solo a livello statale ma anche a livello regionale e di ente locale con delle piccole divergenze, questo pareggio deve essere continuativo e le regioni mediante regolamento</w:t>
      </w:r>
      <w:r w:rsidR="00F70A83">
        <w:rPr>
          <w:sz w:val="20"/>
          <w:szCs w:val="20"/>
        </w:rPr>
        <w:t xml:space="preserve"> di contabilità</w:t>
      </w:r>
      <w:r>
        <w:rPr>
          <w:sz w:val="20"/>
          <w:szCs w:val="20"/>
        </w:rPr>
        <w:t xml:space="preserve"> stabiliscono i termini in cui si andranno a </w:t>
      </w:r>
      <w:r w:rsidR="00F70A83">
        <w:rPr>
          <w:sz w:val="20"/>
          <w:szCs w:val="20"/>
        </w:rPr>
        <w:t>valutare</w:t>
      </w:r>
      <w:r>
        <w:rPr>
          <w:sz w:val="20"/>
          <w:szCs w:val="20"/>
        </w:rPr>
        <w:t xml:space="preserve"> i cosiddetti equilibri di bilancio</w:t>
      </w:r>
      <w:r w:rsidR="00F70A83">
        <w:rPr>
          <w:sz w:val="20"/>
          <w:szCs w:val="20"/>
        </w:rPr>
        <w:t>: considerando anche il pareggio finanziario, l’equilibrio di parte corrente, l’equilibrio di parte in conto capitale e l’equilibrio delle attività finanziarie.</w:t>
      </w:r>
    </w:p>
    <w:p w14:paraId="0F7E9503" w14:textId="77777777" w:rsidR="00F70A83" w:rsidRDefault="00F70A83" w:rsidP="00F70A83">
      <w:pPr>
        <w:pStyle w:val="Citazioneintensa"/>
        <w:rPr>
          <w:sz w:val="20"/>
          <w:szCs w:val="20"/>
        </w:rPr>
      </w:pPr>
      <w:r w:rsidRPr="00F70A83">
        <w:rPr>
          <w:sz w:val="20"/>
          <w:szCs w:val="20"/>
        </w:rPr>
        <w:t>I principi fondamentali di redazione del bilancio</w:t>
      </w:r>
    </w:p>
    <w:p w14:paraId="709DF4A6" w14:textId="77777777" w:rsidR="006774A0" w:rsidRDefault="006774A0" w:rsidP="00F70A83">
      <w:pPr>
        <w:rPr>
          <w:color w:val="0000FF"/>
          <w:sz w:val="20"/>
          <w:szCs w:val="20"/>
          <w:highlight w:val="cyan"/>
        </w:rPr>
      </w:pPr>
    </w:p>
    <w:p w14:paraId="4874E029" w14:textId="77777777" w:rsidR="006774A0" w:rsidRPr="006774A0" w:rsidRDefault="006774A0" w:rsidP="006774A0">
      <w:pPr>
        <w:rPr>
          <w:color w:val="0000FF"/>
          <w:sz w:val="20"/>
          <w:szCs w:val="20"/>
        </w:rPr>
      </w:pPr>
      <w:r w:rsidRPr="006774A0">
        <w:rPr>
          <w:color w:val="0000FF"/>
          <w:sz w:val="20"/>
          <w:szCs w:val="20"/>
        </w:rPr>
        <w:t>2. Principio dell’unità</w:t>
      </w:r>
    </w:p>
    <w:p w14:paraId="46C8670D" w14:textId="77777777" w:rsidR="006774A0" w:rsidRPr="006774A0" w:rsidRDefault="006774A0" w:rsidP="006774A0">
      <w:pPr>
        <w:rPr>
          <w:color w:val="0000FF"/>
          <w:sz w:val="20"/>
          <w:szCs w:val="20"/>
        </w:rPr>
      </w:pPr>
    </w:p>
    <w:p w14:paraId="1126359E" w14:textId="77777777" w:rsidR="006774A0" w:rsidRPr="006774A0" w:rsidRDefault="006774A0" w:rsidP="006774A0">
      <w:pPr>
        <w:rPr>
          <w:color w:val="0000FF"/>
          <w:sz w:val="20"/>
          <w:szCs w:val="20"/>
        </w:rPr>
      </w:pPr>
    </w:p>
    <w:p w14:paraId="01E3A45A" w14:textId="77777777" w:rsidR="006774A0" w:rsidRPr="006774A0" w:rsidRDefault="006774A0" w:rsidP="006774A0">
      <w:pPr>
        <w:rPr>
          <w:color w:val="0000FF"/>
          <w:sz w:val="20"/>
          <w:szCs w:val="20"/>
        </w:rPr>
      </w:pPr>
      <w:r w:rsidRPr="006774A0">
        <w:rPr>
          <w:color w:val="0000FF"/>
          <w:sz w:val="20"/>
          <w:szCs w:val="20"/>
        </w:rPr>
        <w:t>La singola amministrazione pubblica è una entità giuridica unica e unitaria, pertanto, deve essere unico e unitario sia il suo bilancio di previsione, sia il suo rendiconto e bilancio d’esercizio.</w:t>
      </w:r>
    </w:p>
    <w:p w14:paraId="1524BBC8" w14:textId="77777777" w:rsidR="006774A0" w:rsidRPr="006774A0" w:rsidRDefault="006774A0" w:rsidP="006774A0">
      <w:pPr>
        <w:rPr>
          <w:color w:val="0000FF"/>
          <w:sz w:val="20"/>
          <w:szCs w:val="20"/>
        </w:rPr>
      </w:pPr>
      <w:proofErr w:type="gramStart"/>
      <w:r w:rsidRPr="006774A0">
        <w:rPr>
          <w:color w:val="0000FF"/>
          <w:sz w:val="20"/>
          <w:szCs w:val="20"/>
        </w:rPr>
        <w:t>E’</w:t>
      </w:r>
      <w:proofErr w:type="gramEnd"/>
      <w:r w:rsidRPr="006774A0">
        <w:rPr>
          <w:color w:val="0000FF"/>
          <w:sz w:val="20"/>
          <w:szCs w:val="20"/>
        </w:rPr>
        <w:t xml:space="preserve"> il complesso unitario delle entrate che finanzia l’amministrazione pubblica e quindi sostiene così la totalità delle sue spese durante la gestione. Le entrate in conto capitale sono destinate esclusivamente al finanziamento di spese di investimento.</w:t>
      </w:r>
    </w:p>
    <w:p w14:paraId="3D44AC25" w14:textId="77777777" w:rsidR="006774A0" w:rsidRPr="006774A0" w:rsidRDefault="006774A0" w:rsidP="006774A0">
      <w:pPr>
        <w:rPr>
          <w:color w:val="0000FF"/>
          <w:sz w:val="20"/>
          <w:szCs w:val="20"/>
        </w:rPr>
      </w:pPr>
      <w:r w:rsidRPr="006774A0">
        <w:rPr>
          <w:color w:val="0000FF"/>
          <w:sz w:val="20"/>
          <w:szCs w:val="20"/>
        </w:rPr>
        <w:t>I documenti contabili non possono essere articolati in maniera tale da destinare alcune fonti di entrata a copertura solo di determinate e specifiche spese, salvo diversa disposizione normativa di disciplina delle entrate vincolate.</w:t>
      </w:r>
    </w:p>
    <w:p w14:paraId="0E8CD2AC" w14:textId="77777777" w:rsidR="006774A0" w:rsidRPr="006774A0" w:rsidRDefault="006774A0" w:rsidP="006774A0">
      <w:pPr>
        <w:rPr>
          <w:color w:val="0000FF"/>
          <w:sz w:val="20"/>
          <w:szCs w:val="20"/>
        </w:rPr>
      </w:pPr>
    </w:p>
    <w:p w14:paraId="4B7AD20C" w14:textId="77777777" w:rsidR="006774A0" w:rsidRPr="006774A0" w:rsidRDefault="006774A0" w:rsidP="006774A0">
      <w:pPr>
        <w:rPr>
          <w:color w:val="0000FF"/>
          <w:sz w:val="20"/>
          <w:szCs w:val="20"/>
        </w:rPr>
      </w:pPr>
    </w:p>
    <w:p w14:paraId="41D8EDBA" w14:textId="77777777" w:rsidR="006774A0" w:rsidRPr="006774A0" w:rsidRDefault="006774A0" w:rsidP="006774A0">
      <w:pPr>
        <w:rPr>
          <w:color w:val="0000FF"/>
          <w:sz w:val="20"/>
          <w:szCs w:val="20"/>
        </w:rPr>
      </w:pPr>
      <w:r w:rsidRPr="006774A0">
        <w:rPr>
          <w:color w:val="0000FF"/>
          <w:sz w:val="20"/>
          <w:szCs w:val="20"/>
        </w:rPr>
        <w:t>3. Principio della universalità</w:t>
      </w:r>
    </w:p>
    <w:p w14:paraId="3A24CA78" w14:textId="77777777" w:rsidR="006774A0" w:rsidRPr="006774A0" w:rsidRDefault="006774A0" w:rsidP="006774A0">
      <w:pPr>
        <w:rPr>
          <w:color w:val="0000FF"/>
          <w:sz w:val="20"/>
          <w:szCs w:val="20"/>
        </w:rPr>
      </w:pPr>
    </w:p>
    <w:p w14:paraId="30782587" w14:textId="77777777" w:rsidR="006774A0" w:rsidRPr="006774A0" w:rsidRDefault="006774A0" w:rsidP="006774A0">
      <w:pPr>
        <w:rPr>
          <w:color w:val="0000FF"/>
          <w:sz w:val="20"/>
          <w:szCs w:val="20"/>
        </w:rPr>
      </w:pPr>
    </w:p>
    <w:p w14:paraId="0C446DE9" w14:textId="77777777" w:rsidR="006774A0" w:rsidRPr="006774A0" w:rsidRDefault="006774A0" w:rsidP="006774A0">
      <w:pPr>
        <w:rPr>
          <w:color w:val="0000FF"/>
          <w:sz w:val="20"/>
          <w:szCs w:val="20"/>
        </w:rPr>
      </w:pPr>
      <w:r w:rsidRPr="006774A0">
        <w:rPr>
          <w:color w:val="0000FF"/>
          <w:sz w:val="20"/>
          <w:szCs w:val="20"/>
        </w:rPr>
        <w:t>Il sistema di bilancio ricomprende tutte le finalità e gli obiettivi di gestione, nonché i relativi valori finanziari, economici e patrimoniali riconducibili alla singola amministrazione pubblica, al fine di fornire una rappresentazione veritiera e corretta della complessa attività amministrativa svolta nell’esercizio e degli andamenti dell’amministrazione, anche nell’ottica degli equilibri economico – finanziari del sistema di bilancio.</w:t>
      </w:r>
    </w:p>
    <w:p w14:paraId="38392A29" w14:textId="77777777" w:rsidR="006774A0" w:rsidRPr="006774A0" w:rsidRDefault="006774A0" w:rsidP="006774A0">
      <w:pPr>
        <w:rPr>
          <w:color w:val="0000FF"/>
          <w:sz w:val="20"/>
          <w:szCs w:val="20"/>
        </w:rPr>
      </w:pPr>
      <w:r w:rsidRPr="006774A0">
        <w:rPr>
          <w:color w:val="0000FF"/>
          <w:sz w:val="20"/>
          <w:szCs w:val="20"/>
        </w:rPr>
        <w:t xml:space="preserve">Sono incompatibili con il principio dell’universalità le gestioni fuori bilancio, consistenti in gestioni </w:t>
      </w:r>
      <w:proofErr w:type="gramStart"/>
      <w:r w:rsidRPr="006774A0">
        <w:rPr>
          <w:color w:val="0000FF"/>
          <w:sz w:val="20"/>
          <w:szCs w:val="20"/>
        </w:rPr>
        <w:t>poste in essere</w:t>
      </w:r>
      <w:proofErr w:type="gramEnd"/>
      <w:r w:rsidRPr="006774A0">
        <w:rPr>
          <w:color w:val="0000FF"/>
          <w:sz w:val="20"/>
          <w:szCs w:val="20"/>
        </w:rPr>
        <w:t xml:space="preserve"> dalla singola amministrazione o da sue articolazioni organizzative – che non abbiano autonomia gestionale – che non transitano nel bilancio. Le contabilità separate, ove ammesse dalla normativa, devono essere ricondotte al sistema di bilancio dell’amministrazione entro i termini dell’esercizio.</w:t>
      </w:r>
    </w:p>
    <w:p w14:paraId="04132850" w14:textId="77777777" w:rsidR="006774A0" w:rsidRPr="006774A0" w:rsidRDefault="006774A0" w:rsidP="006774A0">
      <w:pPr>
        <w:rPr>
          <w:color w:val="0000FF"/>
          <w:sz w:val="20"/>
          <w:szCs w:val="20"/>
        </w:rPr>
      </w:pPr>
      <w:r w:rsidRPr="006774A0">
        <w:rPr>
          <w:color w:val="0000FF"/>
          <w:sz w:val="20"/>
          <w:szCs w:val="20"/>
        </w:rPr>
        <w:t>4. Principio della integrità</w:t>
      </w:r>
    </w:p>
    <w:p w14:paraId="6DFE2820" w14:textId="77777777" w:rsidR="006774A0" w:rsidRPr="006774A0" w:rsidRDefault="006774A0" w:rsidP="006774A0">
      <w:pPr>
        <w:rPr>
          <w:color w:val="0000FF"/>
          <w:sz w:val="20"/>
          <w:szCs w:val="20"/>
        </w:rPr>
      </w:pPr>
      <w:r w:rsidRPr="006774A0">
        <w:rPr>
          <w:color w:val="0000FF"/>
          <w:sz w:val="20"/>
          <w:szCs w:val="20"/>
        </w:rPr>
        <w:t>Nel bilancio di previsione e nei documenti di rendicontazione le entrate devono essere iscritte al lordo delle spese sostenute per la riscossione e di altre eventuali spese ad esse connesse e, parimenti, le spese devono essere iscritte al lordo delle correlate entrate, senza compensazioni di partite.</w:t>
      </w:r>
    </w:p>
    <w:p w14:paraId="4A565420" w14:textId="77777777" w:rsidR="006774A0" w:rsidRPr="006774A0" w:rsidRDefault="006774A0" w:rsidP="006774A0">
      <w:pPr>
        <w:rPr>
          <w:color w:val="0000FF"/>
          <w:sz w:val="20"/>
          <w:szCs w:val="20"/>
        </w:rPr>
      </w:pPr>
      <w:r w:rsidRPr="006774A0">
        <w:rPr>
          <w:color w:val="0000FF"/>
          <w:sz w:val="20"/>
          <w:szCs w:val="20"/>
        </w:rPr>
        <w:t>Lo stesso principio si applica a tutti i valori del sistema di bilancio, quindi anche ai valori economici ed alle grandezze patrimoniali che si ritrovano nel conto economico e nel conto del patrimonio.</w:t>
      </w:r>
    </w:p>
    <w:p w14:paraId="6CE63D3E" w14:textId="77777777" w:rsidR="006774A0" w:rsidRPr="006774A0" w:rsidRDefault="006774A0" w:rsidP="006774A0">
      <w:pPr>
        <w:rPr>
          <w:color w:val="0000FF"/>
          <w:sz w:val="20"/>
          <w:szCs w:val="20"/>
        </w:rPr>
      </w:pPr>
    </w:p>
    <w:p w14:paraId="57C869C2" w14:textId="77777777" w:rsidR="006774A0" w:rsidRPr="006774A0" w:rsidRDefault="006774A0" w:rsidP="006774A0">
      <w:pPr>
        <w:rPr>
          <w:color w:val="0000FF"/>
          <w:sz w:val="20"/>
          <w:szCs w:val="20"/>
        </w:rPr>
      </w:pPr>
    </w:p>
    <w:p w14:paraId="3E8E2998" w14:textId="77777777" w:rsidR="006774A0" w:rsidRPr="006774A0" w:rsidRDefault="006774A0" w:rsidP="006774A0">
      <w:pPr>
        <w:rPr>
          <w:color w:val="0000FF"/>
          <w:sz w:val="20"/>
          <w:szCs w:val="20"/>
        </w:rPr>
      </w:pPr>
      <w:r w:rsidRPr="006774A0">
        <w:rPr>
          <w:color w:val="0000FF"/>
          <w:sz w:val="20"/>
          <w:szCs w:val="20"/>
        </w:rPr>
        <w:t>5. Principio della veridicità attendibilità, correttezza, e comprensibilità</w:t>
      </w:r>
    </w:p>
    <w:p w14:paraId="6EDE7832" w14:textId="77777777" w:rsidR="006774A0" w:rsidRPr="006774A0" w:rsidRDefault="006774A0" w:rsidP="006774A0">
      <w:pPr>
        <w:rPr>
          <w:color w:val="0000FF"/>
          <w:sz w:val="20"/>
          <w:szCs w:val="20"/>
        </w:rPr>
      </w:pPr>
    </w:p>
    <w:p w14:paraId="67B5F70B" w14:textId="77777777" w:rsidR="006774A0" w:rsidRPr="006774A0" w:rsidRDefault="006774A0" w:rsidP="006774A0">
      <w:pPr>
        <w:rPr>
          <w:color w:val="0000FF"/>
          <w:sz w:val="20"/>
          <w:szCs w:val="20"/>
        </w:rPr>
      </w:pPr>
    </w:p>
    <w:p w14:paraId="4AD35BF4" w14:textId="77777777" w:rsidR="006774A0" w:rsidRPr="006774A0" w:rsidRDefault="006774A0" w:rsidP="006774A0">
      <w:pPr>
        <w:rPr>
          <w:color w:val="0000FF"/>
          <w:sz w:val="20"/>
          <w:szCs w:val="20"/>
        </w:rPr>
      </w:pPr>
      <w:r w:rsidRPr="006774A0">
        <w:rPr>
          <w:color w:val="0000FF"/>
          <w:sz w:val="20"/>
          <w:szCs w:val="20"/>
        </w:rPr>
        <w:t xml:space="preserve">Il principio della «veridicità» fa esplicito riferimento al principio del </w:t>
      </w:r>
      <w:proofErr w:type="spellStart"/>
      <w:r w:rsidRPr="006774A0">
        <w:rPr>
          <w:color w:val="0000FF"/>
          <w:sz w:val="20"/>
          <w:szCs w:val="20"/>
        </w:rPr>
        <w:t>true</w:t>
      </w:r>
      <w:proofErr w:type="spellEnd"/>
      <w:r w:rsidRPr="006774A0">
        <w:rPr>
          <w:color w:val="0000FF"/>
          <w:sz w:val="20"/>
          <w:szCs w:val="20"/>
        </w:rPr>
        <w:t xml:space="preserve"> and fair </w:t>
      </w:r>
      <w:proofErr w:type="spellStart"/>
      <w:r w:rsidRPr="006774A0">
        <w:rPr>
          <w:color w:val="0000FF"/>
          <w:sz w:val="20"/>
          <w:szCs w:val="20"/>
        </w:rPr>
        <w:t>viewche</w:t>
      </w:r>
      <w:proofErr w:type="spellEnd"/>
      <w:r w:rsidRPr="006774A0">
        <w:rPr>
          <w:color w:val="0000FF"/>
          <w:sz w:val="20"/>
          <w:szCs w:val="20"/>
        </w:rPr>
        <w:t xml:space="preserve"> ricerca nei dati contabili di bilancio la rappresentazione delle reali condizioni delle operazioni di gestione di natura economica, patrimoniale e finanziaria di esercizio.</w:t>
      </w:r>
    </w:p>
    <w:p w14:paraId="297B7C41" w14:textId="77777777" w:rsidR="006774A0" w:rsidRPr="006774A0" w:rsidRDefault="006774A0" w:rsidP="006774A0">
      <w:pPr>
        <w:rPr>
          <w:color w:val="0000FF"/>
          <w:sz w:val="20"/>
          <w:szCs w:val="20"/>
        </w:rPr>
      </w:pPr>
      <w:r w:rsidRPr="006774A0">
        <w:rPr>
          <w:color w:val="0000FF"/>
          <w:sz w:val="20"/>
          <w:szCs w:val="20"/>
        </w:rPr>
        <w:t>Il principio della veridicità non si applica solo ai documenti di rendicontazione e alla gestione, ma anche ai documenti di previsione nei quali è da intendersi come rigorosa valutazione dei flussi finanziari (e nel caso anche economici) generati dalle operazioni che si svolgeranno nel futuro periodo di riferimento. Si devono quindi evitare le sottovalutazioni e le sopravalutazioni delle singole poste che invece devono essere valutate secondo una rigorosa analisi di controllo.</w:t>
      </w:r>
    </w:p>
    <w:p w14:paraId="015A9093" w14:textId="77777777" w:rsidR="006774A0" w:rsidRPr="006774A0" w:rsidRDefault="006774A0" w:rsidP="006774A0">
      <w:pPr>
        <w:rPr>
          <w:color w:val="0000FF"/>
          <w:sz w:val="20"/>
          <w:szCs w:val="20"/>
        </w:rPr>
      </w:pPr>
      <w:r w:rsidRPr="006774A0">
        <w:rPr>
          <w:color w:val="0000FF"/>
          <w:sz w:val="20"/>
          <w:szCs w:val="20"/>
        </w:rPr>
        <w:t>Una corretta interpretazione del principio della veridicità richiede anche l’enunciazione degli altri postulati di bilancio (attendibilità, correttezza e comprensibilità). Il principio di veridicità è quindi da considerarsi un obiettivo a cui tendono i postulati e i principi contabili generali.</w:t>
      </w:r>
    </w:p>
    <w:p w14:paraId="0A690B68" w14:textId="77777777" w:rsidR="006774A0" w:rsidRPr="006774A0" w:rsidRDefault="006774A0" w:rsidP="006774A0">
      <w:pPr>
        <w:rPr>
          <w:color w:val="0000FF"/>
          <w:sz w:val="20"/>
          <w:szCs w:val="20"/>
        </w:rPr>
      </w:pPr>
      <w:r w:rsidRPr="006774A0">
        <w:rPr>
          <w:color w:val="0000FF"/>
          <w:sz w:val="20"/>
          <w:szCs w:val="20"/>
        </w:rPr>
        <w:t>Le previsioni e in generale tutte le valutazioni a contenuto economico – finanziario e patrimoniale, devono essere, inoltre, sostenute da accurate analisi di tipo storico e programmatico o, in mancanza, da altri idonei ed obiettivi parametri di riferimento, nonché da fondate aspettative di acquisizione e di</w:t>
      </w:r>
    </w:p>
    <w:p w14:paraId="7AE74A81" w14:textId="77777777" w:rsidR="006774A0" w:rsidRPr="006774A0" w:rsidRDefault="006774A0" w:rsidP="006774A0">
      <w:pPr>
        <w:rPr>
          <w:color w:val="0000FF"/>
          <w:sz w:val="20"/>
          <w:szCs w:val="20"/>
        </w:rPr>
      </w:pPr>
      <w:r w:rsidRPr="006774A0">
        <w:rPr>
          <w:color w:val="0000FF"/>
          <w:sz w:val="20"/>
          <w:szCs w:val="20"/>
        </w:rPr>
        <w:t>utilizzo delle risorse al fine di rendere attendibili i documenti predisposti (principio dell’attendibilità). Tale principio non è applicabile solo ai documenti contabili di programmazione e previsione, ma anche al rendiconto e al bilancio d’esercizio, per la redazione dei quali occorre un processo di valutazione. Il principio in argomento di estende ai documenti descrittivi ed accompagnatori. Un’informazione contabile è attendibile se è scevra da errori e distorsioni rilevanti e se gli utilizzatori possono fare affidamento su di essa. L’oggettività degli andamenti storici e dei suddetti parametri di riferimento, ad integrazione di quelli eventualmente previsti dalle norme, consente di effettuare razionali e significative comparazioni nel tempo e nello spazio e, a parità di altre condizioni, di avvicinarsi alla realtà con un maggior grado di approssimazione.</w:t>
      </w:r>
    </w:p>
    <w:p w14:paraId="16222546" w14:textId="77777777" w:rsidR="006774A0" w:rsidRPr="006774A0" w:rsidRDefault="006774A0" w:rsidP="006774A0">
      <w:pPr>
        <w:rPr>
          <w:color w:val="0000FF"/>
          <w:sz w:val="20"/>
          <w:szCs w:val="20"/>
        </w:rPr>
      </w:pPr>
      <w:r w:rsidRPr="006774A0">
        <w:rPr>
          <w:color w:val="0000FF"/>
          <w:sz w:val="20"/>
          <w:szCs w:val="20"/>
        </w:rPr>
        <w:t>Il rispetto formale e sostanziale delle norme che disciplinano la redazione dei documenti contabili di programmazione e previsione, di gestione e controllo e di rendicontazione deve, inoltre, caratterizzare la formazione dei citati documenti (principio della correttezza). Infatti, il principio della correttezza si estende anche ai principi contabili generali e applicati che costituiscono i fondamenti e le regole di carattere generale cui deve informarsi l’intero sistema di bilancio, anche non previste da norme giuridiche, ma che ispirano il buon andamento dei sistemi contabili adottati da ogni specifica amministrazione pubblica. Il principio della correttezza si applica anche alle comunicazioni e ai dati oggetto del monitoraggio da parte delle istituzioni preposte al governo della finanza pubblica.</w:t>
      </w:r>
    </w:p>
    <w:p w14:paraId="36FCA79A" w14:textId="77777777" w:rsidR="006774A0" w:rsidRPr="006774A0" w:rsidRDefault="006774A0" w:rsidP="006774A0">
      <w:pPr>
        <w:rPr>
          <w:color w:val="0000FF"/>
          <w:sz w:val="20"/>
          <w:szCs w:val="20"/>
        </w:rPr>
      </w:pPr>
      <w:r w:rsidRPr="006774A0">
        <w:rPr>
          <w:color w:val="0000FF"/>
          <w:sz w:val="20"/>
          <w:szCs w:val="20"/>
        </w:rPr>
        <w:t xml:space="preserve">Infine, il sistema di bilancio deve essere comprensibile e deve perciò presentare una chiara classificazione delle voci finanziarie, economiche e patrimoniali (principio della chiarezza o comprensibilità). Il principio della chiarezza o comprensibilità è rafforzativo del principio base della </w:t>
      </w:r>
      <w:proofErr w:type="gramStart"/>
      <w:r w:rsidRPr="006774A0">
        <w:rPr>
          <w:color w:val="0000FF"/>
          <w:sz w:val="20"/>
          <w:szCs w:val="20"/>
        </w:rPr>
        <w:t>veridicità .Al</w:t>
      </w:r>
      <w:proofErr w:type="gramEnd"/>
      <w:r w:rsidRPr="006774A0">
        <w:rPr>
          <w:color w:val="0000FF"/>
          <w:sz w:val="20"/>
          <w:szCs w:val="20"/>
        </w:rPr>
        <w:t xml:space="preserve"> fine di consentire una rappresentazione chiara dell’attività svolta, le registrazioni contabili ed i documenti di bilancio adottano il sistema di classificazione previsto dall’ordinamento contabile e finanziario, uniformandosi alle istruzioni dei relativi glossari. L’articolazione del sistema di bilancio deve essere tale da facilitarne – tra l’altro – la comprensione e permetterne la consultazione rendendo evidenti le informazioni previsionali, gestionali e di rendicontazione in esso contenute</w:t>
      </w:r>
      <w:proofErr w:type="gramStart"/>
      <w:r w:rsidRPr="006774A0">
        <w:rPr>
          <w:color w:val="0000FF"/>
          <w:sz w:val="20"/>
          <w:szCs w:val="20"/>
        </w:rPr>
        <w:t>. .</w:t>
      </w:r>
      <w:proofErr w:type="gramEnd"/>
      <w:r w:rsidRPr="006774A0">
        <w:rPr>
          <w:color w:val="0000FF"/>
          <w:sz w:val="20"/>
          <w:szCs w:val="20"/>
        </w:rPr>
        <w:t xml:space="preserve"> Il sistema di bilancio deve essere corredato da una informativa supplementare che faciliti la comprensione e l'intelligibilità dei documenti. L’adozione di una corretta classificazione dei documenti contabili costituisce una condizione necessaria per garantire il corretto monitoraggio e consolidamento dei conti pubblici da parte delle istituzioni preposte al coordinamento e controllo della finanza pubblica.</w:t>
      </w:r>
    </w:p>
    <w:p w14:paraId="15B68921" w14:textId="77777777" w:rsidR="006774A0" w:rsidRPr="006774A0" w:rsidRDefault="006774A0" w:rsidP="006774A0">
      <w:pPr>
        <w:rPr>
          <w:color w:val="0000FF"/>
          <w:sz w:val="20"/>
          <w:szCs w:val="20"/>
        </w:rPr>
      </w:pPr>
      <w:r w:rsidRPr="006774A0">
        <w:rPr>
          <w:color w:val="0000FF"/>
          <w:sz w:val="20"/>
          <w:szCs w:val="20"/>
        </w:rPr>
        <w:t>Una qualità essenziale delle informazioni contenute nel sistema di bilancio è che esse siano prontamente comprensibili dagli utilizzatori e che abbiano la capacità di garantire sinteticità ed al tempo stesso analiticità delle conoscenze. A tale scopo, si assume che gli utilizzatori possano con la normale diligenza esaminare i dati contabili dei bilanci ed abbiano una ragionevole conoscenza dell’attività svolta dall’amministrazione pubblica considerata e dei sistemi contabili adottati, al fine di ottenere, dagli elementi quantitativi e qualitativi disponibili, chiare e trasparenti informazioni.</w:t>
      </w:r>
    </w:p>
    <w:p w14:paraId="16B763B9" w14:textId="77777777" w:rsidR="006774A0" w:rsidRPr="006774A0" w:rsidRDefault="006774A0" w:rsidP="006774A0">
      <w:pPr>
        <w:rPr>
          <w:color w:val="0000FF"/>
          <w:sz w:val="20"/>
          <w:szCs w:val="20"/>
        </w:rPr>
      </w:pPr>
      <w:r w:rsidRPr="006774A0">
        <w:rPr>
          <w:color w:val="0000FF"/>
          <w:sz w:val="20"/>
          <w:szCs w:val="20"/>
        </w:rPr>
        <w:t>I documenti contabili che non rispettano il principio della veridicità e tutti gli altri principi allo stesso collegati, non possono acquisire il parere favorevole da parte degli organi preposti al controllo e alla revisione contabile.</w:t>
      </w:r>
    </w:p>
    <w:p w14:paraId="1479748B" w14:textId="77777777" w:rsidR="006774A0" w:rsidRPr="006774A0" w:rsidRDefault="006774A0" w:rsidP="006774A0">
      <w:pPr>
        <w:rPr>
          <w:color w:val="0000FF"/>
          <w:sz w:val="20"/>
          <w:szCs w:val="20"/>
        </w:rPr>
      </w:pPr>
    </w:p>
    <w:p w14:paraId="1278C527" w14:textId="77777777" w:rsidR="006774A0" w:rsidRPr="006774A0" w:rsidRDefault="006774A0" w:rsidP="006774A0">
      <w:pPr>
        <w:rPr>
          <w:color w:val="0000FF"/>
          <w:sz w:val="20"/>
          <w:szCs w:val="20"/>
        </w:rPr>
      </w:pPr>
    </w:p>
    <w:p w14:paraId="3E3015AD" w14:textId="77777777" w:rsidR="006774A0" w:rsidRPr="006774A0" w:rsidRDefault="006774A0" w:rsidP="006774A0">
      <w:pPr>
        <w:rPr>
          <w:color w:val="0000FF"/>
          <w:sz w:val="20"/>
          <w:szCs w:val="20"/>
        </w:rPr>
      </w:pPr>
      <w:r w:rsidRPr="006774A0">
        <w:rPr>
          <w:color w:val="0000FF"/>
          <w:sz w:val="20"/>
          <w:szCs w:val="20"/>
        </w:rPr>
        <w:t>6. Principio della significatività e rilevanza</w:t>
      </w:r>
    </w:p>
    <w:p w14:paraId="55BC63A4" w14:textId="77777777" w:rsidR="006774A0" w:rsidRPr="006774A0" w:rsidRDefault="006774A0" w:rsidP="006774A0">
      <w:pPr>
        <w:rPr>
          <w:color w:val="0000FF"/>
          <w:sz w:val="20"/>
          <w:szCs w:val="20"/>
        </w:rPr>
      </w:pPr>
    </w:p>
    <w:p w14:paraId="37476398" w14:textId="77777777" w:rsidR="006774A0" w:rsidRPr="006774A0" w:rsidRDefault="006774A0" w:rsidP="006774A0">
      <w:pPr>
        <w:rPr>
          <w:color w:val="0000FF"/>
          <w:sz w:val="20"/>
          <w:szCs w:val="20"/>
        </w:rPr>
      </w:pPr>
    </w:p>
    <w:p w14:paraId="48C48FF7" w14:textId="77777777" w:rsidR="006774A0" w:rsidRPr="006774A0" w:rsidRDefault="006774A0" w:rsidP="006774A0">
      <w:pPr>
        <w:rPr>
          <w:color w:val="0000FF"/>
          <w:sz w:val="20"/>
          <w:szCs w:val="20"/>
        </w:rPr>
      </w:pPr>
      <w:r w:rsidRPr="006774A0">
        <w:rPr>
          <w:color w:val="0000FF"/>
          <w:sz w:val="20"/>
          <w:szCs w:val="20"/>
        </w:rPr>
        <w:t>Per essere utile, un'informazione deve essere significativa per le esigenze informative connesse al processo decisionale degli utilizzatori. L’informazione è qualitativamente significativa quando è in grado di influenzare le decisioni degli utilizzatori aiutandoli a valutare gli eventi passati, presenti o futuri, oppure confermando o correggendo valutazioni da loro effettuate precedentemente.</w:t>
      </w:r>
    </w:p>
    <w:p w14:paraId="37D3D717" w14:textId="77777777" w:rsidR="006774A0" w:rsidRPr="006774A0" w:rsidRDefault="006774A0" w:rsidP="006774A0">
      <w:pPr>
        <w:rPr>
          <w:color w:val="0000FF"/>
          <w:sz w:val="20"/>
          <w:szCs w:val="20"/>
        </w:rPr>
      </w:pPr>
      <w:r w:rsidRPr="006774A0">
        <w:rPr>
          <w:color w:val="0000FF"/>
          <w:sz w:val="20"/>
          <w:szCs w:val="20"/>
        </w:rPr>
        <w:t>Il procedimento di formazione del sistema di bilancio implica delle stime o previsioni. Pertanto, la correttezza dei dati di bilancio non si riferisce soltanto all'esattezza aritmetica, bensì alla ragionevolezza, ed all’applicazione oculata e corretta dei procedimenti di valutazione adottati nella stesura del bilancio di previsione, del rendiconto e del bilancio d’esercizio.</w:t>
      </w:r>
    </w:p>
    <w:p w14:paraId="54EF5775" w14:textId="77777777" w:rsidR="006774A0" w:rsidRPr="006774A0" w:rsidRDefault="006774A0" w:rsidP="006774A0">
      <w:pPr>
        <w:rPr>
          <w:color w:val="0000FF"/>
          <w:sz w:val="20"/>
          <w:szCs w:val="20"/>
        </w:rPr>
      </w:pPr>
      <w:r w:rsidRPr="006774A0">
        <w:rPr>
          <w:color w:val="0000FF"/>
          <w:sz w:val="20"/>
          <w:szCs w:val="20"/>
        </w:rPr>
        <w:t xml:space="preserve">Errori, semplificazioni e arrotondamenti sono tecnicamente inevitabili e trovano il loro limite nel concetto di rilevanza; </w:t>
      </w:r>
      <w:proofErr w:type="gramStart"/>
      <w:r w:rsidRPr="006774A0">
        <w:rPr>
          <w:color w:val="0000FF"/>
          <w:sz w:val="20"/>
          <w:szCs w:val="20"/>
        </w:rPr>
        <w:t>essi</w:t>
      </w:r>
      <w:proofErr w:type="gramEnd"/>
      <w:r w:rsidRPr="006774A0">
        <w:rPr>
          <w:color w:val="0000FF"/>
          <w:sz w:val="20"/>
          <w:szCs w:val="20"/>
        </w:rPr>
        <w:t xml:space="preserve"> cioè non devono essere di portata tale da avere un effetto rilevante sui dati del sistema di bilancio e sul loro significato per i destinatari.</w:t>
      </w:r>
    </w:p>
    <w:p w14:paraId="7CFB15FE" w14:textId="77777777" w:rsidR="006774A0" w:rsidRPr="006774A0" w:rsidRDefault="006774A0" w:rsidP="006774A0">
      <w:pPr>
        <w:rPr>
          <w:color w:val="0000FF"/>
          <w:sz w:val="20"/>
          <w:szCs w:val="20"/>
        </w:rPr>
      </w:pPr>
      <w:r w:rsidRPr="006774A0">
        <w:rPr>
          <w:color w:val="0000FF"/>
          <w:sz w:val="20"/>
          <w:szCs w:val="20"/>
        </w:rPr>
        <w:t>L’effetto deve essere anche valutato ai fini degli equilibri finanziari ed economici del bilancio di previsione, del rendiconto e del bilancio d’esercizio.</w:t>
      </w:r>
    </w:p>
    <w:p w14:paraId="4787A018" w14:textId="77777777" w:rsidR="006774A0" w:rsidRPr="006774A0" w:rsidRDefault="006774A0" w:rsidP="006774A0">
      <w:pPr>
        <w:rPr>
          <w:color w:val="0000FF"/>
          <w:sz w:val="20"/>
          <w:szCs w:val="20"/>
        </w:rPr>
      </w:pPr>
      <w:r w:rsidRPr="006774A0">
        <w:rPr>
          <w:color w:val="0000FF"/>
          <w:sz w:val="20"/>
          <w:szCs w:val="20"/>
        </w:rPr>
        <w:t>L’informazione è rilevante se la sua omissione o errata presentazione può influenzare le decisioni degli utilizzatori prese sulla base del sistema di bilancio. La rilevanza dipende dalla dimensione quantitativa della posta, valutata comparativamente con i valori complessivi del sistema di bilancio, e dall’errore giudicato nelle specifiche circostanze di omissione o errata presentazione.</w:t>
      </w:r>
    </w:p>
    <w:p w14:paraId="39158512" w14:textId="77777777" w:rsidR="006774A0" w:rsidRPr="006774A0" w:rsidRDefault="006774A0" w:rsidP="006774A0">
      <w:pPr>
        <w:rPr>
          <w:color w:val="0000FF"/>
          <w:sz w:val="20"/>
          <w:szCs w:val="20"/>
        </w:rPr>
      </w:pPr>
    </w:p>
    <w:p w14:paraId="099EE0E7" w14:textId="77777777" w:rsidR="006774A0" w:rsidRPr="006774A0" w:rsidRDefault="006774A0" w:rsidP="006774A0">
      <w:pPr>
        <w:rPr>
          <w:color w:val="0000FF"/>
          <w:sz w:val="20"/>
          <w:szCs w:val="20"/>
        </w:rPr>
      </w:pPr>
    </w:p>
    <w:p w14:paraId="2F26BDD5" w14:textId="77777777" w:rsidR="006774A0" w:rsidRPr="006774A0" w:rsidRDefault="006774A0" w:rsidP="006774A0">
      <w:pPr>
        <w:rPr>
          <w:color w:val="0000FF"/>
          <w:sz w:val="20"/>
          <w:szCs w:val="20"/>
        </w:rPr>
      </w:pPr>
      <w:r w:rsidRPr="006774A0">
        <w:rPr>
          <w:color w:val="0000FF"/>
          <w:sz w:val="20"/>
          <w:szCs w:val="20"/>
        </w:rPr>
        <w:t>7. Principio della Flessibilità</w:t>
      </w:r>
    </w:p>
    <w:p w14:paraId="7C4D6BE4" w14:textId="77777777" w:rsidR="006774A0" w:rsidRPr="006774A0" w:rsidRDefault="006774A0" w:rsidP="006774A0">
      <w:pPr>
        <w:rPr>
          <w:color w:val="0000FF"/>
          <w:sz w:val="20"/>
          <w:szCs w:val="20"/>
        </w:rPr>
      </w:pPr>
    </w:p>
    <w:p w14:paraId="41311006" w14:textId="77777777" w:rsidR="006774A0" w:rsidRPr="006774A0" w:rsidRDefault="006774A0" w:rsidP="006774A0">
      <w:pPr>
        <w:rPr>
          <w:color w:val="0000FF"/>
          <w:sz w:val="20"/>
          <w:szCs w:val="20"/>
        </w:rPr>
      </w:pPr>
    </w:p>
    <w:p w14:paraId="12409C4F" w14:textId="77777777" w:rsidR="006774A0" w:rsidRPr="006774A0" w:rsidRDefault="006774A0" w:rsidP="006774A0">
      <w:pPr>
        <w:rPr>
          <w:color w:val="0000FF"/>
          <w:sz w:val="20"/>
          <w:szCs w:val="20"/>
        </w:rPr>
      </w:pPr>
      <w:r w:rsidRPr="006774A0">
        <w:rPr>
          <w:color w:val="0000FF"/>
          <w:sz w:val="20"/>
          <w:szCs w:val="20"/>
        </w:rPr>
        <w:t>Nel sistema del bilancio di previsione i documenti non debbono essere interpretati come immodificabili, perché questo comporterebbe una rigidità nella gestione che può rivelarsi controproducente.</w:t>
      </w:r>
    </w:p>
    <w:p w14:paraId="53B94C47" w14:textId="77777777" w:rsidR="006774A0" w:rsidRPr="006774A0" w:rsidRDefault="006774A0" w:rsidP="006774A0">
      <w:pPr>
        <w:rPr>
          <w:color w:val="0000FF"/>
          <w:sz w:val="20"/>
          <w:szCs w:val="20"/>
        </w:rPr>
      </w:pPr>
      <w:r w:rsidRPr="006774A0">
        <w:rPr>
          <w:color w:val="0000FF"/>
          <w:sz w:val="20"/>
          <w:szCs w:val="20"/>
        </w:rPr>
        <w:t>Il principio di flessibilità è volto a trovare all’interno dei documenti contabili di programmazione e previsione di bilancio la possibilità di fronteggiare gli effetti derivanti dalle circostanze imprevedibili e straordinarie che si possono manifestare durante la gestione, modificando i valori a suo tempo approvati dagli organi di governo.</w:t>
      </w:r>
    </w:p>
    <w:p w14:paraId="06B027DF" w14:textId="77777777" w:rsidR="006774A0" w:rsidRPr="006774A0" w:rsidRDefault="006774A0" w:rsidP="006774A0">
      <w:pPr>
        <w:rPr>
          <w:color w:val="0000FF"/>
          <w:sz w:val="20"/>
          <w:szCs w:val="20"/>
        </w:rPr>
      </w:pPr>
      <w:r w:rsidRPr="006774A0">
        <w:rPr>
          <w:color w:val="0000FF"/>
          <w:sz w:val="20"/>
          <w:szCs w:val="20"/>
        </w:rPr>
        <w:t>Per tale finalità la legge disciplina l’utilizzo di strumenti ordinari, come il fondo di riserva, destinati a garantire le risorse da impiegare a copertura delle spese relative a eventi prevedibili e straordinari.</w:t>
      </w:r>
    </w:p>
    <w:p w14:paraId="2EF654F4" w14:textId="77777777" w:rsidR="006774A0" w:rsidRPr="006774A0" w:rsidRDefault="006774A0" w:rsidP="006774A0">
      <w:pPr>
        <w:rPr>
          <w:color w:val="0000FF"/>
          <w:sz w:val="20"/>
          <w:szCs w:val="20"/>
        </w:rPr>
      </w:pPr>
      <w:r w:rsidRPr="006774A0">
        <w:rPr>
          <w:color w:val="0000FF"/>
          <w:sz w:val="20"/>
          <w:szCs w:val="20"/>
        </w:rPr>
        <w:t>Un eccessivo ricorso agli altri strumenti di flessibilità, quali le variazioni di bilancio, va visto come fatto negativo, in quanto inficia l’attendibilità del processo di programmazione e rende non credibile il complesso del sistema di bilancio.</w:t>
      </w:r>
    </w:p>
    <w:p w14:paraId="3B25DE4C" w14:textId="77777777" w:rsidR="006774A0" w:rsidRPr="006774A0" w:rsidRDefault="006774A0" w:rsidP="006774A0">
      <w:pPr>
        <w:rPr>
          <w:color w:val="0000FF"/>
          <w:sz w:val="20"/>
          <w:szCs w:val="20"/>
        </w:rPr>
      </w:pPr>
      <w:r w:rsidRPr="006774A0">
        <w:rPr>
          <w:color w:val="0000FF"/>
          <w:sz w:val="20"/>
          <w:szCs w:val="20"/>
        </w:rPr>
        <w:t>Differente funzione ha la flessibilità dei bilanci in sede gestionale, volta a consentire variazioni compensative tra le missioni e tra programmi conseguenti a provvedimenti di trasferimenti del personale all’interno di ciascuna amministrazione e la rimodulazione delle dotazioni finanziarie interne a ogni programma. Non è consentito l’utilizzo degli stanziamenti in conto capitale per finanziare spese correnti.</w:t>
      </w:r>
    </w:p>
    <w:p w14:paraId="36CDD24A" w14:textId="77777777" w:rsidR="006774A0" w:rsidRPr="006774A0" w:rsidRDefault="006774A0" w:rsidP="006774A0">
      <w:pPr>
        <w:rPr>
          <w:color w:val="0000FF"/>
          <w:sz w:val="20"/>
          <w:szCs w:val="20"/>
        </w:rPr>
      </w:pPr>
      <w:r w:rsidRPr="006774A0">
        <w:rPr>
          <w:color w:val="0000FF"/>
          <w:sz w:val="20"/>
          <w:szCs w:val="20"/>
        </w:rPr>
        <w:t>Il principio di flessibilità si applica non solo ai valori finanziari contenuti nel bilancio di previsione su cui transita la funzione autorizzatoria, ma anche ai documenti di programmazione sui quali si fonda la gestione ed il relativo controllo interno.</w:t>
      </w:r>
    </w:p>
    <w:p w14:paraId="11094211" w14:textId="77777777" w:rsidR="006774A0" w:rsidRPr="006774A0" w:rsidRDefault="006774A0" w:rsidP="006774A0">
      <w:pPr>
        <w:rPr>
          <w:color w:val="0000FF"/>
          <w:sz w:val="20"/>
          <w:szCs w:val="20"/>
        </w:rPr>
      </w:pPr>
      <w:r w:rsidRPr="006774A0">
        <w:rPr>
          <w:color w:val="0000FF"/>
          <w:sz w:val="20"/>
          <w:szCs w:val="20"/>
        </w:rPr>
        <w:t>È necessario che nella relazione illustrativa delle risultanze di esercizio si dia adeguata informazione sul numero, sull’entità e sulle ragioni che hanno portato a variazioni di bilancio in applicazione del principio e altresì sull’utilizzo degli strumenti ordinari di flessibilità previsti nel bilancio di previsione.</w:t>
      </w:r>
    </w:p>
    <w:p w14:paraId="2B385035" w14:textId="77777777" w:rsidR="006774A0" w:rsidRPr="006774A0" w:rsidRDefault="006774A0" w:rsidP="006774A0">
      <w:pPr>
        <w:rPr>
          <w:color w:val="0000FF"/>
          <w:sz w:val="20"/>
          <w:szCs w:val="20"/>
        </w:rPr>
      </w:pPr>
    </w:p>
    <w:p w14:paraId="2A69C66A" w14:textId="77777777" w:rsidR="006774A0" w:rsidRPr="006774A0" w:rsidRDefault="006774A0" w:rsidP="006774A0">
      <w:pPr>
        <w:rPr>
          <w:color w:val="0000FF"/>
          <w:sz w:val="20"/>
          <w:szCs w:val="20"/>
        </w:rPr>
      </w:pPr>
    </w:p>
    <w:p w14:paraId="36ED9D16" w14:textId="77777777" w:rsidR="006774A0" w:rsidRPr="006774A0" w:rsidRDefault="006774A0" w:rsidP="006774A0">
      <w:pPr>
        <w:rPr>
          <w:color w:val="0000FF"/>
          <w:sz w:val="20"/>
          <w:szCs w:val="20"/>
        </w:rPr>
      </w:pPr>
      <w:r w:rsidRPr="006774A0">
        <w:rPr>
          <w:color w:val="0000FF"/>
          <w:sz w:val="20"/>
          <w:szCs w:val="20"/>
        </w:rPr>
        <w:t>8. Principio della congruità</w:t>
      </w:r>
    </w:p>
    <w:p w14:paraId="54B020E5" w14:textId="77777777" w:rsidR="006774A0" w:rsidRPr="006774A0" w:rsidRDefault="006774A0" w:rsidP="006774A0">
      <w:pPr>
        <w:rPr>
          <w:color w:val="0000FF"/>
          <w:sz w:val="20"/>
          <w:szCs w:val="20"/>
        </w:rPr>
      </w:pPr>
    </w:p>
    <w:p w14:paraId="03EACB1C" w14:textId="77777777" w:rsidR="006774A0" w:rsidRPr="006774A0" w:rsidRDefault="006774A0" w:rsidP="006774A0">
      <w:pPr>
        <w:rPr>
          <w:color w:val="0000FF"/>
          <w:sz w:val="20"/>
          <w:szCs w:val="20"/>
        </w:rPr>
      </w:pPr>
    </w:p>
    <w:p w14:paraId="617EA372" w14:textId="77777777" w:rsidR="006774A0" w:rsidRPr="006774A0" w:rsidRDefault="006774A0" w:rsidP="006774A0">
      <w:pPr>
        <w:rPr>
          <w:color w:val="0000FF"/>
          <w:sz w:val="20"/>
          <w:szCs w:val="20"/>
        </w:rPr>
      </w:pPr>
      <w:r w:rsidRPr="006774A0">
        <w:rPr>
          <w:color w:val="0000FF"/>
          <w:sz w:val="20"/>
          <w:szCs w:val="20"/>
        </w:rPr>
        <w:t>La congruità consiste nella verifica dell’adeguatezza dei mezzi disponibili rispetto ai fini stabiliti. Il principio si collega a quello della coerenza, rafforzandone i contenuti di carattere finanziario, economico e patrimoniale, anche nel rispetto degli equilibri di bilancio.</w:t>
      </w:r>
    </w:p>
    <w:p w14:paraId="5251480C" w14:textId="77777777" w:rsidR="006774A0" w:rsidRPr="006774A0" w:rsidRDefault="006774A0" w:rsidP="006774A0">
      <w:pPr>
        <w:rPr>
          <w:color w:val="0000FF"/>
          <w:sz w:val="20"/>
          <w:szCs w:val="20"/>
        </w:rPr>
      </w:pPr>
      <w:r w:rsidRPr="006774A0">
        <w:rPr>
          <w:color w:val="0000FF"/>
          <w:sz w:val="20"/>
          <w:szCs w:val="20"/>
        </w:rPr>
        <w:t>La congruità delle entrate e delle spese deve essere valutata in relazione agli obiettivi programmati, agli andamenti storici ed al riflesso nel periodo degli impegni pluriennali che sono coerentemente rappresentati nel sistema di bilancio nelle fasi di previsione e programmazione, di gestione e rendicontazione.</w:t>
      </w:r>
    </w:p>
    <w:p w14:paraId="1345C2F6" w14:textId="77777777" w:rsidR="006774A0" w:rsidRPr="006774A0" w:rsidRDefault="006774A0" w:rsidP="006774A0">
      <w:pPr>
        <w:rPr>
          <w:color w:val="0000FF"/>
          <w:sz w:val="20"/>
          <w:szCs w:val="20"/>
        </w:rPr>
      </w:pPr>
    </w:p>
    <w:p w14:paraId="76551F98" w14:textId="77777777" w:rsidR="006774A0" w:rsidRPr="006774A0" w:rsidRDefault="006774A0" w:rsidP="006774A0">
      <w:pPr>
        <w:rPr>
          <w:color w:val="0000FF"/>
          <w:sz w:val="20"/>
          <w:szCs w:val="20"/>
        </w:rPr>
      </w:pPr>
    </w:p>
    <w:p w14:paraId="3AAA0E51" w14:textId="77777777" w:rsidR="006774A0" w:rsidRPr="006774A0" w:rsidRDefault="006774A0" w:rsidP="006774A0">
      <w:pPr>
        <w:rPr>
          <w:color w:val="0000FF"/>
          <w:sz w:val="20"/>
          <w:szCs w:val="20"/>
        </w:rPr>
      </w:pPr>
      <w:r w:rsidRPr="006774A0">
        <w:rPr>
          <w:color w:val="0000FF"/>
          <w:sz w:val="20"/>
          <w:szCs w:val="20"/>
        </w:rPr>
        <w:t>9. Principio della prudenza</w:t>
      </w:r>
    </w:p>
    <w:p w14:paraId="28F41C42" w14:textId="77777777" w:rsidR="006774A0" w:rsidRPr="006774A0" w:rsidRDefault="006774A0" w:rsidP="006774A0">
      <w:pPr>
        <w:rPr>
          <w:color w:val="0000FF"/>
          <w:sz w:val="20"/>
          <w:szCs w:val="20"/>
        </w:rPr>
      </w:pPr>
    </w:p>
    <w:p w14:paraId="37ECD9DB" w14:textId="77777777" w:rsidR="006774A0" w:rsidRPr="006774A0" w:rsidRDefault="006774A0" w:rsidP="006774A0">
      <w:pPr>
        <w:rPr>
          <w:color w:val="0000FF"/>
          <w:sz w:val="20"/>
          <w:szCs w:val="20"/>
        </w:rPr>
      </w:pPr>
    </w:p>
    <w:p w14:paraId="146E8426" w14:textId="77777777" w:rsidR="006774A0" w:rsidRPr="006774A0" w:rsidRDefault="006774A0" w:rsidP="006774A0">
      <w:pPr>
        <w:rPr>
          <w:color w:val="0000FF"/>
          <w:sz w:val="20"/>
          <w:szCs w:val="20"/>
        </w:rPr>
      </w:pPr>
      <w:r w:rsidRPr="006774A0">
        <w:rPr>
          <w:color w:val="0000FF"/>
          <w:sz w:val="20"/>
          <w:szCs w:val="20"/>
        </w:rPr>
        <w:t>Il principio della prudenza si applica sia nei documenti contabili di programmazione e del bilancio di previsione, sia nel rendiconto e bilancio d’esercizio.</w:t>
      </w:r>
    </w:p>
    <w:p w14:paraId="6ED05442" w14:textId="77777777" w:rsidR="006774A0" w:rsidRPr="006774A0" w:rsidRDefault="006774A0" w:rsidP="006774A0">
      <w:pPr>
        <w:rPr>
          <w:color w:val="0000FF"/>
          <w:sz w:val="20"/>
          <w:szCs w:val="20"/>
        </w:rPr>
      </w:pPr>
      <w:r w:rsidRPr="006774A0">
        <w:rPr>
          <w:color w:val="0000FF"/>
          <w:sz w:val="20"/>
          <w:szCs w:val="20"/>
        </w:rPr>
        <w:t>Nel bilancio di previsione, più precisamente nei documenti sia finanziari sia economici, devono essere iscritte solo le componenti positive che ragionevolmente saranno disponibili nel periodo amministrativo considerato, mentre le componenti negative saranno limitate alle sole voci degli impegni sostenibili e direttamente collegate alle risorse previste.</w:t>
      </w:r>
    </w:p>
    <w:p w14:paraId="493D597E" w14:textId="77777777" w:rsidR="006774A0" w:rsidRPr="006774A0" w:rsidRDefault="006774A0" w:rsidP="006774A0">
      <w:pPr>
        <w:rPr>
          <w:color w:val="0000FF"/>
          <w:sz w:val="20"/>
          <w:szCs w:val="20"/>
        </w:rPr>
      </w:pPr>
      <w:r w:rsidRPr="006774A0">
        <w:rPr>
          <w:color w:val="0000FF"/>
          <w:sz w:val="20"/>
          <w:szCs w:val="20"/>
        </w:rPr>
        <w:t>Nei documenti contabili di rendicontazione il principio della prudenza comporta che le componenti positive non realizzate non devono essere contabilizzate, mentre tutte le componenti negative devono essere contabilizzate e quindi rendicontate, anche se non sono definitivamente realizzate.</w:t>
      </w:r>
    </w:p>
    <w:p w14:paraId="519F17CE" w14:textId="77777777" w:rsidR="006774A0" w:rsidRPr="006774A0" w:rsidRDefault="006774A0" w:rsidP="006774A0">
      <w:pPr>
        <w:rPr>
          <w:color w:val="0000FF"/>
          <w:sz w:val="20"/>
          <w:szCs w:val="20"/>
        </w:rPr>
      </w:pPr>
      <w:r w:rsidRPr="006774A0">
        <w:rPr>
          <w:color w:val="0000FF"/>
          <w:sz w:val="20"/>
          <w:szCs w:val="20"/>
        </w:rPr>
        <w:t>Il principio della prudenza così definito rappresenta uno degli elementi fondamentali del processo formativo delle valutazioni presenti nei documenti contabili del sistema di bilancio. I suoi eccessi devono</w:t>
      </w:r>
    </w:p>
    <w:p w14:paraId="5F611C4A" w14:textId="77777777" w:rsidR="006774A0" w:rsidRPr="006774A0" w:rsidRDefault="006774A0" w:rsidP="006774A0">
      <w:pPr>
        <w:rPr>
          <w:color w:val="0000FF"/>
          <w:sz w:val="20"/>
          <w:szCs w:val="20"/>
        </w:rPr>
      </w:pPr>
      <w:r w:rsidRPr="006774A0">
        <w:rPr>
          <w:color w:val="0000FF"/>
          <w:sz w:val="20"/>
          <w:szCs w:val="20"/>
        </w:rPr>
        <w:t>però essere evitati perché sono pregiudizievoli al rispetto della rappresentazione veritiera e corretta delle scelte programmatiche e degli andamenti effettivi della gestione e quindi rendono il sistema di bilancio inattendibile.</w:t>
      </w:r>
    </w:p>
    <w:p w14:paraId="2B8736A6" w14:textId="77777777" w:rsidR="006774A0" w:rsidRPr="006774A0" w:rsidRDefault="006774A0" w:rsidP="006774A0">
      <w:pPr>
        <w:rPr>
          <w:color w:val="0000FF"/>
          <w:sz w:val="20"/>
          <w:szCs w:val="20"/>
        </w:rPr>
      </w:pPr>
      <w:r w:rsidRPr="006774A0">
        <w:rPr>
          <w:color w:val="0000FF"/>
          <w:sz w:val="20"/>
          <w:szCs w:val="20"/>
        </w:rPr>
        <w:t xml:space="preserve">Il principio della prudenza non deve condurre all’arbitraria e immotivata riduzione delle previsioni di entrata, proventi e valutazioni del patrimonio, bensì esprimere qualità di giudizi a cui deve informarsi un procedimento valutativo e di formazione dei documenti del sistema di bilancio che risulti veritiero e corretto. Ciò soprattutto nella ponderazione dei rischi e delle incertezze connessi agli andamenti operativi degli enti e nella logica di assicurare ragionevoli stanziamenti per la continuità </w:t>
      </w:r>
      <w:proofErr w:type="gramStart"/>
      <w:r w:rsidRPr="006774A0">
        <w:rPr>
          <w:color w:val="0000FF"/>
          <w:sz w:val="20"/>
          <w:szCs w:val="20"/>
        </w:rPr>
        <w:t>dell’ amministrazione</w:t>
      </w:r>
      <w:proofErr w:type="gramEnd"/>
      <w:r w:rsidRPr="006774A0">
        <w:rPr>
          <w:color w:val="0000FF"/>
          <w:sz w:val="20"/>
          <w:szCs w:val="20"/>
        </w:rPr>
        <w:t>.</w:t>
      </w:r>
    </w:p>
    <w:p w14:paraId="7D484A21" w14:textId="77777777" w:rsidR="006774A0" w:rsidRPr="006774A0" w:rsidRDefault="006774A0" w:rsidP="006774A0">
      <w:pPr>
        <w:rPr>
          <w:color w:val="0000FF"/>
          <w:sz w:val="20"/>
          <w:szCs w:val="20"/>
        </w:rPr>
      </w:pPr>
    </w:p>
    <w:p w14:paraId="5950CD4C" w14:textId="77777777" w:rsidR="006774A0" w:rsidRPr="006774A0" w:rsidRDefault="006774A0" w:rsidP="006774A0">
      <w:pPr>
        <w:rPr>
          <w:color w:val="0000FF"/>
          <w:sz w:val="20"/>
          <w:szCs w:val="20"/>
        </w:rPr>
      </w:pPr>
    </w:p>
    <w:p w14:paraId="0BE0B973" w14:textId="77777777" w:rsidR="006774A0" w:rsidRPr="006774A0" w:rsidRDefault="006774A0" w:rsidP="006774A0">
      <w:pPr>
        <w:rPr>
          <w:color w:val="0000FF"/>
          <w:sz w:val="20"/>
          <w:szCs w:val="20"/>
        </w:rPr>
      </w:pPr>
      <w:r w:rsidRPr="006774A0">
        <w:rPr>
          <w:color w:val="0000FF"/>
          <w:sz w:val="20"/>
          <w:szCs w:val="20"/>
        </w:rPr>
        <w:t>10. Principio della coerenza</w:t>
      </w:r>
    </w:p>
    <w:p w14:paraId="47372647" w14:textId="77777777" w:rsidR="006774A0" w:rsidRPr="006774A0" w:rsidRDefault="006774A0" w:rsidP="006774A0">
      <w:pPr>
        <w:rPr>
          <w:color w:val="0000FF"/>
          <w:sz w:val="20"/>
          <w:szCs w:val="20"/>
        </w:rPr>
      </w:pPr>
    </w:p>
    <w:p w14:paraId="29C43FCC" w14:textId="77777777" w:rsidR="006774A0" w:rsidRPr="006774A0" w:rsidRDefault="006774A0" w:rsidP="006774A0">
      <w:pPr>
        <w:rPr>
          <w:color w:val="0000FF"/>
          <w:sz w:val="20"/>
          <w:szCs w:val="20"/>
        </w:rPr>
      </w:pPr>
    </w:p>
    <w:p w14:paraId="68D02BF4" w14:textId="77777777" w:rsidR="006774A0" w:rsidRPr="006774A0" w:rsidRDefault="006774A0" w:rsidP="006774A0">
      <w:pPr>
        <w:rPr>
          <w:color w:val="0000FF"/>
          <w:sz w:val="20"/>
          <w:szCs w:val="20"/>
        </w:rPr>
      </w:pPr>
      <w:r w:rsidRPr="006774A0">
        <w:rPr>
          <w:color w:val="0000FF"/>
          <w:sz w:val="20"/>
          <w:szCs w:val="20"/>
        </w:rPr>
        <w:t xml:space="preserve">Occorre assicurare un nesso logico e conseguente fra la programmazione, la previsione, gli atti di gestione e la rendicontazione generale. La coerenza implica che queste stesse funzioni ed i documenti contabili e </w:t>
      </w:r>
      <w:proofErr w:type="gramStart"/>
      <w:r w:rsidRPr="006774A0">
        <w:rPr>
          <w:color w:val="0000FF"/>
          <w:sz w:val="20"/>
          <w:szCs w:val="20"/>
        </w:rPr>
        <w:t>non</w:t>
      </w:r>
      <w:proofErr w:type="gramEnd"/>
      <w:r w:rsidRPr="006774A0">
        <w:rPr>
          <w:color w:val="0000FF"/>
          <w:sz w:val="20"/>
          <w:szCs w:val="20"/>
        </w:rPr>
        <w:t>, ad esse collegati, siano strumentali al perseguimento dei medesimi obiettivi. Il nesso logico infatti deve collegare tutti gli atti contabili preventivi, gestionali e consuntivi, siano essi di carattere strettamente finanziario, o anche economico e patrimoniale, siano essi descrittivi e quantitativi, di indirizzo politico ed amministrativo, di breve o di lungo termine.</w:t>
      </w:r>
    </w:p>
    <w:p w14:paraId="15332E59" w14:textId="77777777" w:rsidR="006774A0" w:rsidRPr="006774A0" w:rsidRDefault="006774A0" w:rsidP="006774A0">
      <w:pPr>
        <w:rPr>
          <w:color w:val="0000FF"/>
          <w:sz w:val="20"/>
          <w:szCs w:val="20"/>
        </w:rPr>
      </w:pPr>
      <w:r w:rsidRPr="006774A0">
        <w:rPr>
          <w:color w:val="0000FF"/>
          <w:sz w:val="20"/>
          <w:szCs w:val="20"/>
        </w:rPr>
        <w:t>La coerenza interna implica:</w:t>
      </w:r>
    </w:p>
    <w:p w14:paraId="6785C5BA" w14:textId="77777777" w:rsidR="006774A0" w:rsidRPr="006774A0" w:rsidRDefault="006774A0" w:rsidP="006774A0">
      <w:pPr>
        <w:rPr>
          <w:color w:val="0000FF"/>
          <w:sz w:val="20"/>
          <w:szCs w:val="20"/>
        </w:rPr>
      </w:pPr>
      <w:r w:rsidRPr="006774A0">
        <w:rPr>
          <w:color w:val="0000FF"/>
          <w:sz w:val="20"/>
          <w:szCs w:val="20"/>
        </w:rPr>
        <w:t>- in sede preventiva, che gli strumenti di programmazione pluriennale e annuale siano conseguenti alla pianificazione dell’ente;</w:t>
      </w:r>
    </w:p>
    <w:p w14:paraId="11FF4FA8" w14:textId="77777777" w:rsidR="006774A0" w:rsidRPr="006774A0" w:rsidRDefault="006774A0" w:rsidP="006774A0">
      <w:pPr>
        <w:rPr>
          <w:color w:val="0000FF"/>
          <w:sz w:val="20"/>
          <w:szCs w:val="20"/>
        </w:rPr>
      </w:pPr>
      <w:r w:rsidRPr="006774A0">
        <w:rPr>
          <w:color w:val="0000FF"/>
          <w:sz w:val="20"/>
          <w:szCs w:val="20"/>
        </w:rPr>
        <w:t>- in sede di gestione, che le decisioni e gli atti non siano in contrasto con gli indirizzi e gli obiettivi indicati negli strumenti di programmazione pluriennale e annuale e non pregiudichino gli equilibri finanziari ed economici;</w:t>
      </w:r>
    </w:p>
    <w:p w14:paraId="0A9FA6C4" w14:textId="77777777" w:rsidR="006774A0" w:rsidRPr="006774A0" w:rsidRDefault="006774A0" w:rsidP="006774A0">
      <w:pPr>
        <w:rPr>
          <w:color w:val="0000FF"/>
          <w:sz w:val="20"/>
          <w:szCs w:val="20"/>
        </w:rPr>
      </w:pPr>
      <w:r w:rsidRPr="006774A0">
        <w:rPr>
          <w:color w:val="0000FF"/>
          <w:sz w:val="20"/>
          <w:szCs w:val="20"/>
        </w:rPr>
        <w:t>- in sede di rendicontazione, che sia dimostrato e motivato lo scostamento fra risultati ottenuti e quelli attesi.</w:t>
      </w:r>
    </w:p>
    <w:p w14:paraId="29CD72AA" w14:textId="77777777" w:rsidR="006774A0" w:rsidRPr="006774A0" w:rsidRDefault="006774A0" w:rsidP="006774A0">
      <w:pPr>
        <w:rPr>
          <w:color w:val="0000FF"/>
          <w:sz w:val="20"/>
          <w:szCs w:val="20"/>
        </w:rPr>
      </w:pPr>
      <w:r w:rsidRPr="006774A0">
        <w:rPr>
          <w:color w:val="0000FF"/>
          <w:sz w:val="20"/>
          <w:szCs w:val="20"/>
        </w:rPr>
        <w:t>La coerenza interna del sistema di bilancio riguarda anche i criteri particolari di valutazione delle singole poste in conformità ai postulati e principi generali e concerne le strutture e le classificazioni dei conti nel bilancio di previsione, nel rendiconto e nel bilancio d’esercizio. Le strutture dei conti devono essere tra loro comparabili non solo da un punto di vista formale ma anche di omogeneità e correttezza negli oggetti di analisi e negli aspetti di contenuto dei fenomeni esaminati.</w:t>
      </w:r>
    </w:p>
    <w:p w14:paraId="49B4A5D8" w14:textId="77777777" w:rsidR="006774A0" w:rsidRPr="006774A0" w:rsidRDefault="006774A0" w:rsidP="006774A0">
      <w:pPr>
        <w:rPr>
          <w:color w:val="0000FF"/>
          <w:sz w:val="20"/>
          <w:szCs w:val="20"/>
        </w:rPr>
      </w:pPr>
      <w:r w:rsidRPr="006774A0">
        <w:rPr>
          <w:color w:val="0000FF"/>
          <w:sz w:val="20"/>
          <w:szCs w:val="20"/>
        </w:rPr>
        <w:t>La coerenza esterna comporta una connessione fra il processo di programmazione, previsione, gestione e rendicontazione dell’amministrazione pubblica, le direttive e le scelte strategiche di altri livelli di governo del sistema pubblico anche secondo i principi di coordinamento della finanza pubblica.</w:t>
      </w:r>
    </w:p>
    <w:p w14:paraId="324B3140" w14:textId="77777777" w:rsidR="006774A0" w:rsidRPr="006774A0" w:rsidRDefault="006774A0" w:rsidP="006774A0">
      <w:pPr>
        <w:rPr>
          <w:color w:val="0000FF"/>
          <w:sz w:val="20"/>
          <w:szCs w:val="20"/>
        </w:rPr>
      </w:pPr>
    </w:p>
    <w:p w14:paraId="09AD3FAB" w14:textId="77777777" w:rsidR="006774A0" w:rsidRPr="006774A0" w:rsidRDefault="006774A0" w:rsidP="006774A0">
      <w:pPr>
        <w:rPr>
          <w:color w:val="0000FF"/>
          <w:sz w:val="20"/>
          <w:szCs w:val="20"/>
        </w:rPr>
      </w:pPr>
    </w:p>
    <w:p w14:paraId="5670274F" w14:textId="77777777" w:rsidR="006774A0" w:rsidRPr="006774A0" w:rsidRDefault="006774A0" w:rsidP="006774A0">
      <w:pPr>
        <w:rPr>
          <w:color w:val="0000FF"/>
          <w:sz w:val="20"/>
          <w:szCs w:val="20"/>
        </w:rPr>
      </w:pPr>
      <w:r w:rsidRPr="006774A0">
        <w:rPr>
          <w:color w:val="0000FF"/>
          <w:sz w:val="20"/>
          <w:szCs w:val="20"/>
        </w:rPr>
        <w:t>11. Principio della continuità e della costanza</w:t>
      </w:r>
    </w:p>
    <w:p w14:paraId="27A0F7A3" w14:textId="77777777" w:rsidR="006774A0" w:rsidRPr="006774A0" w:rsidRDefault="006774A0" w:rsidP="006774A0">
      <w:pPr>
        <w:rPr>
          <w:color w:val="0000FF"/>
          <w:sz w:val="20"/>
          <w:szCs w:val="20"/>
        </w:rPr>
      </w:pPr>
    </w:p>
    <w:p w14:paraId="6548FE4E" w14:textId="77777777" w:rsidR="006774A0" w:rsidRPr="006774A0" w:rsidRDefault="006774A0" w:rsidP="006774A0">
      <w:pPr>
        <w:rPr>
          <w:color w:val="0000FF"/>
          <w:sz w:val="20"/>
          <w:szCs w:val="20"/>
        </w:rPr>
      </w:pPr>
    </w:p>
    <w:p w14:paraId="3C50EB3A" w14:textId="77777777" w:rsidR="006774A0" w:rsidRPr="006774A0" w:rsidRDefault="006774A0" w:rsidP="006774A0">
      <w:pPr>
        <w:rPr>
          <w:color w:val="0000FF"/>
          <w:sz w:val="20"/>
          <w:szCs w:val="20"/>
        </w:rPr>
      </w:pPr>
      <w:r w:rsidRPr="006774A0">
        <w:rPr>
          <w:color w:val="0000FF"/>
          <w:sz w:val="20"/>
          <w:szCs w:val="20"/>
        </w:rPr>
        <w:t xml:space="preserve">La valutazione delle poste contabili di bilancio deve essere fatta nella prospettiva della continuazione delle attività istituzionali per le quali l’amministrazione pubblica è costituita. Il principio della continuità si fonda sulla considerazione che ogni sistema aziendale, sia pubblico sia privato, deve rispondere alla preliminare caratteristica di essere atto a perdurare nel tempo. </w:t>
      </w:r>
      <w:proofErr w:type="gramStart"/>
      <w:r w:rsidRPr="006774A0">
        <w:rPr>
          <w:color w:val="0000FF"/>
          <w:sz w:val="20"/>
          <w:szCs w:val="20"/>
        </w:rPr>
        <w:t>Pertanto</w:t>
      </w:r>
      <w:proofErr w:type="gramEnd"/>
      <w:r w:rsidRPr="006774A0">
        <w:rPr>
          <w:color w:val="0000FF"/>
          <w:sz w:val="20"/>
          <w:szCs w:val="20"/>
        </w:rPr>
        <w:t xml:space="preserve"> le valutazioni contabili finanziarie, economiche e patrimoniali del sistema di bilancio devono rispondere al requisito di essere fondate su criteri tecnici e di stima che abbiano la possibilità di continuare ad essere validi nel tempo, se le condizioni gestionali non saranno tali da evidenziare chiari e significativi cambiamenti. Il principio si applica anche al fine di garantire equilibri economico – finanziari che siano salvaguardati e perdurino nel tempo. Il principio della continuità riguarda anche i dati contabili che nella successione del tempo devono essere rilevati e rappresentati con correttezza nelle situazioni contabili di chiusura e di riapertura dei conti e in tutti i documenti contabili.</w:t>
      </w:r>
    </w:p>
    <w:p w14:paraId="075CD156" w14:textId="77777777" w:rsidR="006774A0" w:rsidRPr="006774A0" w:rsidRDefault="006774A0" w:rsidP="006774A0">
      <w:pPr>
        <w:rPr>
          <w:color w:val="0000FF"/>
          <w:sz w:val="20"/>
          <w:szCs w:val="20"/>
        </w:rPr>
      </w:pPr>
      <w:r w:rsidRPr="006774A0">
        <w:rPr>
          <w:color w:val="0000FF"/>
          <w:sz w:val="20"/>
          <w:szCs w:val="20"/>
        </w:rPr>
        <w:t xml:space="preserve">Inoltre, la costanza di applicazione dei principi contabili generali e di quelli particolari di valutazione è uno dei cardini delle determinazioni finanziarie, economiche e patrimoniali dei bilanci di previsione, della gestione, del rendiconto e bilancio d’esercizio (principio della costanza). Infatti, Il principio della continuità e quello della costanza dei criteri applicati introducono le condizioni essenziali per la comparabilità delle valutazioni tra i documenti contabili del bilancio di previsione e della rendicontazione e delle singole e sintetiche valutazioni nel tempo, anche connesse con i processi gestionali. L’eventuale cambiamento dei criteri particolari di valutazione adottati, deve rappresentare </w:t>
      </w:r>
      <w:proofErr w:type="gramStart"/>
      <w:r w:rsidRPr="006774A0">
        <w:rPr>
          <w:color w:val="0000FF"/>
          <w:sz w:val="20"/>
          <w:szCs w:val="20"/>
        </w:rPr>
        <w:t>un’ eccezione</w:t>
      </w:r>
      <w:proofErr w:type="gramEnd"/>
      <w:r w:rsidRPr="006774A0">
        <w:rPr>
          <w:color w:val="0000FF"/>
          <w:sz w:val="20"/>
          <w:szCs w:val="20"/>
        </w:rPr>
        <w:t xml:space="preserve"> nel tempo che risulti opportunamente descritta e documentata in apposite relazioni nel contesto del sistema di</w:t>
      </w:r>
    </w:p>
    <w:p w14:paraId="0ED78BBD" w14:textId="77777777" w:rsidR="006774A0" w:rsidRPr="006774A0" w:rsidRDefault="006774A0" w:rsidP="006774A0">
      <w:pPr>
        <w:rPr>
          <w:color w:val="0000FF"/>
          <w:sz w:val="20"/>
          <w:szCs w:val="20"/>
        </w:rPr>
      </w:pPr>
      <w:r w:rsidRPr="006774A0">
        <w:rPr>
          <w:color w:val="0000FF"/>
          <w:sz w:val="20"/>
          <w:szCs w:val="20"/>
        </w:rPr>
        <w:t>bilancio. Il principio della costanza, insieme agli altri postulati, risponde alla logica unitaria di rappresentare nel sistema di bilancio, mediante i diversi valori contabili di tipo finanziario, economico e patrimoniale, la coerenza, la chiarezza e la significatività delle scelte di programmazione, della gestione e delle risultanze finali di esercizio.</w:t>
      </w:r>
    </w:p>
    <w:p w14:paraId="7E188DAD" w14:textId="77777777" w:rsidR="006774A0" w:rsidRPr="006774A0" w:rsidRDefault="006774A0" w:rsidP="006774A0">
      <w:pPr>
        <w:rPr>
          <w:color w:val="0000FF"/>
          <w:sz w:val="20"/>
          <w:szCs w:val="20"/>
        </w:rPr>
      </w:pPr>
    </w:p>
    <w:p w14:paraId="0F0012A6" w14:textId="77777777" w:rsidR="006774A0" w:rsidRPr="006774A0" w:rsidRDefault="006774A0" w:rsidP="006774A0">
      <w:pPr>
        <w:rPr>
          <w:color w:val="0000FF"/>
          <w:sz w:val="20"/>
          <w:szCs w:val="20"/>
        </w:rPr>
      </w:pPr>
    </w:p>
    <w:p w14:paraId="10D813E5" w14:textId="77777777" w:rsidR="006774A0" w:rsidRPr="006774A0" w:rsidRDefault="006774A0" w:rsidP="006774A0">
      <w:pPr>
        <w:rPr>
          <w:color w:val="0000FF"/>
          <w:sz w:val="20"/>
          <w:szCs w:val="20"/>
        </w:rPr>
      </w:pPr>
      <w:r w:rsidRPr="006774A0">
        <w:rPr>
          <w:color w:val="0000FF"/>
          <w:sz w:val="20"/>
          <w:szCs w:val="20"/>
        </w:rPr>
        <w:t>12. Principio della comparabilità e verificabilità</w:t>
      </w:r>
    </w:p>
    <w:p w14:paraId="4C7FE466" w14:textId="77777777" w:rsidR="006774A0" w:rsidRPr="006774A0" w:rsidRDefault="006774A0" w:rsidP="006774A0">
      <w:pPr>
        <w:rPr>
          <w:color w:val="0000FF"/>
          <w:sz w:val="20"/>
          <w:szCs w:val="20"/>
        </w:rPr>
      </w:pPr>
    </w:p>
    <w:p w14:paraId="6169FD56" w14:textId="77777777" w:rsidR="006774A0" w:rsidRPr="006774A0" w:rsidRDefault="006774A0" w:rsidP="006774A0">
      <w:pPr>
        <w:rPr>
          <w:color w:val="0000FF"/>
          <w:sz w:val="20"/>
          <w:szCs w:val="20"/>
        </w:rPr>
      </w:pPr>
    </w:p>
    <w:p w14:paraId="3A28B5BE" w14:textId="77777777" w:rsidR="006774A0" w:rsidRPr="006774A0" w:rsidRDefault="006774A0" w:rsidP="006774A0">
      <w:pPr>
        <w:rPr>
          <w:color w:val="0000FF"/>
          <w:sz w:val="20"/>
          <w:szCs w:val="20"/>
        </w:rPr>
      </w:pPr>
      <w:r w:rsidRPr="006774A0">
        <w:rPr>
          <w:color w:val="0000FF"/>
          <w:sz w:val="20"/>
          <w:szCs w:val="20"/>
        </w:rPr>
        <w:t>Gli utilizzatori delle informazioni di bilancio devono essere in grado di comparare nel tempo le informazioni, analitiche e sintetiche di singole o complessive poste economiche, finanziarie e patrimoniali del sistema di bilancio, al fine di identificarne gli andamenti tendenziali. Gli utilizzatori, inoltre, devono poter comparare le informazioni di bilancio anche tra enti pubblici diversi, e dello stesso settore, al fine di valutarne le diverse potenzialità gestionali, gli orientamenti strategici e le qualità di una sana e buona amministrazione. Deve essere consentita anche la valutazione delle situazioni patrimoniali, degli andamenti economici e finanziari, nonché delle relative modificazioni.</w:t>
      </w:r>
    </w:p>
    <w:p w14:paraId="46D10A46" w14:textId="77777777" w:rsidR="006774A0" w:rsidRPr="006774A0" w:rsidRDefault="006774A0" w:rsidP="006774A0">
      <w:pPr>
        <w:rPr>
          <w:color w:val="0000FF"/>
          <w:sz w:val="20"/>
          <w:szCs w:val="20"/>
        </w:rPr>
      </w:pPr>
      <w:r w:rsidRPr="006774A0">
        <w:rPr>
          <w:color w:val="0000FF"/>
          <w:sz w:val="20"/>
          <w:szCs w:val="20"/>
        </w:rPr>
        <w:t>Il costante e continuo rispetto dei principi contabili è condizione necessaria per la comparabilità spazio-temporale dei documenti del sistema di bilancio sia per gli organi di governance interna ed esterna alla stessa singola amministrazione pubblica a cui ci si riferisce, sia per ogni categoria di portatori di interesse che vuole ottenere informazioni sulla gestione pubblica.</w:t>
      </w:r>
    </w:p>
    <w:p w14:paraId="5C83E782" w14:textId="77777777" w:rsidR="006774A0" w:rsidRPr="006774A0" w:rsidRDefault="006774A0" w:rsidP="006774A0">
      <w:pPr>
        <w:rPr>
          <w:color w:val="0000FF"/>
          <w:sz w:val="20"/>
          <w:szCs w:val="20"/>
        </w:rPr>
      </w:pPr>
      <w:r w:rsidRPr="006774A0">
        <w:rPr>
          <w:color w:val="0000FF"/>
          <w:sz w:val="20"/>
          <w:szCs w:val="20"/>
        </w:rPr>
        <w:t>Un’importante implicazione della caratteristica qualitativa della comparabilità è che gli utilizzatori siano informati dei principi contabili impiegati nella preparazione dei documenti e dei dati che compongono il sistema di bilancio, di qualsiasi cambiamento nell’applicazione di tali principi e degli effetti di tali cambiamenti.</w:t>
      </w:r>
    </w:p>
    <w:p w14:paraId="4B555C63" w14:textId="77777777" w:rsidR="006774A0" w:rsidRPr="006774A0" w:rsidRDefault="006774A0" w:rsidP="006774A0">
      <w:pPr>
        <w:rPr>
          <w:color w:val="0000FF"/>
          <w:sz w:val="20"/>
          <w:szCs w:val="20"/>
        </w:rPr>
      </w:pPr>
      <w:r w:rsidRPr="006774A0">
        <w:rPr>
          <w:color w:val="0000FF"/>
          <w:sz w:val="20"/>
          <w:szCs w:val="20"/>
        </w:rPr>
        <w:t>Il requisito di comparabilità non deve essere un impedimento all’introduzione dei principi contabili applicativi più adeguati alla specifica operazione. Non è appropriato che un’amministrazione pubblica continui a contabilizzare nel medesimo modo un’operazione od un evento se il criterio adottato non è conforme al disposto normativo ed ai principi contabili.</w:t>
      </w:r>
    </w:p>
    <w:p w14:paraId="24C62CF7" w14:textId="77777777" w:rsidR="006774A0" w:rsidRPr="006774A0" w:rsidRDefault="006774A0" w:rsidP="006774A0">
      <w:pPr>
        <w:rPr>
          <w:color w:val="0000FF"/>
          <w:sz w:val="20"/>
          <w:szCs w:val="20"/>
        </w:rPr>
      </w:pPr>
      <w:r w:rsidRPr="006774A0">
        <w:rPr>
          <w:color w:val="0000FF"/>
          <w:sz w:val="20"/>
          <w:szCs w:val="20"/>
        </w:rPr>
        <w:t>Nell'ambito della stessa amministrazione pubblica la comparabilità dei bilanci in periodi diversi è possibile se sussistono le seguenti condizioni:</w:t>
      </w:r>
    </w:p>
    <w:p w14:paraId="61B7C1E4" w14:textId="77777777" w:rsidR="006774A0" w:rsidRPr="006774A0" w:rsidRDefault="006774A0" w:rsidP="006774A0">
      <w:pPr>
        <w:rPr>
          <w:color w:val="0000FF"/>
          <w:sz w:val="20"/>
          <w:szCs w:val="20"/>
        </w:rPr>
      </w:pPr>
      <w:r w:rsidRPr="006774A0">
        <w:rPr>
          <w:color w:val="0000FF"/>
          <w:sz w:val="20"/>
          <w:szCs w:val="20"/>
        </w:rPr>
        <w:t>- la forma di presentazione è costante, cioè il modo di esposizione delle voci deve essere uguale o almeno comparabile;</w:t>
      </w:r>
    </w:p>
    <w:p w14:paraId="61963093" w14:textId="77777777" w:rsidR="006774A0" w:rsidRPr="006774A0" w:rsidRDefault="006774A0" w:rsidP="006774A0">
      <w:pPr>
        <w:rPr>
          <w:color w:val="0000FF"/>
          <w:sz w:val="20"/>
          <w:szCs w:val="20"/>
        </w:rPr>
      </w:pPr>
      <w:r w:rsidRPr="006774A0">
        <w:rPr>
          <w:color w:val="0000FF"/>
          <w:sz w:val="20"/>
          <w:szCs w:val="20"/>
        </w:rPr>
        <w:t>- i criteri di valutazione adottati sono mantenuti costanti. L'eventuale cambiamento deve essere giustificato da circostanza eccezionale per frequenza e natura. In ogni caso l'effetto del cambiamento dei criteri di valutazione sul risultato dell'esercizio e sul patrimonio netto deve essere adeguatamente illustrato e motivato;</w:t>
      </w:r>
    </w:p>
    <w:p w14:paraId="59D2750E" w14:textId="77777777" w:rsidR="006774A0" w:rsidRPr="006774A0" w:rsidRDefault="006774A0" w:rsidP="006774A0">
      <w:pPr>
        <w:rPr>
          <w:color w:val="0000FF"/>
          <w:sz w:val="20"/>
          <w:szCs w:val="20"/>
        </w:rPr>
      </w:pPr>
      <w:r w:rsidRPr="006774A0">
        <w:rPr>
          <w:color w:val="0000FF"/>
          <w:sz w:val="20"/>
          <w:szCs w:val="20"/>
        </w:rPr>
        <w:t>- i mutamenti strutturali nell’organizzazione e gli eventi di natura straordinaria devono essere chiaramente evidenziati.</w:t>
      </w:r>
    </w:p>
    <w:p w14:paraId="79E18B60" w14:textId="77777777" w:rsidR="006774A0" w:rsidRPr="006774A0" w:rsidRDefault="006774A0" w:rsidP="006774A0">
      <w:pPr>
        <w:rPr>
          <w:color w:val="0000FF"/>
          <w:sz w:val="20"/>
          <w:szCs w:val="20"/>
        </w:rPr>
      </w:pPr>
      <w:r w:rsidRPr="006774A0">
        <w:rPr>
          <w:color w:val="0000FF"/>
          <w:sz w:val="20"/>
          <w:szCs w:val="20"/>
        </w:rPr>
        <w:t>Inoltre, l'informazione patrimoniale, economica e finanziaria, e tutte le altre fornite dal sistema di bilancio di ogni amministrazione pubblica, devono essere verificabili attraverso la ricostruzione del procedimento valutativo seguito. A tale scopo le amministrazioni pubbliche devono conservare la necessaria documentazione probatoria (principio della Verificabilità). La verificabilità delle informazioni non riguarda solo la gestione e la rendicontazione ma anche il processo di programmazione e di bilancio per ricostruire adeguatamente e documentalmente il procedimento di valutazione che ha condotto alla formulazione delle previsioni e dei contenuti della programmazione e dei relativi obiettivi.</w:t>
      </w:r>
    </w:p>
    <w:p w14:paraId="5CACD44A" w14:textId="77777777" w:rsidR="006774A0" w:rsidRPr="006774A0" w:rsidRDefault="006774A0" w:rsidP="006774A0">
      <w:pPr>
        <w:rPr>
          <w:color w:val="0000FF"/>
          <w:sz w:val="20"/>
          <w:szCs w:val="20"/>
        </w:rPr>
      </w:pPr>
    </w:p>
    <w:p w14:paraId="6D5902CE" w14:textId="77777777" w:rsidR="006774A0" w:rsidRPr="006774A0" w:rsidRDefault="006774A0" w:rsidP="006774A0">
      <w:pPr>
        <w:rPr>
          <w:color w:val="0000FF"/>
          <w:sz w:val="20"/>
          <w:szCs w:val="20"/>
        </w:rPr>
      </w:pPr>
    </w:p>
    <w:p w14:paraId="0ACD9692" w14:textId="77777777" w:rsidR="006774A0" w:rsidRPr="006774A0" w:rsidRDefault="006774A0" w:rsidP="006774A0">
      <w:pPr>
        <w:rPr>
          <w:color w:val="0000FF"/>
          <w:sz w:val="20"/>
          <w:szCs w:val="20"/>
        </w:rPr>
      </w:pPr>
      <w:r w:rsidRPr="006774A0">
        <w:rPr>
          <w:color w:val="0000FF"/>
          <w:sz w:val="20"/>
          <w:szCs w:val="20"/>
        </w:rPr>
        <w:t>13. Principio di neutralità o imparzialità</w:t>
      </w:r>
    </w:p>
    <w:p w14:paraId="0C160ABA" w14:textId="77777777" w:rsidR="006774A0" w:rsidRPr="006774A0" w:rsidRDefault="006774A0" w:rsidP="006774A0">
      <w:pPr>
        <w:rPr>
          <w:color w:val="0000FF"/>
          <w:sz w:val="20"/>
          <w:szCs w:val="20"/>
        </w:rPr>
      </w:pPr>
    </w:p>
    <w:p w14:paraId="44A63113" w14:textId="77777777" w:rsidR="006774A0" w:rsidRPr="006774A0" w:rsidRDefault="006774A0" w:rsidP="006774A0">
      <w:pPr>
        <w:rPr>
          <w:color w:val="0000FF"/>
          <w:sz w:val="20"/>
          <w:szCs w:val="20"/>
        </w:rPr>
      </w:pPr>
    </w:p>
    <w:p w14:paraId="36B585E3" w14:textId="77777777" w:rsidR="006774A0" w:rsidRPr="006774A0" w:rsidRDefault="006774A0" w:rsidP="006774A0">
      <w:pPr>
        <w:rPr>
          <w:color w:val="0000FF"/>
          <w:sz w:val="20"/>
          <w:szCs w:val="20"/>
        </w:rPr>
      </w:pPr>
      <w:r w:rsidRPr="006774A0">
        <w:rPr>
          <w:color w:val="0000FF"/>
          <w:sz w:val="20"/>
          <w:szCs w:val="20"/>
        </w:rPr>
        <w:t>La redazione dei documenti contabili deve fondarsi su principi contabili indipendenti ed imparziali verso tutti i destinatari, senza servire o favorire gli interessi o le esigenze di particolari gruppi. La neutralità o imparzialità deve essere presente in tutto il procedimento formativo del sistema di bilancio, sia di programmazione e previsione, sia di gestione e di rendicontazione, soprattutto per quanto concerne gli elementi soggettivi.</w:t>
      </w:r>
    </w:p>
    <w:p w14:paraId="6CDE2317" w14:textId="77777777" w:rsidR="006774A0" w:rsidRPr="006774A0" w:rsidRDefault="006774A0" w:rsidP="006774A0">
      <w:pPr>
        <w:rPr>
          <w:color w:val="0000FF"/>
          <w:sz w:val="20"/>
          <w:szCs w:val="20"/>
        </w:rPr>
      </w:pPr>
      <w:r w:rsidRPr="006774A0">
        <w:rPr>
          <w:color w:val="0000FF"/>
          <w:sz w:val="20"/>
          <w:szCs w:val="20"/>
        </w:rPr>
        <w:t>La presenza di elementi soggettivi di stima non è condizione per far venir meno l'imparzialità, la ragionevolezza e la verificabilità. Discernimento, oculatezza e giudizio sono alla base dei procedimenti e delle metodologie di ragioneria a cui la preparazione dei documenti contabili deve informarsi e richiedono due requisiti essenziali, la competenza e la correttezza tecnica. L'imparzialità contabile va intesa come l'applicazione competente e tecnicamente corretta del processo di formazione dei documenti contabili, del bilancio di previsione, del rendiconto e del bilancio d’esercizio, che richiede discernimento, oculatezza e giudizio per quanto concerne gli elementi soggettivi.</w:t>
      </w:r>
    </w:p>
    <w:p w14:paraId="20F50A17" w14:textId="77777777" w:rsidR="006774A0" w:rsidRPr="006774A0" w:rsidRDefault="006774A0" w:rsidP="006774A0">
      <w:pPr>
        <w:rPr>
          <w:color w:val="0000FF"/>
          <w:sz w:val="20"/>
          <w:szCs w:val="20"/>
        </w:rPr>
      </w:pPr>
    </w:p>
    <w:p w14:paraId="7390DB03" w14:textId="77777777" w:rsidR="006774A0" w:rsidRPr="006774A0" w:rsidRDefault="006774A0" w:rsidP="006774A0">
      <w:pPr>
        <w:rPr>
          <w:color w:val="0000FF"/>
          <w:sz w:val="20"/>
          <w:szCs w:val="20"/>
        </w:rPr>
      </w:pPr>
    </w:p>
    <w:p w14:paraId="172EE6F2" w14:textId="77777777" w:rsidR="006774A0" w:rsidRPr="006774A0" w:rsidRDefault="006774A0" w:rsidP="006774A0">
      <w:pPr>
        <w:rPr>
          <w:color w:val="0000FF"/>
          <w:sz w:val="20"/>
          <w:szCs w:val="20"/>
        </w:rPr>
      </w:pPr>
      <w:r w:rsidRPr="006774A0">
        <w:rPr>
          <w:color w:val="0000FF"/>
          <w:sz w:val="20"/>
          <w:szCs w:val="20"/>
        </w:rPr>
        <w:t>14. Principio della pubblicità</w:t>
      </w:r>
    </w:p>
    <w:p w14:paraId="7D5E9845" w14:textId="77777777" w:rsidR="006774A0" w:rsidRPr="006774A0" w:rsidRDefault="006774A0" w:rsidP="006774A0">
      <w:pPr>
        <w:rPr>
          <w:color w:val="0000FF"/>
          <w:sz w:val="20"/>
          <w:szCs w:val="20"/>
        </w:rPr>
      </w:pPr>
    </w:p>
    <w:p w14:paraId="31047E69" w14:textId="77777777" w:rsidR="006774A0" w:rsidRPr="006774A0" w:rsidRDefault="006774A0" w:rsidP="006774A0">
      <w:pPr>
        <w:rPr>
          <w:color w:val="0000FF"/>
          <w:sz w:val="20"/>
          <w:szCs w:val="20"/>
        </w:rPr>
      </w:pPr>
    </w:p>
    <w:p w14:paraId="147258FD" w14:textId="77777777" w:rsidR="006774A0" w:rsidRPr="006774A0" w:rsidRDefault="006774A0" w:rsidP="006774A0">
      <w:pPr>
        <w:rPr>
          <w:color w:val="0000FF"/>
          <w:sz w:val="20"/>
          <w:szCs w:val="20"/>
        </w:rPr>
      </w:pPr>
      <w:r w:rsidRPr="006774A0">
        <w:rPr>
          <w:color w:val="0000FF"/>
          <w:sz w:val="20"/>
          <w:szCs w:val="20"/>
        </w:rPr>
        <w:t>Il sistema di bilancio assolve una funzione informativa nei confronti degli utilizzatori dei documenti contabili. È compito dell’amministrazione pubblica rendere effettiva tale funzione assicurando ai cittadini ed ai diversi organismi sociali e di partecipazione la conoscenza dei contenuti significativi e caratteristici del bilancio di previsione, del rendiconto e del bilancio d’esercizio, comprensivi dei rispettivi allegati, anche integrando le pubblicazioni obbligatorie.</w:t>
      </w:r>
    </w:p>
    <w:p w14:paraId="01CCA965" w14:textId="77777777" w:rsidR="006774A0" w:rsidRPr="006774A0" w:rsidRDefault="006774A0" w:rsidP="006774A0">
      <w:pPr>
        <w:rPr>
          <w:color w:val="0000FF"/>
          <w:sz w:val="20"/>
          <w:szCs w:val="20"/>
        </w:rPr>
      </w:pPr>
      <w:r w:rsidRPr="006774A0">
        <w:rPr>
          <w:color w:val="0000FF"/>
          <w:sz w:val="20"/>
          <w:szCs w:val="20"/>
        </w:rPr>
        <w:t>Affinché i documenti contabili di previsione e di rendicontazione assumano a pieno la loro valenza politica, giuridica, economica e sociale devono essere resi pubblici secondo le norme vigenti.</w:t>
      </w:r>
    </w:p>
    <w:p w14:paraId="238B461C" w14:textId="77777777" w:rsidR="006774A0" w:rsidRPr="006774A0" w:rsidRDefault="006774A0" w:rsidP="006774A0">
      <w:pPr>
        <w:rPr>
          <w:color w:val="0000FF"/>
          <w:sz w:val="20"/>
          <w:szCs w:val="20"/>
        </w:rPr>
      </w:pPr>
      <w:r w:rsidRPr="006774A0">
        <w:rPr>
          <w:color w:val="0000FF"/>
          <w:sz w:val="20"/>
          <w:szCs w:val="20"/>
        </w:rPr>
        <w:t>Il rispetto del principio della pubblicità presuppone un ruolo attivo dell’amministrazione pubblica nel contesto della comunità amministrata, garantendo trasparenza e divulgazione alle scelte di programmazione contenute nei documenti previsionali ed ai risultati della gestione descritti in modo veritiero e corretto nei documenti di rendicontazione; ciò è fondamentale per la fruibilità delle informazioni finanziarie, economiche e patrimoniali del sistema di bilancio.</w:t>
      </w:r>
    </w:p>
    <w:p w14:paraId="310D5F6A" w14:textId="77777777" w:rsidR="006774A0" w:rsidRPr="006774A0" w:rsidRDefault="006774A0" w:rsidP="006774A0">
      <w:pPr>
        <w:rPr>
          <w:color w:val="0000FF"/>
          <w:sz w:val="20"/>
          <w:szCs w:val="20"/>
        </w:rPr>
      </w:pPr>
    </w:p>
    <w:p w14:paraId="69123BAC" w14:textId="77777777" w:rsidR="006774A0" w:rsidRPr="006774A0" w:rsidRDefault="006774A0" w:rsidP="006774A0">
      <w:pPr>
        <w:rPr>
          <w:color w:val="0000FF"/>
          <w:sz w:val="20"/>
          <w:szCs w:val="20"/>
        </w:rPr>
      </w:pPr>
    </w:p>
    <w:p w14:paraId="7B883156" w14:textId="77777777" w:rsidR="006774A0" w:rsidRPr="006774A0" w:rsidRDefault="006774A0" w:rsidP="006774A0">
      <w:pPr>
        <w:rPr>
          <w:color w:val="0000FF"/>
          <w:sz w:val="20"/>
          <w:szCs w:val="20"/>
        </w:rPr>
      </w:pPr>
      <w:r w:rsidRPr="006774A0">
        <w:rPr>
          <w:color w:val="0000FF"/>
          <w:sz w:val="20"/>
          <w:szCs w:val="20"/>
        </w:rPr>
        <w:t>15. Principio dell’equilibrio di bilancio</w:t>
      </w:r>
    </w:p>
    <w:p w14:paraId="32D9BA1D" w14:textId="77777777" w:rsidR="006774A0" w:rsidRPr="006774A0" w:rsidRDefault="006774A0" w:rsidP="006774A0">
      <w:pPr>
        <w:rPr>
          <w:color w:val="0000FF"/>
          <w:sz w:val="20"/>
          <w:szCs w:val="20"/>
        </w:rPr>
      </w:pPr>
    </w:p>
    <w:p w14:paraId="65C5A667" w14:textId="77777777" w:rsidR="006774A0" w:rsidRPr="006774A0" w:rsidRDefault="006774A0" w:rsidP="006774A0">
      <w:pPr>
        <w:rPr>
          <w:color w:val="0000FF"/>
          <w:sz w:val="20"/>
          <w:szCs w:val="20"/>
        </w:rPr>
      </w:pPr>
    </w:p>
    <w:p w14:paraId="6A8D9C46" w14:textId="77777777" w:rsidR="006774A0" w:rsidRPr="006774A0" w:rsidRDefault="006774A0" w:rsidP="006774A0">
      <w:pPr>
        <w:rPr>
          <w:color w:val="0000FF"/>
          <w:sz w:val="20"/>
          <w:szCs w:val="20"/>
        </w:rPr>
      </w:pPr>
      <w:r w:rsidRPr="006774A0">
        <w:rPr>
          <w:color w:val="0000FF"/>
          <w:sz w:val="20"/>
          <w:szCs w:val="20"/>
        </w:rPr>
        <w:t>Le norme di contabilità pubblica pongono come vincolo del bilancio di previsione l’equilibrio di bilancio.</w:t>
      </w:r>
    </w:p>
    <w:p w14:paraId="55B127FC" w14:textId="77777777" w:rsidR="006774A0" w:rsidRPr="006774A0" w:rsidRDefault="006774A0" w:rsidP="006774A0">
      <w:pPr>
        <w:rPr>
          <w:color w:val="0000FF"/>
          <w:sz w:val="20"/>
          <w:szCs w:val="20"/>
        </w:rPr>
      </w:pPr>
      <w:r w:rsidRPr="006774A0">
        <w:rPr>
          <w:color w:val="0000FF"/>
          <w:sz w:val="20"/>
          <w:szCs w:val="20"/>
        </w:rPr>
        <w:t>L’osservanza di tale principio riguarda il pareggio complessivo di competenza e di cassa attraverso una rigorosa valutazione di tutti i flussi di entrata e di spesa.</w:t>
      </w:r>
    </w:p>
    <w:p w14:paraId="0857C05F" w14:textId="77777777" w:rsidR="006774A0" w:rsidRPr="006774A0" w:rsidRDefault="006774A0" w:rsidP="006774A0">
      <w:pPr>
        <w:rPr>
          <w:color w:val="0000FF"/>
          <w:sz w:val="20"/>
          <w:szCs w:val="20"/>
        </w:rPr>
      </w:pPr>
      <w:r w:rsidRPr="006774A0">
        <w:rPr>
          <w:color w:val="0000FF"/>
          <w:sz w:val="20"/>
          <w:szCs w:val="20"/>
        </w:rPr>
        <w:t>Il rispetto del principio di pareggio finanziario invero non basta per soddisfare il principio generale dell’equilibrio del sistema di bilancio di ogni pubblica amministrazione.</w:t>
      </w:r>
    </w:p>
    <w:p w14:paraId="297BBD7A" w14:textId="77777777" w:rsidR="006774A0" w:rsidRPr="006774A0" w:rsidRDefault="006774A0" w:rsidP="006774A0">
      <w:pPr>
        <w:rPr>
          <w:color w:val="0000FF"/>
          <w:sz w:val="20"/>
          <w:szCs w:val="20"/>
        </w:rPr>
      </w:pPr>
      <w:r w:rsidRPr="006774A0">
        <w:rPr>
          <w:color w:val="0000FF"/>
          <w:sz w:val="20"/>
          <w:szCs w:val="20"/>
        </w:rPr>
        <w:t>L’equilibrio di bilancio infatti comporta anche la corretta applicazione di tutti gli altri equilibri finanziari, economici e patrimoniali che sono da verificare non solo in sede di previsione, ma anche durante la gestione in modo concomitante con lo svolgersi delle operazioni di esercizio, e quindi nei risultati complessivi dell’esercizio che si riflettono nei documenti contabili di rendicontazione.</w:t>
      </w:r>
    </w:p>
    <w:p w14:paraId="0B20B74F" w14:textId="77777777" w:rsidR="006774A0" w:rsidRPr="006774A0" w:rsidRDefault="006774A0" w:rsidP="006774A0">
      <w:pPr>
        <w:rPr>
          <w:color w:val="0000FF"/>
          <w:sz w:val="20"/>
          <w:szCs w:val="20"/>
        </w:rPr>
      </w:pPr>
      <w:r w:rsidRPr="006774A0">
        <w:rPr>
          <w:color w:val="0000FF"/>
          <w:sz w:val="20"/>
          <w:szCs w:val="20"/>
        </w:rPr>
        <w:t>Nel sistema di bilancio di un’amministrazione pubblica, gli equilibri stabiliti in bilancio devono essere rispettati considerando non solo la fase di previsione, ma anche la fase di rendicontazione come prima forma del controllo interno, concernente tutti i flussi finanziari generati dalla produzione, diretta o indiretta e quindi effettuata anche attraverso le altre forme di gestione dei servizi erogati e di altre attività svolte.</w:t>
      </w:r>
    </w:p>
    <w:p w14:paraId="0124F7D8" w14:textId="77777777" w:rsidR="006774A0" w:rsidRPr="006774A0" w:rsidRDefault="006774A0" w:rsidP="006774A0">
      <w:pPr>
        <w:rPr>
          <w:color w:val="0000FF"/>
          <w:sz w:val="20"/>
          <w:szCs w:val="20"/>
        </w:rPr>
      </w:pPr>
      <w:r w:rsidRPr="006774A0">
        <w:rPr>
          <w:color w:val="0000FF"/>
          <w:sz w:val="20"/>
          <w:szCs w:val="20"/>
        </w:rPr>
        <w:t xml:space="preserve">Il principio dell’equilibrio di </w:t>
      </w:r>
      <w:proofErr w:type="gramStart"/>
      <w:r w:rsidRPr="006774A0">
        <w:rPr>
          <w:color w:val="0000FF"/>
          <w:sz w:val="20"/>
          <w:szCs w:val="20"/>
        </w:rPr>
        <w:t>bilancio quindi</w:t>
      </w:r>
      <w:proofErr w:type="gramEnd"/>
      <w:r w:rsidRPr="006774A0">
        <w:rPr>
          <w:color w:val="0000FF"/>
          <w:sz w:val="20"/>
          <w:szCs w:val="20"/>
        </w:rPr>
        <w:t xml:space="preserve"> è più ampio del normato principio del pareggio finanziario di competenza nel bilancio di previsione autorizzatorio. Anche la realizzazione dell’equilibrio economico (sia nei documenti contabili di programmazione e previsione e quindi con riferimento al budget ed al preventivo economico sia nei documenti contabili di rendicontazione e quindi nel conto economico di fine esercizio) è garanzia della capacità di perseguire le finalità istituzionali ed innovative di un’amministrazione pubblica in un mercato dinamico.</w:t>
      </w:r>
    </w:p>
    <w:p w14:paraId="0244B80B" w14:textId="77777777" w:rsidR="006774A0" w:rsidRPr="006774A0" w:rsidRDefault="006774A0" w:rsidP="006774A0">
      <w:pPr>
        <w:rPr>
          <w:color w:val="0000FF"/>
          <w:sz w:val="20"/>
          <w:szCs w:val="20"/>
        </w:rPr>
      </w:pPr>
      <w:r w:rsidRPr="006774A0">
        <w:rPr>
          <w:color w:val="0000FF"/>
          <w:sz w:val="20"/>
          <w:szCs w:val="20"/>
        </w:rPr>
        <w:t>L’equilibrio finanziario del bilancio non comporta necessariamente una stabilità anche di carattere economico e patrimoniale.</w:t>
      </w:r>
    </w:p>
    <w:p w14:paraId="215535AC" w14:textId="77777777" w:rsidR="006774A0" w:rsidRPr="006774A0" w:rsidRDefault="006774A0" w:rsidP="006774A0">
      <w:pPr>
        <w:rPr>
          <w:color w:val="0000FF"/>
          <w:sz w:val="20"/>
          <w:szCs w:val="20"/>
        </w:rPr>
      </w:pPr>
      <w:r w:rsidRPr="006774A0">
        <w:rPr>
          <w:color w:val="0000FF"/>
          <w:sz w:val="20"/>
          <w:szCs w:val="20"/>
        </w:rPr>
        <w:t xml:space="preserve">Il principio dell’equilibrio di </w:t>
      </w:r>
      <w:proofErr w:type="gramStart"/>
      <w:r w:rsidRPr="006774A0">
        <w:rPr>
          <w:color w:val="0000FF"/>
          <w:sz w:val="20"/>
          <w:szCs w:val="20"/>
        </w:rPr>
        <w:t>bilancio quindi</w:t>
      </w:r>
      <w:proofErr w:type="gramEnd"/>
      <w:r w:rsidRPr="006774A0">
        <w:rPr>
          <w:color w:val="0000FF"/>
          <w:sz w:val="20"/>
          <w:szCs w:val="20"/>
        </w:rPr>
        <w:t xml:space="preserve"> deve essere inteso in una versione complessiva ed analitica del pareggio economico, finanziario e patrimoniale che ogni amministrazione pubblica pone strategicamente da dover realizzare nel suo continuo operare nella comunità amministrata.</w:t>
      </w:r>
    </w:p>
    <w:p w14:paraId="5CF8C4E2" w14:textId="77777777" w:rsidR="006774A0" w:rsidRPr="006774A0" w:rsidRDefault="006774A0" w:rsidP="006774A0">
      <w:pPr>
        <w:rPr>
          <w:color w:val="0000FF"/>
          <w:sz w:val="20"/>
          <w:szCs w:val="20"/>
        </w:rPr>
      </w:pPr>
    </w:p>
    <w:p w14:paraId="4EA608E6" w14:textId="77777777" w:rsidR="006774A0" w:rsidRPr="006774A0" w:rsidRDefault="006774A0" w:rsidP="006774A0">
      <w:pPr>
        <w:rPr>
          <w:color w:val="0000FF"/>
          <w:sz w:val="20"/>
          <w:szCs w:val="20"/>
        </w:rPr>
      </w:pPr>
    </w:p>
    <w:p w14:paraId="52B04C33" w14:textId="77777777" w:rsidR="006774A0" w:rsidRPr="006774A0" w:rsidRDefault="006774A0" w:rsidP="006774A0">
      <w:pPr>
        <w:rPr>
          <w:color w:val="0000FF"/>
          <w:sz w:val="20"/>
          <w:szCs w:val="20"/>
        </w:rPr>
      </w:pPr>
      <w:r w:rsidRPr="006774A0">
        <w:rPr>
          <w:color w:val="0000FF"/>
          <w:sz w:val="20"/>
          <w:szCs w:val="20"/>
        </w:rPr>
        <w:t>16. Principio della competenza finanziaria</w:t>
      </w:r>
    </w:p>
    <w:p w14:paraId="506828E7" w14:textId="77777777" w:rsidR="006774A0" w:rsidRPr="006774A0" w:rsidRDefault="006774A0" w:rsidP="006774A0">
      <w:pPr>
        <w:rPr>
          <w:color w:val="0000FF"/>
          <w:sz w:val="20"/>
          <w:szCs w:val="20"/>
        </w:rPr>
      </w:pPr>
    </w:p>
    <w:p w14:paraId="46F600BB" w14:textId="77777777" w:rsidR="006774A0" w:rsidRPr="006774A0" w:rsidRDefault="006774A0" w:rsidP="006774A0">
      <w:pPr>
        <w:rPr>
          <w:color w:val="0000FF"/>
          <w:sz w:val="20"/>
          <w:szCs w:val="20"/>
        </w:rPr>
      </w:pPr>
    </w:p>
    <w:p w14:paraId="6686E577" w14:textId="77777777" w:rsidR="006774A0" w:rsidRPr="006774A0" w:rsidRDefault="006774A0" w:rsidP="006774A0">
      <w:pPr>
        <w:rPr>
          <w:color w:val="0000FF"/>
          <w:sz w:val="20"/>
          <w:szCs w:val="20"/>
        </w:rPr>
      </w:pPr>
    </w:p>
    <w:p w14:paraId="601DF6C5" w14:textId="77777777" w:rsidR="006774A0" w:rsidRPr="006774A0" w:rsidRDefault="006774A0" w:rsidP="006774A0">
      <w:pPr>
        <w:rPr>
          <w:color w:val="0000FF"/>
          <w:sz w:val="20"/>
          <w:szCs w:val="20"/>
        </w:rPr>
      </w:pPr>
      <w:r w:rsidRPr="006774A0">
        <w:rPr>
          <w:color w:val="0000FF"/>
          <w:sz w:val="20"/>
          <w:szCs w:val="20"/>
        </w:rPr>
        <w:t>Il principio della competenza finanziaria costituisce il criterio di imputazione agli esercizi finanziari delle obbligazioni giuridicamente perfezionate attive e passive (accertamenti e impegni).</w:t>
      </w:r>
    </w:p>
    <w:p w14:paraId="7890DD06" w14:textId="77777777" w:rsidR="006774A0" w:rsidRPr="006774A0" w:rsidRDefault="006774A0" w:rsidP="006774A0">
      <w:pPr>
        <w:rPr>
          <w:color w:val="0000FF"/>
          <w:sz w:val="20"/>
          <w:szCs w:val="20"/>
        </w:rPr>
      </w:pPr>
      <w:r w:rsidRPr="006774A0">
        <w:rPr>
          <w:color w:val="0000FF"/>
          <w:sz w:val="20"/>
          <w:szCs w:val="20"/>
        </w:rPr>
        <w:t>Il principio è applicato solo a quei documenti di natura finanziaria che compongono il sistema di bilancio di ogni pubblica amministrazione che adotta la contabilità finanziaria, e attua il contenuto autorizzatorio degli stanziamenti del bilancio di previsione.</w:t>
      </w:r>
    </w:p>
    <w:p w14:paraId="687C19E0" w14:textId="77777777" w:rsidR="006774A0" w:rsidRPr="006774A0" w:rsidRDefault="006774A0" w:rsidP="006774A0">
      <w:pPr>
        <w:rPr>
          <w:color w:val="0000FF"/>
          <w:sz w:val="20"/>
          <w:szCs w:val="20"/>
        </w:rPr>
      </w:pPr>
      <w:r w:rsidRPr="006774A0">
        <w:rPr>
          <w:color w:val="0000FF"/>
          <w:sz w:val="20"/>
          <w:szCs w:val="20"/>
        </w:rPr>
        <w:t>Le previsioni del bilancio di previsione finanziario hanno carattere autorizzatorio per ciascuno degli esercizi cui il bilancio si riferisce, costituendo limite agli impegni e ai pagamenti, fatta eccezione per le partite di giro/servizi per conto di terzi e per i rimborsi delle anticipazioni di cassa. La funzione autorizzatoria fa riferimento anche alle entrate, di competenza e di cassa per accensione di prestiti.</w:t>
      </w:r>
    </w:p>
    <w:p w14:paraId="7BF99963" w14:textId="77777777" w:rsidR="006774A0" w:rsidRPr="006774A0" w:rsidRDefault="006774A0" w:rsidP="006774A0">
      <w:pPr>
        <w:rPr>
          <w:color w:val="0000FF"/>
          <w:sz w:val="20"/>
          <w:szCs w:val="20"/>
        </w:rPr>
      </w:pPr>
      <w:r w:rsidRPr="006774A0">
        <w:rPr>
          <w:color w:val="0000FF"/>
          <w:sz w:val="20"/>
          <w:szCs w:val="20"/>
        </w:rPr>
        <w:t>Gli stanziamenti del bilancio di previsione sono aggiornati annualmente in occasione della sua approvazione.</w:t>
      </w:r>
    </w:p>
    <w:p w14:paraId="317E6433" w14:textId="77777777" w:rsidR="006774A0" w:rsidRPr="006774A0" w:rsidRDefault="006774A0" w:rsidP="006774A0">
      <w:pPr>
        <w:rPr>
          <w:color w:val="0000FF"/>
          <w:sz w:val="20"/>
          <w:szCs w:val="20"/>
        </w:rPr>
      </w:pPr>
      <w:r w:rsidRPr="006774A0">
        <w:rPr>
          <w:color w:val="0000FF"/>
          <w:sz w:val="20"/>
          <w:szCs w:val="20"/>
        </w:rPr>
        <w:t xml:space="preserve">Tutte le obbligazioni giuridicamente perfezionate attive e passive, che danno luogo a entrate e spese per l’ente, devono essere registrate nelle scritture contabili quando l’obbligazione è perfezionata, con imputazione all’esercizio in cui l’obbligazione viene a scadenza. </w:t>
      </w:r>
      <w:proofErr w:type="gramStart"/>
      <w:r w:rsidRPr="006774A0">
        <w:rPr>
          <w:color w:val="0000FF"/>
          <w:sz w:val="20"/>
          <w:szCs w:val="20"/>
        </w:rPr>
        <w:t>E’</w:t>
      </w:r>
      <w:proofErr w:type="gramEnd"/>
      <w:r w:rsidRPr="006774A0">
        <w:rPr>
          <w:color w:val="0000FF"/>
          <w:sz w:val="20"/>
          <w:szCs w:val="20"/>
        </w:rPr>
        <w:t xml:space="preserve"> in ogni caso, fatta salva la piena copertura finanziaria degli impegni di spesa giuridicamente assunti a prescindere dall’esercizio finanziario in cui gli stessi sono imputati.</w:t>
      </w:r>
    </w:p>
    <w:p w14:paraId="58D6CE78" w14:textId="77777777" w:rsidR="006774A0" w:rsidRPr="006774A0" w:rsidRDefault="006774A0" w:rsidP="006774A0">
      <w:pPr>
        <w:rPr>
          <w:color w:val="0000FF"/>
          <w:sz w:val="20"/>
          <w:szCs w:val="20"/>
        </w:rPr>
      </w:pPr>
      <w:r w:rsidRPr="006774A0">
        <w:rPr>
          <w:color w:val="0000FF"/>
          <w:sz w:val="20"/>
          <w:szCs w:val="20"/>
        </w:rPr>
        <w:t>L’accertamento costituisce la fase dell’entrata con la quale si perfeziona un diritto di credito relativo ad una riscossione da realizzare e si imputa contabilmente all’esercizio finanziario nel quale il diritto di credito viene a scadenza.</w:t>
      </w:r>
    </w:p>
    <w:p w14:paraId="43BBB88C" w14:textId="77777777" w:rsidR="006774A0" w:rsidRPr="006774A0" w:rsidRDefault="006774A0" w:rsidP="006774A0">
      <w:pPr>
        <w:rPr>
          <w:color w:val="0000FF"/>
          <w:sz w:val="20"/>
          <w:szCs w:val="20"/>
        </w:rPr>
      </w:pPr>
      <w:r w:rsidRPr="006774A0">
        <w:rPr>
          <w:color w:val="0000FF"/>
          <w:sz w:val="20"/>
          <w:szCs w:val="20"/>
        </w:rPr>
        <w:t>L’accertamento presuppone idonea documentazione, attraverso la quale sono verificati e attestati dal soggetto cui è affidata la gestione della relativa entrata, i seguenti requisiti:</w:t>
      </w:r>
    </w:p>
    <w:p w14:paraId="13A39C5E" w14:textId="77777777" w:rsidR="006774A0" w:rsidRPr="006774A0" w:rsidRDefault="006774A0" w:rsidP="006774A0">
      <w:pPr>
        <w:rPr>
          <w:color w:val="0000FF"/>
          <w:sz w:val="20"/>
          <w:szCs w:val="20"/>
        </w:rPr>
      </w:pPr>
      <w:r w:rsidRPr="006774A0">
        <w:rPr>
          <w:color w:val="0000FF"/>
          <w:sz w:val="20"/>
          <w:szCs w:val="20"/>
        </w:rPr>
        <w:t xml:space="preserve">(a) la ragione del credito che </w:t>
      </w:r>
      <w:proofErr w:type="spellStart"/>
      <w:r w:rsidRPr="006774A0">
        <w:rPr>
          <w:color w:val="0000FF"/>
          <w:sz w:val="20"/>
          <w:szCs w:val="20"/>
        </w:rPr>
        <w:t>da</w:t>
      </w:r>
      <w:proofErr w:type="spellEnd"/>
      <w:r w:rsidRPr="006774A0">
        <w:rPr>
          <w:color w:val="0000FF"/>
          <w:sz w:val="20"/>
          <w:szCs w:val="20"/>
        </w:rPr>
        <w:t xml:space="preserve"> luogo a obbligazione attiva;</w:t>
      </w:r>
    </w:p>
    <w:p w14:paraId="06B27CE5" w14:textId="77777777" w:rsidR="006774A0" w:rsidRPr="006774A0" w:rsidRDefault="006774A0" w:rsidP="006774A0">
      <w:pPr>
        <w:rPr>
          <w:color w:val="0000FF"/>
          <w:sz w:val="20"/>
          <w:szCs w:val="20"/>
        </w:rPr>
      </w:pPr>
      <w:r w:rsidRPr="006774A0">
        <w:rPr>
          <w:color w:val="0000FF"/>
          <w:sz w:val="20"/>
          <w:szCs w:val="20"/>
        </w:rPr>
        <w:t>(b) il titolo giuridico che supporta il credito;</w:t>
      </w:r>
    </w:p>
    <w:p w14:paraId="086E2042" w14:textId="77777777" w:rsidR="006774A0" w:rsidRPr="006774A0" w:rsidRDefault="006774A0" w:rsidP="006774A0">
      <w:pPr>
        <w:rPr>
          <w:color w:val="0000FF"/>
          <w:sz w:val="20"/>
          <w:szCs w:val="20"/>
        </w:rPr>
      </w:pPr>
      <w:r w:rsidRPr="006774A0">
        <w:rPr>
          <w:color w:val="0000FF"/>
          <w:sz w:val="20"/>
          <w:szCs w:val="20"/>
        </w:rPr>
        <w:t>(c) l’individuazione del soggetto debitore;</w:t>
      </w:r>
    </w:p>
    <w:p w14:paraId="03D826E6" w14:textId="77777777" w:rsidR="006774A0" w:rsidRPr="006774A0" w:rsidRDefault="006774A0" w:rsidP="006774A0">
      <w:pPr>
        <w:rPr>
          <w:color w:val="0000FF"/>
          <w:sz w:val="20"/>
          <w:szCs w:val="20"/>
        </w:rPr>
      </w:pPr>
      <w:r w:rsidRPr="006774A0">
        <w:rPr>
          <w:color w:val="0000FF"/>
          <w:sz w:val="20"/>
          <w:szCs w:val="20"/>
        </w:rPr>
        <w:t>(d) l’ammontare del credito;</w:t>
      </w:r>
    </w:p>
    <w:p w14:paraId="1658EB65" w14:textId="77777777" w:rsidR="006774A0" w:rsidRPr="006774A0" w:rsidRDefault="006774A0" w:rsidP="006774A0">
      <w:pPr>
        <w:rPr>
          <w:color w:val="0000FF"/>
          <w:sz w:val="20"/>
          <w:szCs w:val="20"/>
        </w:rPr>
      </w:pPr>
      <w:r w:rsidRPr="006774A0">
        <w:rPr>
          <w:color w:val="0000FF"/>
          <w:sz w:val="20"/>
          <w:szCs w:val="20"/>
        </w:rPr>
        <w:t>(e) la relativa scadenza.</w:t>
      </w:r>
    </w:p>
    <w:p w14:paraId="6C4B511D" w14:textId="77777777" w:rsidR="006774A0" w:rsidRPr="006774A0" w:rsidRDefault="006774A0" w:rsidP="006774A0">
      <w:pPr>
        <w:rPr>
          <w:color w:val="0000FF"/>
          <w:sz w:val="20"/>
          <w:szCs w:val="20"/>
        </w:rPr>
      </w:pPr>
      <w:r w:rsidRPr="006774A0">
        <w:rPr>
          <w:color w:val="0000FF"/>
          <w:sz w:val="20"/>
          <w:szCs w:val="20"/>
        </w:rPr>
        <w:t xml:space="preserve">Non possono essere riferite ad un determinato esercizio finanziario le entrate per le quali non sia venuto a scadere nello stesso esercizio finanziario il diritto di credito. </w:t>
      </w:r>
      <w:proofErr w:type="gramStart"/>
      <w:r w:rsidRPr="006774A0">
        <w:rPr>
          <w:color w:val="0000FF"/>
          <w:sz w:val="20"/>
          <w:szCs w:val="20"/>
        </w:rPr>
        <w:t>E’</w:t>
      </w:r>
      <w:proofErr w:type="gramEnd"/>
      <w:r w:rsidRPr="006774A0">
        <w:rPr>
          <w:color w:val="0000FF"/>
          <w:sz w:val="20"/>
          <w:szCs w:val="20"/>
        </w:rPr>
        <w:t xml:space="preserve"> esclusa categoricamente la possibilità di accertamento attuale di entrate future in quanto ciò darebbe luogo ad un’anticipazione di impieghi (ed ai relativi oneri) in attesa dell’effettivo maturare della scadenza del titolo giuridico dell’entrata futura, con la conseguenza di alterare gli equilibri finanziari dell’esercizio finanziario.</w:t>
      </w:r>
    </w:p>
    <w:p w14:paraId="2073B40F" w14:textId="77777777" w:rsidR="006774A0" w:rsidRPr="006774A0" w:rsidRDefault="006774A0" w:rsidP="006774A0">
      <w:pPr>
        <w:rPr>
          <w:color w:val="0000FF"/>
          <w:sz w:val="20"/>
          <w:szCs w:val="20"/>
        </w:rPr>
      </w:pPr>
      <w:r w:rsidRPr="006774A0">
        <w:rPr>
          <w:color w:val="0000FF"/>
          <w:sz w:val="20"/>
          <w:szCs w:val="20"/>
        </w:rPr>
        <w:t>L’impegno costituisce la fase della spesa con la quale viene registrata nelle scritture contabili la spesa conseguente ad una obbligazione giuridicamente perfezionata e relativa ad un pagamento da effettuare, con imputazione all’esercizio finanziario in cui l’obbligazione passiva viene a scadenza.</w:t>
      </w:r>
    </w:p>
    <w:p w14:paraId="11CF53EE" w14:textId="77777777" w:rsidR="006774A0" w:rsidRPr="006774A0" w:rsidRDefault="006774A0" w:rsidP="006774A0">
      <w:pPr>
        <w:rPr>
          <w:color w:val="0000FF"/>
          <w:sz w:val="20"/>
          <w:szCs w:val="20"/>
        </w:rPr>
      </w:pPr>
      <w:r w:rsidRPr="006774A0">
        <w:rPr>
          <w:color w:val="0000FF"/>
          <w:sz w:val="20"/>
          <w:szCs w:val="20"/>
        </w:rPr>
        <w:t>Gli elementi costitutivi dell’impegno sono:</w:t>
      </w:r>
    </w:p>
    <w:p w14:paraId="59D398F1" w14:textId="77777777" w:rsidR="006774A0" w:rsidRPr="006774A0" w:rsidRDefault="006774A0" w:rsidP="006774A0">
      <w:pPr>
        <w:rPr>
          <w:color w:val="0000FF"/>
          <w:sz w:val="20"/>
          <w:szCs w:val="20"/>
        </w:rPr>
      </w:pPr>
      <w:r w:rsidRPr="006774A0">
        <w:rPr>
          <w:color w:val="0000FF"/>
          <w:sz w:val="20"/>
          <w:szCs w:val="20"/>
        </w:rPr>
        <w:t>(a) la ragione del debito;</w:t>
      </w:r>
    </w:p>
    <w:p w14:paraId="259F3A55" w14:textId="77777777" w:rsidR="006774A0" w:rsidRPr="006774A0" w:rsidRDefault="006774A0" w:rsidP="006774A0">
      <w:pPr>
        <w:rPr>
          <w:color w:val="0000FF"/>
          <w:sz w:val="20"/>
          <w:szCs w:val="20"/>
        </w:rPr>
      </w:pPr>
      <w:r w:rsidRPr="006774A0">
        <w:rPr>
          <w:color w:val="0000FF"/>
          <w:sz w:val="20"/>
          <w:szCs w:val="20"/>
        </w:rPr>
        <w:t>(b) la determinazione della somma da pagare;</w:t>
      </w:r>
    </w:p>
    <w:p w14:paraId="688D8E1E" w14:textId="77777777" w:rsidR="006774A0" w:rsidRPr="006774A0" w:rsidRDefault="006774A0" w:rsidP="006774A0">
      <w:pPr>
        <w:rPr>
          <w:color w:val="0000FF"/>
          <w:sz w:val="20"/>
          <w:szCs w:val="20"/>
        </w:rPr>
      </w:pPr>
      <w:r w:rsidRPr="006774A0">
        <w:rPr>
          <w:color w:val="0000FF"/>
          <w:sz w:val="20"/>
          <w:szCs w:val="20"/>
        </w:rPr>
        <w:t>(c) il soggetto creditore;</w:t>
      </w:r>
    </w:p>
    <w:p w14:paraId="1991FA6E" w14:textId="77777777" w:rsidR="006774A0" w:rsidRPr="006774A0" w:rsidRDefault="006774A0" w:rsidP="006774A0">
      <w:pPr>
        <w:rPr>
          <w:color w:val="0000FF"/>
          <w:sz w:val="20"/>
          <w:szCs w:val="20"/>
        </w:rPr>
      </w:pPr>
      <w:r w:rsidRPr="006774A0">
        <w:rPr>
          <w:color w:val="0000FF"/>
          <w:sz w:val="20"/>
          <w:szCs w:val="20"/>
        </w:rPr>
        <w:t>(d) la specificazione del vincolo costituito sullo stanziamento di bilancio</w:t>
      </w:r>
    </w:p>
    <w:p w14:paraId="10410629" w14:textId="77777777" w:rsidR="006774A0" w:rsidRPr="006774A0" w:rsidRDefault="006774A0" w:rsidP="006774A0">
      <w:pPr>
        <w:rPr>
          <w:color w:val="0000FF"/>
          <w:sz w:val="20"/>
          <w:szCs w:val="20"/>
        </w:rPr>
      </w:pPr>
      <w:r w:rsidRPr="006774A0">
        <w:rPr>
          <w:color w:val="0000FF"/>
          <w:sz w:val="20"/>
          <w:szCs w:val="20"/>
        </w:rPr>
        <w:t>(e) la relativa scadenza.</w:t>
      </w:r>
    </w:p>
    <w:p w14:paraId="29960F37" w14:textId="77777777" w:rsidR="006774A0" w:rsidRPr="006774A0" w:rsidRDefault="006774A0" w:rsidP="006774A0">
      <w:pPr>
        <w:rPr>
          <w:color w:val="0000FF"/>
          <w:sz w:val="20"/>
          <w:szCs w:val="20"/>
        </w:rPr>
      </w:pPr>
      <w:r w:rsidRPr="006774A0">
        <w:rPr>
          <w:color w:val="0000FF"/>
          <w:sz w:val="20"/>
          <w:szCs w:val="20"/>
        </w:rPr>
        <w:t>Non possono essere riferite ad un determinato esercizio finanziario le spese per le quali non sia venuta a scadere nello stesso esercizio finanziario la relativa obbligazione giuridica.</w:t>
      </w:r>
    </w:p>
    <w:p w14:paraId="7CD26CEB" w14:textId="77777777" w:rsidR="006774A0" w:rsidRPr="006774A0" w:rsidRDefault="006774A0" w:rsidP="006774A0">
      <w:pPr>
        <w:rPr>
          <w:color w:val="0000FF"/>
          <w:sz w:val="20"/>
          <w:szCs w:val="20"/>
        </w:rPr>
      </w:pPr>
      <w:r w:rsidRPr="006774A0">
        <w:rPr>
          <w:color w:val="0000FF"/>
          <w:sz w:val="20"/>
          <w:szCs w:val="20"/>
        </w:rPr>
        <w:t>In ogni caso, per l’attività di investimento che comporta impegni di spesa che vengono a scadenza in più esercizi finanziari, deve essere dato specificamente atto - al momento dell’attivazione del primo impegno - di aver predisposto la copertura finanziaria per l’effettuazione della complessiva spesa dell’investimento, anche se la forma di copertura è stata già indicata nell’elenco annuale del piano delle opere pubbliche di cui all’articolo 128 del decreto legislativo n. 163 del 2006.</w:t>
      </w:r>
    </w:p>
    <w:p w14:paraId="2FA97F90" w14:textId="77777777" w:rsidR="006774A0" w:rsidRPr="006774A0" w:rsidRDefault="006774A0" w:rsidP="006774A0">
      <w:pPr>
        <w:rPr>
          <w:color w:val="0000FF"/>
          <w:sz w:val="20"/>
          <w:szCs w:val="20"/>
        </w:rPr>
      </w:pPr>
      <w:r w:rsidRPr="006774A0">
        <w:rPr>
          <w:color w:val="0000FF"/>
          <w:sz w:val="20"/>
          <w:szCs w:val="20"/>
        </w:rPr>
        <w:t>La copertura finanziaria delle spese di investimento è costituita da risorse accertate esigibili nell’esercizio in corso di gestione o la cui esigibilità è nella piena discrezionalità dell’ente o di altra pubblica amministrazione, dall’utilizzo dell’avanzo di amministrazione o, fino all’esercizio 2015, di una legge di autorizzazione all’indebitamento.</w:t>
      </w:r>
    </w:p>
    <w:p w14:paraId="148F8B76" w14:textId="77777777" w:rsidR="006774A0" w:rsidRPr="006774A0" w:rsidRDefault="006774A0" w:rsidP="006774A0">
      <w:pPr>
        <w:rPr>
          <w:color w:val="0000FF"/>
          <w:sz w:val="20"/>
          <w:szCs w:val="20"/>
        </w:rPr>
      </w:pPr>
      <w:r w:rsidRPr="006774A0">
        <w:rPr>
          <w:color w:val="0000FF"/>
          <w:sz w:val="20"/>
          <w:szCs w:val="20"/>
        </w:rPr>
        <w:t xml:space="preserve">Le spese di investimento, per le quali deve essere dato specificamente atto di avere predisposto la copertura comprendono anche le spese per acquisizione di partecipazioni azionarie e conferimenti di capitale, </w:t>
      </w:r>
      <w:proofErr w:type="spellStart"/>
      <w:r w:rsidRPr="006774A0">
        <w:rPr>
          <w:color w:val="0000FF"/>
          <w:sz w:val="20"/>
          <w:szCs w:val="20"/>
        </w:rPr>
        <w:t>ancorchè</w:t>
      </w:r>
      <w:proofErr w:type="spellEnd"/>
      <w:r w:rsidRPr="006774A0">
        <w:rPr>
          <w:color w:val="0000FF"/>
          <w:sz w:val="20"/>
          <w:szCs w:val="20"/>
        </w:rPr>
        <w:t xml:space="preserve"> siano classificate al titolo terzo della spesa.</w:t>
      </w:r>
    </w:p>
    <w:p w14:paraId="61E5E0AB" w14:textId="77777777" w:rsidR="006774A0" w:rsidRPr="006774A0" w:rsidRDefault="006774A0" w:rsidP="006774A0">
      <w:pPr>
        <w:rPr>
          <w:color w:val="0000FF"/>
          <w:sz w:val="20"/>
          <w:szCs w:val="20"/>
        </w:rPr>
      </w:pPr>
      <w:r w:rsidRPr="006774A0">
        <w:rPr>
          <w:color w:val="0000FF"/>
          <w:sz w:val="20"/>
          <w:szCs w:val="20"/>
        </w:rPr>
        <w:t>Può costituire copertura agli investimenti imputati all’esercizio in corso, secondo le modalità individuate nel principio applicato della contabilità finanziaria, il saldo positivo dell’equilibrio di parte corrente in termini di competenza finanziaria, risultante dal prospetto degli equilibri allegato al bilancio di previsione.</w:t>
      </w:r>
    </w:p>
    <w:p w14:paraId="4AE8DFCE" w14:textId="77777777" w:rsidR="006774A0" w:rsidRPr="006774A0" w:rsidRDefault="006774A0" w:rsidP="006774A0">
      <w:pPr>
        <w:rPr>
          <w:color w:val="0000FF"/>
          <w:sz w:val="20"/>
          <w:szCs w:val="20"/>
        </w:rPr>
      </w:pPr>
      <w:r w:rsidRPr="006774A0">
        <w:rPr>
          <w:color w:val="0000FF"/>
          <w:sz w:val="20"/>
          <w:szCs w:val="20"/>
        </w:rPr>
        <w:t>Può costituire copertura agli investimenti imputati agli esercizi successivi considerati nel bilancio di previsione, secondo le modalità individuate nel principio applicato della contabilità finanziaria:</w:t>
      </w:r>
    </w:p>
    <w:p w14:paraId="62DEB9F3" w14:textId="77777777" w:rsidR="006774A0" w:rsidRPr="006774A0" w:rsidRDefault="006774A0" w:rsidP="006774A0">
      <w:pPr>
        <w:rPr>
          <w:color w:val="0000FF"/>
          <w:sz w:val="20"/>
          <w:szCs w:val="20"/>
        </w:rPr>
      </w:pPr>
    </w:p>
    <w:p w14:paraId="1590907F" w14:textId="77777777" w:rsidR="006774A0" w:rsidRPr="006774A0" w:rsidRDefault="006774A0" w:rsidP="006774A0">
      <w:pPr>
        <w:rPr>
          <w:color w:val="0000FF"/>
          <w:sz w:val="20"/>
          <w:szCs w:val="20"/>
        </w:rPr>
      </w:pPr>
      <w:r w:rsidRPr="006774A0">
        <w:rPr>
          <w:color w:val="0000FF"/>
          <w:sz w:val="20"/>
          <w:szCs w:val="20"/>
        </w:rPr>
        <w:t xml:space="preserve">il saldo positivo dell’equilibrio di parte corrente, in termini di competenza finanziaria, risultante dal prospetto degli equilibri allegato al bilancio di previsione, per un importo non superiore al minore valore tra la media dei saldi di parte corrente in termini di competenza e la media dei saldi di parte corrente in termini di cassa registrati negli ultimi tre esercizi rendicontati, se sempre positivi, determinati al netto dell’utilizzo dell’avanzo di amministrazione, del fondo di cassa, e delle entrate non ricorrenti che non hanno dato copertura a impegni, o pagamenti. Le regioni a statuto ordinario fanno riferimento al medesimo saldo di parte corrente determinato al netto delle poste contabili riconducibili alle gestioni vincolate e alle risorse destinate al finanziamento del Servizio sanitario </w:t>
      </w:r>
      <w:proofErr w:type="gramStart"/>
      <w:r w:rsidRPr="006774A0">
        <w:rPr>
          <w:color w:val="0000FF"/>
          <w:sz w:val="20"/>
          <w:szCs w:val="20"/>
        </w:rPr>
        <w:t>nazionale .</w:t>
      </w:r>
      <w:proofErr w:type="gramEnd"/>
      <w:r w:rsidRPr="006774A0">
        <w:rPr>
          <w:color w:val="0000FF"/>
          <w:sz w:val="20"/>
          <w:szCs w:val="20"/>
        </w:rPr>
        <w:t xml:space="preserve"> Negli esercizi non considerati nel bilancio di previsione, non oltre il limite dei 5 esercizi a decorrere dall’esercizio in corso, costituisce copertura agli investimenti imputati agli esercizi successivi il 60 per cento della media degli incassi in c/competenza delle entrate derivanti dagli oneri di urbanizzazione e, nei casi previsti dalla legislazione regionale, dalle monetizzazioni di standard urbanistici al netto della relativa quota del FCDE, degli ultimi 5 esercizi rendicontati, garantendo la destinazione degli investimenti prevista dalla legge;</w:t>
      </w:r>
    </w:p>
    <w:p w14:paraId="66041D38" w14:textId="77777777" w:rsidR="006774A0" w:rsidRPr="006774A0" w:rsidRDefault="006774A0" w:rsidP="006774A0">
      <w:pPr>
        <w:rPr>
          <w:color w:val="0000FF"/>
          <w:sz w:val="20"/>
          <w:szCs w:val="20"/>
        </w:rPr>
      </w:pPr>
      <w:r w:rsidRPr="006774A0">
        <w:rPr>
          <w:color w:val="0000FF"/>
          <w:sz w:val="20"/>
          <w:szCs w:val="20"/>
        </w:rPr>
        <w:t xml:space="preserve">per le Autonomie speciali, il saldo positivo dell’equilibrio di parte corrente in termini di competenza finanziaria, risultante dal prospetto degli equilibri allegato al bilancio di previsione, per un importo non superiore alla media dei saldi di parte corrente in termini di competenza registrati negli ultimi tre esercizi rendicontati se sempre positivi, determinati al netto dell’utilizzo dell’avanzo di amministrazione, e delle entrate straordinarie che non hanno dato copertura a impegni. Per gli esercizi successivi a quelli considerati nel bilancio di previsione, non oltre il limite di 10 esercizi a decorrere dal primo esercizio sul quale è autorizzata la spesa che deve essere ricompreso nel periodo di validità del bilancio di previsione, la copertura può essere costituita dalla media dei saldi dell’equilibrio di parte corrente in termini di competenza finanziaria, risultanti dal prospetto degli equilibri allegato al bilancio di previsione, per un importo non superiore al minore tra la media dei saldi di parte corrente in termini di competenza e la media dei saldi di parte corrente in termini di cassa registrati negli ultimi tre esercizi rendicontati, determinati al netto dell’utilizzo dell’avanzo di amministrazione, del fondo di cassa, e delle entrate straordinarie che non hanno dato copertura a impegni, o pagamenti. Resta ferma la durata dei contributi in annualità già autorizzati fino all’esercizio precedente a quello di adozione, da parte dell’Ente, della riforma contabile prevista dal presente decreto. Restano fermi gli impegni di spesa già assunti fino all’esercizio precedente a quello di adozione, da parte dell’Ente, della riforma contabile prevista dal presente decreto a valere sugli esercizi successivi al periodo di validità del bilancio di previsione </w:t>
      </w:r>
      <w:proofErr w:type="spellStart"/>
      <w:r w:rsidRPr="006774A0">
        <w:rPr>
          <w:color w:val="0000FF"/>
          <w:sz w:val="20"/>
          <w:szCs w:val="20"/>
        </w:rPr>
        <w:t>purchè</w:t>
      </w:r>
      <w:proofErr w:type="spellEnd"/>
      <w:r w:rsidRPr="006774A0">
        <w:rPr>
          <w:color w:val="0000FF"/>
          <w:sz w:val="20"/>
          <w:szCs w:val="20"/>
        </w:rPr>
        <w:t xml:space="preserve"> a fronte di obbligazioni giuridicamente perfezionate;</w:t>
      </w:r>
    </w:p>
    <w:p w14:paraId="46E1D951" w14:textId="77777777" w:rsidR="006774A0" w:rsidRPr="006774A0" w:rsidRDefault="006774A0" w:rsidP="006774A0">
      <w:pPr>
        <w:rPr>
          <w:color w:val="0000FF"/>
          <w:sz w:val="20"/>
          <w:szCs w:val="20"/>
        </w:rPr>
      </w:pPr>
      <w:r w:rsidRPr="006774A0">
        <w:rPr>
          <w:color w:val="0000FF"/>
          <w:sz w:val="20"/>
          <w:szCs w:val="20"/>
        </w:rPr>
        <w:t>il 50 % delle previsioni riguardanti l’incremento di gettito derivante dall’applicazione di nuove o maggiori aliquote fiscali, o derivanti dalla maggiorazione di oneri concessori e sanzioni, formalmente deliberate, stanziate nel bilancio di previsione e non accertate negli ultimi tre esercizi rendicontati, al netto dell’eventuale relativo FCDE;</w:t>
      </w:r>
    </w:p>
    <w:p w14:paraId="615AC873" w14:textId="77777777" w:rsidR="006774A0" w:rsidRPr="006774A0" w:rsidRDefault="006774A0" w:rsidP="006774A0">
      <w:pPr>
        <w:rPr>
          <w:color w:val="0000FF"/>
          <w:sz w:val="20"/>
          <w:szCs w:val="20"/>
        </w:rPr>
      </w:pPr>
      <w:r w:rsidRPr="006774A0">
        <w:rPr>
          <w:color w:val="0000FF"/>
          <w:sz w:val="20"/>
          <w:szCs w:val="20"/>
        </w:rPr>
        <w:t>riduzioni permanenti della spesa corrente, già realizzate (risultanti da un titolo giuridico perfezionato), non risultanti dagli ultimi tre esercizi rendicontati.</w:t>
      </w:r>
    </w:p>
    <w:p w14:paraId="72C8BD50" w14:textId="77777777" w:rsidR="006774A0" w:rsidRPr="006774A0" w:rsidRDefault="006774A0" w:rsidP="006774A0">
      <w:pPr>
        <w:rPr>
          <w:color w:val="0000FF"/>
          <w:sz w:val="20"/>
          <w:szCs w:val="20"/>
        </w:rPr>
      </w:pPr>
      <w:r w:rsidRPr="006774A0">
        <w:rPr>
          <w:color w:val="0000FF"/>
          <w:sz w:val="20"/>
          <w:szCs w:val="20"/>
        </w:rPr>
        <w:t>In caso di disavanzo di amministrazione negli ultimi due esercizi o, se l’ esercizio precedente non è ancora stato rendicontato, in caso di disavanzo di amministrazione nell’ultimo esercizio rendicontato e di disavanzo presunto nell’esercizio precedente , (tenendo conto degli accantonamenti, dei vincoli e delle risorse destinate), non è possibile destinare a copertura degli investimenti le voci di cui alle lettere a) e b), salvo il disavanzo costituito esclusivamente da maggiore disavanzo derivante dal riaccertamento straordinario dei residui, da disavanzo tecnico e da debito autorizzato e non contratto dalle regioni, fermo restando gli impegni già assunti sulla base di obbligazioni giuridicamente perfezionate. Le voci di cui alle lettere a) e b) non possono essere destinate a copertura degli investimenti fino a quando il più vecchio degli ultimi due esercizi non è stato rendicontato.</w:t>
      </w:r>
    </w:p>
    <w:p w14:paraId="1A13A897" w14:textId="77777777" w:rsidR="006774A0" w:rsidRPr="006774A0" w:rsidRDefault="006774A0" w:rsidP="006774A0">
      <w:pPr>
        <w:rPr>
          <w:color w:val="0000FF"/>
          <w:sz w:val="20"/>
          <w:szCs w:val="20"/>
        </w:rPr>
      </w:pPr>
    </w:p>
    <w:p w14:paraId="7F376C83" w14:textId="77777777" w:rsidR="006774A0" w:rsidRPr="006774A0" w:rsidRDefault="006774A0" w:rsidP="006774A0">
      <w:pPr>
        <w:rPr>
          <w:color w:val="0000FF"/>
          <w:sz w:val="20"/>
          <w:szCs w:val="20"/>
        </w:rPr>
      </w:pPr>
      <w:r w:rsidRPr="006774A0">
        <w:rPr>
          <w:color w:val="0000FF"/>
          <w:sz w:val="20"/>
          <w:szCs w:val="20"/>
        </w:rPr>
        <w:t>Almeno in sede di provvedimento di salvaguardia degli equilibri di bilancio e di assestamento generale sono assunte le eventuali deliberazioni di variazione al bilancio di previsione conseguenti:</w:t>
      </w:r>
    </w:p>
    <w:p w14:paraId="0C4ADE9F" w14:textId="77777777" w:rsidR="006774A0" w:rsidRPr="006774A0" w:rsidRDefault="006774A0" w:rsidP="006774A0">
      <w:pPr>
        <w:rPr>
          <w:color w:val="0000FF"/>
          <w:sz w:val="20"/>
          <w:szCs w:val="20"/>
        </w:rPr>
      </w:pPr>
    </w:p>
    <w:p w14:paraId="2F4B2526" w14:textId="77777777" w:rsidR="006774A0" w:rsidRPr="006774A0" w:rsidRDefault="006774A0" w:rsidP="006774A0">
      <w:pPr>
        <w:rPr>
          <w:color w:val="0000FF"/>
          <w:sz w:val="20"/>
          <w:szCs w:val="20"/>
        </w:rPr>
      </w:pPr>
      <w:r w:rsidRPr="006774A0">
        <w:rPr>
          <w:color w:val="0000FF"/>
          <w:sz w:val="20"/>
          <w:szCs w:val="20"/>
        </w:rPr>
        <w:t>alla verifica del conseguimento del saldo positivo dell’equilibrio di parte corrente dell’esercizio in corso in termini di competenza finanziaria;</w:t>
      </w:r>
    </w:p>
    <w:p w14:paraId="70DCDCCC" w14:textId="77777777" w:rsidR="006774A0" w:rsidRPr="006774A0" w:rsidRDefault="006774A0" w:rsidP="006774A0">
      <w:pPr>
        <w:rPr>
          <w:color w:val="0000FF"/>
          <w:sz w:val="20"/>
          <w:szCs w:val="20"/>
        </w:rPr>
      </w:pPr>
      <w:r w:rsidRPr="006774A0">
        <w:rPr>
          <w:color w:val="0000FF"/>
          <w:sz w:val="20"/>
          <w:szCs w:val="20"/>
        </w:rPr>
        <w:t>all’eventuale disavanzo rilevato nell’ultimo esercizio in sede di rendiconto;</w:t>
      </w:r>
    </w:p>
    <w:p w14:paraId="640F6E93" w14:textId="77777777" w:rsidR="006774A0" w:rsidRPr="006774A0" w:rsidRDefault="006774A0" w:rsidP="006774A0">
      <w:pPr>
        <w:rPr>
          <w:color w:val="0000FF"/>
          <w:sz w:val="20"/>
          <w:szCs w:val="20"/>
        </w:rPr>
      </w:pPr>
      <w:r w:rsidRPr="006774A0">
        <w:rPr>
          <w:color w:val="0000FF"/>
          <w:sz w:val="20"/>
          <w:szCs w:val="20"/>
        </w:rPr>
        <w:t xml:space="preserve">agli esiti della verifica della coerenza degli accertamenti delle entrate di cui alla lettera c) e della riduzione degli impegni correnti di cui alla lettera c), realizzate nell’esercizio in corso, alle previsioni di ciascun esercizio considerato nel bilancio di </w:t>
      </w:r>
      <w:proofErr w:type="gramStart"/>
      <w:r w:rsidRPr="006774A0">
        <w:rPr>
          <w:color w:val="0000FF"/>
          <w:sz w:val="20"/>
          <w:szCs w:val="20"/>
        </w:rPr>
        <w:t>previsione .</w:t>
      </w:r>
      <w:proofErr w:type="gramEnd"/>
    </w:p>
    <w:p w14:paraId="3F11EFF8" w14:textId="77777777" w:rsidR="006774A0" w:rsidRPr="006774A0" w:rsidRDefault="006774A0" w:rsidP="006774A0">
      <w:pPr>
        <w:rPr>
          <w:color w:val="0000FF"/>
          <w:sz w:val="20"/>
          <w:szCs w:val="20"/>
        </w:rPr>
      </w:pPr>
      <w:r w:rsidRPr="006774A0">
        <w:rPr>
          <w:color w:val="0000FF"/>
          <w:sz w:val="20"/>
          <w:szCs w:val="20"/>
        </w:rPr>
        <w:t>Inoltre, in sede di provvedimento di salvaguardia degli equilibri di bilancio e anche di provvedimento di assestamento generale di bilancio, è necessario dare atto del rispetto degli equilibri di bilancio per la gestione di competenza e la gestione di cassa, per ciascuna delle annualità contemplate dal bilancio.</w:t>
      </w:r>
    </w:p>
    <w:p w14:paraId="2E2FCC85" w14:textId="77777777" w:rsidR="006774A0" w:rsidRPr="006774A0" w:rsidRDefault="006774A0" w:rsidP="006774A0">
      <w:pPr>
        <w:rPr>
          <w:color w:val="0000FF"/>
          <w:sz w:val="20"/>
          <w:szCs w:val="20"/>
        </w:rPr>
      </w:pPr>
      <w:r w:rsidRPr="006774A0">
        <w:rPr>
          <w:color w:val="0000FF"/>
          <w:sz w:val="20"/>
          <w:szCs w:val="20"/>
        </w:rPr>
        <w:t>La necessità di garantire e verificare l’equivalenza tra gli accertamenti e gli impegni riguardanti le partite di giro o le operazioni per conto terzi, attraverso l’accertamento di entrate cui deve conseguire, automaticamente, comporta che, in deroga al principio generale, le obbligazioni giuridicamente perfezionate attive e passive, che danno luogo a entrate e spese riguardanti le partite di giro e le operazioni per conto terzi, devono essere registrate e imputate all’esercizio in cui l’obbligazione è perfezionata.</w:t>
      </w:r>
    </w:p>
    <w:p w14:paraId="7AC5D278" w14:textId="77777777" w:rsidR="006774A0" w:rsidRPr="006774A0" w:rsidRDefault="006774A0" w:rsidP="006774A0">
      <w:pPr>
        <w:rPr>
          <w:color w:val="0000FF"/>
          <w:sz w:val="20"/>
          <w:szCs w:val="20"/>
        </w:rPr>
      </w:pPr>
      <w:r w:rsidRPr="006774A0">
        <w:rPr>
          <w:color w:val="0000FF"/>
          <w:sz w:val="20"/>
          <w:szCs w:val="20"/>
        </w:rPr>
        <w:t>Gli incassi ed i pagamenti sono imputati allo stesso esercizio in cui il cassiere/tesoriere li ha effettuati.</w:t>
      </w:r>
    </w:p>
    <w:p w14:paraId="122842BA" w14:textId="77777777" w:rsidR="006774A0" w:rsidRPr="006774A0" w:rsidRDefault="006774A0" w:rsidP="006774A0">
      <w:pPr>
        <w:rPr>
          <w:color w:val="0000FF"/>
          <w:sz w:val="20"/>
          <w:szCs w:val="20"/>
        </w:rPr>
      </w:pPr>
      <w:r w:rsidRPr="006774A0">
        <w:rPr>
          <w:color w:val="0000FF"/>
          <w:sz w:val="20"/>
          <w:szCs w:val="20"/>
        </w:rPr>
        <w:t xml:space="preserve">Gli incassi ed i pagamenti risultanti dai mandati versati all’entrata del bilancio </w:t>
      </w:r>
      <w:proofErr w:type="gramStart"/>
      <w:r w:rsidRPr="006774A0">
        <w:rPr>
          <w:color w:val="0000FF"/>
          <w:sz w:val="20"/>
          <w:szCs w:val="20"/>
        </w:rPr>
        <w:t>dell’ amministrazione</w:t>
      </w:r>
      <w:proofErr w:type="gramEnd"/>
      <w:r w:rsidRPr="006774A0">
        <w:rPr>
          <w:color w:val="0000FF"/>
          <w:sz w:val="20"/>
          <w:szCs w:val="20"/>
        </w:rPr>
        <w:t xml:space="preserve"> pubblica stessa a seguito di regolazioni contabili (che non danno luogo ad effettivi incassi e pagamenti) sono imputati all’esercizio cui fanno riferimento i titoli di entrata e di spesa.</w:t>
      </w:r>
    </w:p>
    <w:p w14:paraId="2D949A3C" w14:textId="77777777" w:rsidR="006774A0" w:rsidRPr="006774A0" w:rsidRDefault="006774A0" w:rsidP="006774A0">
      <w:pPr>
        <w:rPr>
          <w:color w:val="0000FF"/>
          <w:sz w:val="20"/>
          <w:szCs w:val="20"/>
        </w:rPr>
      </w:pPr>
      <w:proofErr w:type="gramStart"/>
      <w:r w:rsidRPr="006774A0">
        <w:rPr>
          <w:color w:val="0000FF"/>
          <w:sz w:val="20"/>
          <w:szCs w:val="20"/>
        </w:rPr>
        <w:t>E’</w:t>
      </w:r>
      <w:proofErr w:type="gramEnd"/>
      <w:r w:rsidRPr="006774A0">
        <w:rPr>
          <w:color w:val="0000FF"/>
          <w:sz w:val="20"/>
          <w:szCs w:val="20"/>
        </w:rPr>
        <w:t xml:space="preserve"> prevista la coesistenza di documenti contabili finanziari ed economici, in quanto una rappresentazione veritiera della gestione non può prescindere dall’esame di entrambi gli aspetti.</w:t>
      </w:r>
    </w:p>
    <w:p w14:paraId="38EDC045" w14:textId="77777777" w:rsidR="006774A0" w:rsidRPr="006774A0" w:rsidRDefault="006774A0" w:rsidP="006774A0">
      <w:pPr>
        <w:rPr>
          <w:color w:val="0000FF"/>
          <w:sz w:val="20"/>
          <w:szCs w:val="20"/>
        </w:rPr>
      </w:pPr>
    </w:p>
    <w:p w14:paraId="13F5F40E" w14:textId="77777777" w:rsidR="006774A0" w:rsidRPr="006774A0" w:rsidRDefault="006774A0" w:rsidP="006774A0">
      <w:pPr>
        <w:rPr>
          <w:color w:val="0000FF"/>
          <w:sz w:val="20"/>
          <w:szCs w:val="20"/>
        </w:rPr>
      </w:pPr>
    </w:p>
    <w:p w14:paraId="5DA08085" w14:textId="77777777" w:rsidR="006774A0" w:rsidRPr="006774A0" w:rsidRDefault="006774A0" w:rsidP="006774A0">
      <w:pPr>
        <w:rPr>
          <w:color w:val="0000FF"/>
          <w:sz w:val="20"/>
          <w:szCs w:val="20"/>
        </w:rPr>
      </w:pPr>
      <w:r w:rsidRPr="006774A0">
        <w:rPr>
          <w:color w:val="0000FF"/>
          <w:sz w:val="20"/>
          <w:szCs w:val="20"/>
        </w:rPr>
        <w:t>Integrazione prevista dal DM 30 marzo 2016.</w:t>
      </w:r>
    </w:p>
    <w:p w14:paraId="716F5A6F" w14:textId="77777777" w:rsidR="006774A0" w:rsidRPr="006774A0" w:rsidRDefault="006774A0" w:rsidP="006774A0">
      <w:pPr>
        <w:rPr>
          <w:color w:val="0000FF"/>
          <w:sz w:val="20"/>
          <w:szCs w:val="20"/>
        </w:rPr>
      </w:pPr>
      <w:r w:rsidRPr="006774A0">
        <w:rPr>
          <w:color w:val="0000FF"/>
          <w:sz w:val="20"/>
          <w:szCs w:val="20"/>
        </w:rPr>
        <w:t>Se gli ultimi due esercizi non sono ancora stati rendicontati, si fa riferimento agli ultimi due risultati di amministrazione presunti.</w:t>
      </w:r>
    </w:p>
    <w:p w14:paraId="57ED58A5" w14:textId="77777777" w:rsidR="006774A0" w:rsidRPr="006774A0" w:rsidRDefault="006774A0" w:rsidP="006774A0">
      <w:pPr>
        <w:rPr>
          <w:color w:val="0000FF"/>
          <w:sz w:val="20"/>
          <w:szCs w:val="20"/>
        </w:rPr>
      </w:pPr>
    </w:p>
    <w:p w14:paraId="476EA9C0" w14:textId="77777777" w:rsidR="006774A0" w:rsidRPr="006774A0" w:rsidRDefault="006774A0" w:rsidP="006774A0">
      <w:pPr>
        <w:rPr>
          <w:color w:val="0000FF"/>
          <w:sz w:val="20"/>
          <w:szCs w:val="20"/>
        </w:rPr>
      </w:pPr>
      <w:r w:rsidRPr="006774A0">
        <w:rPr>
          <w:color w:val="0000FF"/>
          <w:sz w:val="20"/>
          <w:szCs w:val="20"/>
        </w:rPr>
        <w:t>Integrazione prevista dal decreto ministeriale del 1° dicembre 2015.</w:t>
      </w:r>
    </w:p>
    <w:p w14:paraId="7B731598" w14:textId="77777777" w:rsidR="006774A0" w:rsidRPr="006774A0" w:rsidRDefault="006774A0" w:rsidP="006774A0">
      <w:pPr>
        <w:rPr>
          <w:color w:val="0000FF"/>
          <w:sz w:val="20"/>
          <w:szCs w:val="20"/>
        </w:rPr>
      </w:pPr>
    </w:p>
    <w:p w14:paraId="0910692D" w14:textId="77777777" w:rsidR="006774A0" w:rsidRPr="006774A0" w:rsidRDefault="006774A0" w:rsidP="006774A0">
      <w:pPr>
        <w:rPr>
          <w:color w:val="0000FF"/>
          <w:sz w:val="20"/>
          <w:szCs w:val="20"/>
        </w:rPr>
      </w:pPr>
    </w:p>
    <w:p w14:paraId="559F87B0" w14:textId="77777777" w:rsidR="006774A0" w:rsidRPr="006774A0" w:rsidRDefault="006774A0" w:rsidP="006774A0">
      <w:pPr>
        <w:rPr>
          <w:color w:val="0000FF"/>
          <w:sz w:val="20"/>
          <w:szCs w:val="20"/>
        </w:rPr>
      </w:pPr>
      <w:r w:rsidRPr="006774A0">
        <w:rPr>
          <w:color w:val="0000FF"/>
          <w:sz w:val="20"/>
          <w:szCs w:val="20"/>
        </w:rPr>
        <w:t>17. Principio della competenza economica</w:t>
      </w:r>
    </w:p>
    <w:p w14:paraId="64254872" w14:textId="77777777" w:rsidR="006774A0" w:rsidRPr="006774A0" w:rsidRDefault="006774A0" w:rsidP="006774A0">
      <w:pPr>
        <w:rPr>
          <w:color w:val="0000FF"/>
          <w:sz w:val="20"/>
          <w:szCs w:val="20"/>
        </w:rPr>
      </w:pPr>
    </w:p>
    <w:p w14:paraId="055931A2" w14:textId="77777777" w:rsidR="006774A0" w:rsidRPr="006774A0" w:rsidRDefault="006774A0" w:rsidP="006774A0">
      <w:pPr>
        <w:rPr>
          <w:color w:val="0000FF"/>
          <w:sz w:val="20"/>
          <w:szCs w:val="20"/>
        </w:rPr>
      </w:pPr>
    </w:p>
    <w:p w14:paraId="49D1BCC3" w14:textId="77777777" w:rsidR="006774A0" w:rsidRPr="006774A0" w:rsidRDefault="006774A0" w:rsidP="006774A0">
      <w:pPr>
        <w:rPr>
          <w:color w:val="0000FF"/>
          <w:sz w:val="20"/>
          <w:szCs w:val="20"/>
        </w:rPr>
      </w:pPr>
      <w:r w:rsidRPr="006774A0">
        <w:rPr>
          <w:color w:val="0000FF"/>
          <w:sz w:val="20"/>
          <w:szCs w:val="20"/>
        </w:rPr>
        <w:t>Il principio della competenza economica rappresenta il criterio con il quale sono imputati gli effetti delle diverse operazioni ed attività amministrative che la singola amministrazione pubblica svolge durante ogni esercizio e mediante le quali si evidenziano “utilità economiche” cedute e/o acquisite anche se non direttamente collegate ai relativi movimenti finanziari. Per il principio della competenza economica l'effetto delle operazioni e degli altri eventi deve essere rilevato contabilmente ed attribuito all'esercizio al quale tali operazioni ed eventi si riferiscono e non a quello in cui si concretizzano i relativi movimenti finanziari.</w:t>
      </w:r>
    </w:p>
    <w:p w14:paraId="0E43656D" w14:textId="77777777" w:rsidR="006774A0" w:rsidRPr="006774A0" w:rsidRDefault="006774A0" w:rsidP="006774A0">
      <w:pPr>
        <w:rPr>
          <w:color w:val="0000FF"/>
          <w:sz w:val="20"/>
          <w:szCs w:val="20"/>
        </w:rPr>
      </w:pPr>
      <w:r w:rsidRPr="006774A0">
        <w:rPr>
          <w:color w:val="0000FF"/>
          <w:sz w:val="20"/>
          <w:szCs w:val="20"/>
        </w:rPr>
        <w:t>La determinazione dei risultati di esercizio di ogni pubblica amministrazione implica un procedimento contabile di identificazione, di misurazione e di correlazione tra le entrate e le uscite dei documenti finanziari e tra i proventi ed i costi e le spese dei documenti economici del bilancio di previsione e di rendicontazione. Il risultato economico d'esercizio implica un procedimento di analisi della competenza economica e delle componenti economiche positive e negative relative all’esercizio cui il rendiconto si riferisce.</w:t>
      </w:r>
    </w:p>
    <w:p w14:paraId="4A96BF3E" w14:textId="77777777" w:rsidR="006774A0" w:rsidRPr="006774A0" w:rsidRDefault="006774A0" w:rsidP="006774A0">
      <w:pPr>
        <w:rPr>
          <w:color w:val="0000FF"/>
          <w:sz w:val="20"/>
          <w:szCs w:val="20"/>
        </w:rPr>
      </w:pPr>
      <w:r w:rsidRPr="006774A0">
        <w:rPr>
          <w:color w:val="0000FF"/>
          <w:sz w:val="20"/>
          <w:szCs w:val="20"/>
        </w:rPr>
        <w:t>Il presente principio della competenza economica è riferibile ai soli prospetti di natura economica e patrimoniale facenti parte di ogni sistema di bilancio; in particolare si fa riferimento al budget economico e/o preventivo economico, al conto economico ed al conto del patrimonio nel rendiconto della gestione.</w:t>
      </w:r>
    </w:p>
    <w:p w14:paraId="143393A7" w14:textId="77777777" w:rsidR="006774A0" w:rsidRPr="006774A0" w:rsidRDefault="006774A0" w:rsidP="006774A0">
      <w:pPr>
        <w:rPr>
          <w:color w:val="0000FF"/>
          <w:sz w:val="20"/>
          <w:szCs w:val="20"/>
        </w:rPr>
      </w:pPr>
      <w:r w:rsidRPr="006774A0">
        <w:rPr>
          <w:color w:val="0000FF"/>
          <w:sz w:val="20"/>
          <w:szCs w:val="20"/>
        </w:rPr>
        <w:t>La rilevazione contabile dell’aspetto economico della gestione è necessaria in considerazione degli obiettivi che l’ordinamento assegna al sistema informativo obbligatorio.</w:t>
      </w:r>
    </w:p>
    <w:p w14:paraId="19B43740" w14:textId="77777777" w:rsidR="006774A0" w:rsidRPr="006774A0" w:rsidRDefault="006774A0" w:rsidP="006774A0">
      <w:pPr>
        <w:rPr>
          <w:color w:val="0000FF"/>
          <w:sz w:val="20"/>
          <w:szCs w:val="20"/>
        </w:rPr>
      </w:pPr>
      <w:r w:rsidRPr="006774A0">
        <w:rPr>
          <w:color w:val="0000FF"/>
          <w:sz w:val="20"/>
          <w:szCs w:val="20"/>
        </w:rPr>
        <w:t>I documenti di programmazione e di previsione esprimono la dimensione finanziaria di fatti economici complessivamente valutati in via preventiva.</w:t>
      </w:r>
    </w:p>
    <w:p w14:paraId="31B853F7" w14:textId="77777777" w:rsidR="006774A0" w:rsidRPr="006774A0" w:rsidRDefault="006774A0" w:rsidP="006774A0">
      <w:pPr>
        <w:rPr>
          <w:color w:val="0000FF"/>
          <w:sz w:val="20"/>
          <w:szCs w:val="20"/>
        </w:rPr>
      </w:pPr>
      <w:r w:rsidRPr="006774A0">
        <w:rPr>
          <w:color w:val="0000FF"/>
          <w:sz w:val="20"/>
          <w:szCs w:val="20"/>
        </w:rPr>
        <w:t>Il rendiconto deve rappresentare la dimensione finanziaria, economica e patrimoniale dei fatti amministrativi che la singola amministrazione pubblica ha realizzato nell’esercizio.</w:t>
      </w:r>
    </w:p>
    <w:p w14:paraId="0779E9AD" w14:textId="77777777" w:rsidR="006774A0" w:rsidRPr="006774A0" w:rsidRDefault="006774A0" w:rsidP="006774A0">
      <w:pPr>
        <w:rPr>
          <w:color w:val="0000FF"/>
          <w:sz w:val="20"/>
          <w:szCs w:val="20"/>
        </w:rPr>
      </w:pPr>
      <w:r w:rsidRPr="006774A0">
        <w:rPr>
          <w:color w:val="0000FF"/>
          <w:sz w:val="20"/>
          <w:szCs w:val="20"/>
        </w:rPr>
        <w:t>L’analisi economica dei fatti amministrativi di una singola amministrazione pubblica richiede una distinzione tra fatti gestionali direttamente collegati ad un processo di scambio sul mercato (acquisizione, trasformazione e vendita) che danno luogo a costi o ricavi, e fatti gestionali non caratterizzati da questo processo in quanto finalizzati ad altre attività istituzionali e/o erogative (tributi, contribuzioni, trasferimenti di risorse, prestazioni, servizi, altro), che danno luogo a oneri e proventi.</w:t>
      </w:r>
    </w:p>
    <w:p w14:paraId="6B063523" w14:textId="77777777" w:rsidR="006774A0" w:rsidRPr="006774A0" w:rsidRDefault="006774A0" w:rsidP="006774A0">
      <w:pPr>
        <w:rPr>
          <w:color w:val="0000FF"/>
          <w:sz w:val="20"/>
          <w:szCs w:val="20"/>
        </w:rPr>
      </w:pPr>
      <w:r w:rsidRPr="006774A0">
        <w:rPr>
          <w:color w:val="0000FF"/>
          <w:sz w:val="20"/>
          <w:szCs w:val="20"/>
        </w:rPr>
        <w:t>Nel primo caso la competenza economica dei costi e dei ricavi è riconducibile al principio contabile n. 11 dei Dottori Commercialisti, mentre nel secondo caso, e quindi per la maggior parte delle attività amministrative pubbliche, è necessario fare riferimento alla competenza economica delle componenti positive e negative della gestione direttamente collegate al processo erogativo delle prestazioni e servizi offerti alla comunità amministrata e quindi alle diverse categorie di portatori di interesse.</w:t>
      </w:r>
    </w:p>
    <w:p w14:paraId="68316EC2" w14:textId="77777777" w:rsidR="006774A0" w:rsidRPr="006774A0" w:rsidRDefault="006774A0" w:rsidP="006774A0">
      <w:pPr>
        <w:rPr>
          <w:color w:val="0000FF"/>
          <w:sz w:val="20"/>
          <w:szCs w:val="20"/>
        </w:rPr>
      </w:pPr>
      <w:r w:rsidRPr="006774A0">
        <w:rPr>
          <w:color w:val="0000FF"/>
          <w:sz w:val="20"/>
          <w:szCs w:val="20"/>
        </w:rPr>
        <w:t>Nel secondo caso quindi, i ricavi, come regola generale, devono essere imputati all’esercizio nel quale si verificano le seguenti due condizioni:</w:t>
      </w:r>
    </w:p>
    <w:p w14:paraId="4B72E9CF" w14:textId="77777777" w:rsidR="006774A0" w:rsidRPr="006774A0" w:rsidRDefault="006774A0" w:rsidP="006774A0">
      <w:pPr>
        <w:rPr>
          <w:color w:val="0000FF"/>
          <w:sz w:val="20"/>
          <w:szCs w:val="20"/>
        </w:rPr>
      </w:pPr>
      <w:r w:rsidRPr="006774A0">
        <w:rPr>
          <w:color w:val="0000FF"/>
          <w:sz w:val="20"/>
          <w:szCs w:val="20"/>
        </w:rPr>
        <w:t>il processo produttivo dei beni o dei servizi è stato completato;</w:t>
      </w:r>
    </w:p>
    <w:p w14:paraId="1280822B" w14:textId="77777777" w:rsidR="006774A0" w:rsidRPr="006774A0" w:rsidRDefault="006774A0" w:rsidP="006774A0">
      <w:pPr>
        <w:rPr>
          <w:color w:val="0000FF"/>
          <w:sz w:val="20"/>
          <w:szCs w:val="20"/>
        </w:rPr>
      </w:pPr>
      <w:r w:rsidRPr="006774A0">
        <w:rPr>
          <w:color w:val="0000FF"/>
          <w:sz w:val="20"/>
          <w:szCs w:val="20"/>
        </w:rPr>
        <w:t xml:space="preserve">l’erogazione è già avvenuta, si </w:t>
      </w:r>
      <w:proofErr w:type="gramStart"/>
      <w:r w:rsidRPr="006774A0">
        <w:rPr>
          <w:color w:val="0000FF"/>
          <w:sz w:val="20"/>
          <w:szCs w:val="20"/>
        </w:rPr>
        <w:t>è cioè</w:t>
      </w:r>
      <w:proofErr w:type="gramEnd"/>
      <w:r w:rsidRPr="006774A0">
        <w:rPr>
          <w:color w:val="0000FF"/>
          <w:sz w:val="20"/>
          <w:szCs w:val="20"/>
        </w:rPr>
        <w:t xml:space="preserve"> verificato il passaggio sostanziale e non formale del titolo di proprietà o i servizi sono stati resi.</w:t>
      </w:r>
    </w:p>
    <w:p w14:paraId="670E6889" w14:textId="77777777" w:rsidR="006774A0" w:rsidRPr="006774A0" w:rsidRDefault="006774A0" w:rsidP="006774A0">
      <w:pPr>
        <w:rPr>
          <w:color w:val="0000FF"/>
          <w:sz w:val="20"/>
          <w:szCs w:val="20"/>
        </w:rPr>
      </w:pPr>
      <w:r w:rsidRPr="006774A0">
        <w:rPr>
          <w:color w:val="0000FF"/>
          <w:sz w:val="20"/>
          <w:szCs w:val="20"/>
        </w:rPr>
        <w:t xml:space="preserve">Le risorse finanziarie rese disponibili per le attività istituzionali dell’amministrazione, come i diversi proventi o trasferimenti correnti di natura tributaria o </w:t>
      </w:r>
      <w:proofErr w:type="gramStart"/>
      <w:r w:rsidRPr="006774A0">
        <w:rPr>
          <w:color w:val="0000FF"/>
          <w:sz w:val="20"/>
          <w:szCs w:val="20"/>
        </w:rPr>
        <w:t>non</w:t>
      </w:r>
      <w:proofErr w:type="gramEnd"/>
      <w:r w:rsidRPr="006774A0">
        <w:rPr>
          <w:color w:val="0000FF"/>
          <w:sz w:val="20"/>
          <w:szCs w:val="20"/>
        </w:rPr>
        <w:t>, si imputano all’esercizio nel quale si è verificata la manifestazione finanziaria e se tali risorse sono risultate impiegate per la copertura dei costi sostenuti per le attività istituzionali programmate. Fanno eccezione i trasferimenti a destinazione</w:t>
      </w:r>
    </w:p>
    <w:p w14:paraId="2ECD4376" w14:textId="77777777" w:rsidR="006774A0" w:rsidRPr="006774A0" w:rsidRDefault="006774A0" w:rsidP="006774A0">
      <w:pPr>
        <w:rPr>
          <w:color w:val="0000FF"/>
          <w:sz w:val="20"/>
          <w:szCs w:val="20"/>
        </w:rPr>
      </w:pPr>
      <w:r w:rsidRPr="006774A0">
        <w:rPr>
          <w:color w:val="0000FF"/>
          <w:sz w:val="20"/>
          <w:szCs w:val="20"/>
        </w:rPr>
        <w:t>vincolata, siano questi correnti o in conto capitale, che vengono imputati in ragione del costo o dell’onere di competenza economica alla copertura del quale sono destinati.</w:t>
      </w:r>
    </w:p>
    <w:p w14:paraId="13A1CABB" w14:textId="77777777" w:rsidR="006774A0" w:rsidRPr="006774A0" w:rsidRDefault="006774A0" w:rsidP="006774A0">
      <w:pPr>
        <w:rPr>
          <w:color w:val="0000FF"/>
          <w:sz w:val="20"/>
          <w:szCs w:val="20"/>
        </w:rPr>
      </w:pPr>
      <w:r w:rsidRPr="006774A0">
        <w:rPr>
          <w:color w:val="0000FF"/>
          <w:sz w:val="20"/>
          <w:szCs w:val="20"/>
        </w:rPr>
        <w:t>I componenti economici negativi devono essere correlati con i ricavi dell'esercizio o con le altre risorse rese disponibili per il regolare svolgimento delle attività istituzionali. Detta correlazione costituisce un corollario fondamentale del principio della competenza economica ed intende esprimere la necessità di contrapporre ai componenti economici positivi dell'esercizio i relativi componenti economici negativi ed oneri, siano essi certi che presunti. Tale correlazione si realizza:</w:t>
      </w:r>
    </w:p>
    <w:p w14:paraId="40EB18A3" w14:textId="77777777" w:rsidR="006774A0" w:rsidRPr="006774A0" w:rsidRDefault="006774A0" w:rsidP="006774A0">
      <w:pPr>
        <w:rPr>
          <w:color w:val="0000FF"/>
          <w:sz w:val="20"/>
          <w:szCs w:val="20"/>
        </w:rPr>
      </w:pPr>
      <w:r w:rsidRPr="006774A0">
        <w:rPr>
          <w:color w:val="0000FF"/>
          <w:sz w:val="20"/>
          <w:szCs w:val="20"/>
        </w:rPr>
        <w:t>per associazione di causa ad effetto tra costi ed erogazione o cessione del prodotto o servizio realizzato. L'associazione può essere effettuata analiticamente e direttamente o sulla base di assunzioni del flusso dei costi;</w:t>
      </w:r>
    </w:p>
    <w:p w14:paraId="161D019B" w14:textId="77777777" w:rsidR="006774A0" w:rsidRPr="006774A0" w:rsidRDefault="006774A0" w:rsidP="006774A0">
      <w:pPr>
        <w:rPr>
          <w:color w:val="0000FF"/>
          <w:sz w:val="20"/>
          <w:szCs w:val="20"/>
        </w:rPr>
      </w:pPr>
      <w:r w:rsidRPr="006774A0">
        <w:rPr>
          <w:color w:val="0000FF"/>
          <w:sz w:val="20"/>
          <w:szCs w:val="20"/>
        </w:rPr>
        <w:t>per ripartizione dell'utilità o funzionalità pluriennale su base razionale e sistematica, in mancanza di una più diretta associazione. Tipico esempio è rappresentato dall'ammortamento;</w:t>
      </w:r>
    </w:p>
    <w:p w14:paraId="71D3495C" w14:textId="77777777" w:rsidR="006774A0" w:rsidRPr="006774A0" w:rsidRDefault="006774A0" w:rsidP="006774A0">
      <w:pPr>
        <w:rPr>
          <w:color w:val="0000FF"/>
          <w:sz w:val="20"/>
          <w:szCs w:val="20"/>
        </w:rPr>
      </w:pPr>
      <w:r w:rsidRPr="006774A0">
        <w:rPr>
          <w:color w:val="0000FF"/>
          <w:sz w:val="20"/>
          <w:szCs w:val="20"/>
        </w:rPr>
        <w:t xml:space="preserve">per imputazione diretta di costi al conto economico dell'esercizio o perché associati a funzioni istituzionali, o perché associati al tempo, o perché sia venuta meno l'utilità o la funzionalità del costo. </w:t>
      </w:r>
      <w:proofErr w:type="gramStart"/>
      <w:r w:rsidRPr="006774A0">
        <w:rPr>
          <w:color w:val="0000FF"/>
          <w:sz w:val="20"/>
          <w:szCs w:val="20"/>
        </w:rPr>
        <w:t>In particolare</w:t>
      </w:r>
      <w:proofErr w:type="gramEnd"/>
      <w:r w:rsidRPr="006774A0">
        <w:rPr>
          <w:color w:val="0000FF"/>
          <w:sz w:val="20"/>
          <w:szCs w:val="20"/>
        </w:rPr>
        <w:t xml:space="preserve"> quando:</w:t>
      </w:r>
    </w:p>
    <w:p w14:paraId="51B23526" w14:textId="77777777" w:rsidR="006774A0" w:rsidRPr="006774A0" w:rsidRDefault="006774A0" w:rsidP="006774A0">
      <w:pPr>
        <w:rPr>
          <w:color w:val="0000FF"/>
          <w:sz w:val="20"/>
          <w:szCs w:val="20"/>
        </w:rPr>
      </w:pPr>
      <w:r w:rsidRPr="006774A0">
        <w:rPr>
          <w:color w:val="0000FF"/>
          <w:sz w:val="20"/>
          <w:szCs w:val="20"/>
        </w:rPr>
        <w:t>a) i costi sostenuti in un esercizio esauriscono la loro utilità già nell'esercizio stesso, o non sia identificabile o valutabile la futura utilità;</w:t>
      </w:r>
    </w:p>
    <w:p w14:paraId="3CADCDD8" w14:textId="77777777" w:rsidR="006774A0" w:rsidRPr="006774A0" w:rsidRDefault="006774A0" w:rsidP="006774A0">
      <w:pPr>
        <w:rPr>
          <w:color w:val="0000FF"/>
          <w:sz w:val="20"/>
          <w:szCs w:val="20"/>
        </w:rPr>
      </w:pPr>
      <w:r w:rsidRPr="006774A0">
        <w:rPr>
          <w:color w:val="0000FF"/>
          <w:sz w:val="20"/>
          <w:szCs w:val="20"/>
        </w:rPr>
        <w:t>b) viene meno o non sia più identificabile o valutabile la futura utilità o la funzionalità dei fattori produttivi i cui costi erano stati sospesi in esercizi precedenti;</w:t>
      </w:r>
    </w:p>
    <w:p w14:paraId="72BEA58B" w14:textId="77777777" w:rsidR="006774A0" w:rsidRPr="006774A0" w:rsidRDefault="006774A0" w:rsidP="006774A0">
      <w:pPr>
        <w:rPr>
          <w:color w:val="0000FF"/>
          <w:sz w:val="20"/>
          <w:szCs w:val="20"/>
        </w:rPr>
      </w:pPr>
      <w:r w:rsidRPr="006774A0">
        <w:rPr>
          <w:color w:val="0000FF"/>
          <w:sz w:val="20"/>
          <w:szCs w:val="20"/>
        </w:rPr>
        <w:t>c) L’associazione al processo produttivo o la ripartizione delle utilità del costo a cui ci si riferisce su base razionale e sistematica non risulti più di sostanziale rilevanza.</w:t>
      </w:r>
    </w:p>
    <w:p w14:paraId="16E1A9AE" w14:textId="77777777" w:rsidR="006774A0" w:rsidRPr="006774A0" w:rsidRDefault="006774A0" w:rsidP="006774A0">
      <w:pPr>
        <w:rPr>
          <w:color w:val="0000FF"/>
          <w:sz w:val="20"/>
          <w:szCs w:val="20"/>
        </w:rPr>
      </w:pPr>
      <w:r w:rsidRPr="006774A0">
        <w:rPr>
          <w:color w:val="0000FF"/>
          <w:sz w:val="20"/>
          <w:szCs w:val="20"/>
        </w:rPr>
        <w:t xml:space="preserve">I componenti economici </w:t>
      </w:r>
      <w:proofErr w:type="gramStart"/>
      <w:r w:rsidRPr="006774A0">
        <w:rPr>
          <w:color w:val="0000FF"/>
          <w:sz w:val="20"/>
          <w:szCs w:val="20"/>
        </w:rPr>
        <w:t>positivi quindi</w:t>
      </w:r>
      <w:proofErr w:type="gramEnd"/>
      <w:r w:rsidRPr="006774A0">
        <w:rPr>
          <w:color w:val="0000FF"/>
          <w:sz w:val="20"/>
          <w:szCs w:val="20"/>
        </w:rPr>
        <w:t xml:space="preserve"> devono essere correlati ai componenti economici negativi o costi o spese dell’esercizio. Tale correlazione costituisce il corollario fondamentale del principio della competenza economica dei fatti gestionali caratterizzanti l’attività amministrativa di ogni amministrazione pubblica.</w:t>
      </w:r>
    </w:p>
    <w:p w14:paraId="6A372624" w14:textId="77777777" w:rsidR="006774A0" w:rsidRPr="006774A0" w:rsidRDefault="006774A0" w:rsidP="006774A0">
      <w:pPr>
        <w:rPr>
          <w:color w:val="0000FF"/>
          <w:sz w:val="20"/>
          <w:szCs w:val="20"/>
        </w:rPr>
      </w:pPr>
    </w:p>
    <w:p w14:paraId="60BF1A2E" w14:textId="77777777" w:rsidR="006774A0" w:rsidRPr="006774A0" w:rsidRDefault="006774A0" w:rsidP="006774A0">
      <w:pPr>
        <w:rPr>
          <w:color w:val="0000FF"/>
          <w:sz w:val="20"/>
          <w:szCs w:val="20"/>
        </w:rPr>
      </w:pPr>
    </w:p>
    <w:p w14:paraId="1E5C2E28" w14:textId="77777777" w:rsidR="006774A0" w:rsidRPr="006774A0" w:rsidRDefault="006774A0" w:rsidP="006774A0">
      <w:pPr>
        <w:rPr>
          <w:color w:val="0000FF"/>
          <w:sz w:val="20"/>
          <w:szCs w:val="20"/>
        </w:rPr>
      </w:pPr>
      <w:r w:rsidRPr="006774A0">
        <w:rPr>
          <w:color w:val="0000FF"/>
          <w:sz w:val="20"/>
          <w:szCs w:val="20"/>
        </w:rPr>
        <w:t>18. Principio della prevalenza della sostanza sulla forma</w:t>
      </w:r>
    </w:p>
    <w:p w14:paraId="51636708" w14:textId="77777777" w:rsidR="006774A0" w:rsidRPr="006774A0" w:rsidRDefault="006774A0" w:rsidP="006774A0">
      <w:pPr>
        <w:rPr>
          <w:color w:val="0000FF"/>
          <w:sz w:val="20"/>
          <w:szCs w:val="20"/>
        </w:rPr>
      </w:pPr>
    </w:p>
    <w:p w14:paraId="6D748814" w14:textId="77777777" w:rsidR="006774A0" w:rsidRPr="006774A0" w:rsidRDefault="006774A0" w:rsidP="006774A0">
      <w:pPr>
        <w:rPr>
          <w:color w:val="0000FF"/>
          <w:sz w:val="20"/>
          <w:szCs w:val="20"/>
        </w:rPr>
      </w:pPr>
    </w:p>
    <w:p w14:paraId="2A954FDE" w14:textId="77777777" w:rsidR="006774A0" w:rsidRPr="006774A0" w:rsidRDefault="006774A0" w:rsidP="006774A0">
      <w:pPr>
        <w:rPr>
          <w:color w:val="0000FF"/>
          <w:sz w:val="20"/>
          <w:szCs w:val="20"/>
        </w:rPr>
      </w:pPr>
      <w:r w:rsidRPr="006774A0">
        <w:rPr>
          <w:color w:val="0000FF"/>
          <w:sz w:val="20"/>
          <w:szCs w:val="20"/>
        </w:rPr>
        <w:t>Se l’informazione contabile deve rappresentare fedelmente ed in modo veritiero le operazioni ed i fatti che sono accaduti durante l’esercizio, è necessario che essi siano rilevati contabilmente secondo la loro natura finanziaria, economica e patrimoniale in conformità alla loro sostanza effettiva e quindi alla realtà economica che li ha generati e ai contenuti della stessa, e non solamente secondo le regole e le norme vigenti che ne disciplinano la contabilizzazione formale.</w:t>
      </w:r>
    </w:p>
    <w:p w14:paraId="216F834B" w14:textId="3FDE2488" w:rsidR="00096C8F" w:rsidRDefault="006774A0" w:rsidP="006774A0">
      <w:pPr>
        <w:rPr>
          <w:sz w:val="20"/>
          <w:szCs w:val="20"/>
        </w:rPr>
      </w:pPr>
      <w:r w:rsidRPr="006774A0">
        <w:rPr>
          <w:color w:val="0000FF"/>
          <w:sz w:val="20"/>
          <w:szCs w:val="20"/>
        </w:rPr>
        <w:t>La sostanza economica, finanziaria e patrimoniale delle operazioni pubbliche della gestione di ogni amministrazione rappresenta l’elemento prevalente per la contabilizzazione, valutazione ed esposizione nella rappresentazione dei fatti amministrativi nei documenti del sistema di bilancio.</w:t>
      </w:r>
    </w:p>
    <w:p w14:paraId="549F74C5" w14:textId="77777777" w:rsidR="00096C8F" w:rsidRDefault="00096C8F" w:rsidP="007A787F">
      <w:pPr>
        <w:rPr>
          <w:sz w:val="20"/>
          <w:szCs w:val="20"/>
        </w:rPr>
      </w:pPr>
    </w:p>
    <w:p w14:paraId="7C3F9E1E" w14:textId="795EAB7B" w:rsidR="00096C8F" w:rsidRDefault="00096C8F" w:rsidP="007A787F">
      <w:pPr>
        <w:rPr>
          <w:sz w:val="20"/>
          <w:szCs w:val="20"/>
        </w:rPr>
      </w:pPr>
      <w:r>
        <w:rPr>
          <w:sz w:val="20"/>
          <w:szCs w:val="20"/>
        </w:rPr>
        <w:t>GESTIONE DEL BILANCIO</w:t>
      </w:r>
    </w:p>
    <w:p w14:paraId="7FF66FC4" w14:textId="77777777" w:rsidR="00096C8F" w:rsidRPr="00096C8F" w:rsidRDefault="00096C8F" w:rsidP="00096C8F">
      <w:pPr>
        <w:rPr>
          <w:sz w:val="20"/>
          <w:szCs w:val="20"/>
        </w:rPr>
      </w:pPr>
      <w:r w:rsidRPr="00096C8F">
        <w:rPr>
          <w:sz w:val="20"/>
          <w:szCs w:val="20"/>
        </w:rPr>
        <w:t>La gestione del bilancio degli enti locali, nell’ordinamento giuridico italiano, è disciplinata dal Testo Unico degli Enti Locali (</w:t>
      </w:r>
      <w:proofErr w:type="spellStart"/>
      <w:r w:rsidRPr="00096C8F">
        <w:rPr>
          <w:sz w:val="20"/>
          <w:szCs w:val="20"/>
        </w:rPr>
        <w:t>D.Lgs.</w:t>
      </w:r>
      <w:proofErr w:type="spellEnd"/>
      <w:r w:rsidRPr="00096C8F">
        <w:rPr>
          <w:sz w:val="20"/>
          <w:szCs w:val="20"/>
        </w:rPr>
        <w:t xml:space="preserve"> n. 267/2000), Parte II “Ordinamento finanziario e contabile”, Titolo III.</w:t>
      </w:r>
    </w:p>
    <w:p w14:paraId="645BB0F7" w14:textId="2C2AB21B" w:rsidR="00096C8F" w:rsidRDefault="00096C8F" w:rsidP="00096C8F">
      <w:pPr>
        <w:rPr>
          <w:sz w:val="20"/>
          <w:szCs w:val="20"/>
        </w:rPr>
      </w:pPr>
      <w:r w:rsidRPr="00096C8F">
        <w:rPr>
          <w:sz w:val="20"/>
          <w:szCs w:val="20"/>
        </w:rPr>
        <w:t>La gestione delle entrate e delle spese evidenzia il complesso delle operazioni dirette al reperimento dei mezzi finanziari da impiegare nelle diverse funzioni economiche, sociali ed istituzionali necessarie per realizzare i bisogni pubblici in un dato esercizio finanziario. Tale gestione comporta, altresì, l’identificazione delle fasi di acquisizione e di erogazione dei valori finanziari in termini monetari.</w:t>
      </w:r>
    </w:p>
    <w:p w14:paraId="1895A5CD" w14:textId="77777777" w:rsidR="006774A0" w:rsidRDefault="006774A0" w:rsidP="00096C8F">
      <w:pPr>
        <w:rPr>
          <w:sz w:val="20"/>
          <w:szCs w:val="20"/>
        </w:rPr>
      </w:pPr>
    </w:p>
    <w:p w14:paraId="506DF5E3" w14:textId="77777777" w:rsidR="006774A0" w:rsidRPr="006774A0" w:rsidRDefault="006774A0" w:rsidP="006774A0">
      <w:pPr>
        <w:rPr>
          <w:sz w:val="20"/>
          <w:szCs w:val="20"/>
        </w:rPr>
      </w:pPr>
      <w:r w:rsidRPr="006774A0">
        <w:rPr>
          <w:sz w:val="20"/>
          <w:szCs w:val="20"/>
        </w:rPr>
        <w:t>Accertamento</w:t>
      </w:r>
    </w:p>
    <w:p w14:paraId="257EEF1E" w14:textId="77777777" w:rsidR="006774A0" w:rsidRPr="006774A0" w:rsidRDefault="006774A0" w:rsidP="006774A0">
      <w:pPr>
        <w:rPr>
          <w:sz w:val="20"/>
          <w:szCs w:val="20"/>
        </w:rPr>
      </w:pPr>
      <w:r w:rsidRPr="006774A0">
        <w:rPr>
          <w:sz w:val="20"/>
          <w:szCs w:val="20"/>
        </w:rPr>
        <w:t>L'accertamento costituisce la prima fase di gestione dell'entrata mediante la quale, sulla base di idonea documentazione, viene verificata dal funzionario responsabile dell'entrata:</w:t>
      </w:r>
    </w:p>
    <w:p w14:paraId="11A809B9" w14:textId="77777777" w:rsidR="006774A0" w:rsidRPr="006774A0" w:rsidRDefault="006774A0" w:rsidP="006774A0">
      <w:pPr>
        <w:rPr>
          <w:sz w:val="20"/>
          <w:szCs w:val="20"/>
        </w:rPr>
      </w:pPr>
      <w:r w:rsidRPr="006774A0">
        <w:rPr>
          <w:sz w:val="20"/>
          <w:szCs w:val="20"/>
        </w:rPr>
        <w:t>•</w:t>
      </w:r>
      <w:r w:rsidRPr="006774A0">
        <w:rPr>
          <w:sz w:val="20"/>
          <w:szCs w:val="20"/>
        </w:rPr>
        <w:tab/>
        <w:t>la ragione del credito,</w:t>
      </w:r>
    </w:p>
    <w:p w14:paraId="7689BE0B" w14:textId="77777777" w:rsidR="006774A0" w:rsidRPr="006774A0" w:rsidRDefault="006774A0" w:rsidP="006774A0">
      <w:pPr>
        <w:rPr>
          <w:sz w:val="20"/>
          <w:szCs w:val="20"/>
        </w:rPr>
      </w:pPr>
      <w:r w:rsidRPr="006774A0">
        <w:rPr>
          <w:sz w:val="20"/>
          <w:szCs w:val="20"/>
        </w:rPr>
        <w:t>•</w:t>
      </w:r>
      <w:r w:rsidRPr="006774A0">
        <w:rPr>
          <w:sz w:val="20"/>
          <w:szCs w:val="20"/>
        </w:rPr>
        <w:tab/>
        <w:t>la sussistenza di un idoneo titolo giuridico,</w:t>
      </w:r>
    </w:p>
    <w:p w14:paraId="1D4CA2E9" w14:textId="77777777" w:rsidR="006774A0" w:rsidRPr="006774A0" w:rsidRDefault="006774A0" w:rsidP="006774A0">
      <w:pPr>
        <w:rPr>
          <w:sz w:val="20"/>
          <w:szCs w:val="20"/>
        </w:rPr>
      </w:pPr>
      <w:r w:rsidRPr="006774A0">
        <w:rPr>
          <w:sz w:val="20"/>
          <w:szCs w:val="20"/>
        </w:rPr>
        <w:t>•</w:t>
      </w:r>
      <w:r w:rsidRPr="006774A0">
        <w:rPr>
          <w:sz w:val="20"/>
          <w:szCs w:val="20"/>
        </w:rPr>
        <w:tab/>
        <w:t>individuato il debitore,</w:t>
      </w:r>
    </w:p>
    <w:p w14:paraId="20128250" w14:textId="77777777" w:rsidR="006774A0" w:rsidRPr="006774A0" w:rsidRDefault="006774A0" w:rsidP="006774A0">
      <w:pPr>
        <w:rPr>
          <w:sz w:val="20"/>
          <w:szCs w:val="20"/>
        </w:rPr>
      </w:pPr>
      <w:r w:rsidRPr="006774A0">
        <w:rPr>
          <w:sz w:val="20"/>
          <w:szCs w:val="20"/>
        </w:rPr>
        <w:t>•</w:t>
      </w:r>
      <w:r w:rsidRPr="006774A0">
        <w:rPr>
          <w:sz w:val="20"/>
          <w:szCs w:val="20"/>
        </w:rPr>
        <w:tab/>
        <w:t>quantificata la somma da incassare,</w:t>
      </w:r>
    </w:p>
    <w:p w14:paraId="011DFD59" w14:textId="77777777" w:rsidR="006774A0" w:rsidRPr="006774A0" w:rsidRDefault="006774A0" w:rsidP="006774A0">
      <w:pPr>
        <w:rPr>
          <w:sz w:val="20"/>
          <w:szCs w:val="20"/>
        </w:rPr>
      </w:pPr>
      <w:r w:rsidRPr="006774A0">
        <w:rPr>
          <w:sz w:val="20"/>
          <w:szCs w:val="20"/>
        </w:rPr>
        <w:t>•</w:t>
      </w:r>
      <w:r w:rsidRPr="006774A0">
        <w:rPr>
          <w:sz w:val="20"/>
          <w:szCs w:val="20"/>
        </w:rPr>
        <w:tab/>
        <w:t>fissata la relativa scadenza. ((Le entrate relative al titolo "Accensione prestiti" sono accertate nei limiti dei rispettivi stanziamenti di competenza del bilancio.))</w:t>
      </w:r>
    </w:p>
    <w:p w14:paraId="768D0157" w14:textId="77777777" w:rsidR="006774A0" w:rsidRPr="006774A0" w:rsidRDefault="006774A0" w:rsidP="006774A0">
      <w:pPr>
        <w:rPr>
          <w:sz w:val="20"/>
          <w:szCs w:val="20"/>
        </w:rPr>
      </w:pPr>
      <w:r w:rsidRPr="006774A0">
        <w:rPr>
          <w:sz w:val="20"/>
          <w:szCs w:val="20"/>
        </w:rPr>
        <w:t>L’accertamento presuppone idonea documentazione e si perfeziona mediante l’atto gestionale con il quale vengono verificati ed attestati i requisiti anzidetti e con il quale si dà atto specificamente della scadenza del credito in relazione a ciascun esercizio finanziario contemplato dal bilancio di previsione.</w:t>
      </w:r>
    </w:p>
    <w:p w14:paraId="1A7967C9" w14:textId="77777777" w:rsidR="006774A0" w:rsidRPr="006774A0" w:rsidRDefault="006774A0" w:rsidP="006774A0">
      <w:pPr>
        <w:rPr>
          <w:sz w:val="20"/>
          <w:szCs w:val="20"/>
        </w:rPr>
      </w:pPr>
      <w:r w:rsidRPr="006774A0">
        <w:rPr>
          <w:sz w:val="20"/>
          <w:szCs w:val="20"/>
        </w:rPr>
        <w:t xml:space="preserve">Non possono essere riferite ad un determinato esercizio finanziario le entrate il cui diritto di credito non venga a scadenza nello stesso esercizio finanziario. </w:t>
      </w:r>
      <w:proofErr w:type="gramStart"/>
      <w:r w:rsidRPr="006774A0">
        <w:rPr>
          <w:sz w:val="20"/>
          <w:szCs w:val="20"/>
        </w:rPr>
        <w:t>E'</w:t>
      </w:r>
      <w:proofErr w:type="gramEnd"/>
      <w:r w:rsidRPr="006774A0">
        <w:rPr>
          <w:sz w:val="20"/>
          <w:szCs w:val="20"/>
        </w:rPr>
        <w:t xml:space="preserve"> vietato l'accertamento attuale di entrate future.</w:t>
      </w:r>
    </w:p>
    <w:p w14:paraId="3E8F4EBB" w14:textId="77777777" w:rsidR="006774A0" w:rsidRPr="006774A0" w:rsidRDefault="006774A0" w:rsidP="006774A0">
      <w:pPr>
        <w:rPr>
          <w:sz w:val="20"/>
          <w:szCs w:val="20"/>
        </w:rPr>
      </w:pPr>
      <w:r w:rsidRPr="006774A0">
        <w:rPr>
          <w:sz w:val="20"/>
          <w:szCs w:val="20"/>
        </w:rPr>
        <w:t>L’iscrizione della posta contabile nel bilancio avviene in relazione al criterio della scadenza del credito rispetto a ciascun esercizio finanziario. L’accertamento delle entrate è effettuato nell’esercizio in cui sorge l’obbligazione attiva con imputazione contabile all’esercizio in cui scade il credito.</w:t>
      </w:r>
    </w:p>
    <w:p w14:paraId="1ACC2511" w14:textId="77777777" w:rsidR="006774A0" w:rsidRPr="006774A0" w:rsidRDefault="006774A0" w:rsidP="006774A0">
      <w:pPr>
        <w:rPr>
          <w:sz w:val="20"/>
          <w:szCs w:val="20"/>
        </w:rPr>
      </w:pPr>
      <w:r w:rsidRPr="006774A0">
        <w:rPr>
          <w:sz w:val="20"/>
          <w:szCs w:val="20"/>
        </w:rPr>
        <w:t xml:space="preserve">Sono accertate per l’intero importo del credito anche le entrate di dubbia e difficile esazione, per le quali non è certa la riscossione integrale, quali le sanzioni amministrative al codice della strada, gli oneri di urbanizzazione, i proventi derivanti dalla lotta all’evasione, </w:t>
      </w:r>
      <w:proofErr w:type="gramStart"/>
      <w:r w:rsidRPr="006774A0">
        <w:rPr>
          <w:sz w:val="20"/>
          <w:szCs w:val="20"/>
        </w:rPr>
        <w:t>ecc..</w:t>
      </w:r>
      <w:proofErr w:type="gramEnd"/>
    </w:p>
    <w:p w14:paraId="24B6BB71" w14:textId="77777777" w:rsidR="006774A0" w:rsidRPr="006774A0" w:rsidRDefault="006774A0" w:rsidP="006774A0">
      <w:pPr>
        <w:rPr>
          <w:sz w:val="20"/>
          <w:szCs w:val="20"/>
        </w:rPr>
      </w:pPr>
      <w:r w:rsidRPr="006774A0">
        <w:rPr>
          <w:sz w:val="20"/>
          <w:szCs w:val="20"/>
        </w:rPr>
        <w:t>Per i crediti di dubbia e difficile esazione accertati nell’esercizio è effettuato un accantonamento al fondo crediti di dubbia esigibilità, vincolando una quota dell’avanzo di amministrazione.</w:t>
      </w:r>
    </w:p>
    <w:p w14:paraId="1141B5B8" w14:textId="77777777" w:rsidR="006774A0" w:rsidRPr="006774A0" w:rsidRDefault="006774A0" w:rsidP="006774A0">
      <w:pPr>
        <w:rPr>
          <w:sz w:val="20"/>
          <w:szCs w:val="20"/>
        </w:rPr>
      </w:pPr>
      <w:r w:rsidRPr="006774A0">
        <w:rPr>
          <w:sz w:val="20"/>
          <w:szCs w:val="20"/>
        </w:rPr>
        <w:t>A tal fine è stanziata nel bilancio di previsione una apposita posta contabile, denominata “Accantonamento al fondo crediti di dubbia esigibilità” il cui ammontare è determinato in considerazione della dimensione degli stanziamenti relativi ai crediti che si prevede si formeranno nell’esercizio, della loro natura e dell’andamento del fenomeno negli ultimi cinque esercizi precedenti (la media del rapporto tra incassi e accertamenti per ciascuna tipologia di entrata).</w:t>
      </w:r>
    </w:p>
    <w:p w14:paraId="20E51B41" w14:textId="77777777" w:rsidR="006774A0" w:rsidRPr="006774A0" w:rsidRDefault="006774A0" w:rsidP="006774A0">
      <w:pPr>
        <w:rPr>
          <w:sz w:val="20"/>
          <w:szCs w:val="20"/>
        </w:rPr>
      </w:pPr>
      <w:r w:rsidRPr="006774A0">
        <w:rPr>
          <w:sz w:val="20"/>
          <w:szCs w:val="20"/>
        </w:rPr>
        <w:t xml:space="preserve">Gli enti che negli ultimi tre esercizi hanno formalmente attivato un processo di accelerazione della propria capacità di riscossione possono calcolare il fondo crediti di dubbia esigibilità facendo riferimento ai risultati di tali tre </w:t>
      </w:r>
      <w:proofErr w:type="gramStart"/>
      <w:r w:rsidRPr="006774A0">
        <w:rPr>
          <w:sz w:val="20"/>
          <w:szCs w:val="20"/>
        </w:rPr>
        <w:t>esercizi .</w:t>
      </w:r>
      <w:proofErr w:type="gramEnd"/>
    </w:p>
    <w:p w14:paraId="10534410" w14:textId="77777777" w:rsidR="006774A0" w:rsidRPr="006774A0" w:rsidRDefault="006774A0" w:rsidP="006774A0">
      <w:pPr>
        <w:rPr>
          <w:sz w:val="20"/>
          <w:szCs w:val="20"/>
        </w:rPr>
      </w:pPr>
      <w:r w:rsidRPr="006774A0">
        <w:rPr>
          <w:sz w:val="20"/>
          <w:szCs w:val="20"/>
        </w:rPr>
        <w:t>L’accantonamento al fondo crediti di dubbia esigibilità non è oggetto di impegno e genera un’economia di bilancio che confluisce nel risultato di amministrazione come quota accantonata.</w:t>
      </w:r>
    </w:p>
    <w:p w14:paraId="6566DD2C" w14:textId="77777777" w:rsidR="006774A0" w:rsidRPr="006774A0" w:rsidRDefault="006774A0" w:rsidP="006774A0">
      <w:pPr>
        <w:rPr>
          <w:sz w:val="20"/>
          <w:szCs w:val="20"/>
        </w:rPr>
      </w:pPr>
      <w:r w:rsidRPr="006774A0">
        <w:rPr>
          <w:sz w:val="20"/>
          <w:szCs w:val="20"/>
        </w:rPr>
        <w:t>ACCERTAMENTO E RISCOSSIONE DI ENTRATE PER LE QUALI IN BILANCIO NON ESISTE LA TIPOLOGIA DI ENTRATA (Allegato n. 4/2</w:t>
      </w:r>
    </w:p>
    <w:p w14:paraId="363FC623" w14:textId="77777777" w:rsidR="006774A0" w:rsidRPr="006774A0" w:rsidRDefault="006774A0" w:rsidP="006774A0">
      <w:pPr>
        <w:rPr>
          <w:sz w:val="20"/>
          <w:szCs w:val="20"/>
        </w:rPr>
      </w:pPr>
      <w:r w:rsidRPr="006774A0">
        <w:rPr>
          <w:sz w:val="20"/>
          <w:szCs w:val="20"/>
        </w:rPr>
        <w:t xml:space="preserve">al </w:t>
      </w:r>
      <w:proofErr w:type="spellStart"/>
      <w:r w:rsidRPr="006774A0">
        <w:rPr>
          <w:sz w:val="20"/>
          <w:szCs w:val="20"/>
        </w:rPr>
        <w:t>D.Lgs</w:t>
      </w:r>
      <w:proofErr w:type="spellEnd"/>
      <w:r w:rsidRPr="006774A0">
        <w:rPr>
          <w:sz w:val="20"/>
          <w:szCs w:val="20"/>
        </w:rPr>
        <w:t xml:space="preserve"> 118/2011 p.to 3/4)</w:t>
      </w:r>
    </w:p>
    <w:p w14:paraId="47A10ECC" w14:textId="77777777" w:rsidR="006774A0" w:rsidRPr="006774A0" w:rsidRDefault="006774A0" w:rsidP="006774A0">
      <w:pPr>
        <w:rPr>
          <w:sz w:val="20"/>
          <w:szCs w:val="20"/>
        </w:rPr>
      </w:pPr>
      <w:r w:rsidRPr="006774A0">
        <w:rPr>
          <w:sz w:val="20"/>
          <w:szCs w:val="20"/>
        </w:rPr>
        <w:t>Nel caso di accertamento e/o riscossione di entrate per le quali, in bilancio, non è prevista l’apposita “tipologia di entrata” e non è possibile procedere alla variazione del bilancio essendo scaduti i termini di legge, l’operazione è registrata istituendo, in sede di gestione, apposita voce, con stanziamento pari a zero. Tale procedimento è diretto a garantire la corretta applicazione dell’articolo 7 del Decreto legislativo n. 118 del 2011, che prevede il divieto di imputazione provvisoria delle operazioni alle partite di giro.</w:t>
      </w:r>
    </w:p>
    <w:p w14:paraId="08C17909" w14:textId="77777777" w:rsidR="006774A0" w:rsidRPr="006774A0" w:rsidRDefault="006774A0" w:rsidP="006774A0">
      <w:pPr>
        <w:rPr>
          <w:sz w:val="20"/>
          <w:szCs w:val="20"/>
        </w:rPr>
      </w:pPr>
    </w:p>
    <w:p w14:paraId="014D0858" w14:textId="77777777" w:rsidR="006774A0" w:rsidRDefault="006774A0" w:rsidP="006774A0">
      <w:pPr>
        <w:rPr>
          <w:sz w:val="20"/>
          <w:szCs w:val="20"/>
        </w:rPr>
      </w:pPr>
      <w:r w:rsidRPr="006774A0">
        <w:rPr>
          <w:sz w:val="20"/>
          <w:szCs w:val="20"/>
        </w:rPr>
        <w:t xml:space="preserve">Alle entrate derivanti da trasferimenti da Stato, Regioni, altri soggetti, per le quali, a causa delle scarse informazioni disponibili, non risulti possibile individuare esattamente la natura del trasferimento entro la chiusura del </w:t>
      </w:r>
      <w:proofErr w:type="spellStart"/>
      <w:proofErr w:type="gramStart"/>
      <w:r w:rsidRPr="006774A0">
        <w:rPr>
          <w:sz w:val="20"/>
          <w:szCs w:val="20"/>
        </w:rPr>
        <w:t>rendiconto,è</w:t>
      </w:r>
      <w:proofErr w:type="spellEnd"/>
      <w:proofErr w:type="gramEnd"/>
      <w:r w:rsidRPr="006774A0">
        <w:rPr>
          <w:sz w:val="20"/>
          <w:szCs w:val="20"/>
        </w:rPr>
        <w:t xml:space="preserve"> possibile attribuire una denominazione generica che, in ogni caso, individui che trattasi di trasferimenti da Stato, di trasferimenti da Regione, ecc..</w:t>
      </w:r>
    </w:p>
    <w:p w14:paraId="5B0C522D" w14:textId="77777777" w:rsidR="00EB7EBA" w:rsidRPr="006774A0" w:rsidRDefault="00EB7EBA" w:rsidP="006774A0">
      <w:pPr>
        <w:rPr>
          <w:sz w:val="20"/>
          <w:szCs w:val="20"/>
        </w:rPr>
      </w:pPr>
    </w:p>
    <w:p w14:paraId="0345C2AF" w14:textId="77777777" w:rsidR="006774A0" w:rsidRPr="006774A0" w:rsidRDefault="006774A0" w:rsidP="006774A0">
      <w:pPr>
        <w:rPr>
          <w:sz w:val="20"/>
          <w:szCs w:val="20"/>
        </w:rPr>
      </w:pPr>
      <w:r w:rsidRPr="006774A0">
        <w:rPr>
          <w:sz w:val="20"/>
          <w:szCs w:val="20"/>
        </w:rPr>
        <w:t>La riscossione delle entrate</w:t>
      </w:r>
    </w:p>
    <w:p w14:paraId="264A5538" w14:textId="77777777" w:rsidR="006774A0" w:rsidRPr="006774A0" w:rsidRDefault="006774A0" w:rsidP="006774A0">
      <w:pPr>
        <w:rPr>
          <w:sz w:val="20"/>
          <w:szCs w:val="20"/>
        </w:rPr>
      </w:pPr>
      <w:r w:rsidRPr="006774A0">
        <w:rPr>
          <w:sz w:val="20"/>
          <w:szCs w:val="20"/>
        </w:rPr>
        <w:t>L’entrata è riscossa a seguito del materiale introito delle somme corrisposte dai debitori agli incaricati ad esigere, interni o esterni.</w:t>
      </w:r>
    </w:p>
    <w:p w14:paraId="0CB419AD" w14:textId="77777777" w:rsidR="006774A0" w:rsidRPr="006774A0" w:rsidRDefault="006774A0" w:rsidP="006774A0">
      <w:pPr>
        <w:rPr>
          <w:sz w:val="20"/>
          <w:szCs w:val="20"/>
        </w:rPr>
      </w:pPr>
      <w:r w:rsidRPr="006774A0">
        <w:rPr>
          <w:sz w:val="20"/>
          <w:szCs w:val="20"/>
        </w:rPr>
        <w:t>Per tutte le entrate riscosse dal tesoriere/cassiere, il servizio economico finanziario emette i relativi ordinativi d’incasso da registrarsi in contabilità entro 60 giorni dall’incasso, attribuendoli all’esercizio in cui l’incasso è stato effettuato (anche nel caso di esercizio provvisorio del bilancio).</w:t>
      </w:r>
    </w:p>
    <w:p w14:paraId="7449C23F" w14:textId="77777777" w:rsidR="006774A0" w:rsidRPr="006774A0" w:rsidRDefault="006774A0" w:rsidP="006774A0">
      <w:pPr>
        <w:rPr>
          <w:sz w:val="20"/>
          <w:szCs w:val="20"/>
        </w:rPr>
      </w:pPr>
      <w:r w:rsidRPr="006774A0">
        <w:rPr>
          <w:sz w:val="20"/>
          <w:szCs w:val="20"/>
        </w:rPr>
        <w:t>La reversale di incasso deve contenere tutti gli elementi informativi previsti dall’ordinamento e, in particolare, riportare i codici identificativi della transazione elementare.</w:t>
      </w:r>
    </w:p>
    <w:p w14:paraId="4CADDC84" w14:textId="77777777" w:rsidR="006774A0" w:rsidRPr="006774A0" w:rsidRDefault="006774A0" w:rsidP="006774A0">
      <w:pPr>
        <w:rPr>
          <w:sz w:val="20"/>
          <w:szCs w:val="20"/>
        </w:rPr>
      </w:pPr>
      <w:r w:rsidRPr="006774A0">
        <w:rPr>
          <w:sz w:val="20"/>
          <w:szCs w:val="20"/>
        </w:rPr>
        <w:t>Nel rispetto dell’articolo 7, comma 1, lettera b), del decreto legislativo 23 giugno 2011 n. 118, è vietata la temporanea contabilizzazione degli incassi tra le partite di giro/servizi per conto terzi.</w:t>
      </w:r>
    </w:p>
    <w:p w14:paraId="44F18C4B" w14:textId="77777777" w:rsidR="006774A0" w:rsidRPr="006774A0" w:rsidRDefault="006774A0" w:rsidP="006774A0">
      <w:pPr>
        <w:rPr>
          <w:sz w:val="20"/>
          <w:szCs w:val="20"/>
        </w:rPr>
      </w:pPr>
      <w:r w:rsidRPr="006774A0">
        <w:rPr>
          <w:sz w:val="20"/>
          <w:szCs w:val="20"/>
        </w:rPr>
        <w:t>I titoli di incasso che regolarizzano incassi effettuati dal tesoriere nell’esercizio precedente, sono imputati contabilmente alla competenza finanziaria dell’esercizio precedente, anche se emessi nell’esercizio successivo.</w:t>
      </w:r>
    </w:p>
    <w:p w14:paraId="019FF902" w14:textId="77777777" w:rsidR="006774A0" w:rsidRPr="006774A0" w:rsidRDefault="006774A0" w:rsidP="006774A0">
      <w:pPr>
        <w:rPr>
          <w:sz w:val="20"/>
          <w:szCs w:val="20"/>
        </w:rPr>
      </w:pPr>
      <w:r w:rsidRPr="006774A0">
        <w:rPr>
          <w:sz w:val="20"/>
          <w:szCs w:val="20"/>
        </w:rPr>
        <w:t>In generale, gli incassi ed i pagamenti effettuati in un esercizio non possono essere regolarizzati imputandoli al bilancio dell’anno successivo attraverso l’emissione di un titolo in conto residui. Considerato che l’imputazione in conto residui di un titolo rappresenta l’incasso (o il pagamento), effettuato nell’esercizio in corso di un’entrata accertata in precedenti esercizi (o di una spesa impegnata in precedenti esercizi), si ribadisce che emettere un titolo di entrata o di spesa, sia in c/competenza che in c/residui, riferito ad un esercizio diverso da quello in cui l’operazione di cassa è eseguita, costituisce una rappresentazione contabile del fatto gestionale che non rispetta il principio contabile della veridicità.</w:t>
      </w:r>
    </w:p>
    <w:p w14:paraId="71207A72" w14:textId="77777777" w:rsidR="006774A0" w:rsidRPr="006774A0" w:rsidRDefault="006774A0" w:rsidP="006774A0">
      <w:pPr>
        <w:rPr>
          <w:sz w:val="20"/>
          <w:szCs w:val="20"/>
        </w:rPr>
      </w:pPr>
      <w:r w:rsidRPr="006774A0">
        <w:rPr>
          <w:sz w:val="20"/>
          <w:szCs w:val="20"/>
        </w:rPr>
        <w:t>Se l’imputazione degli incassi e dei pagamenti all’esercizio è stata effettuata correttamente, alla chiusura dell’esercizio finanziario, conclusa l’attività di regolarizzazione dei sospesi ed annullati i titoli ineseguiti, il fondo di cassa risultante dalle scritture dell’ente (cd. fondo contabile o di diritto) coincide con il fondo di cassa risultante dalle scritture della banca (cd. fondo di cassa di fatto) senza che sia necessario procedere ad alcuna riconciliazione.</w:t>
      </w:r>
    </w:p>
    <w:p w14:paraId="06065484" w14:textId="77777777" w:rsidR="006774A0" w:rsidRPr="006774A0" w:rsidRDefault="006774A0" w:rsidP="006774A0">
      <w:pPr>
        <w:rPr>
          <w:sz w:val="20"/>
          <w:szCs w:val="20"/>
        </w:rPr>
      </w:pPr>
      <w:r w:rsidRPr="006774A0">
        <w:rPr>
          <w:sz w:val="20"/>
          <w:szCs w:val="20"/>
        </w:rPr>
        <w:t>Gli enti allegano al consuntivo una dichiarazione, firmata dal tesoriere/cassiere, che attesta il fondo di cassa effettivo all’inizio dell’esercizio, il totale degli incassi e dei pagamenti effettuato nell’esercizio e l’ammontare del fondo di cassa effettivo al 31 dicembre dell’anno cui si riferisce il consuntivo. Tali importi devono coincidere con le risultanze del consuntivo dell’ente.</w:t>
      </w:r>
    </w:p>
    <w:p w14:paraId="3BE4F697" w14:textId="77777777" w:rsidR="006774A0" w:rsidRPr="006774A0" w:rsidRDefault="006774A0" w:rsidP="006774A0">
      <w:pPr>
        <w:rPr>
          <w:sz w:val="20"/>
          <w:szCs w:val="20"/>
        </w:rPr>
      </w:pPr>
      <w:r w:rsidRPr="006774A0">
        <w:rPr>
          <w:sz w:val="20"/>
          <w:szCs w:val="20"/>
        </w:rPr>
        <w:t>In caso di discordanza il bilancio non rispetta il principio contabile della veridicità.</w:t>
      </w:r>
    </w:p>
    <w:p w14:paraId="59D4BFE4" w14:textId="77777777" w:rsidR="006774A0" w:rsidRPr="006774A0" w:rsidRDefault="006774A0" w:rsidP="006774A0">
      <w:pPr>
        <w:rPr>
          <w:sz w:val="20"/>
          <w:szCs w:val="20"/>
        </w:rPr>
      </w:pPr>
      <w:r w:rsidRPr="006774A0">
        <w:rPr>
          <w:sz w:val="20"/>
          <w:szCs w:val="20"/>
        </w:rPr>
        <w:t xml:space="preserve">Per gli enti soggetti alla rilevazione SIOPE, la dichiarazione del tesoriere/cassiere è costituita dai prospetti delle disponibilità liquide, da allegare ai consuntivi ai sensi dell’articolo 77-quater, comma 11, del </w:t>
      </w:r>
      <w:proofErr w:type="gramStart"/>
      <w:r w:rsidRPr="006774A0">
        <w:rPr>
          <w:sz w:val="20"/>
          <w:szCs w:val="20"/>
        </w:rPr>
        <w:t>decreto legge</w:t>
      </w:r>
      <w:proofErr w:type="gramEnd"/>
      <w:r w:rsidRPr="006774A0">
        <w:rPr>
          <w:sz w:val="20"/>
          <w:szCs w:val="20"/>
        </w:rPr>
        <w:t xml:space="preserve"> 25 giugno 2008, n. 112 convertito, con modificazioni, dalla legge 6 agosto 2008, n. 133.</w:t>
      </w:r>
    </w:p>
    <w:p w14:paraId="51D28124" w14:textId="77777777" w:rsidR="006774A0" w:rsidRPr="006774A0" w:rsidRDefault="006774A0" w:rsidP="006774A0">
      <w:pPr>
        <w:rPr>
          <w:sz w:val="20"/>
          <w:szCs w:val="20"/>
        </w:rPr>
      </w:pPr>
      <w:r w:rsidRPr="006774A0">
        <w:rPr>
          <w:sz w:val="20"/>
          <w:szCs w:val="20"/>
        </w:rPr>
        <w:t>In nessun caso il tesoriere dell’ente può rifiutare la riscossione di entrate.</w:t>
      </w:r>
    </w:p>
    <w:p w14:paraId="13B130D3" w14:textId="77777777" w:rsidR="006774A0" w:rsidRPr="006774A0" w:rsidRDefault="006774A0" w:rsidP="006774A0">
      <w:pPr>
        <w:rPr>
          <w:sz w:val="20"/>
          <w:szCs w:val="20"/>
        </w:rPr>
      </w:pPr>
      <w:r w:rsidRPr="006774A0">
        <w:rPr>
          <w:sz w:val="20"/>
          <w:szCs w:val="20"/>
        </w:rPr>
        <w:t>Nel caso di riscossioni senza ordinativi d’incasso, il tesoriere deve darne immediata comunicazione al servizio finanziario e richiedere l’emissione dell’ordinativo d’incasso.</w:t>
      </w:r>
    </w:p>
    <w:p w14:paraId="0FAAD3F7" w14:textId="77777777" w:rsidR="006774A0" w:rsidRPr="006774A0" w:rsidRDefault="006774A0" w:rsidP="006774A0">
      <w:pPr>
        <w:rPr>
          <w:sz w:val="20"/>
          <w:szCs w:val="20"/>
        </w:rPr>
      </w:pPr>
      <w:r w:rsidRPr="006774A0">
        <w:rPr>
          <w:sz w:val="20"/>
          <w:szCs w:val="20"/>
        </w:rPr>
        <w:t>Le entrate sono riscosse con versamenti diretti in tesoreria o con ogni altra modalità prevista dal regolamento di contabilità.</w:t>
      </w:r>
    </w:p>
    <w:p w14:paraId="27925EE2" w14:textId="77777777" w:rsidR="006774A0" w:rsidRPr="006774A0" w:rsidRDefault="006774A0" w:rsidP="006774A0">
      <w:pPr>
        <w:rPr>
          <w:sz w:val="20"/>
          <w:szCs w:val="20"/>
        </w:rPr>
      </w:pPr>
      <w:r w:rsidRPr="006774A0">
        <w:rPr>
          <w:sz w:val="20"/>
          <w:szCs w:val="20"/>
        </w:rPr>
        <w:t>Le modalità di attuazione della “riscossione” rispettano i seguenti principi:</w:t>
      </w:r>
    </w:p>
    <w:p w14:paraId="354EC7C3" w14:textId="77777777" w:rsidR="006774A0" w:rsidRPr="006774A0" w:rsidRDefault="006774A0" w:rsidP="006774A0">
      <w:pPr>
        <w:rPr>
          <w:sz w:val="20"/>
          <w:szCs w:val="20"/>
        </w:rPr>
      </w:pPr>
      <w:r w:rsidRPr="006774A0">
        <w:rPr>
          <w:sz w:val="20"/>
          <w:szCs w:val="20"/>
        </w:rPr>
        <w:t>•</w:t>
      </w:r>
      <w:r w:rsidRPr="006774A0">
        <w:rPr>
          <w:sz w:val="20"/>
          <w:szCs w:val="20"/>
        </w:rPr>
        <w:tab/>
        <w:t>certezza della somma riscossa e del soggetto versante;</w:t>
      </w:r>
    </w:p>
    <w:p w14:paraId="2A525E81" w14:textId="77777777" w:rsidR="006774A0" w:rsidRPr="006774A0" w:rsidRDefault="006774A0" w:rsidP="006774A0">
      <w:pPr>
        <w:rPr>
          <w:sz w:val="20"/>
          <w:szCs w:val="20"/>
        </w:rPr>
      </w:pPr>
      <w:r w:rsidRPr="006774A0">
        <w:rPr>
          <w:sz w:val="20"/>
          <w:szCs w:val="20"/>
        </w:rPr>
        <w:t>•</w:t>
      </w:r>
      <w:r w:rsidRPr="006774A0">
        <w:rPr>
          <w:sz w:val="20"/>
          <w:szCs w:val="20"/>
        </w:rPr>
        <w:tab/>
        <w:t>certezza della data del versamento e della causale;</w:t>
      </w:r>
    </w:p>
    <w:p w14:paraId="35004C76" w14:textId="77777777" w:rsidR="006774A0" w:rsidRPr="006774A0" w:rsidRDefault="006774A0" w:rsidP="006774A0">
      <w:pPr>
        <w:rPr>
          <w:sz w:val="20"/>
          <w:szCs w:val="20"/>
        </w:rPr>
      </w:pPr>
      <w:r w:rsidRPr="006774A0">
        <w:rPr>
          <w:sz w:val="20"/>
          <w:szCs w:val="20"/>
        </w:rPr>
        <w:t>•</w:t>
      </w:r>
      <w:r w:rsidRPr="006774A0">
        <w:rPr>
          <w:sz w:val="20"/>
          <w:szCs w:val="20"/>
        </w:rPr>
        <w:tab/>
        <w:t>registrazione cronologica dei versamenti ed immodificabilità delle registrazioni stesse;</w:t>
      </w:r>
    </w:p>
    <w:p w14:paraId="67821D49" w14:textId="77777777" w:rsidR="006774A0" w:rsidRPr="006774A0" w:rsidRDefault="006774A0" w:rsidP="006774A0">
      <w:pPr>
        <w:rPr>
          <w:sz w:val="20"/>
          <w:szCs w:val="20"/>
        </w:rPr>
      </w:pPr>
      <w:r w:rsidRPr="006774A0">
        <w:rPr>
          <w:sz w:val="20"/>
          <w:szCs w:val="20"/>
        </w:rPr>
        <w:t>•</w:t>
      </w:r>
      <w:r w:rsidRPr="006774A0">
        <w:rPr>
          <w:sz w:val="20"/>
          <w:szCs w:val="20"/>
        </w:rPr>
        <w:tab/>
        <w:t>costante verificabilità delle somme incassate e corrispondenza delle giacenze con le scritture contabili;</w:t>
      </w:r>
    </w:p>
    <w:p w14:paraId="05AA723C" w14:textId="77777777" w:rsidR="006774A0" w:rsidRPr="006774A0" w:rsidRDefault="006774A0" w:rsidP="006774A0">
      <w:pPr>
        <w:rPr>
          <w:sz w:val="20"/>
          <w:szCs w:val="20"/>
        </w:rPr>
      </w:pPr>
      <w:r w:rsidRPr="006774A0">
        <w:rPr>
          <w:sz w:val="20"/>
          <w:szCs w:val="20"/>
        </w:rPr>
        <w:t>•</w:t>
      </w:r>
      <w:r w:rsidRPr="006774A0">
        <w:rPr>
          <w:sz w:val="20"/>
          <w:szCs w:val="20"/>
        </w:rPr>
        <w:tab/>
        <w:t>obbligo del versamento degli incassi in tesoreria entro termini definiti dal regolamento di contabilità, non superiori ai 15 giorni lavorativi;</w:t>
      </w:r>
    </w:p>
    <w:p w14:paraId="76ED0CCF" w14:textId="77777777" w:rsidR="006774A0" w:rsidRPr="006774A0" w:rsidRDefault="006774A0" w:rsidP="006774A0">
      <w:pPr>
        <w:rPr>
          <w:sz w:val="20"/>
          <w:szCs w:val="20"/>
        </w:rPr>
      </w:pPr>
      <w:r w:rsidRPr="006774A0">
        <w:rPr>
          <w:sz w:val="20"/>
          <w:szCs w:val="20"/>
        </w:rPr>
        <w:t>•</w:t>
      </w:r>
      <w:r w:rsidRPr="006774A0">
        <w:rPr>
          <w:sz w:val="20"/>
          <w:szCs w:val="20"/>
        </w:rPr>
        <w:tab/>
        <w:t>divieto di diverso utilizzo delle somme giacenti;</w:t>
      </w:r>
    </w:p>
    <w:p w14:paraId="7F11570F" w14:textId="77777777" w:rsidR="006774A0" w:rsidRPr="006774A0" w:rsidRDefault="006774A0" w:rsidP="006774A0">
      <w:pPr>
        <w:rPr>
          <w:sz w:val="20"/>
          <w:szCs w:val="20"/>
        </w:rPr>
      </w:pPr>
      <w:r w:rsidRPr="006774A0">
        <w:rPr>
          <w:sz w:val="20"/>
          <w:szCs w:val="20"/>
        </w:rPr>
        <w:t>•</w:t>
      </w:r>
      <w:r w:rsidRPr="006774A0">
        <w:rPr>
          <w:sz w:val="20"/>
          <w:szCs w:val="20"/>
        </w:rPr>
        <w:tab/>
        <w:t>tracciabilità delle operazioni nel caso di utilizzo di strumenti informatici anche in riferimento all’identificazione degli operatori.</w:t>
      </w:r>
    </w:p>
    <w:p w14:paraId="5745D003" w14:textId="77777777" w:rsidR="006774A0" w:rsidRPr="006774A0" w:rsidRDefault="006774A0" w:rsidP="006774A0">
      <w:pPr>
        <w:rPr>
          <w:sz w:val="20"/>
          <w:szCs w:val="20"/>
        </w:rPr>
      </w:pPr>
      <w:r w:rsidRPr="006774A0">
        <w:rPr>
          <w:sz w:val="20"/>
          <w:szCs w:val="20"/>
        </w:rPr>
        <w:t xml:space="preserve">Gli incaricati della riscossione assumono la figura di agente contabile e sono soggetti alla giurisdizione della Corte dei conti, a cui devono rendere il conto giudiziale, previa formale parificazione, per il tramite dell’amministrazione di appartenenza, che vi provvede entro 60 giorni dall’approvazione del rendiconto della gestione insieme con la trasmissione del conto del </w:t>
      </w:r>
      <w:proofErr w:type="spellStart"/>
      <w:r w:rsidRPr="006774A0">
        <w:rPr>
          <w:sz w:val="20"/>
          <w:szCs w:val="20"/>
        </w:rPr>
        <w:t>tesoriere.Agli</w:t>
      </w:r>
      <w:proofErr w:type="spellEnd"/>
      <w:r w:rsidRPr="006774A0">
        <w:rPr>
          <w:sz w:val="20"/>
          <w:szCs w:val="20"/>
        </w:rPr>
        <w:t xml:space="preserve"> stessi obblighi sono sottoposti tutti coloro che, anche senza legale autorizzazione, si ingeriscono, di fatto, negli incarichi attribuiti agli agenti anzidetti.</w:t>
      </w:r>
    </w:p>
    <w:p w14:paraId="2C49DCC8" w14:textId="77777777" w:rsidR="006774A0" w:rsidRPr="006774A0" w:rsidRDefault="006774A0" w:rsidP="006774A0">
      <w:pPr>
        <w:rPr>
          <w:sz w:val="20"/>
          <w:szCs w:val="20"/>
        </w:rPr>
      </w:pPr>
      <w:r w:rsidRPr="006774A0">
        <w:rPr>
          <w:sz w:val="20"/>
          <w:szCs w:val="20"/>
        </w:rPr>
        <w:t>L’operazione di “parificazione” consiste nella verifica dell’avvenuto rispetto delle norme previste dall’ordinamento e dal regolamento di contabilità dell’ente e nella corrispondenza delle risultanze del rendiconto con quelle della contabilità dell’ente.</w:t>
      </w:r>
    </w:p>
    <w:p w14:paraId="28A7A865" w14:textId="77777777" w:rsidR="006774A0" w:rsidRPr="006774A0" w:rsidRDefault="006774A0" w:rsidP="006774A0">
      <w:pPr>
        <w:rPr>
          <w:sz w:val="20"/>
          <w:szCs w:val="20"/>
        </w:rPr>
      </w:pPr>
      <w:r w:rsidRPr="006774A0">
        <w:rPr>
          <w:sz w:val="20"/>
          <w:szCs w:val="20"/>
        </w:rPr>
        <w:t>Versamento</w:t>
      </w:r>
    </w:p>
    <w:p w14:paraId="42F3E5F6" w14:textId="77777777" w:rsidR="006774A0" w:rsidRPr="006774A0" w:rsidRDefault="006774A0" w:rsidP="006774A0">
      <w:pPr>
        <w:rPr>
          <w:sz w:val="20"/>
          <w:szCs w:val="20"/>
        </w:rPr>
      </w:pPr>
      <w:r w:rsidRPr="006774A0">
        <w:rPr>
          <w:sz w:val="20"/>
          <w:szCs w:val="20"/>
        </w:rPr>
        <w:t>Gli agenti contabili devono tenere un registro giornaliero delle riscossioni e versare all’amministrazione per la quale operano gli introiti riscossi secondo la cadenza fissata dal regolamento di contabilità.</w:t>
      </w:r>
    </w:p>
    <w:p w14:paraId="21C9DBD8" w14:textId="77777777" w:rsidR="006774A0" w:rsidRPr="006774A0" w:rsidRDefault="006774A0" w:rsidP="006774A0">
      <w:pPr>
        <w:rPr>
          <w:sz w:val="20"/>
          <w:szCs w:val="20"/>
        </w:rPr>
      </w:pPr>
      <w:r w:rsidRPr="006774A0">
        <w:rPr>
          <w:sz w:val="20"/>
          <w:szCs w:val="20"/>
        </w:rPr>
        <w:t>Il regolamento di contabilità disciplina le modalità di esercizio del riscontro contabile e le modalità di riscossione e successivo versamento in tesoreria delle entrate a mezzo degli agenti della riscossione.</w:t>
      </w:r>
    </w:p>
    <w:p w14:paraId="5803C043" w14:textId="77777777" w:rsidR="006774A0" w:rsidRPr="006774A0" w:rsidRDefault="006774A0" w:rsidP="006774A0">
      <w:pPr>
        <w:rPr>
          <w:sz w:val="20"/>
          <w:szCs w:val="20"/>
        </w:rPr>
      </w:pPr>
      <w:r w:rsidRPr="006774A0">
        <w:rPr>
          <w:sz w:val="20"/>
          <w:szCs w:val="20"/>
        </w:rPr>
        <w:t>FASI DELLA SPESA</w:t>
      </w:r>
    </w:p>
    <w:p w14:paraId="22F3BF88" w14:textId="77777777" w:rsidR="006774A0" w:rsidRPr="006774A0" w:rsidRDefault="006774A0" w:rsidP="006774A0">
      <w:pPr>
        <w:rPr>
          <w:sz w:val="20"/>
          <w:szCs w:val="20"/>
        </w:rPr>
      </w:pPr>
      <w:r w:rsidRPr="006774A0">
        <w:rPr>
          <w:sz w:val="20"/>
          <w:szCs w:val="20"/>
        </w:rPr>
        <w:t xml:space="preserve">Impegno </w:t>
      </w:r>
    </w:p>
    <w:p w14:paraId="7C077B2D" w14:textId="77777777" w:rsidR="006774A0" w:rsidRPr="006774A0" w:rsidRDefault="006774A0" w:rsidP="006774A0">
      <w:pPr>
        <w:rPr>
          <w:sz w:val="20"/>
          <w:szCs w:val="20"/>
        </w:rPr>
      </w:pPr>
      <w:r w:rsidRPr="006774A0">
        <w:rPr>
          <w:sz w:val="20"/>
          <w:szCs w:val="20"/>
        </w:rPr>
        <w:t xml:space="preserve">L'impegno costituisce la prima fase del procedimento di spesa, con la quale, a seguito di obbligazione giuridicamente perfezionata </w:t>
      </w:r>
      <w:proofErr w:type="spellStart"/>
      <w:proofErr w:type="gramStart"/>
      <w:r w:rsidRPr="006774A0">
        <w:rPr>
          <w:sz w:val="20"/>
          <w:szCs w:val="20"/>
        </w:rPr>
        <w:t>e'</w:t>
      </w:r>
      <w:proofErr w:type="spellEnd"/>
      <w:proofErr w:type="gramEnd"/>
      <w:r w:rsidRPr="006774A0">
        <w:rPr>
          <w:sz w:val="20"/>
          <w:szCs w:val="20"/>
        </w:rPr>
        <w:t xml:space="preserve"> determinata la somma da pagare, determinato il soggetto creditore, indicata la ragione ((e la relativa scadenza)) e viene costituito il vincolo sulle previsioni di bilancio, nell'ambito della </w:t>
      </w:r>
      <w:proofErr w:type="spellStart"/>
      <w:r w:rsidRPr="006774A0">
        <w:rPr>
          <w:sz w:val="20"/>
          <w:szCs w:val="20"/>
        </w:rPr>
        <w:t>disponibilita'</w:t>
      </w:r>
      <w:proofErr w:type="spellEnd"/>
      <w:r w:rsidRPr="006774A0">
        <w:rPr>
          <w:sz w:val="20"/>
          <w:szCs w:val="20"/>
        </w:rPr>
        <w:t xml:space="preserve"> finanziaria accertata ai sensi dell'articolo 151.</w:t>
      </w:r>
    </w:p>
    <w:p w14:paraId="460D6515" w14:textId="77777777" w:rsidR="006774A0" w:rsidRPr="006774A0" w:rsidRDefault="006774A0" w:rsidP="006774A0">
      <w:pPr>
        <w:rPr>
          <w:sz w:val="20"/>
          <w:szCs w:val="20"/>
        </w:rPr>
      </w:pPr>
      <w:r w:rsidRPr="006774A0">
        <w:rPr>
          <w:sz w:val="20"/>
          <w:szCs w:val="20"/>
        </w:rPr>
        <w:t>Gli elementi costitutivi dell’impegno sono:</w:t>
      </w:r>
    </w:p>
    <w:p w14:paraId="0AEBBAA9" w14:textId="77777777" w:rsidR="006774A0" w:rsidRPr="006774A0" w:rsidRDefault="006774A0" w:rsidP="006774A0">
      <w:pPr>
        <w:rPr>
          <w:sz w:val="20"/>
          <w:szCs w:val="20"/>
        </w:rPr>
      </w:pPr>
      <w:r w:rsidRPr="006774A0">
        <w:rPr>
          <w:sz w:val="20"/>
          <w:szCs w:val="20"/>
        </w:rPr>
        <w:t>•</w:t>
      </w:r>
      <w:r w:rsidRPr="006774A0">
        <w:rPr>
          <w:sz w:val="20"/>
          <w:szCs w:val="20"/>
        </w:rPr>
        <w:tab/>
        <w:t>la ragione del debito;</w:t>
      </w:r>
    </w:p>
    <w:p w14:paraId="1064ABAE" w14:textId="77777777" w:rsidR="006774A0" w:rsidRPr="006774A0" w:rsidRDefault="006774A0" w:rsidP="006774A0">
      <w:pPr>
        <w:rPr>
          <w:sz w:val="20"/>
          <w:szCs w:val="20"/>
        </w:rPr>
      </w:pPr>
      <w:r w:rsidRPr="006774A0">
        <w:rPr>
          <w:sz w:val="20"/>
          <w:szCs w:val="20"/>
        </w:rPr>
        <w:t>•</w:t>
      </w:r>
      <w:r w:rsidRPr="006774A0">
        <w:rPr>
          <w:sz w:val="20"/>
          <w:szCs w:val="20"/>
        </w:rPr>
        <w:tab/>
        <w:t>l’indicazione della somma da pagare;</w:t>
      </w:r>
    </w:p>
    <w:p w14:paraId="011AF43A" w14:textId="77777777" w:rsidR="006774A0" w:rsidRPr="006774A0" w:rsidRDefault="006774A0" w:rsidP="006774A0">
      <w:pPr>
        <w:rPr>
          <w:sz w:val="20"/>
          <w:szCs w:val="20"/>
        </w:rPr>
      </w:pPr>
      <w:r w:rsidRPr="006774A0">
        <w:rPr>
          <w:sz w:val="20"/>
          <w:szCs w:val="20"/>
        </w:rPr>
        <w:t>•</w:t>
      </w:r>
      <w:r w:rsidRPr="006774A0">
        <w:rPr>
          <w:sz w:val="20"/>
          <w:szCs w:val="20"/>
        </w:rPr>
        <w:tab/>
        <w:t>il soggetto creditore;</w:t>
      </w:r>
    </w:p>
    <w:p w14:paraId="02180986" w14:textId="77777777" w:rsidR="006774A0" w:rsidRPr="006774A0" w:rsidRDefault="006774A0" w:rsidP="006774A0">
      <w:pPr>
        <w:rPr>
          <w:sz w:val="20"/>
          <w:szCs w:val="20"/>
        </w:rPr>
      </w:pPr>
      <w:r w:rsidRPr="006774A0">
        <w:rPr>
          <w:sz w:val="20"/>
          <w:szCs w:val="20"/>
        </w:rPr>
        <w:t>•</w:t>
      </w:r>
      <w:r w:rsidRPr="006774A0">
        <w:rPr>
          <w:sz w:val="20"/>
          <w:szCs w:val="20"/>
        </w:rPr>
        <w:tab/>
        <w:t>la scadenza dell’obbligazione;</w:t>
      </w:r>
    </w:p>
    <w:p w14:paraId="6F3212D9" w14:textId="77777777" w:rsidR="006774A0" w:rsidRPr="006774A0" w:rsidRDefault="006774A0" w:rsidP="006774A0">
      <w:pPr>
        <w:rPr>
          <w:sz w:val="20"/>
          <w:szCs w:val="20"/>
        </w:rPr>
      </w:pPr>
      <w:r w:rsidRPr="006774A0">
        <w:rPr>
          <w:sz w:val="20"/>
          <w:szCs w:val="20"/>
        </w:rPr>
        <w:t>•</w:t>
      </w:r>
      <w:r w:rsidRPr="006774A0">
        <w:rPr>
          <w:sz w:val="20"/>
          <w:szCs w:val="20"/>
        </w:rPr>
        <w:tab/>
        <w:t>la specificazione del vincolo costituito sullo stanziamento di bilancio.</w:t>
      </w:r>
    </w:p>
    <w:p w14:paraId="6F0A0ADF" w14:textId="77777777" w:rsidR="006774A0" w:rsidRPr="006774A0" w:rsidRDefault="006774A0" w:rsidP="006774A0">
      <w:pPr>
        <w:rPr>
          <w:sz w:val="20"/>
          <w:szCs w:val="20"/>
        </w:rPr>
      </w:pPr>
      <w:r w:rsidRPr="006774A0">
        <w:rPr>
          <w:sz w:val="20"/>
          <w:szCs w:val="20"/>
        </w:rPr>
        <w:t>L’impegno si perfeziona mediante l’atto gestionale, che verifica ed attesta gli elementi anzidetti e la copertura finanziaria, e con il quale si dà atto, altresì, degli effetti di spesa in relazione a ciascun esercizio finanziario contemplato dal bilancio di previsione. Pur se il provvedimento di impegno deve annotare l’intero importo della spesa, la registrazione dell’impegno che ne consegue, a valere sulla competenza avviene nel momento in cui l’impegno è giuridicamente perfezionato, con imputazione agli esercizi finanziari in cui le singole obbligazioni passive risultano esigibili. Non possono essere riferite ad un determinato esercizio finanziario le spese per le quali non sia venuta a scadere, nello stesso esercizio finanziario, la relativa obbligazione giuridica.</w:t>
      </w:r>
    </w:p>
    <w:p w14:paraId="6F4FFE3A" w14:textId="77777777" w:rsidR="006774A0" w:rsidRPr="006774A0" w:rsidRDefault="006774A0" w:rsidP="006774A0">
      <w:pPr>
        <w:rPr>
          <w:sz w:val="20"/>
          <w:szCs w:val="20"/>
        </w:rPr>
      </w:pPr>
      <w:r w:rsidRPr="006774A0">
        <w:rPr>
          <w:sz w:val="20"/>
          <w:szCs w:val="20"/>
        </w:rPr>
        <w:t xml:space="preserve">Con l'approvazione del bilancio e successive variazioni, e senza la necessità di ulteriori atti, </w:t>
      </w:r>
      <w:proofErr w:type="spellStart"/>
      <w:proofErr w:type="gramStart"/>
      <w:r w:rsidRPr="006774A0">
        <w:rPr>
          <w:sz w:val="20"/>
          <w:szCs w:val="20"/>
        </w:rPr>
        <w:t>e'</w:t>
      </w:r>
      <w:proofErr w:type="spellEnd"/>
      <w:proofErr w:type="gramEnd"/>
      <w:r w:rsidRPr="006774A0">
        <w:rPr>
          <w:sz w:val="20"/>
          <w:szCs w:val="20"/>
        </w:rPr>
        <w:t xml:space="preserve"> costituito impegno sui relativi stanziamenti per le spese dovute:</w:t>
      </w:r>
    </w:p>
    <w:p w14:paraId="6AD8E297" w14:textId="77777777" w:rsidR="006774A0" w:rsidRPr="006774A0" w:rsidRDefault="006774A0" w:rsidP="006774A0">
      <w:pPr>
        <w:rPr>
          <w:sz w:val="20"/>
          <w:szCs w:val="20"/>
        </w:rPr>
      </w:pPr>
      <w:r w:rsidRPr="006774A0">
        <w:rPr>
          <w:sz w:val="20"/>
          <w:szCs w:val="20"/>
        </w:rPr>
        <w:t xml:space="preserve">a) per il trattamento economico tabellare </w:t>
      </w:r>
      <w:proofErr w:type="spellStart"/>
      <w:r w:rsidRPr="006774A0">
        <w:rPr>
          <w:sz w:val="20"/>
          <w:szCs w:val="20"/>
        </w:rPr>
        <w:t>gia'</w:t>
      </w:r>
      <w:proofErr w:type="spellEnd"/>
      <w:r w:rsidRPr="006774A0">
        <w:rPr>
          <w:sz w:val="20"/>
          <w:szCs w:val="20"/>
        </w:rPr>
        <w:t xml:space="preserve"> attribuito al personale dipendente e per i relativi oneri riflessi;</w:t>
      </w:r>
    </w:p>
    <w:p w14:paraId="1D79ADDF" w14:textId="77777777" w:rsidR="006774A0" w:rsidRPr="006774A0" w:rsidRDefault="006774A0" w:rsidP="006774A0">
      <w:pPr>
        <w:rPr>
          <w:sz w:val="20"/>
          <w:szCs w:val="20"/>
        </w:rPr>
      </w:pPr>
      <w:r w:rsidRPr="006774A0">
        <w:rPr>
          <w:sz w:val="20"/>
          <w:szCs w:val="20"/>
        </w:rPr>
        <w:t xml:space="preserve">b) per le rate di ammortamento dei mutui e dei prestiti, interessi di preammortamento ed ulteriori oneri accessori ((nei casi in cui non si sia provveduto all'impegno nell'esercizio in cui il contratto di finanziamento </w:t>
      </w:r>
      <w:proofErr w:type="spellStart"/>
      <w:proofErr w:type="gramStart"/>
      <w:r w:rsidRPr="006774A0">
        <w:rPr>
          <w:sz w:val="20"/>
          <w:szCs w:val="20"/>
        </w:rPr>
        <w:t>e'</w:t>
      </w:r>
      <w:proofErr w:type="spellEnd"/>
      <w:proofErr w:type="gramEnd"/>
      <w:r w:rsidRPr="006774A0">
        <w:rPr>
          <w:sz w:val="20"/>
          <w:szCs w:val="20"/>
        </w:rPr>
        <w:t xml:space="preserve"> stato perfezionato));</w:t>
      </w:r>
    </w:p>
    <w:p w14:paraId="601016F5" w14:textId="77777777" w:rsidR="006774A0" w:rsidRPr="006774A0" w:rsidRDefault="006774A0" w:rsidP="006774A0">
      <w:pPr>
        <w:rPr>
          <w:sz w:val="20"/>
          <w:szCs w:val="20"/>
        </w:rPr>
      </w:pPr>
      <w:r w:rsidRPr="006774A0">
        <w:rPr>
          <w:sz w:val="20"/>
          <w:szCs w:val="20"/>
        </w:rPr>
        <w:t>c) per contratti di somministrazione riguardanti prestazioni continuative, nei casi in cui l'importo dell'obbligazione sia definita contrattualmente.</w:t>
      </w:r>
    </w:p>
    <w:p w14:paraId="644D91C3" w14:textId="77777777" w:rsidR="006774A0" w:rsidRPr="006774A0" w:rsidRDefault="006774A0" w:rsidP="006774A0">
      <w:pPr>
        <w:rPr>
          <w:sz w:val="20"/>
          <w:szCs w:val="20"/>
        </w:rPr>
      </w:pPr>
      <w:r w:rsidRPr="006774A0">
        <w:rPr>
          <w:sz w:val="20"/>
          <w:szCs w:val="20"/>
        </w:rPr>
        <w:t xml:space="preserve">Se l'importo dell'obbligazione non </w:t>
      </w:r>
      <w:proofErr w:type="spellStart"/>
      <w:proofErr w:type="gramStart"/>
      <w:r w:rsidRPr="006774A0">
        <w:rPr>
          <w:sz w:val="20"/>
          <w:szCs w:val="20"/>
        </w:rPr>
        <w:t>e'</w:t>
      </w:r>
      <w:proofErr w:type="spellEnd"/>
      <w:proofErr w:type="gramEnd"/>
      <w:r w:rsidRPr="006774A0">
        <w:rPr>
          <w:sz w:val="20"/>
          <w:szCs w:val="20"/>
        </w:rPr>
        <w:t xml:space="preserve"> predefinito nel contratto, con l'approvazione del bilancio si provvede alla prenotazione della spesa, per un importo pari al consumo dell'ultimo esercizio per il quale l'informazione </w:t>
      </w:r>
      <w:proofErr w:type="spellStart"/>
      <w:r w:rsidRPr="006774A0">
        <w:rPr>
          <w:sz w:val="20"/>
          <w:szCs w:val="20"/>
        </w:rPr>
        <w:t>e'</w:t>
      </w:r>
      <w:proofErr w:type="spellEnd"/>
      <w:r w:rsidRPr="006774A0">
        <w:rPr>
          <w:sz w:val="20"/>
          <w:szCs w:val="20"/>
        </w:rPr>
        <w:t xml:space="preserve"> disponibile.</w:t>
      </w:r>
    </w:p>
    <w:p w14:paraId="0EDDE11A" w14:textId="77777777" w:rsidR="006774A0" w:rsidRPr="006774A0" w:rsidRDefault="006774A0" w:rsidP="006774A0">
      <w:pPr>
        <w:rPr>
          <w:sz w:val="20"/>
          <w:szCs w:val="20"/>
        </w:rPr>
      </w:pPr>
      <w:r w:rsidRPr="006774A0">
        <w:rPr>
          <w:sz w:val="20"/>
          <w:szCs w:val="20"/>
        </w:rPr>
        <w:t>Durante la gestione possono anche essere prenotati impegni relativi a procedure in via di espletamento.</w:t>
      </w:r>
    </w:p>
    <w:p w14:paraId="71114E33" w14:textId="77777777" w:rsidR="006774A0" w:rsidRPr="006774A0" w:rsidRDefault="006774A0" w:rsidP="006774A0">
      <w:pPr>
        <w:rPr>
          <w:sz w:val="20"/>
          <w:szCs w:val="20"/>
        </w:rPr>
      </w:pPr>
      <w:r w:rsidRPr="006774A0">
        <w:rPr>
          <w:sz w:val="20"/>
          <w:szCs w:val="20"/>
        </w:rPr>
        <w:t xml:space="preserve">I provvedimenti relativi per i quali entro il termine dell'esercizio non </w:t>
      </w:r>
      <w:proofErr w:type="spellStart"/>
      <w:proofErr w:type="gramStart"/>
      <w:r w:rsidRPr="006774A0">
        <w:rPr>
          <w:sz w:val="20"/>
          <w:szCs w:val="20"/>
        </w:rPr>
        <w:t>e'</w:t>
      </w:r>
      <w:proofErr w:type="spellEnd"/>
      <w:proofErr w:type="gramEnd"/>
      <w:r w:rsidRPr="006774A0">
        <w:rPr>
          <w:sz w:val="20"/>
          <w:szCs w:val="20"/>
        </w:rPr>
        <w:t xml:space="preserve"> stata assunta dall'ente l'obbligazione di spesa verso i terzi decadono e costituiscono economia della previsione di bilancio alla quale erano riferiti, concorrendo alla determinazione del risultato contabile di amministrazione di cui all'articolo 186. ((Le spese di investimento per lavori pubblici prenotate negli esercizi successivi, la cui gara </w:t>
      </w:r>
      <w:proofErr w:type="spellStart"/>
      <w:proofErr w:type="gramStart"/>
      <w:r w:rsidRPr="006774A0">
        <w:rPr>
          <w:sz w:val="20"/>
          <w:szCs w:val="20"/>
        </w:rPr>
        <w:t>e'</w:t>
      </w:r>
      <w:proofErr w:type="spellEnd"/>
      <w:proofErr w:type="gramEnd"/>
      <w:r w:rsidRPr="006774A0">
        <w:rPr>
          <w:sz w:val="20"/>
          <w:szCs w:val="20"/>
        </w:rPr>
        <w:t xml:space="preserve"> stata formalmente indetta, concorrono alla determinazione del fondo pluriennale vincolato e non del risultato di amministrazione. In assenza di aggiudicazione definitiva della gara entro l'anno successivo le economie di bilancio confluiscono nell'avanzo di amministrazione vincolato per la riprogrammazione dell'intervento in c/capitale e il fondo pluriennale </w:t>
      </w:r>
      <w:proofErr w:type="spellStart"/>
      <w:proofErr w:type="gramStart"/>
      <w:r w:rsidRPr="006774A0">
        <w:rPr>
          <w:sz w:val="20"/>
          <w:szCs w:val="20"/>
        </w:rPr>
        <w:t>e'</w:t>
      </w:r>
      <w:proofErr w:type="spellEnd"/>
      <w:proofErr w:type="gramEnd"/>
      <w:r w:rsidRPr="006774A0">
        <w:rPr>
          <w:sz w:val="20"/>
          <w:szCs w:val="20"/>
        </w:rPr>
        <w:t xml:space="preserve"> ridotto di pari importo.)) ((83))</w:t>
      </w:r>
    </w:p>
    <w:p w14:paraId="3FF1FDBA" w14:textId="77777777" w:rsidR="006774A0" w:rsidRDefault="006774A0" w:rsidP="006774A0">
      <w:pPr>
        <w:rPr>
          <w:sz w:val="20"/>
          <w:szCs w:val="20"/>
        </w:rPr>
      </w:pPr>
      <w:r w:rsidRPr="006774A0">
        <w:rPr>
          <w:sz w:val="20"/>
          <w:szCs w:val="20"/>
        </w:rPr>
        <w:t xml:space="preserve">Costituiscono inoltre economia le minori spese sostenute rispetto all'impegno </w:t>
      </w:r>
      <w:proofErr w:type="spellStart"/>
      <w:proofErr w:type="gramStart"/>
      <w:r w:rsidRPr="006774A0">
        <w:rPr>
          <w:sz w:val="20"/>
          <w:szCs w:val="20"/>
        </w:rPr>
        <w:t>assunto,verificate</w:t>
      </w:r>
      <w:proofErr w:type="spellEnd"/>
      <w:proofErr w:type="gramEnd"/>
      <w:r w:rsidRPr="006774A0">
        <w:rPr>
          <w:sz w:val="20"/>
          <w:szCs w:val="20"/>
        </w:rPr>
        <w:t xml:space="preserve"> con la conclusione della fase della liquidazione.</w:t>
      </w:r>
    </w:p>
    <w:p w14:paraId="76C1A166" w14:textId="77777777" w:rsidR="00A757CC" w:rsidRPr="006774A0" w:rsidRDefault="00A757CC" w:rsidP="006774A0">
      <w:pPr>
        <w:rPr>
          <w:sz w:val="20"/>
          <w:szCs w:val="20"/>
        </w:rPr>
      </w:pPr>
    </w:p>
    <w:p w14:paraId="419FA482" w14:textId="77777777" w:rsidR="006774A0" w:rsidRPr="006774A0" w:rsidRDefault="006774A0" w:rsidP="006774A0">
      <w:pPr>
        <w:rPr>
          <w:sz w:val="20"/>
          <w:szCs w:val="20"/>
        </w:rPr>
      </w:pPr>
      <w:r w:rsidRPr="006774A0">
        <w:rPr>
          <w:sz w:val="20"/>
          <w:szCs w:val="20"/>
        </w:rPr>
        <w:t xml:space="preserve">Tutte le obbligazioni passive giuridicamente perfezionate, devono essere registrate nelle scritture contabili quando l'obbligazione </w:t>
      </w:r>
      <w:proofErr w:type="spellStart"/>
      <w:proofErr w:type="gramStart"/>
      <w:r w:rsidRPr="006774A0">
        <w:rPr>
          <w:sz w:val="20"/>
          <w:szCs w:val="20"/>
        </w:rPr>
        <w:t>e'</w:t>
      </w:r>
      <w:proofErr w:type="spellEnd"/>
      <w:proofErr w:type="gramEnd"/>
      <w:r w:rsidRPr="006774A0">
        <w:rPr>
          <w:sz w:val="20"/>
          <w:szCs w:val="20"/>
        </w:rPr>
        <w:t xml:space="preserve"> perfezionata, con imputazione all'esercizio in cui l'obbligazione viene a scadenza, secondo le </w:t>
      </w:r>
      <w:proofErr w:type="spellStart"/>
      <w:r w:rsidRPr="006774A0">
        <w:rPr>
          <w:sz w:val="20"/>
          <w:szCs w:val="20"/>
        </w:rPr>
        <w:t>modalita'</w:t>
      </w:r>
      <w:proofErr w:type="spellEnd"/>
      <w:r w:rsidRPr="006774A0">
        <w:rPr>
          <w:sz w:val="20"/>
          <w:szCs w:val="20"/>
        </w:rPr>
        <w:t xml:space="preserve"> previste dal principio applicato della </w:t>
      </w:r>
      <w:proofErr w:type="spellStart"/>
      <w:r w:rsidRPr="006774A0">
        <w:rPr>
          <w:sz w:val="20"/>
          <w:szCs w:val="20"/>
        </w:rPr>
        <w:t>contabilita'</w:t>
      </w:r>
      <w:proofErr w:type="spellEnd"/>
      <w:r w:rsidRPr="006774A0">
        <w:rPr>
          <w:sz w:val="20"/>
          <w:szCs w:val="20"/>
        </w:rPr>
        <w:t xml:space="preserve"> finanziaria di cui all'allegato n. 4/2 del decreto legislativo 23 giugno 2011, n. 118. Non possono essere riferite ad un determinato esercizio finanziario le spese per le quali non sia venuta a scadere nello stesso esercizio finanziario la relativa obbligazione giuridica. Le spese sono registrate anche se non determinano movimenti di cassa effettivi.</w:t>
      </w:r>
    </w:p>
    <w:p w14:paraId="2476E432" w14:textId="77777777" w:rsidR="006774A0" w:rsidRPr="006774A0" w:rsidRDefault="006774A0" w:rsidP="006774A0">
      <w:pPr>
        <w:rPr>
          <w:sz w:val="20"/>
          <w:szCs w:val="20"/>
        </w:rPr>
      </w:pPr>
      <w:r w:rsidRPr="006774A0">
        <w:rPr>
          <w:sz w:val="20"/>
          <w:szCs w:val="20"/>
        </w:rPr>
        <w:t>Gli impegni di spesa sono assunti nei limiti dei rispettivi stanziamenti di competenza del bilancio di previsione, con imputazione agli esercizi in cui le obbligazioni passive sono esigibili.</w:t>
      </w:r>
    </w:p>
    <w:p w14:paraId="001D2B42" w14:textId="77777777" w:rsidR="006774A0" w:rsidRPr="006774A0" w:rsidRDefault="006774A0" w:rsidP="006774A0">
      <w:pPr>
        <w:rPr>
          <w:sz w:val="20"/>
          <w:szCs w:val="20"/>
        </w:rPr>
      </w:pPr>
      <w:r w:rsidRPr="006774A0">
        <w:rPr>
          <w:sz w:val="20"/>
          <w:szCs w:val="20"/>
        </w:rPr>
        <w:t>Non possono essere assunte obbligazioni che danno luogo ad impegni di spesa corrente:</w:t>
      </w:r>
    </w:p>
    <w:p w14:paraId="7A113553" w14:textId="77777777" w:rsidR="006774A0" w:rsidRPr="006774A0" w:rsidRDefault="006774A0" w:rsidP="006774A0">
      <w:pPr>
        <w:rPr>
          <w:sz w:val="20"/>
          <w:szCs w:val="20"/>
        </w:rPr>
      </w:pPr>
      <w:r w:rsidRPr="006774A0">
        <w:rPr>
          <w:sz w:val="20"/>
          <w:szCs w:val="20"/>
        </w:rPr>
        <w:t xml:space="preserve">a) sugli esercizi successivi a quello in corso, a meno che non siano connesse a contratti o convenzioni pluriennali o siano necessarie per garantire la </w:t>
      </w:r>
      <w:proofErr w:type="spellStart"/>
      <w:r w:rsidRPr="006774A0">
        <w:rPr>
          <w:sz w:val="20"/>
          <w:szCs w:val="20"/>
        </w:rPr>
        <w:t>continuita'</w:t>
      </w:r>
      <w:proofErr w:type="spellEnd"/>
      <w:r w:rsidRPr="006774A0">
        <w:rPr>
          <w:sz w:val="20"/>
          <w:szCs w:val="20"/>
        </w:rPr>
        <w:t xml:space="preserve"> dei servizi connessi con le funzioni fondamentali, fatta salva la costante verifica del mantenimento degli equilibri di bilancio, anche con riferimento agli esercizi successivi al primo;</w:t>
      </w:r>
    </w:p>
    <w:p w14:paraId="0137B3C2" w14:textId="77777777" w:rsidR="006774A0" w:rsidRPr="006774A0" w:rsidRDefault="006774A0" w:rsidP="006774A0">
      <w:pPr>
        <w:rPr>
          <w:sz w:val="20"/>
          <w:szCs w:val="20"/>
        </w:rPr>
      </w:pPr>
      <w:r w:rsidRPr="006774A0">
        <w:rPr>
          <w:sz w:val="20"/>
          <w:szCs w:val="20"/>
        </w:rPr>
        <w:t xml:space="preserve">b) sugli esercizi non considerati nel bilancio, a meno delle spese derivanti da contratti di somministrazione, di locazione, relative a prestazioni periodiche o continuative di servizi di cui all'art. 1677 del </w:t>
      </w:r>
      <w:proofErr w:type="gramStart"/>
      <w:r w:rsidRPr="006774A0">
        <w:rPr>
          <w:sz w:val="20"/>
          <w:szCs w:val="20"/>
        </w:rPr>
        <w:t>codice civile</w:t>
      </w:r>
      <w:proofErr w:type="gramEnd"/>
      <w:r w:rsidRPr="006774A0">
        <w:rPr>
          <w:sz w:val="20"/>
          <w:szCs w:val="20"/>
        </w:rPr>
        <w:t>, delle spese correnti correlate a finanziamenti comunitari e delle rate di ammortamento dei prestiti, inclusa la quota capitale.</w:t>
      </w:r>
    </w:p>
    <w:p w14:paraId="50F7CC0D" w14:textId="77777777" w:rsidR="006774A0" w:rsidRPr="006774A0" w:rsidRDefault="006774A0" w:rsidP="006774A0">
      <w:pPr>
        <w:rPr>
          <w:sz w:val="20"/>
          <w:szCs w:val="20"/>
        </w:rPr>
      </w:pPr>
      <w:r w:rsidRPr="006774A0">
        <w:rPr>
          <w:sz w:val="20"/>
          <w:szCs w:val="20"/>
        </w:rPr>
        <w:t>Nei casi in cui è consentita l’assunzione di spese correnti di competenza di esercizi non considerati nel bilancio di previsione, l’elenco dei relativi provvedimenti di spesa assunti nell’esercizio è trasmesso, per conoscenza, al Consiglio dell’ente (gli enti strumentali delle regioni, province e Comuni trasmettono tali provvedimenti all’ente vigilante).</w:t>
      </w:r>
    </w:p>
    <w:p w14:paraId="4D5BFFDD" w14:textId="77777777" w:rsidR="006774A0" w:rsidRPr="006774A0" w:rsidRDefault="006774A0" w:rsidP="006774A0">
      <w:pPr>
        <w:rPr>
          <w:sz w:val="20"/>
          <w:szCs w:val="20"/>
        </w:rPr>
      </w:pPr>
      <w:r w:rsidRPr="006774A0">
        <w:rPr>
          <w:sz w:val="20"/>
          <w:szCs w:val="20"/>
        </w:rPr>
        <w:t xml:space="preserve">I provvedimenti dei responsabili dei servizi che comportano impegni di spesa sono trasmessi al responsabile del servizio finanziario e sono esecutivi con l'apposizione del visto di </w:t>
      </w:r>
      <w:proofErr w:type="spellStart"/>
      <w:r w:rsidRPr="006774A0">
        <w:rPr>
          <w:sz w:val="20"/>
          <w:szCs w:val="20"/>
        </w:rPr>
        <w:t>regolarita'</w:t>
      </w:r>
      <w:proofErr w:type="spellEnd"/>
      <w:r w:rsidRPr="006774A0">
        <w:rPr>
          <w:sz w:val="20"/>
          <w:szCs w:val="20"/>
        </w:rPr>
        <w:t xml:space="preserve"> contabile attestante la copertura finanziaria.</w:t>
      </w:r>
    </w:p>
    <w:p w14:paraId="5D73B13A" w14:textId="77777777" w:rsidR="006774A0" w:rsidRPr="006774A0" w:rsidRDefault="006774A0" w:rsidP="006774A0">
      <w:pPr>
        <w:rPr>
          <w:sz w:val="20"/>
          <w:szCs w:val="20"/>
        </w:rPr>
      </w:pPr>
      <w:r w:rsidRPr="006774A0">
        <w:rPr>
          <w:sz w:val="20"/>
          <w:szCs w:val="20"/>
        </w:rPr>
        <w:t xml:space="preserve">Al fine di evitare ritardi nei pagamenti e la formazione di debiti pregressi, il responsabile della spesa che adotta provvedimenti che comportano impegni di spesa ha l'obbligo di accertare preventivamente che il programma dei conseguenti pagamenti sia compatibile con i relativi stanziamenti di cassa e con le regole del patto di </w:t>
      </w:r>
      <w:proofErr w:type="spellStart"/>
      <w:r w:rsidRPr="006774A0">
        <w:rPr>
          <w:sz w:val="20"/>
          <w:szCs w:val="20"/>
        </w:rPr>
        <w:t>stabilita'</w:t>
      </w:r>
      <w:proofErr w:type="spellEnd"/>
      <w:r w:rsidRPr="006774A0">
        <w:rPr>
          <w:sz w:val="20"/>
          <w:szCs w:val="20"/>
        </w:rPr>
        <w:t xml:space="preserve"> interno; la violazione dell'obbligo di accertamento di cui al presente comma comporta </w:t>
      </w:r>
      <w:proofErr w:type="spellStart"/>
      <w:r w:rsidRPr="006774A0">
        <w:rPr>
          <w:sz w:val="20"/>
          <w:szCs w:val="20"/>
        </w:rPr>
        <w:t>responsabilita'</w:t>
      </w:r>
      <w:proofErr w:type="spellEnd"/>
      <w:r w:rsidRPr="006774A0">
        <w:rPr>
          <w:sz w:val="20"/>
          <w:szCs w:val="20"/>
        </w:rPr>
        <w:t xml:space="preserve"> disciplinare ed amministrativa.</w:t>
      </w:r>
    </w:p>
    <w:p w14:paraId="3A62E625" w14:textId="77777777" w:rsidR="006774A0" w:rsidRPr="006774A0" w:rsidRDefault="006774A0" w:rsidP="006774A0">
      <w:pPr>
        <w:rPr>
          <w:sz w:val="20"/>
          <w:szCs w:val="20"/>
        </w:rPr>
      </w:pPr>
      <w:r w:rsidRPr="006774A0">
        <w:rPr>
          <w:sz w:val="20"/>
          <w:szCs w:val="20"/>
        </w:rPr>
        <w:t>Qualora lo stanziamento di cassa, per ragioni sopravvenute, non consenta di far fronte all'obbligo contrattuale, l'amministrazione adotta le opportune iniziative, anche di tipo contabile, amministrativo o contrattuale, per evitare la formazione di debiti pregressi.</w:t>
      </w:r>
    </w:p>
    <w:p w14:paraId="7F23FEBE" w14:textId="77777777" w:rsidR="006774A0" w:rsidRPr="006774A0" w:rsidRDefault="006774A0" w:rsidP="006774A0">
      <w:pPr>
        <w:rPr>
          <w:sz w:val="20"/>
          <w:szCs w:val="20"/>
        </w:rPr>
      </w:pPr>
      <w:r w:rsidRPr="006774A0">
        <w:rPr>
          <w:sz w:val="20"/>
          <w:szCs w:val="20"/>
        </w:rPr>
        <w:t xml:space="preserve">Il regolamento di </w:t>
      </w:r>
      <w:proofErr w:type="spellStart"/>
      <w:r w:rsidRPr="006774A0">
        <w:rPr>
          <w:sz w:val="20"/>
          <w:szCs w:val="20"/>
        </w:rPr>
        <w:t>contabilita'</w:t>
      </w:r>
      <w:proofErr w:type="spellEnd"/>
      <w:r w:rsidRPr="006774A0">
        <w:rPr>
          <w:sz w:val="20"/>
          <w:szCs w:val="20"/>
        </w:rPr>
        <w:t xml:space="preserve"> disciplina le </w:t>
      </w:r>
      <w:proofErr w:type="spellStart"/>
      <w:r w:rsidRPr="006774A0">
        <w:rPr>
          <w:sz w:val="20"/>
          <w:szCs w:val="20"/>
        </w:rPr>
        <w:t>modalita'</w:t>
      </w:r>
      <w:proofErr w:type="spellEnd"/>
      <w:r w:rsidRPr="006774A0">
        <w:rPr>
          <w:sz w:val="20"/>
          <w:szCs w:val="20"/>
        </w:rPr>
        <w:t xml:space="preserve"> con le quali i responsabili dei servizi assumono atti di impegno ((nel rispetto dei principi contabili generali e del principio applicato della </w:t>
      </w:r>
      <w:proofErr w:type="spellStart"/>
      <w:r w:rsidRPr="006774A0">
        <w:rPr>
          <w:sz w:val="20"/>
          <w:szCs w:val="20"/>
        </w:rPr>
        <w:t>contabilita'</w:t>
      </w:r>
      <w:proofErr w:type="spellEnd"/>
      <w:r w:rsidRPr="006774A0">
        <w:rPr>
          <w:sz w:val="20"/>
          <w:szCs w:val="20"/>
        </w:rPr>
        <w:t xml:space="preserve"> finanziaria di cui agli allegati n. 1 e n. 4/2 del decreto legislativo 23 giugno 2011, n. 118, e successive modificazioni.)). A tali atti, da definire "determinazioni" e da classificarsi con sistemi di raccolta che individuano la cronologia degli atti e l'ufficio di provenienza, si applicano, in via preventiva, le procedure di cui ((ai commi 7 e 8.)).</w:t>
      </w:r>
    </w:p>
    <w:p w14:paraId="22F0AF0B" w14:textId="77777777" w:rsidR="006774A0" w:rsidRPr="006774A0" w:rsidRDefault="006774A0" w:rsidP="006774A0">
      <w:pPr>
        <w:rPr>
          <w:sz w:val="20"/>
          <w:szCs w:val="20"/>
        </w:rPr>
      </w:pPr>
      <w:r w:rsidRPr="006774A0">
        <w:rPr>
          <w:sz w:val="20"/>
          <w:szCs w:val="20"/>
        </w:rPr>
        <w:t>Liquidazione</w:t>
      </w:r>
    </w:p>
    <w:p w14:paraId="067801C1" w14:textId="77777777" w:rsidR="006774A0" w:rsidRPr="006774A0" w:rsidRDefault="006774A0" w:rsidP="006774A0">
      <w:pPr>
        <w:rPr>
          <w:sz w:val="20"/>
          <w:szCs w:val="20"/>
        </w:rPr>
      </w:pPr>
      <w:r w:rsidRPr="006774A0">
        <w:rPr>
          <w:sz w:val="20"/>
          <w:szCs w:val="20"/>
        </w:rPr>
        <w:t>La liquidazione costituisce la successiva fase del procedimento di spesa attraverso la quale in base ai documenti ed ai titoli atti a comprovare il diritto acquisito del creditore, si determina la somma certa e liquida da pagare nei limiti dell'ammontare dell'impegno definitivo assunto.</w:t>
      </w:r>
    </w:p>
    <w:p w14:paraId="44E80AE6" w14:textId="77777777" w:rsidR="006774A0" w:rsidRPr="006774A0" w:rsidRDefault="006774A0" w:rsidP="006774A0">
      <w:pPr>
        <w:rPr>
          <w:sz w:val="20"/>
          <w:szCs w:val="20"/>
        </w:rPr>
      </w:pPr>
      <w:r w:rsidRPr="006774A0">
        <w:rPr>
          <w:sz w:val="20"/>
          <w:szCs w:val="20"/>
        </w:rPr>
        <w:t xml:space="preserve"> La liquidazione compete all'ufficio che ha dato esecuzione al provvedimento di spesa ed è disposta sulla base della documentazione necessaria a comprovare il diritto del creditore, a seguito del riscontro operato sulla regolarità della fornitura o della prestazione e sulla rispondenza della stessa ai requisiti quantitativi e qualitativi, </w:t>
      </w:r>
      <w:proofErr w:type="gramStart"/>
      <w:r w:rsidRPr="006774A0">
        <w:rPr>
          <w:sz w:val="20"/>
          <w:szCs w:val="20"/>
        </w:rPr>
        <w:t>al termini</w:t>
      </w:r>
      <w:proofErr w:type="gramEnd"/>
      <w:r w:rsidRPr="006774A0">
        <w:rPr>
          <w:sz w:val="20"/>
          <w:szCs w:val="20"/>
        </w:rPr>
        <w:t xml:space="preserve"> ed alle condizioni pattuite.</w:t>
      </w:r>
    </w:p>
    <w:p w14:paraId="14F705D4" w14:textId="77777777" w:rsidR="006774A0" w:rsidRPr="006774A0" w:rsidRDefault="006774A0" w:rsidP="006774A0">
      <w:pPr>
        <w:rPr>
          <w:sz w:val="20"/>
          <w:szCs w:val="20"/>
        </w:rPr>
      </w:pPr>
      <w:r w:rsidRPr="006774A0">
        <w:rPr>
          <w:sz w:val="20"/>
          <w:szCs w:val="20"/>
        </w:rPr>
        <w:t>L'atto di liquidazione, sottoscritto dal responsabile del servizio proponente, con tutti i relativi documenti giustificativi ed i riferimenti contabili è trasmesso al servizio finanziario per i conseguenti adempimenti.</w:t>
      </w:r>
    </w:p>
    <w:p w14:paraId="63A75B8C" w14:textId="77777777" w:rsidR="006774A0" w:rsidRPr="006774A0" w:rsidRDefault="006774A0" w:rsidP="006774A0">
      <w:pPr>
        <w:rPr>
          <w:sz w:val="20"/>
          <w:szCs w:val="20"/>
        </w:rPr>
      </w:pPr>
      <w:r w:rsidRPr="006774A0">
        <w:rPr>
          <w:sz w:val="20"/>
          <w:szCs w:val="20"/>
        </w:rPr>
        <w:t>Il servizio finanziario effettua, secondo i principi e le procedure della contabilità pubblica, i controlli e riscontri amministrativi, contabili e fiscali sugli atti di liquidazione.</w:t>
      </w:r>
    </w:p>
    <w:p w14:paraId="266FF948" w14:textId="77777777" w:rsidR="006774A0" w:rsidRPr="006774A0" w:rsidRDefault="006774A0" w:rsidP="006774A0">
      <w:pPr>
        <w:rPr>
          <w:sz w:val="20"/>
          <w:szCs w:val="20"/>
        </w:rPr>
      </w:pPr>
      <w:r w:rsidRPr="006774A0">
        <w:rPr>
          <w:sz w:val="20"/>
          <w:szCs w:val="20"/>
        </w:rPr>
        <w:t>Ordinazione e Pagamento</w:t>
      </w:r>
    </w:p>
    <w:p w14:paraId="30BAF674" w14:textId="77777777" w:rsidR="006774A0" w:rsidRPr="006774A0" w:rsidRDefault="006774A0" w:rsidP="006774A0">
      <w:pPr>
        <w:rPr>
          <w:sz w:val="20"/>
          <w:szCs w:val="20"/>
        </w:rPr>
      </w:pPr>
      <w:r w:rsidRPr="006774A0">
        <w:rPr>
          <w:sz w:val="20"/>
          <w:szCs w:val="20"/>
        </w:rPr>
        <w:t>Gli ordinativi di pagamento sono disposti nei limiti dei rispettivi stanziamenti di cassa, salvo i pagamenti riguardanti il rimborso delle anticipazioni di tesoreria, i servizi per conto terzi e le partite di giro.</w:t>
      </w:r>
    </w:p>
    <w:p w14:paraId="0F8D9BEE" w14:textId="77777777" w:rsidR="006774A0" w:rsidRPr="006774A0" w:rsidRDefault="006774A0" w:rsidP="006774A0">
      <w:pPr>
        <w:rPr>
          <w:sz w:val="20"/>
          <w:szCs w:val="20"/>
        </w:rPr>
      </w:pPr>
      <w:r w:rsidRPr="006774A0">
        <w:rPr>
          <w:sz w:val="20"/>
          <w:szCs w:val="20"/>
        </w:rPr>
        <w:t>Il mandato di pagamento è sottoscritto dal dipendente dell'ente individuato dal regolamento di contabilità nel rispetto delle leggi vigenti e contiene almeno i seguenti elementi:</w:t>
      </w:r>
    </w:p>
    <w:p w14:paraId="46A3C07E" w14:textId="77777777" w:rsidR="006774A0" w:rsidRPr="006774A0" w:rsidRDefault="006774A0" w:rsidP="006774A0">
      <w:pPr>
        <w:rPr>
          <w:sz w:val="20"/>
          <w:szCs w:val="20"/>
        </w:rPr>
      </w:pPr>
      <w:r w:rsidRPr="006774A0">
        <w:rPr>
          <w:sz w:val="20"/>
          <w:szCs w:val="20"/>
        </w:rPr>
        <w:t>a) il numero progressivo del mandato per esercizio finanziario;</w:t>
      </w:r>
    </w:p>
    <w:p w14:paraId="131C831C" w14:textId="77777777" w:rsidR="006774A0" w:rsidRPr="006774A0" w:rsidRDefault="006774A0" w:rsidP="006774A0">
      <w:pPr>
        <w:rPr>
          <w:sz w:val="20"/>
          <w:szCs w:val="20"/>
        </w:rPr>
      </w:pPr>
      <w:r w:rsidRPr="006774A0">
        <w:rPr>
          <w:sz w:val="20"/>
          <w:szCs w:val="20"/>
        </w:rPr>
        <w:t>b) la data di emissione;</w:t>
      </w:r>
    </w:p>
    <w:p w14:paraId="47DE7AC6" w14:textId="77777777" w:rsidR="006774A0" w:rsidRPr="006774A0" w:rsidRDefault="006774A0" w:rsidP="006774A0">
      <w:pPr>
        <w:rPr>
          <w:sz w:val="20"/>
          <w:szCs w:val="20"/>
        </w:rPr>
      </w:pPr>
      <w:r w:rsidRPr="006774A0">
        <w:rPr>
          <w:sz w:val="20"/>
          <w:szCs w:val="20"/>
        </w:rPr>
        <w:t>c) l'indicazione della missione, del programma e del titolo di bilancio cui è riferita la spesa e la relativa disponibilità, distintamente per residui o competenza e cassa;</w:t>
      </w:r>
    </w:p>
    <w:p w14:paraId="3D18E136" w14:textId="77777777" w:rsidR="006774A0" w:rsidRPr="006774A0" w:rsidRDefault="006774A0" w:rsidP="006774A0">
      <w:pPr>
        <w:rPr>
          <w:sz w:val="20"/>
          <w:szCs w:val="20"/>
        </w:rPr>
      </w:pPr>
      <w:r w:rsidRPr="006774A0">
        <w:rPr>
          <w:sz w:val="20"/>
          <w:szCs w:val="20"/>
        </w:rPr>
        <w:t>d) la codifica di bilancio;</w:t>
      </w:r>
    </w:p>
    <w:p w14:paraId="7E84A1F1" w14:textId="77777777" w:rsidR="006774A0" w:rsidRPr="006774A0" w:rsidRDefault="006774A0" w:rsidP="006774A0">
      <w:pPr>
        <w:rPr>
          <w:sz w:val="20"/>
          <w:szCs w:val="20"/>
        </w:rPr>
      </w:pPr>
      <w:r w:rsidRPr="006774A0">
        <w:rPr>
          <w:sz w:val="20"/>
          <w:szCs w:val="20"/>
        </w:rPr>
        <w:t>e) l'indicazione del creditore e, se si tratta di persona diversa, del soggetto tenuto a rilasciare quietanza, nonché ... il relativo codice fiscale o la partita IVA;</w:t>
      </w:r>
    </w:p>
    <w:p w14:paraId="414585C6" w14:textId="77777777" w:rsidR="006774A0" w:rsidRPr="006774A0" w:rsidRDefault="006774A0" w:rsidP="006774A0">
      <w:pPr>
        <w:rPr>
          <w:sz w:val="20"/>
          <w:szCs w:val="20"/>
        </w:rPr>
      </w:pPr>
      <w:r w:rsidRPr="006774A0">
        <w:rPr>
          <w:sz w:val="20"/>
          <w:szCs w:val="20"/>
        </w:rPr>
        <w:t>f) l'ammontare della somma dovuta e la scadenza, qualora sia prevista dalla legge o sia stata concordata con il creditore;</w:t>
      </w:r>
    </w:p>
    <w:p w14:paraId="2329D413" w14:textId="77777777" w:rsidR="006774A0" w:rsidRPr="006774A0" w:rsidRDefault="006774A0" w:rsidP="006774A0">
      <w:pPr>
        <w:rPr>
          <w:sz w:val="20"/>
          <w:szCs w:val="20"/>
        </w:rPr>
      </w:pPr>
      <w:r w:rsidRPr="006774A0">
        <w:rPr>
          <w:sz w:val="20"/>
          <w:szCs w:val="20"/>
        </w:rPr>
        <w:t>g) la causale e gli estremi dell'atto esecutivo, che legittima l'erogazione della spesa;</w:t>
      </w:r>
    </w:p>
    <w:p w14:paraId="16B999E6" w14:textId="77777777" w:rsidR="006774A0" w:rsidRPr="006774A0" w:rsidRDefault="006774A0" w:rsidP="006774A0">
      <w:pPr>
        <w:rPr>
          <w:sz w:val="20"/>
          <w:szCs w:val="20"/>
        </w:rPr>
      </w:pPr>
      <w:r w:rsidRPr="006774A0">
        <w:rPr>
          <w:sz w:val="20"/>
          <w:szCs w:val="20"/>
        </w:rPr>
        <w:t>h) le eventuali modalità agevolative di pagamento se richieste dal creditore;</w:t>
      </w:r>
    </w:p>
    <w:p w14:paraId="6951BA7C" w14:textId="77777777" w:rsidR="006774A0" w:rsidRPr="006774A0" w:rsidRDefault="006774A0" w:rsidP="006774A0">
      <w:pPr>
        <w:rPr>
          <w:sz w:val="20"/>
          <w:szCs w:val="20"/>
        </w:rPr>
      </w:pPr>
      <w:r w:rsidRPr="006774A0">
        <w:rPr>
          <w:sz w:val="20"/>
          <w:szCs w:val="20"/>
        </w:rPr>
        <w:t xml:space="preserve">i) il rispetto degli eventuali vincoli di destinazione relativi a trasferimenti o ai </w:t>
      </w:r>
      <w:proofErr w:type="gramStart"/>
      <w:r w:rsidRPr="006774A0">
        <w:rPr>
          <w:sz w:val="20"/>
          <w:szCs w:val="20"/>
        </w:rPr>
        <w:t>prestiti(</w:t>
      </w:r>
      <w:proofErr w:type="gramEnd"/>
      <w:r w:rsidRPr="006774A0">
        <w:rPr>
          <w:sz w:val="20"/>
          <w:szCs w:val="20"/>
        </w:rPr>
        <w:t>1);</w:t>
      </w:r>
    </w:p>
    <w:p w14:paraId="7F6C0E25" w14:textId="77777777" w:rsidR="006774A0" w:rsidRPr="006774A0" w:rsidRDefault="006774A0" w:rsidP="006774A0">
      <w:pPr>
        <w:rPr>
          <w:sz w:val="20"/>
          <w:szCs w:val="20"/>
        </w:rPr>
      </w:pPr>
      <w:r w:rsidRPr="006774A0">
        <w:rPr>
          <w:sz w:val="20"/>
          <w:szCs w:val="20"/>
        </w:rPr>
        <w:t>i-bis) la codifica SIOPE di cui all'art. 14 della legge 31 dicembre 2009, n. 196;</w:t>
      </w:r>
    </w:p>
    <w:p w14:paraId="6F679F3E" w14:textId="77777777" w:rsidR="006774A0" w:rsidRPr="006774A0" w:rsidRDefault="006774A0" w:rsidP="006774A0">
      <w:pPr>
        <w:rPr>
          <w:sz w:val="20"/>
          <w:szCs w:val="20"/>
        </w:rPr>
      </w:pPr>
      <w:r w:rsidRPr="006774A0">
        <w:rPr>
          <w:sz w:val="20"/>
          <w:szCs w:val="20"/>
        </w:rPr>
        <w:t>i-ter) i codici della transazione elementare di cui agli articoli da 5 a 7, del decreto legislativo 23 giugno 2011, n. 118.</w:t>
      </w:r>
    </w:p>
    <w:p w14:paraId="75550CD3" w14:textId="77777777" w:rsidR="006774A0" w:rsidRPr="006774A0" w:rsidRDefault="006774A0" w:rsidP="006774A0">
      <w:pPr>
        <w:rPr>
          <w:sz w:val="20"/>
          <w:szCs w:val="20"/>
        </w:rPr>
      </w:pPr>
      <w:r w:rsidRPr="006774A0">
        <w:rPr>
          <w:sz w:val="20"/>
          <w:szCs w:val="20"/>
        </w:rPr>
        <w:t>i-quater) l'identificazione delle spese non soggette al controllo dei dodicesimi di cui all'art. 163, comma 5, in caso di esercizio provvisorio.</w:t>
      </w:r>
    </w:p>
    <w:p w14:paraId="5AD9EBDE" w14:textId="77777777" w:rsidR="006774A0" w:rsidRPr="006774A0" w:rsidRDefault="006774A0" w:rsidP="006774A0">
      <w:pPr>
        <w:rPr>
          <w:sz w:val="20"/>
          <w:szCs w:val="20"/>
        </w:rPr>
      </w:pPr>
      <w:r w:rsidRPr="006774A0">
        <w:rPr>
          <w:sz w:val="20"/>
          <w:szCs w:val="20"/>
        </w:rPr>
        <w:t xml:space="preserve"> Il mandato di pagamento è controllato, per quanto attiene alla sussistenza dell'impegno e della liquidazione e al rispetto dell'autorizzazione di </w:t>
      </w:r>
      <w:proofErr w:type="gramStart"/>
      <w:r w:rsidRPr="006774A0">
        <w:rPr>
          <w:sz w:val="20"/>
          <w:szCs w:val="20"/>
        </w:rPr>
        <w:t>cassa,,</w:t>
      </w:r>
      <w:proofErr w:type="gramEnd"/>
      <w:r w:rsidRPr="006774A0">
        <w:rPr>
          <w:sz w:val="20"/>
          <w:szCs w:val="20"/>
        </w:rPr>
        <w:t xml:space="preserve"> dal servizio finanziario, che provvede altresì alle operazioni di contabilizzazione e di trasmissione al tesoriere.</w:t>
      </w:r>
    </w:p>
    <w:p w14:paraId="4E2033D9" w14:textId="753A8F2B" w:rsidR="006774A0" w:rsidRPr="007A787F" w:rsidRDefault="006774A0" w:rsidP="006774A0">
      <w:pPr>
        <w:rPr>
          <w:sz w:val="20"/>
          <w:szCs w:val="20"/>
        </w:rPr>
      </w:pPr>
      <w:r w:rsidRPr="006774A0">
        <w:rPr>
          <w:sz w:val="20"/>
          <w:szCs w:val="20"/>
        </w:rPr>
        <w:t xml:space="preserve"> Il tesoriere effettua i pagamenti derivanti da obblighi tributari, da somme iscritte a ruolo, da delegazioni di pagamento, e da altri obblighi di legge, anche in assenza della preventiva emissione del relativo mandato di pagamento. Entro trenta giorni l'ente locale emette il relativo mandato ai fini della </w:t>
      </w:r>
      <w:proofErr w:type="gramStart"/>
      <w:r w:rsidRPr="006774A0">
        <w:rPr>
          <w:sz w:val="20"/>
          <w:szCs w:val="20"/>
        </w:rPr>
        <w:t>regolarizzazione ,</w:t>
      </w:r>
      <w:proofErr w:type="gramEnd"/>
      <w:r w:rsidRPr="006774A0">
        <w:rPr>
          <w:sz w:val="20"/>
          <w:szCs w:val="20"/>
        </w:rPr>
        <w:t xml:space="preserve"> imputandolo contabilmente all'esercizio in cui il tesoriere ha effettuato il pagamento, anche se la relativa comunicazione è pervenuta all'ente nell'esercizio successivo.</w:t>
      </w:r>
    </w:p>
    <w:p w14:paraId="54073F00" w14:textId="77777777" w:rsidR="005822B1" w:rsidRDefault="005822B1" w:rsidP="005822B1">
      <w:pPr>
        <w:rPr>
          <w:sz w:val="20"/>
          <w:szCs w:val="20"/>
        </w:rPr>
      </w:pPr>
    </w:p>
    <w:sectPr w:rsidR="005822B1" w:rsidSect="00C018F2">
      <w:footerReference w:type="even" r:id="rId8"/>
      <w:footerReference w:type="default" r:id="rId9"/>
      <w:pgSz w:w="11900" w:h="16840"/>
      <w:pgMar w:top="1417" w:right="1134" w:bottom="1134"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D6FC30" w14:textId="77777777" w:rsidR="00CF3C8B" w:rsidRDefault="00CF3C8B" w:rsidP="00AA59BC">
      <w:r>
        <w:separator/>
      </w:r>
    </w:p>
  </w:endnote>
  <w:endnote w:type="continuationSeparator" w:id="0">
    <w:p w14:paraId="7DAC831A" w14:textId="77777777" w:rsidR="00CF3C8B" w:rsidRDefault="00CF3C8B" w:rsidP="00AA5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CA9ED" w14:textId="77777777"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792FA5C9" w14:textId="77777777" w:rsidR="00D04F50" w:rsidRDefault="00D04F50" w:rsidP="00AA59B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0E3EB" w14:textId="77777777"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5492F">
      <w:rPr>
        <w:rStyle w:val="Numeropagina"/>
        <w:noProof/>
      </w:rPr>
      <w:t>40</w:t>
    </w:r>
    <w:r>
      <w:rPr>
        <w:rStyle w:val="Numeropagina"/>
      </w:rPr>
      <w:fldChar w:fldCharType="end"/>
    </w:r>
  </w:p>
  <w:p w14:paraId="6D448B48" w14:textId="77777777" w:rsidR="00D04F50" w:rsidRDefault="00D04F50" w:rsidP="00AA59B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8AB00B" w14:textId="77777777" w:rsidR="00CF3C8B" w:rsidRDefault="00CF3C8B" w:rsidP="00AA59BC">
      <w:r>
        <w:separator/>
      </w:r>
    </w:p>
  </w:footnote>
  <w:footnote w:type="continuationSeparator" w:id="0">
    <w:p w14:paraId="7682F856" w14:textId="77777777" w:rsidR="00CF3C8B" w:rsidRDefault="00CF3C8B" w:rsidP="00AA5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4pt;height:11.4pt" o:bullet="t">
        <v:imagedata r:id="rId1" o:title="Word Work File L_1074150144"/>
      </v:shape>
    </w:pict>
  </w:numPicBullet>
  <w:abstractNum w:abstractNumId="0" w15:restartNumberingAfterBreak="0">
    <w:nsid w:val="01D9216F"/>
    <w:multiLevelType w:val="hybridMultilevel"/>
    <w:tmpl w:val="BE9CFE9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2C3D80"/>
    <w:multiLevelType w:val="hybridMultilevel"/>
    <w:tmpl w:val="5366F9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5F70978"/>
    <w:multiLevelType w:val="hybridMultilevel"/>
    <w:tmpl w:val="FB3AA74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715555"/>
    <w:multiLevelType w:val="hybridMultilevel"/>
    <w:tmpl w:val="BD2E00D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6C02EFE"/>
    <w:multiLevelType w:val="hybridMultilevel"/>
    <w:tmpl w:val="2108B7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EC206D"/>
    <w:multiLevelType w:val="hybridMultilevel"/>
    <w:tmpl w:val="40DEF1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93F5410"/>
    <w:multiLevelType w:val="hybridMultilevel"/>
    <w:tmpl w:val="64520F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B8774C"/>
    <w:multiLevelType w:val="hybridMultilevel"/>
    <w:tmpl w:val="05B0A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B4B69F3"/>
    <w:multiLevelType w:val="hybridMultilevel"/>
    <w:tmpl w:val="BD7827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BA747B1"/>
    <w:multiLevelType w:val="hybridMultilevel"/>
    <w:tmpl w:val="2604E02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CBE08DD"/>
    <w:multiLevelType w:val="hybridMultilevel"/>
    <w:tmpl w:val="909C2F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DC03E6A"/>
    <w:multiLevelType w:val="hybridMultilevel"/>
    <w:tmpl w:val="65AAC8F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2" w15:restartNumberingAfterBreak="0">
    <w:nsid w:val="0E3A6B15"/>
    <w:multiLevelType w:val="hybridMultilevel"/>
    <w:tmpl w:val="B4E67DD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0AE2328"/>
    <w:multiLevelType w:val="hybridMultilevel"/>
    <w:tmpl w:val="82CA251E"/>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4" w15:restartNumberingAfterBreak="0">
    <w:nsid w:val="113138E7"/>
    <w:multiLevelType w:val="hybridMultilevel"/>
    <w:tmpl w:val="87E029A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1F81DA8"/>
    <w:multiLevelType w:val="hybridMultilevel"/>
    <w:tmpl w:val="D4BCD89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31118AF"/>
    <w:multiLevelType w:val="hybridMultilevel"/>
    <w:tmpl w:val="887C6F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50E5CC0"/>
    <w:multiLevelType w:val="hybridMultilevel"/>
    <w:tmpl w:val="EDBAA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6A26AE1"/>
    <w:multiLevelType w:val="hybridMultilevel"/>
    <w:tmpl w:val="F0E890E6"/>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180076DB"/>
    <w:multiLevelType w:val="hybridMultilevel"/>
    <w:tmpl w:val="046CE3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89B1EDA"/>
    <w:multiLevelType w:val="hybridMultilevel"/>
    <w:tmpl w:val="9B7ED5D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15:restartNumberingAfterBreak="0">
    <w:nsid w:val="18DD019B"/>
    <w:multiLevelType w:val="hybridMultilevel"/>
    <w:tmpl w:val="72CEE976"/>
    <w:lvl w:ilvl="0" w:tplc="ECB4340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C2E4231"/>
    <w:multiLevelType w:val="hybridMultilevel"/>
    <w:tmpl w:val="0B4CA898"/>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1C937C58"/>
    <w:multiLevelType w:val="hybridMultilevel"/>
    <w:tmpl w:val="28605060"/>
    <w:lvl w:ilvl="0" w:tplc="04100005">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4" w15:restartNumberingAfterBreak="0">
    <w:nsid w:val="1D224DFF"/>
    <w:multiLevelType w:val="hybridMultilevel"/>
    <w:tmpl w:val="10C48826"/>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5" w15:restartNumberingAfterBreak="0">
    <w:nsid w:val="1F762EE6"/>
    <w:multiLevelType w:val="hybridMultilevel"/>
    <w:tmpl w:val="D9E013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20AD40D5"/>
    <w:multiLevelType w:val="hybridMultilevel"/>
    <w:tmpl w:val="DB4807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0EC3EFB"/>
    <w:multiLevelType w:val="hybridMultilevel"/>
    <w:tmpl w:val="61CEB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1F61A65"/>
    <w:multiLevelType w:val="hybridMultilevel"/>
    <w:tmpl w:val="85B26BE2"/>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9" w15:restartNumberingAfterBreak="0">
    <w:nsid w:val="2322793D"/>
    <w:multiLevelType w:val="hybridMultilevel"/>
    <w:tmpl w:val="F8E4D1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8BC7603"/>
    <w:multiLevelType w:val="hybridMultilevel"/>
    <w:tmpl w:val="49EA24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93C1FDC"/>
    <w:multiLevelType w:val="hybridMultilevel"/>
    <w:tmpl w:val="B6ECF8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97106C5"/>
    <w:multiLevelType w:val="hybridMultilevel"/>
    <w:tmpl w:val="F1EC892E"/>
    <w:lvl w:ilvl="0" w:tplc="04100017">
      <w:start w:val="1"/>
      <w:numFmt w:val="lowerLetter"/>
      <w:lvlText w:val="%1)"/>
      <w:lvlJc w:val="left"/>
      <w:pPr>
        <w:ind w:left="774" w:hanging="360"/>
      </w:pPr>
    </w:lvl>
    <w:lvl w:ilvl="1" w:tplc="04100019">
      <w:start w:val="1"/>
      <w:numFmt w:val="lowerLetter"/>
      <w:lvlText w:val="%2."/>
      <w:lvlJc w:val="left"/>
      <w:pPr>
        <w:ind w:left="1494" w:hanging="360"/>
      </w:pPr>
    </w:lvl>
    <w:lvl w:ilvl="2" w:tplc="0410001B">
      <w:start w:val="1"/>
      <w:numFmt w:val="lowerRoman"/>
      <w:lvlText w:val="%3."/>
      <w:lvlJc w:val="right"/>
      <w:pPr>
        <w:ind w:left="2214" w:hanging="180"/>
      </w:pPr>
    </w:lvl>
    <w:lvl w:ilvl="3" w:tplc="0410000F" w:tentative="1">
      <w:start w:val="1"/>
      <w:numFmt w:val="decimal"/>
      <w:lvlText w:val="%4."/>
      <w:lvlJc w:val="left"/>
      <w:pPr>
        <w:ind w:left="2934" w:hanging="360"/>
      </w:pPr>
    </w:lvl>
    <w:lvl w:ilvl="4" w:tplc="04100019" w:tentative="1">
      <w:start w:val="1"/>
      <w:numFmt w:val="lowerLetter"/>
      <w:lvlText w:val="%5."/>
      <w:lvlJc w:val="left"/>
      <w:pPr>
        <w:ind w:left="3654" w:hanging="360"/>
      </w:pPr>
    </w:lvl>
    <w:lvl w:ilvl="5" w:tplc="0410001B" w:tentative="1">
      <w:start w:val="1"/>
      <w:numFmt w:val="lowerRoman"/>
      <w:lvlText w:val="%6."/>
      <w:lvlJc w:val="right"/>
      <w:pPr>
        <w:ind w:left="4374" w:hanging="180"/>
      </w:pPr>
    </w:lvl>
    <w:lvl w:ilvl="6" w:tplc="0410000F" w:tentative="1">
      <w:start w:val="1"/>
      <w:numFmt w:val="decimal"/>
      <w:lvlText w:val="%7."/>
      <w:lvlJc w:val="left"/>
      <w:pPr>
        <w:ind w:left="5094" w:hanging="360"/>
      </w:pPr>
    </w:lvl>
    <w:lvl w:ilvl="7" w:tplc="04100019" w:tentative="1">
      <w:start w:val="1"/>
      <w:numFmt w:val="lowerLetter"/>
      <w:lvlText w:val="%8."/>
      <w:lvlJc w:val="left"/>
      <w:pPr>
        <w:ind w:left="5814" w:hanging="360"/>
      </w:pPr>
    </w:lvl>
    <w:lvl w:ilvl="8" w:tplc="0410001B" w:tentative="1">
      <w:start w:val="1"/>
      <w:numFmt w:val="lowerRoman"/>
      <w:lvlText w:val="%9."/>
      <w:lvlJc w:val="right"/>
      <w:pPr>
        <w:ind w:left="6534" w:hanging="180"/>
      </w:pPr>
    </w:lvl>
  </w:abstractNum>
  <w:abstractNum w:abstractNumId="33" w15:restartNumberingAfterBreak="0">
    <w:nsid w:val="2A1A70AA"/>
    <w:multiLevelType w:val="hybridMultilevel"/>
    <w:tmpl w:val="01CEAB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A7F05E7"/>
    <w:multiLevelType w:val="hybridMultilevel"/>
    <w:tmpl w:val="CB44AA24"/>
    <w:lvl w:ilvl="0" w:tplc="23D29C90">
      <w:start w:val="7"/>
      <w:numFmt w:val="bullet"/>
      <w:lvlText w:val="-"/>
      <w:lvlJc w:val="left"/>
      <w:pPr>
        <w:ind w:left="1080" w:hanging="360"/>
      </w:pPr>
      <w:rPr>
        <w:rFonts w:ascii="Cambria" w:eastAsiaTheme="minorEastAsia" w:hAnsi="Cambria" w:cstheme="minorBidi"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15:restartNumberingAfterBreak="0">
    <w:nsid w:val="2B325ACD"/>
    <w:multiLevelType w:val="hybridMultilevel"/>
    <w:tmpl w:val="F00E0FE6"/>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BB922DA"/>
    <w:multiLevelType w:val="hybridMultilevel"/>
    <w:tmpl w:val="A312968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2C433A9B"/>
    <w:multiLevelType w:val="hybridMultilevel"/>
    <w:tmpl w:val="28C6B00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2E466A0B"/>
    <w:multiLevelType w:val="hybridMultilevel"/>
    <w:tmpl w:val="CD54C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EE3726B"/>
    <w:multiLevelType w:val="hybridMultilevel"/>
    <w:tmpl w:val="AAD070F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0" w15:restartNumberingAfterBreak="0">
    <w:nsid w:val="2F6F6984"/>
    <w:multiLevelType w:val="hybridMultilevel"/>
    <w:tmpl w:val="697C3BB2"/>
    <w:lvl w:ilvl="0" w:tplc="04100019">
      <w:start w:val="1"/>
      <w:numFmt w:val="lowerLetter"/>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41" w15:restartNumberingAfterBreak="0">
    <w:nsid w:val="30904C4D"/>
    <w:multiLevelType w:val="hybridMultilevel"/>
    <w:tmpl w:val="2798494A"/>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325113A6"/>
    <w:multiLevelType w:val="hybridMultilevel"/>
    <w:tmpl w:val="FED0FC7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33FA28BB"/>
    <w:multiLevelType w:val="hybridMultilevel"/>
    <w:tmpl w:val="A582E1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359542C8"/>
    <w:multiLevelType w:val="hybridMultilevel"/>
    <w:tmpl w:val="66CADE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35B9472E"/>
    <w:multiLevelType w:val="hybridMultilevel"/>
    <w:tmpl w:val="DC148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3642443E"/>
    <w:multiLevelType w:val="hybridMultilevel"/>
    <w:tmpl w:val="80C0A9E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6C8538B"/>
    <w:multiLevelType w:val="hybridMultilevel"/>
    <w:tmpl w:val="A5A8B48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8" w15:restartNumberingAfterBreak="0">
    <w:nsid w:val="379A44EA"/>
    <w:multiLevelType w:val="hybridMultilevel"/>
    <w:tmpl w:val="2A64C2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37A86718"/>
    <w:multiLevelType w:val="hybridMultilevel"/>
    <w:tmpl w:val="8A102C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39A64D5F"/>
    <w:multiLevelType w:val="hybridMultilevel"/>
    <w:tmpl w:val="F2F42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3A33760A"/>
    <w:multiLevelType w:val="hybridMultilevel"/>
    <w:tmpl w:val="4AD42C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15:restartNumberingAfterBreak="0">
    <w:nsid w:val="3AAA5784"/>
    <w:multiLevelType w:val="hybridMultilevel"/>
    <w:tmpl w:val="F1307CC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B9C19D9"/>
    <w:multiLevelType w:val="hybridMultilevel"/>
    <w:tmpl w:val="C35C44FC"/>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4" w15:restartNumberingAfterBreak="0">
    <w:nsid w:val="3BC120DE"/>
    <w:multiLevelType w:val="hybridMultilevel"/>
    <w:tmpl w:val="246A7F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C2B0DF9"/>
    <w:multiLevelType w:val="hybridMultilevel"/>
    <w:tmpl w:val="83E42E3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3D385791"/>
    <w:multiLevelType w:val="hybridMultilevel"/>
    <w:tmpl w:val="497CA89C"/>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7" w15:restartNumberingAfterBreak="0">
    <w:nsid w:val="3DC86974"/>
    <w:multiLevelType w:val="hybridMultilevel"/>
    <w:tmpl w:val="A17457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40205CD0"/>
    <w:multiLevelType w:val="hybridMultilevel"/>
    <w:tmpl w:val="B16C21EE"/>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9" w15:restartNumberingAfterBreak="0">
    <w:nsid w:val="40A41C9B"/>
    <w:multiLevelType w:val="hybridMultilevel"/>
    <w:tmpl w:val="EB4A0950"/>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41BD3926"/>
    <w:multiLevelType w:val="hybridMultilevel"/>
    <w:tmpl w:val="54F833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1" w15:restartNumberingAfterBreak="0">
    <w:nsid w:val="4211451D"/>
    <w:multiLevelType w:val="hybridMultilevel"/>
    <w:tmpl w:val="7B6203E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28A7659"/>
    <w:multiLevelType w:val="hybridMultilevel"/>
    <w:tmpl w:val="0818CC6E"/>
    <w:lvl w:ilvl="0" w:tplc="04100001">
      <w:start w:val="1"/>
      <w:numFmt w:val="bullet"/>
      <w:lvlText w:val=""/>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63" w15:restartNumberingAfterBreak="0">
    <w:nsid w:val="42A15A5D"/>
    <w:multiLevelType w:val="hybridMultilevel"/>
    <w:tmpl w:val="6EA2A5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15:restartNumberingAfterBreak="0">
    <w:nsid w:val="430B2FB2"/>
    <w:multiLevelType w:val="hybridMultilevel"/>
    <w:tmpl w:val="158C08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3D3463F"/>
    <w:multiLevelType w:val="hybridMultilevel"/>
    <w:tmpl w:val="3DA2E7FC"/>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6" w15:restartNumberingAfterBreak="0">
    <w:nsid w:val="440D7888"/>
    <w:multiLevelType w:val="hybridMultilevel"/>
    <w:tmpl w:val="9B488BB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7" w15:restartNumberingAfterBreak="0">
    <w:nsid w:val="45CC6D92"/>
    <w:multiLevelType w:val="hybridMultilevel"/>
    <w:tmpl w:val="AE441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45EA6BD4"/>
    <w:multiLevelType w:val="hybridMultilevel"/>
    <w:tmpl w:val="EB2485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460746FA"/>
    <w:multiLevelType w:val="hybridMultilevel"/>
    <w:tmpl w:val="7A024046"/>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0" w15:restartNumberingAfterBreak="0">
    <w:nsid w:val="46254636"/>
    <w:multiLevelType w:val="hybridMultilevel"/>
    <w:tmpl w:val="A57E7D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495624B4"/>
    <w:multiLevelType w:val="hybridMultilevel"/>
    <w:tmpl w:val="F9DC34D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9853C75"/>
    <w:multiLevelType w:val="hybridMultilevel"/>
    <w:tmpl w:val="04521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B4F5282"/>
    <w:multiLevelType w:val="hybridMultilevel"/>
    <w:tmpl w:val="1F78823A"/>
    <w:lvl w:ilvl="0" w:tplc="32704000">
      <w:start w:val="1"/>
      <w:numFmt w:val="bullet"/>
      <w:lvlText w:val="-"/>
      <w:lvlJc w:val="left"/>
      <w:pPr>
        <w:ind w:left="720" w:hanging="360"/>
      </w:pPr>
      <w:rPr>
        <w:rFonts w:ascii="Cambria" w:eastAsiaTheme="minorEastAsia" w:hAnsi="Cambria" w:cs="Aria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C051375"/>
    <w:multiLevelType w:val="hybridMultilevel"/>
    <w:tmpl w:val="6C62887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C5B7C62"/>
    <w:multiLevelType w:val="hybridMultilevel"/>
    <w:tmpl w:val="3EBC28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15:restartNumberingAfterBreak="0">
    <w:nsid w:val="4F9C5FFC"/>
    <w:multiLevelType w:val="hybridMultilevel"/>
    <w:tmpl w:val="219EFA56"/>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5155713B"/>
    <w:multiLevelType w:val="hybridMultilevel"/>
    <w:tmpl w:val="73DAFC5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52530541"/>
    <w:multiLevelType w:val="hybridMultilevel"/>
    <w:tmpl w:val="65EEF9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54C84D66"/>
    <w:multiLevelType w:val="hybridMultilevel"/>
    <w:tmpl w:val="FF6EDB50"/>
    <w:lvl w:ilvl="0" w:tplc="0410000D">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0" w15:restartNumberingAfterBreak="0">
    <w:nsid w:val="5860270F"/>
    <w:multiLevelType w:val="hybridMultilevel"/>
    <w:tmpl w:val="53AC86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5E4F491A"/>
    <w:multiLevelType w:val="hybridMultilevel"/>
    <w:tmpl w:val="7F78860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15:restartNumberingAfterBreak="0">
    <w:nsid w:val="5EC044DB"/>
    <w:multiLevelType w:val="hybridMultilevel"/>
    <w:tmpl w:val="5F56BDB0"/>
    <w:lvl w:ilvl="0" w:tplc="0410000F">
      <w:start w:val="1"/>
      <w:numFmt w:val="decimal"/>
      <w:lvlText w:val="%1."/>
      <w:lvlJc w:val="left"/>
      <w:pPr>
        <w:ind w:left="720" w:hanging="360"/>
      </w:pPr>
    </w:lvl>
    <w:lvl w:ilvl="1" w:tplc="04100013">
      <w:start w:val="1"/>
      <w:numFmt w:val="upperRoman"/>
      <w:lvlText w:val="%2."/>
      <w:lvlJc w:val="righ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6182163E"/>
    <w:multiLevelType w:val="hybridMultilevel"/>
    <w:tmpl w:val="14542E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61D31C3B"/>
    <w:multiLevelType w:val="hybridMultilevel"/>
    <w:tmpl w:val="5BAE7C9A"/>
    <w:lvl w:ilvl="0" w:tplc="04100001">
      <w:start w:val="1"/>
      <w:numFmt w:val="bullet"/>
      <w:lvlText w:val=""/>
      <w:lvlJc w:val="left"/>
      <w:pPr>
        <w:ind w:left="1776" w:hanging="360"/>
      </w:pPr>
      <w:rPr>
        <w:rFonts w:ascii="Symbol" w:hAnsi="Symbol" w:hint="default"/>
      </w:rPr>
    </w:lvl>
    <w:lvl w:ilvl="1" w:tplc="04100003">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5" w15:restartNumberingAfterBreak="0">
    <w:nsid w:val="62D005C5"/>
    <w:multiLevelType w:val="hybridMultilevel"/>
    <w:tmpl w:val="F0F80DBC"/>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6" w15:restartNumberingAfterBreak="0">
    <w:nsid w:val="64E278FD"/>
    <w:multiLevelType w:val="hybridMultilevel"/>
    <w:tmpl w:val="BDC0EA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65221ED8"/>
    <w:multiLevelType w:val="hybridMultilevel"/>
    <w:tmpl w:val="DEB0BB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668016CF"/>
    <w:multiLevelType w:val="hybridMultilevel"/>
    <w:tmpl w:val="4FC01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67DB0EB9"/>
    <w:multiLevelType w:val="hybridMultilevel"/>
    <w:tmpl w:val="8CA066E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0" w15:restartNumberingAfterBreak="0">
    <w:nsid w:val="686079D4"/>
    <w:multiLevelType w:val="hybridMultilevel"/>
    <w:tmpl w:val="0206F0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695B0FB6"/>
    <w:multiLevelType w:val="hybridMultilevel"/>
    <w:tmpl w:val="6EA2A5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15:restartNumberingAfterBreak="0">
    <w:nsid w:val="69634BE4"/>
    <w:multiLevelType w:val="hybridMultilevel"/>
    <w:tmpl w:val="823A58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6C902A20"/>
    <w:multiLevelType w:val="hybridMultilevel"/>
    <w:tmpl w:val="942032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6F6376FF"/>
    <w:multiLevelType w:val="hybridMultilevel"/>
    <w:tmpl w:val="E8021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70374623"/>
    <w:multiLevelType w:val="hybridMultilevel"/>
    <w:tmpl w:val="08A04BA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70EF5F8B"/>
    <w:multiLevelType w:val="hybridMultilevel"/>
    <w:tmpl w:val="168093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15:restartNumberingAfterBreak="0">
    <w:nsid w:val="726739ED"/>
    <w:multiLevelType w:val="hybridMultilevel"/>
    <w:tmpl w:val="AE9620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15:restartNumberingAfterBreak="0">
    <w:nsid w:val="77955436"/>
    <w:multiLevelType w:val="hybridMultilevel"/>
    <w:tmpl w:val="DFD8102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7A445CD5"/>
    <w:multiLevelType w:val="hybridMultilevel"/>
    <w:tmpl w:val="550E6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7A845B79"/>
    <w:multiLevelType w:val="hybridMultilevel"/>
    <w:tmpl w:val="D59E91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7C645382"/>
    <w:multiLevelType w:val="hybridMultilevel"/>
    <w:tmpl w:val="EE76CF60"/>
    <w:lvl w:ilvl="0" w:tplc="04100005">
      <w:start w:val="1"/>
      <w:numFmt w:val="bullet"/>
      <w:lvlText w:val=""/>
      <w:lvlJc w:val="left"/>
      <w:pPr>
        <w:ind w:left="2136" w:hanging="360"/>
      </w:pPr>
      <w:rPr>
        <w:rFonts w:ascii="Wingdings" w:hAnsi="Wingdings" w:hint="default"/>
      </w:rPr>
    </w:lvl>
    <w:lvl w:ilvl="1" w:tplc="04100003" w:tentative="1">
      <w:start w:val="1"/>
      <w:numFmt w:val="bullet"/>
      <w:lvlText w:val="o"/>
      <w:lvlJc w:val="left"/>
      <w:pPr>
        <w:ind w:left="2856" w:hanging="360"/>
      </w:pPr>
      <w:rPr>
        <w:rFonts w:ascii="Courier New" w:hAnsi="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02" w15:restartNumberingAfterBreak="0">
    <w:nsid w:val="7CA17BDD"/>
    <w:multiLevelType w:val="hybridMultilevel"/>
    <w:tmpl w:val="57060E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3" w15:restartNumberingAfterBreak="0">
    <w:nsid w:val="7E7535BB"/>
    <w:multiLevelType w:val="hybridMultilevel"/>
    <w:tmpl w:val="EE061B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7E9D337B"/>
    <w:multiLevelType w:val="hybridMultilevel"/>
    <w:tmpl w:val="454AA0D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7FA07CA8"/>
    <w:multiLevelType w:val="hybridMultilevel"/>
    <w:tmpl w:val="98FEB75E"/>
    <w:lvl w:ilvl="0" w:tplc="32704000">
      <w:start w:val="1"/>
      <w:numFmt w:val="bullet"/>
      <w:lvlText w:val="-"/>
      <w:lvlJc w:val="left"/>
      <w:pPr>
        <w:ind w:left="2496" w:hanging="360"/>
      </w:pPr>
      <w:rPr>
        <w:rFonts w:ascii="Cambria" w:eastAsiaTheme="minorEastAsia" w:hAnsi="Cambria" w:cs="Arial" w:hint="default"/>
      </w:rPr>
    </w:lvl>
    <w:lvl w:ilvl="1" w:tplc="04100003" w:tentative="1">
      <w:start w:val="1"/>
      <w:numFmt w:val="bullet"/>
      <w:lvlText w:val="o"/>
      <w:lvlJc w:val="left"/>
      <w:pPr>
        <w:ind w:left="3216" w:hanging="360"/>
      </w:pPr>
      <w:rPr>
        <w:rFonts w:ascii="Courier New" w:hAnsi="Courier New" w:hint="default"/>
      </w:rPr>
    </w:lvl>
    <w:lvl w:ilvl="2" w:tplc="04100005" w:tentative="1">
      <w:start w:val="1"/>
      <w:numFmt w:val="bullet"/>
      <w:lvlText w:val=""/>
      <w:lvlJc w:val="left"/>
      <w:pPr>
        <w:ind w:left="3936" w:hanging="360"/>
      </w:pPr>
      <w:rPr>
        <w:rFonts w:ascii="Wingdings" w:hAnsi="Wingdings" w:hint="default"/>
      </w:rPr>
    </w:lvl>
    <w:lvl w:ilvl="3" w:tplc="04100001" w:tentative="1">
      <w:start w:val="1"/>
      <w:numFmt w:val="bullet"/>
      <w:lvlText w:val=""/>
      <w:lvlJc w:val="left"/>
      <w:pPr>
        <w:ind w:left="4656" w:hanging="360"/>
      </w:pPr>
      <w:rPr>
        <w:rFonts w:ascii="Symbol" w:hAnsi="Symbol" w:hint="default"/>
      </w:rPr>
    </w:lvl>
    <w:lvl w:ilvl="4" w:tplc="04100003" w:tentative="1">
      <w:start w:val="1"/>
      <w:numFmt w:val="bullet"/>
      <w:lvlText w:val="o"/>
      <w:lvlJc w:val="left"/>
      <w:pPr>
        <w:ind w:left="5376" w:hanging="360"/>
      </w:pPr>
      <w:rPr>
        <w:rFonts w:ascii="Courier New" w:hAnsi="Courier New" w:hint="default"/>
      </w:rPr>
    </w:lvl>
    <w:lvl w:ilvl="5" w:tplc="04100005" w:tentative="1">
      <w:start w:val="1"/>
      <w:numFmt w:val="bullet"/>
      <w:lvlText w:val=""/>
      <w:lvlJc w:val="left"/>
      <w:pPr>
        <w:ind w:left="6096" w:hanging="360"/>
      </w:pPr>
      <w:rPr>
        <w:rFonts w:ascii="Wingdings" w:hAnsi="Wingdings" w:hint="default"/>
      </w:rPr>
    </w:lvl>
    <w:lvl w:ilvl="6" w:tplc="04100001" w:tentative="1">
      <w:start w:val="1"/>
      <w:numFmt w:val="bullet"/>
      <w:lvlText w:val=""/>
      <w:lvlJc w:val="left"/>
      <w:pPr>
        <w:ind w:left="6816" w:hanging="360"/>
      </w:pPr>
      <w:rPr>
        <w:rFonts w:ascii="Symbol" w:hAnsi="Symbol" w:hint="default"/>
      </w:rPr>
    </w:lvl>
    <w:lvl w:ilvl="7" w:tplc="04100003" w:tentative="1">
      <w:start w:val="1"/>
      <w:numFmt w:val="bullet"/>
      <w:lvlText w:val="o"/>
      <w:lvlJc w:val="left"/>
      <w:pPr>
        <w:ind w:left="7536" w:hanging="360"/>
      </w:pPr>
      <w:rPr>
        <w:rFonts w:ascii="Courier New" w:hAnsi="Courier New" w:hint="default"/>
      </w:rPr>
    </w:lvl>
    <w:lvl w:ilvl="8" w:tplc="04100005" w:tentative="1">
      <w:start w:val="1"/>
      <w:numFmt w:val="bullet"/>
      <w:lvlText w:val=""/>
      <w:lvlJc w:val="left"/>
      <w:pPr>
        <w:ind w:left="8256" w:hanging="360"/>
      </w:pPr>
      <w:rPr>
        <w:rFonts w:ascii="Wingdings" w:hAnsi="Wingdings" w:hint="default"/>
      </w:rPr>
    </w:lvl>
  </w:abstractNum>
  <w:num w:numId="1" w16cid:durableId="996298201">
    <w:abstractNumId w:val="29"/>
  </w:num>
  <w:num w:numId="2" w16cid:durableId="1435595321">
    <w:abstractNumId w:val="50"/>
  </w:num>
  <w:num w:numId="3" w16cid:durableId="310599523">
    <w:abstractNumId w:val="36"/>
  </w:num>
  <w:num w:numId="4" w16cid:durableId="350685088">
    <w:abstractNumId w:val="34"/>
  </w:num>
  <w:num w:numId="5" w16cid:durableId="1210609849">
    <w:abstractNumId w:val="22"/>
  </w:num>
  <w:num w:numId="6" w16cid:durableId="836306478">
    <w:abstractNumId w:val="94"/>
  </w:num>
  <w:num w:numId="7" w16cid:durableId="1451432348">
    <w:abstractNumId w:val="3"/>
  </w:num>
  <w:num w:numId="8" w16cid:durableId="781345853">
    <w:abstractNumId w:val="98"/>
  </w:num>
  <w:num w:numId="9" w16cid:durableId="539127981">
    <w:abstractNumId w:val="20"/>
  </w:num>
  <w:num w:numId="10" w16cid:durableId="2005739661">
    <w:abstractNumId w:val="70"/>
  </w:num>
  <w:num w:numId="11" w16cid:durableId="355667102">
    <w:abstractNumId w:val="63"/>
  </w:num>
  <w:num w:numId="12" w16cid:durableId="2137332255">
    <w:abstractNumId w:val="62"/>
  </w:num>
  <w:num w:numId="13" w16cid:durableId="1747146288">
    <w:abstractNumId w:val="84"/>
  </w:num>
  <w:num w:numId="14" w16cid:durableId="688601685">
    <w:abstractNumId w:val="105"/>
  </w:num>
  <w:num w:numId="15" w16cid:durableId="1736464898">
    <w:abstractNumId w:val="101"/>
  </w:num>
  <w:num w:numId="16" w16cid:durableId="1573152465">
    <w:abstractNumId w:val="91"/>
  </w:num>
  <w:num w:numId="17" w16cid:durableId="1451432762">
    <w:abstractNumId w:val="21"/>
  </w:num>
  <w:num w:numId="18" w16cid:durableId="2020815875">
    <w:abstractNumId w:val="11"/>
  </w:num>
  <w:num w:numId="19" w16cid:durableId="1627270339">
    <w:abstractNumId w:val="87"/>
  </w:num>
  <w:num w:numId="20" w16cid:durableId="90585590">
    <w:abstractNumId w:val="24"/>
  </w:num>
  <w:num w:numId="21" w16cid:durableId="1137334161">
    <w:abstractNumId w:val="54"/>
  </w:num>
  <w:num w:numId="22" w16cid:durableId="947857210">
    <w:abstractNumId w:val="85"/>
  </w:num>
  <w:num w:numId="23" w16cid:durableId="816843291">
    <w:abstractNumId w:val="100"/>
  </w:num>
  <w:num w:numId="24" w16cid:durableId="1646354304">
    <w:abstractNumId w:val="48"/>
  </w:num>
  <w:num w:numId="25" w16cid:durableId="1378046469">
    <w:abstractNumId w:val="74"/>
  </w:num>
  <w:num w:numId="26" w16cid:durableId="1827084945">
    <w:abstractNumId w:val="52"/>
  </w:num>
  <w:num w:numId="27" w16cid:durableId="776561369">
    <w:abstractNumId w:val="89"/>
  </w:num>
  <w:num w:numId="28" w16cid:durableId="755899737">
    <w:abstractNumId w:val="32"/>
  </w:num>
  <w:num w:numId="29" w16cid:durableId="219025654">
    <w:abstractNumId w:val="10"/>
  </w:num>
  <w:num w:numId="30" w16cid:durableId="389227180">
    <w:abstractNumId w:val="38"/>
  </w:num>
  <w:num w:numId="31" w16cid:durableId="325204893">
    <w:abstractNumId w:val="93"/>
  </w:num>
  <w:num w:numId="32" w16cid:durableId="2030334393">
    <w:abstractNumId w:val="41"/>
  </w:num>
  <w:num w:numId="33" w16cid:durableId="332344547">
    <w:abstractNumId w:val="73"/>
  </w:num>
  <w:num w:numId="34" w16cid:durableId="1031153711">
    <w:abstractNumId w:val="45"/>
  </w:num>
  <w:num w:numId="35" w16cid:durableId="2101949515">
    <w:abstractNumId w:val="80"/>
  </w:num>
  <w:num w:numId="36" w16cid:durableId="74597939">
    <w:abstractNumId w:val="82"/>
  </w:num>
  <w:num w:numId="37" w16cid:durableId="976376364">
    <w:abstractNumId w:val="2"/>
  </w:num>
  <w:num w:numId="38" w16cid:durableId="1264924081">
    <w:abstractNumId w:val="96"/>
  </w:num>
  <w:num w:numId="39" w16cid:durableId="2093773481">
    <w:abstractNumId w:val="66"/>
  </w:num>
  <w:num w:numId="40" w16cid:durableId="1758209200">
    <w:abstractNumId w:val="58"/>
  </w:num>
  <w:num w:numId="41" w16cid:durableId="526063793">
    <w:abstractNumId w:val="12"/>
  </w:num>
  <w:num w:numId="42" w16cid:durableId="1511674007">
    <w:abstractNumId w:val="56"/>
  </w:num>
  <w:num w:numId="43" w16cid:durableId="1570535313">
    <w:abstractNumId w:val="75"/>
  </w:num>
  <w:num w:numId="44" w16cid:durableId="675306931">
    <w:abstractNumId w:val="25"/>
  </w:num>
  <w:num w:numId="45" w16cid:durableId="1666278174">
    <w:abstractNumId w:val="15"/>
  </w:num>
  <w:num w:numId="46" w16cid:durableId="1791508585">
    <w:abstractNumId w:val="77"/>
  </w:num>
  <w:num w:numId="47" w16cid:durableId="507908888">
    <w:abstractNumId w:val="86"/>
  </w:num>
  <w:num w:numId="48" w16cid:durableId="880552163">
    <w:abstractNumId w:val="18"/>
  </w:num>
  <w:num w:numId="49" w16cid:durableId="458766579">
    <w:abstractNumId w:val="79"/>
  </w:num>
  <w:num w:numId="50" w16cid:durableId="1737121922">
    <w:abstractNumId w:val="69"/>
  </w:num>
  <w:num w:numId="51" w16cid:durableId="482743939">
    <w:abstractNumId w:val="53"/>
  </w:num>
  <w:num w:numId="52" w16cid:durableId="2002928452">
    <w:abstractNumId w:val="17"/>
  </w:num>
  <w:num w:numId="53" w16cid:durableId="1709648736">
    <w:abstractNumId w:val="57"/>
  </w:num>
  <w:num w:numId="54" w16cid:durableId="928540943">
    <w:abstractNumId w:val="83"/>
  </w:num>
  <w:num w:numId="55" w16cid:durableId="1585338692">
    <w:abstractNumId w:val="44"/>
  </w:num>
  <w:num w:numId="56" w16cid:durableId="2131243835">
    <w:abstractNumId w:val="92"/>
  </w:num>
  <w:num w:numId="57" w16cid:durableId="930893891">
    <w:abstractNumId w:val="81"/>
  </w:num>
  <w:num w:numId="58" w16cid:durableId="293952591">
    <w:abstractNumId w:val="31"/>
  </w:num>
  <w:num w:numId="59" w16cid:durableId="943996221">
    <w:abstractNumId w:val="40"/>
  </w:num>
  <w:num w:numId="60" w16cid:durableId="1965380732">
    <w:abstractNumId w:val="27"/>
  </w:num>
  <w:num w:numId="61" w16cid:durableId="1305164755">
    <w:abstractNumId w:val="14"/>
  </w:num>
  <w:num w:numId="62" w16cid:durableId="318778003">
    <w:abstractNumId w:val="55"/>
  </w:num>
  <w:num w:numId="63" w16cid:durableId="727531619">
    <w:abstractNumId w:val="71"/>
  </w:num>
  <w:num w:numId="64" w16cid:durableId="58478872">
    <w:abstractNumId w:val="59"/>
  </w:num>
  <w:num w:numId="65" w16cid:durableId="1742215535">
    <w:abstractNumId w:val="35"/>
  </w:num>
  <w:num w:numId="66" w16cid:durableId="60180120">
    <w:abstractNumId w:val="8"/>
  </w:num>
  <w:num w:numId="67" w16cid:durableId="707992458">
    <w:abstractNumId w:val="47"/>
  </w:num>
  <w:num w:numId="68" w16cid:durableId="1933852355">
    <w:abstractNumId w:val="28"/>
  </w:num>
  <w:num w:numId="69" w16cid:durableId="1239487323">
    <w:abstractNumId w:val="60"/>
  </w:num>
  <w:num w:numId="70" w16cid:durableId="996304167">
    <w:abstractNumId w:val="13"/>
  </w:num>
  <w:num w:numId="71" w16cid:durableId="530925298">
    <w:abstractNumId w:val="90"/>
  </w:num>
  <w:num w:numId="72" w16cid:durableId="1886988122">
    <w:abstractNumId w:val="23"/>
  </w:num>
  <w:num w:numId="73" w16cid:durableId="76102082">
    <w:abstractNumId w:val="16"/>
  </w:num>
  <w:num w:numId="74" w16cid:durableId="1407532782">
    <w:abstractNumId w:val="46"/>
  </w:num>
  <w:num w:numId="75" w16cid:durableId="1812088080">
    <w:abstractNumId w:val="5"/>
  </w:num>
  <w:num w:numId="76" w16cid:durableId="1093621546">
    <w:abstractNumId w:val="104"/>
  </w:num>
  <w:num w:numId="77" w16cid:durableId="1444887993">
    <w:abstractNumId w:val="0"/>
  </w:num>
  <w:num w:numId="78" w16cid:durableId="1158880080">
    <w:abstractNumId w:val="95"/>
  </w:num>
  <w:num w:numId="79" w16cid:durableId="1926113766">
    <w:abstractNumId w:val="43"/>
  </w:num>
  <w:num w:numId="80" w16cid:durableId="247541085">
    <w:abstractNumId w:val="49"/>
  </w:num>
  <w:num w:numId="81" w16cid:durableId="1573735273">
    <w:abstractNumId w:val="37"/>
  </w:num>
  <w:num w:numId="82" w16cid:durableId="284166330">
    <w:abstractNumId w:val="103"/>
  </w:num>
  <w:num w:numId="83" w16cid:durableId="1579554876">
    <w:abstractNumId w:val="6"/>
  </w:num>
  <w:num w:numId="84" w16cid:durableId="367803273">
    <w:abstractNumId w:val="26"/>
  </w:num>
  <w:num w:numId="85" w16cid:durableId="789133510">
    <w:abstractNumId w:val="76"/>
  </w:num>
  <w:num w:numId="86" w16cid:durableId="1917738019">
    <w:abstractNumId w:val="39"/>
  </w:num>
  <w:num w:numId="87" w16cid:durableId="635182110">
    <w:abstractNumId w:val="65"/>
  </w:num>
  <w:num w:numId="88" w16cid:durableId="1207372441">
    <w:abstractNumId w:val="78"/>
  </w:num>
  <w:num w:numId="89" w16cid:durableId="1026098088">
    <w:abstractNumId w:val="4"/>
  </w:num>
  <w:num w:numId="90" w16cid:durableId="493113179">
    <w:abstractNumId w:val="72"/>
  </w:num>
  <w:num w:numId="91" w16cid:durableId="275912034">
    <w:abstractNumId w:val="99"/>
  </w:num>
  <w:num w:numId="92" w16cid:durableId="967318914">
    <w:abstractNumId w:val="102"/>
  </w:num>
  <w:num w:numId="93" w16cid:durableId="447969611">
    <w:abstractNumId w:val="7"/>
  </w:num>
  <w:num w:numId="94" w16cid:durableId="197671114">
    <w:abstractNumId w:val="51"/>
  </w:num>
  <w:num w:numId="95" w16cid:durableId="702482413">
    <w:abstractNumId w:val="33"/>
  </w:num>
  <w:num w:numId="96" w16cid:durableId="987978210">
    <w:abstractNumId w:val="68"/>
  </w:num>
  <w:num w:numId="97" w16cid:durableId="725572881">
    <w:abstractNumId w:val="88"/>
  </w:num>
  <w:num w:numId="98" w16cid:durableId="1237401633">
    <w:abstractNumId w:val="64"/>
  </w:num>
  <w:num w:numId="99" w16cid:durableId="488063050">
    <w:abstractNumId w:val="1"/>
  </w:num>
  <w:num w:numId="100" w16cid:durableId="497696683">
    <w:abstractNumId w:val="19"/>
  </w:num>
  <w:num w:numId="101" w16cid:durableId="628828810">
    <w:abstractNumId w:val="97"/>
  </w:num>
  <w:num w:numId="102" w16cid:durableId="72892966">
    <w:abstractNumId w:val="67"/>
  </w:num>
  <w:num w:numId="103" w16cid:durableId="690302188">
    <w:abstractNumId w:val="9"/>
  </w:num>
  <w:num w:numId="104" w16cid:durableId="1960843179">
    <w:abstractNumId w:val="61"/>
  </w:num>
  <w:num w:numId="105" w16cid:durableId="687950156">
    <w:abstractNumId w:val="42"/>
  </w:num>
  <w:num w:numId="106" w16cid:durableId="648093111">
    <w:abstractNumId w:val="3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81B35"/>
    <w:rsid w:val="00000567"/>
    <w:rsid w:val="00006F39"/>
    <w:rsid w:val="00006FCC"/>
    <w:rsid w:val="00010613"/>
    <w:rsid w:val="000114E9"/>
    <w:rsid w:val="0001189F"/>
    <w:rsid w:val="000120C3"/>
    <w:rsid w:val="00012273"/>
    <w:rsid w:val="00015F4A"/>
    <w:rsid w:val="000247FF"/>
    <w:rsid w:val="000271E7"/>
    <w:rsid w:val="00030B1C"/>
    <w:rsid w:val="00032611"/>
    <w:rsid w:val="00036FAB"/>
    <w:rsid w:val="00042B28"/>
    <w:rsid w:val="00043566"/>
    <w:rsid w:val="000442A5"/>
    <w:rsid w:val="0004618F"/>
    <w:rsid w:val="00055663"/>
    <w:rsid w:val="000610E9"/>
    <w:rsid w:val="0006591E"/>
    <w:rsid w:val="0006693B"/>
    <w:rsid w:val="000672E4"/>
    <w:rsid w:val="00074024"/>
    <w:rsid w:val="00074CA4"/>
    <w:rsid w:val="00077E86"/>
    <w:rsid w:val="0008708A"/>
    <w:rsid w:val="00090F86"/>
    <w:rsid w:val="00092912"/>
    <w:rsid w:val="00096C8F"/>
    <w:rsid w:val="00097986"/>
    <w:rsid w:val="000A2392"/>
    <w:rsid w:val="000A7045"/>
    <w:rsid w:val="000B3CBB"/>
    <w:rsid w:val="000B64FA"/>
    <w:rsid w:val="000C23D1"/>
    <w:rsid w:val="000C4DF5"/>
    <w:rsid w:val="000D2293"/>
    <w:rsid w:val="000D73ED"/>
    <w:rsid w:val="000D741D"/>
    <w:rsid w:val="000E570A"/>
    <w:rsid w:val="000E7CD5"/>
    <w:rsid w:val="000F11C9"/>
    <w:rsid w:val="000F3D47"/>
    <w:rsid w:val="00101B7E"/>
    <w:rsid w:val="001078E6"/>
    <w:rsid w:val="0011182E"/>
    <w:rsid w:val="00116312"/>
    <w:rsid w:val="00116790"/>
    <w:rsid w:val="0011680E"/>
    <w:rsid w:val="001168D0"/>
    <w:rsid w:val="00134DF8"/>
    <w:rsid w:val="00136A26"/>
    <w:rsid w:val="00137775"/>
    <w:rsid w:val="00140C32"/>
    <w:rsid w:val="00142581"/>
    <w:rsid w:val="0015159D"/>
    <w:rsid w:val="00160C6C"/>
    <w:rsid w:val="001654B9"/>
    <w:rsid w:val="00167868"/>
    <w:rsid w:val="00174919"/>
    <w:rsid w:val="001760FD"/>
    <w:rsid w:val="00177891"/>
    <w:rsid w:val="00182AD8"/>
    <w:rsid w:val="00186AFF"/>
    <w:rsid w:val="00196C67"/>
    <w:rsid w:val="001A0040"/>
    <w:rsid w:val="001A3825"/>
    <w:rsid w:val="001A53E5"/>
    <w:rsid w:val="001A7FD8"/>
    <w:rsid w:val="001B0283"/>
    <w:rsid w:val="001B2A42"/>
    <w:rsid w:val="001B4DBD"/>
    <w:rsid w:val="001B6B8F"/>
    <w:rsid w:val="001C2B0D"/>
    <w:rsid w:val="001C4311"/>
    <w:rsid w:val="001C4488"/>
    <w:rsid w:val="001D2EB2"/>
    <w:rsid w:val="001D3C9F"/>
    <w:rsid w:val="001D58B9"/>
    <w:rsid w:val="001D68FE"/>
    <w:rsid w:val="001D6CCF"/>
    <w:rsid w:val="001E1989"/>
    <w:rsid w:val="001E1E5E"/>
    <w:rsid w:val="001E4CCF"/>
    <w:rsid w:val="001E5066"/>
    <w:rsid w:val="001E6411"/>
    <w:rsid w:val="001F0C65"/>
    <w:rsid w:val="001F13A4"/>
    <w:rsid w:val="001F1A72"/>
    <w:rsid w:val="001F3B06"/>
    <w:rsid w:val="001F46CF"/>
    <w:rsid w:val="00201DE5"/>
    <w:rsid w:val="00203CDB"/>
    <w:rsid w:val="00211A0E"/>
    <w:rsid w:val="0021346E"/>
    <w:rsid w:val="0021688A"/>
    <w:rsid w:val="00217951"/>
    <w:rsid w:val="0022072E"/>
    <w:rsid w:val="00221930"/>
    <w:rsid w:val="00222C34"/>
    <w:rsid w:val="00226824"/>
    <w:rsid w:val="0024017F"/>
    <w:rsid w:val="00247295"/>
    <w:rsid w:val="00247FF6"/>
    <w:rsid w:val="002715BC"/>
    <w:rsid w:val="002719CB"/>
    <w:rsid w:val="0027388B"/>
    <w:rsid w:val="00273C16"/>
    <w:rsid w:val="00273FE0"/>
    <w:rsid w:val="00282AA1"/>
    <w:rsid w:val="00283622"/>
    <w:rsid w:val="0029290B"/>
    <w:rsid w:val="00292A9A"/>
    <w:rsid w:val="002A0345"/>
    <w:rsid w:val="002A2FF5"/>
    <w:rsid w:val="002A3108"/>
    <w:rsid w:val="002A5C5C"/>
    <w:rsid w:val="002B270D"/>
    <w:rsid w:val="002B5339"/>
    <w:rsid w:val="002B7C3D"/>
    <w:rsid w:val="002C0171"/>
    <w:rsid w:val="002C0E45"/>
    <w:rsid w:val="002C26D7"/>
    <w:rsid w:val="002C4F15"/>
    <w:rsid w:val="002C50C7"/>
    <w:rsid w:val="002C5E73"/>
    <w:rsid w:val="002D66CB"/>
    <w:rsid w:val="002E5C24"/>
    <w:rsid w:val="002F0B36"/>
    <w:rsid w:val="002F247A"/>
    <w:rsid w:val="002F2C51"/>
    <w:rsid w:val="002F7A59"/>
    <w:rsid w:val="002F7BF4"/>
    <w:rsid w:val="00304F99"/>
    <w:rsid w:val="00305298"/>
    <w:rsid w:val="00307019"/>
    <w:rsid w:val="00310BC2"/>
    <w:rsid w:val="00321761"/>
    <w:rsid w:val="003264A1"/>
    <w:rsid w:val="0032708D"/>
    <w:rsid w:val="00336924"/>
    <w:rsid w:val="00337E67"/>
    <w:rsid w:val="0034171D"/>
    <w:rsid w:val="00342EA9"/>
    <w:rsid w:val="00343E8C"/>
    <w:rsid w:val="003477FC"/>
    <w:rsid w:val="0035099E"/>
    <w:rsid w:val="00351D36"/>
    <w:rsid w:val="003522C8"/>
    <w:rsid w:val="00364E62"/>
    <w:rsid w:val="0036777F"/>
    <w:rsid w:val="0037069E"/>
    <w:rsid w:val="0037212E"/>
    <w:rsid w:val="00374AEF"/>
    <w:rsid w:val="00381F7B"/>
    <w:rsid w:val="00383D66"/>
    <w:rsid w:val="00396285"/>
    <w:rsid w:val="00397866"/>
    <w:rsid w:val="003A0731"/>
    <w:rsid w:val="003A2D30"/>
    <w:rsid w:val="003A307B"/>
    <w:rsid w:val="003C1A14"/>
    <w:rsid w:val="003C1C05"/>
    <w:rsid w:val="003C2529"/>
    <w:rsid w:val="003C5306"/>
    <w:rsid w:val="003D38A8"/>
    <w:rsid w:val="003E232A"/>
    <w:rsid w:val="003E2458"/>
    <w:rsid w:val="003E43C7"/>
    <w:rsid w:val="003E47EE"/>
    <w:rsid w:val="003E61E0"/>
    <w:rsid w:val="003E6FA9"/>
    <w:rsid w:val="003E75C5"/>
    <w:rsid w:val="003F1CAA"/>
    <w:rsid w:val="003F2C43"/>
    <w:rsid w:val="003F3BF6"/>
    <w:rsid w:val="003F3DEB"/>
    <w:rsid w:val="003F758A"/>
    <w:rsid w:val="004006A8"/>
    <w:rsid w:val="00404987"/>
    <w:rsid w:val="00410D69"/>
    <w:rsid w:val="00411055"/>
    <w:rsid w:val="00412711"/>
    <w:rsid w:val="00413632"/>
    <w:rsid w:val="00413FA0"/>
    <w:rsid w:val="004141BC"/>
    <w:rsid w:val="00414B9A"/>
    <w:rsid w:val="00417BC1"/>
    <w:rsid w:val="00417EEF"/>
    <w:rsid w:val="004309E4"/>
    <w:rsid w:val="00444017"/>
    <w:rsid w:val="0044595A"/>
    <w:rsid w:val="004474DC"/>
    <w:rsid w:val="00451E5E"/>
    <w:rsid w:val="00454068"/>
    <w:rsid w:val="00457442"/>
    <w:rsid w:val="00461542"/>
    <w:rsid w:val="00466201"/>
    <w:rsid w:val="00466A7F"/>
    <w:rsid w:val="00472CE0"/>
    <w:rsid w:val="004800A4"/>
    <w:rsid w:val="00483BBE"/>
    <w:rsid w:val="00485F2F"/>
    <w:rsid w:val="00486EDD"/>
    <w:rsid w:val="004906E5"/>
    <w:rsid w:val="00494C45"/>
    <w:rsid w:val="004956CE"/>
    <w:rsid w:val="004975D1"/>
    <w:rsid w:val="004A1007"/>
    <w:rsid w:val="004A6140"/>
    <w:rsid w:val="004A64FB"/>
    <w:rsid w:val="004B3A2F"/>
    <w:rsid w:val="004C0F74"/>
    <w:rsid w:val="004C57C1"/>
    <w:rsid w:val="004C781D"/>
    <w:rsid w:val="004D04AD"/>
    <w:rsid w:val="004D0D7D"/>
    <w:rsid w:val="004D0F07"/>
    <w:rsid w:val="004D6D51"/>
    <w:rsid w:val="004D7B1F"/>
    <w:rsid w:val="004E5BD4"/>
    <w:rsid w:val="004F271B"/>
    <w:rsid w:val="004F4F1E"/>
    <w:rsid w:val="00502B4E"/>
    <w:rsid w:val="00505A51"/>
    <w:rsid w:val="00507677"/>
    <w:rsid w:val="00507C82"/>
    <w:rsid w:val="00510037"/>
    <w:rsid w:val="00511BDE"/>
    <w:rsid w:val="0052528C"/>
    <w:rsid w:val="005275AC"/>
    <w:rsid w:val="005313E6"/>
    <w:rsid w:val="00533313"/>
    <w:rsid w:val="005346BA"/>
    <w:rsid w:val="0053599D"/>
    <w:rsid w:val="00540314"/>
    <w:rsid w:val="00550585"/>
    <w:rsid w:val="00552260"/>
    <w:rsid w:val="0056008D"/>
    <w:rsid w:val="005636FB"/>
    <w:rsid w:val="005648E5"/>
    <w:rsid w:val="00571092"/>
    <w:rsid w:val="005750B3"/>
    <w:rsid w:val="00575B0A"/>
    <w:rsid w:val="00575D78"/>
    <w:rsid w:val="00580593"/>
    <w:rsid w:val="005822B1"/>
    <w:rsid w:val="00583FD5"/>
    <w:rsid w:val="005870EA"/>
    <w:rsid w:val="00587154"/>
    <w:rsid w:val="00590996"/>
    <w:rsid w:val="005A07C1"/>
    <w:rsid w:val="005A1D74"/>
    <w:rsid w:val="005A3E7D"/>
    <w:rsid w:val="005A40A2"/>
    <w:rsid w:val="005A6E34"/>
    <w:rsid w:val="005C22F6"/>
    <w:rsid w:val="005C6168"/>
    <w:rsid w:val="005D3EB5"/>
    <w:rsid w:val="005D5DF9"/>
    <w:rsid w:val="005E4960"/>
    <w:rsid w:val="005E7E42"/>
    <w:rsid w:val="00601F12"/>
    <w:rsid w:val="00610634"/>
    <w:rsid w:val="00611BF8"/>
    <w:rsid w:val="006129A3"/>
    <w:rsid w:val="00612B59"/>
    <w:rsid w:val="00616995"/>
    <w:rsid w:val="00623404"/>
    <w:rsid w:val="00623F4B"/>
    <w:rsid w:val="00626E85"/>
    <w:rsid w:val="00632D70"/>
    <w:rsid w:val="006361F6"/>
    <w:rsid w:val="006420C5"/>
    <w:rsid w:val="006440FC"/>
    <w:rsid w:val="0065101A"/>
    <w:rsid w:val="00653214"/>
    <w:rsid w:val="00661FE8"/>
    <w:rsid w:val="00664519"/>
    <w:rsid w:val="00666D9D"/>
    <w:rsid w:val="0067340C"/>
    <w:rsid w:val="00673D9E"/>
    <w:rsid w:val="006774A0"/>
    <w:rsid w:val="00683440"/>
    <w:rsid w:val="0068422F"/>
    <w:rsid w:val="00684952"/>
    <w:rsid w:val="00686A97"/>
    <w:rsid w:val="006905FB"/>
    <w:rsid w:val="0069229C"/>
    <w:rsid w:val="00692E10"/>
    <w:rsid w:val="0069573E"/>
    <w:rsid w:val="00695BD7"/>
    <w:rsid w:val="006A0DD8"/>
    <w:rsid w:val="006A14AB"/>
    <w:rsid w:val="006B3798"/>
    <w:rsid w:val="006B3B27"/>
    <w:rsid w:val="006C0C90"/>
    <w:rsid w:val="006C3A93"/>
    <w:rsid w:val="006C597E"/>
    <w:rsid w:val="006C5EFF"/>
    <w:rsid w:val="006D1318"/>
    <w:rsid w:val="006D4B4F"/>
    <w:rsid w:val="006D5438"/>
    <w:rsid w:val="006E1E59"/>
    <w:rsid w:val="006E3307"/>
    <w:rsid w:val="00701CD2"/>
    <w:rsid w:val="00703A65"/>
    <w:rsid w:val="00704DAF"/>
    <w:rsid w:val="00711C30"/>
    <w:rsid w:val="00712587"/>
    <w:rsid w:val="00712B9E"/>
    <w:rsid w:val="007141F1"/>
    <w:rsid w:val="00714A30"/>
    <w:rsid w:val="00724A90"/>
    <w:rsid w:val="007275E0"/>
    <w:rsid w:val="00730C3B"/>
    <w:rsid w:val="00730D71"/>
    <w:rsid w:val="0073157A"/>
    <w:rsid w:val="0073771F"/>
    <w:rsid w:val="00740884"/>
    <w:rsid w:val="00744671"/>
    <w:rsid w:val="007464C8"/>
    <w:rsid w:val="007625F3"/>
    <w:rsid w:val="00780939"/>
    <w:rsid w:val="0078325F"/>
    <w:rsid w:val="007841DB"/>
    <w:rsid w:val="00793776"/>
    <w:rsid w:val="007A306C"/>
    <w:rsid w:val="007A4802"/>
    <w:rsid w:val="007A6F6C"/>
    <w:rsid w:val="007A787F"/>
    <w:rsid w:val="007B1F65"/>
    <w:rsid w:val="007B269D"/>
    <w:rsid w:val="007B455F"/>
    <w:rsid w:val="007C040E"/>
    <w:rsid w:val="007C2025"/>
    <w:rsid w:val="007C3876"/>
    <w:rsid w:val="007C6925"/>
    <w:rsid w:val="007C76B1"/>
    <w:rsid w:val="007D3501"/>
    <w:rsid w:val="007D386B"/>
    <w:rsid w:val="007D4655"/>
    <w:rsid w:val="007E414A"/>
    <w:rsid w:val="007F03DA"/>
    <w:rsid w:val="007F1672"/>
    <w:rsid w:val="007F5007"/>
    <w:rsid w:val="00804469"/>
    <w:rsid w:val="00807BA9"/>
    <w:rsid w:val="00811A14"/>
    <w:rsid w:val="00812317"/>
    <w:rsid w:val="00816C02"/>
    <w:rsid w:val="00817E4E"/>
    <w:rsid w:val="008239AB"/>
    <w:rsid w:val="00824908"/>
    <w:rsid w:val="008250FF"/>
    <w:rsid w:val="008324DA"/>
    <w:rsid w:val="0083252F"/>
    <w:rsid w:val="008336F7"/>
    <w:rsid w:val="0083788B"/>
    <w:rsid w:val="0084078B"/>
    <w:rsid w:val="00841A17"/>
    <w:rsid w:val="00842AEE"/>
    <w:rsid w:val="008462A5"/>
    <w:rsid w:val="00850912"/>
    <w:rsid w:val="00853213"/>
    <w:rsid w:val="00855A83"/>
    <w:rsid w:val="008607C8"/>
    <w:rsid w:val="00863692"/>
    <w:rsid w:val="0086527C"/>
    <w:rsid w:val="008661DC"/>
    <w:rsid w:val="0087323B"/>
    <w:rsid w:val="008767A1"/>
    <w:rsid w:val="008775FA"/>
    <w:rsid w:val="00877D95"/>
    <w:rsid w:val="00880C2D"/>
    <w:rsid w:val="008812D2"/>
    <w:rsid w:val="00886578"/>
    <w:rsid w:val="00886925"/>
    <w:rsid w:val="00886CC6"/>
    <w:rsid w:val="00892505"/>
    <w:rsid w:val="00894CB2"/>
    <w:rsid w:val="008A2AC7"/>
    <w:rsid w:val="008A406F"/>
    <w:rsid w:val="008A5117"/>
    <w:rsid w:val="008A51D6"/>
    <w:rsid w:val="008A6D79"/>
    <w:rsid w:val="008B032F"/>
    <w:rsid w:val="008B1BEF"/>
    <w:rsid w:val="008B36E0"/>
    <w:rsid w:val="008B52E2"/>
    <w:rsid w:val="008C1AF6"/>
    <w:rsid w:val="008C2262"/>
    <w:rsid w:val="008C235C"/>
    <w:rsid w:val="008C3530"/>
    <w:rsid w:val="008C690C"/>
    <w:rsid w:val="008E01C4"/>
    <w:rsid w:val="008E5EC1"/>
    <w:rsid w:val="008E61D5"/>
    <w:rsid w:val="008E7554"/>
    <w:rsid w:val="00901437"/>
    <w:rsid w:val="00903648"/>
    <w:rsid w:val="0091034B"/>
    <w:rsid w:val="0091157B"/>
    <w:rsid w:val="00913547"/>
    <w:rsid w:val="00914692"/>
    <w:rsid w:val="00915D36"/>
    <w:rsid w:val="00925265"/>
    <w:rsid w:val="00926C2C"/>
    <w:rsid w:val="00931726"/>
    <w:rsid w:val="0093520F"/>
    <w:rsid w:val="009414E6"/>
    <w:rsid w:val="009443E3"/>
    <w:rsid w:val="009450C1"/>
    <w:rsid w:val="00951E6C"/>
    <w:rsid w:val="0095215C"/>
    <w:rsid w:val="009563EA"/>
    <w:rsid w:val="00960129"/>
    <w:rsid w:val="009610EB"/>
    <w:rsid w:val="00961DB4"/>
    <w:rsid w:val="00966329"/>
    <w:rsid w:val="009737C7"/>
    <w:rsid w:val="009771A9"/>
    <w:rsid w:val="00980DF2"/>
    <w:rsid w:val="00983E9A"/>
    <w:rsid w:val="00983EFE"/>
    <w:rsid w:val="00991DEC"/>
    <w:rsid w:val="009926F3"/>
    <w:rsid w:val="00995D90"/>
    <w:rsid w:val="009A007D"/>
    <w:rsid w:val="009A2EA1"/>
    <w:rsid w:val="009B30A9"/>
    <w:rsid w:val="009B5505"/>
    <w:rsid w:val="009C4E18"/>
    <w:rsid w:val="009C5DFD"/>
    <w:rsid w:val="009C675F"/>
    <w:rsid w:val="009C7B8B"/>
    <w:rsid w:val="009D4955"/>
    <w:rsid w:val="009D569B"/>
    <w:rsid w:val="009E1F87"/>
    <w:rsid w:val="009E458E"/>
    <w:rsid w:val="009E6F4E"/>
    <w:rsid w:val="009F22E6"/>
    <w:rsid w:val="009F77D5"/>
    <w:rsid w:val="00A00EFE"/>
    <w:rsid w:val="00A041BC"/>
    <w:rsid w:val="00A047AD"/>
    <w:rsid w:val="00A05732"/>
    <w:rsid w:val="00A057C5"/>
    <w:rsid w:val="00A05870"/>
    <w:rsid w:val="00A063EF"/>
    <w:rsid w:val="00A079C0"/>
    <w:rsid w:val="00A11696"/>
    <w:rsid w:val="00A13253"/>
    <w:rsid w:val="00A13D05"/>
    <w:rsid w:val="00A16585"/>
    <w:rsid w:val="00A24B23"/>
    <w:rsid w:val="00A27E04"/>
    <w:rsid w:val="00A32EEE"/>
    <w:rsid w:val="00A34B09"/>
    <w:rsid w:val="00A365D8"/>
    <w:rsid w:val="00A43E34"/>
    <w:rsid w:val="00A45B91"/>
    <w:rsid w:val="00A45FE3"/>
    <w:rsid w:val="00A4776A"/>
    <w:rsid w:val="00A563DB"/>
    <w:rsid w:val="00A6257C"/>
    <w:rsid w:val="00A66EE2"/>
    <w:rsid w:val="00A67F94"/>
    <w:rsid w:val="00A720B6"/>
    <w:rsid w:val="00A722FA"/>
    <w:rsid w:val="00A73777"/>
    <w:rsid w:val="00A74DA5"/>
    <w:rsid w:val="00A757CC"/>
    <w:rsid w:val="00A7611C"/>
    <w:rsid w:val="00A772C9"/>
    <w:rsid w:val="00A77952"/>
    <w:rsid w:val="00A811A4"/>
    <w:rsid w:val="00A81B35"/>
    <w:rsid w:val="00A83CF4"/>
    <w:rsid w:val="00A84FA4"/>
    <w:rsid w:val="00A91B65"/>
    <w:rsid w:val="00AA59BC"/>
    <w:rsid w:val="00AA624B"/>
    <w:rsid w:val="00AA6B3B"/>
    <w:rsid w:val="00AA7A37"/>
    <w:rsid w:val="00AB439D"/>
    <w:rsid w:val="00AB6D20"/>
    <w:rsid w:val="00AD085B"/>
    <w:rsid w:val="00AD17CA"/>
    <w:rsid w:val="00AD23D0"/>
    <w:rsid w:val="00AD700A"/>
    <w:rsid w:val="00AE4E27"/>
    <w:rsid w:val="00AF0412"/>
    <w:rsid w:val="00AF2FFB"/>
    <w:rsid w:val="00AF4FDE"/>
    <w:rsid w:val="00AF6D53"/>
    <w:rsid w:val="00B02730"/>
    <w:rsid w:val="00B04390"/>
    <w:rsid w:val="00B10F6F"/>
    <w:rsid w:val="00B11CD6"/>
    <w:rsid w:val="00B16137"/>
    <w:rsid w:val="00B23A61"/>
    <w:rsid w:val="00B26295"/>
    <w:rsid w:val="00B27112"/>
    <w:rsid w:val="00B30424"/>
    <w:rsid w:val="00B31647"/>
    <w:rsid w:val="00B4140B"/>
    <w:rsid w:val="00B433FF"/>
    <w:rsid w:val="00B44D62"/>
    <w:rsid w:val="00B4675D"/>
    <w:rsid w:val="00B475D6"/>
    <w:rsid w:val="00B54AF2"/>
    <w:rsid w:val="00B624BB"/>
    <w:rsid w:val="00B62CA0"/>
    <w:rsid w:val="00B6408B"/>
    <w:rsid w:val="00B70B4C"/>
    <w:rsid w:val="00B759A9"/>
    <w:rsid w:val="00B76A54"/>
    <w:rsid w:val="00B81046"/>
    <w:rsid w:val="00B81A4C"/>
    <w:rsid w:val="00B826A2"/>
    <w:rsid w:val="00B843A4"/>
    <w:rsid w:val="00B91DB6"/>
    <w:rsid w:val="00B97941"/>
    <w:rsid w:val="00BA0E48"/>
    <w:rsid w:val="00BA69D6"/>
    <w:rsid w:val="00BA71DC"/>
    <w:rsid w:val="00BB0228"/>
    <w:rsid w:val="00BC0C53"/>
    <w:rsid w:val="00BC1639"/>
    <w:rsid w:val="00BC4311"/>
    <w:rsid w:val="00BC5B4B"/>
    <w:rsid w:val="00BD5687"/>
    <w:rsid w:val="00BD7258"/>
    <w:rsid w:val="00BE44B5"/>
    <w:rsid w:val="00BE7083"/>
    <w:rsid w:val="00BF2B41"/>
    <w:rsid w:val="00BF7185"/>
    <w:rsid w:val="00C018F2"/>
    <w:rsid w:val="00C07A75"/>
    <w:rsid w:val="00C07F85"/>
    <w:rsid w:val="00C110AB"/>
    <w:rsid w:val="00C17931"/>
    <w:rsid w:val="00C24634"/>
    <w:rsid w:val="00C278A9"/>
    <w:rsid w:val="00C4601B"/>
    <w:rsid w:val="00C5492F"/>
    <w:rsid w:val="00C61BA2"/>
    <w:rsid w:val="00C62F57"/>
    <w:rsid w:val="00C66BEB"/>
    <w:rsid w:val="00C81336"/>
    <w:rsid w:val="00C82D5C"/>
    <w:rsid w:val="00C83F12"/>
    <w:rsid w:val="00C842D9"/>
    <w:rsid w:val="00C85E7C"/>
    <w:rsid w:val="00C8791B"/>
    <w:rsid w:val="00C8791E"/>
    <w:rsid w:val="00C907D4"/>
    <w:rsid w:val="00C91974"/>
    <w:rsid w:val="00C96734"/>
    <w:rsid w:val="00CA0980"/>
    <w:rsid w:val="00CA1C6E"/>
    <w:rsid w:val="00CA2232"/>
    <w:rsid w:val="00CA2B1B"/>
    <w:rsid w:val="00CA3E2F"/>
    <w:rsid w:val="00CA40D7"/>
    <w:rsid w:val="00CB0A88"/>
    <w:rsid w:val="00CB22FE"/>
    <w:rsid w:val="00CB367F"/>
    <w:rsid w:val="00CB4EC0"/>
    <w:rsid w:val="00CB5659"/>
    <w:rsid w:val="00CC0340"/>
    <w:rsid w:val="00CC09EB"/>
    <w:rsid w:val="00CC382B"/>
    <w:rsid w:val="00CC4226"/>
    <w:rsid w:val="00CC6F1B"/>
    <w:rsid w:val="00CD06A2"/>
    <w:rsid w:val="00CD4946"/>
    <w:rsid w:val="00CD4AD1"/>
    <w:rsid w:val="00CD533B"/>
    <w:rsid w:val="00CE1906"/>
    <w:rsid w:val="00CE5ACF"/>
    <w:rsid w:val="00CF3C8B"/>
    <w:rsid w:val="00D04F50"/>
    <w:rsid w:val="00D0659E"/>
    <w:rsid w:val="00D12ADB"/>
    <w:rsid w:val="00D13F4E"/>
    <w:rsid w:val="00D273C3"/>
    <w:rsid w:val="00D304AB"/>
    <w:rsid w:val="00D368E4"/>
    <w:rsid w:val="00D42183"/>
    <w:rsid w:val="00D45DF3"/>
    <w:rsid w:val="00D471FD"/>
    <w:rsid w:val="00D50702"/>
    <w:rsid w:val="00D52A9A"/>
    <w:rsid w:val="00D52E11"/>
    <w:rsid w:val="00D609FD"/>
    <w:rsid w:val="00D64342"/>
    <w:rsid w:val="00D67DC0"/>
    <w:rsid w:val="00D739EA"/>
    <w:rsid w:val="00D824BB"/>
    <w:rsid w:val="00D84147"/>
    <w:rsid w:val="00D85528"/>
    <w:rsid w:val="00D8708C"/>
    <w:rsid w:val="00D94395"/>
    <w:rsid w:val="00D96881"/>
    <w:rsid w:val="00D96FE9"/>
    <w:rsid w:val="00D97204"/>
    <w:rsid w:val="00DA4837"/>
    <w:rsid w:val="00DB1395"/>
    <w:rsid w:val="00DB64FC"/>
    <w:rsid w:val="00DB6E69"/>
    <w:rsid w:val="00DC46B7"/>
    <w:rsid w:val="00DC664C"/>
    <w:rsid w:val="00DD2046"/>
    <w:rsid w:val="00DD2D5C"/>
    <w:rsid w:val="00DD63D0"/>
    <w:rsid w:val="00DF3E7B"/>
    <w:rsid w:val="00E07CD3"/>
    <w:rsid w:val="00E100EB"/>
    <w:rsid w:val="00E1732A"/>
    <w:rsid w:val="00E2053A"/>
    <w:rsid w:val="00E2266A"/>
    <w:rsid w:val="00E2786D"/>
    <w:rsid w:val="00E32A32"/>
    <w:rsid w:val="00E35CCC"/>
    <w:rsid w:val="00E370D3"/>
    <w:rsid w:val="00E408AF"/>
    <w:rsid w:val="00E43788"/>
    <w:rsid w:val="00E527C6"/>
    <w:rsid w:val="00E543D9"/>
    <w:rsid w:val="00E56294"/>
    <w:rsid w:val="00E562BD"/>
    <w:rsid w:val="00E57C56"/>
    <w:rsid w:val="00E64649"/>
    <w:rsid w:val="00E72EB8"/>
    <w:rsid w:val="00E73CD9"/>
    <w:rsid w:val="00E83A3D"/>
    <w:rsid w:val="00E87EFC"/>
    <w:rsid w:val="00E92FE8"/>
    <w:rsid w:val="00E9627E"/>
    <w:rsid w:val="00E97FE6"/>
    <w:rsid w:val="00EA27F2"/>
    <w:rsid w:val="00EA5910"/>
    <w:rsid w:val="00EA6D72"/>
    <w:rsid w:val="00EA7AAC"/>
    <w:rsid w:val="00EB1392"/>
    <w:rsid w:val="00EB3F41"/>
    <w:rsid w:val="00EB7EBA"/>
    <w:rsid w:val="00EC24C4"/>
    <w:rsid w:val="00EC3B69"/>
    <w:rsid w:val="00ED023C"/>
    <w:rsid w:val="00ED08A2"/>
    <w:rsid w:val="00EE275B"/>
    <w:rsid w:val="00EE6BFC"/>
    <w:rsid w:val="00EF0612"/>
    <w:rsid w:val="00EF1994"/>
    <w:rsid w:val="00EF21E1"/>
    <w:rsid w:val="00EF3143"/>
    <w:rsid w:val="00EF60A4"/>
    <w:rsid w:val="00F00F61"/>
    <w:rsid w:val="00F012A9"/>
    <w:rsid w:val="00F040DE"/>
    <w:rsid w:val="00F04B5D"/>
    <w:rsid w:val="00F15888"/>
    <w:rsid w:val="00F16416"/>
    <w:rsid w:val="00F20468"/>
    <w:rsid w:val="00F30298"/>
    <w:rsid w:val="00F36EED"/>
    <w:rsid w:val="00F40E0D"/>
    <w:rsid w:val="00F42E8A"/>
    <w:rsid w:val="00F433D6"/>
    <w:rsid w:val="00F43D7A"/>
    <w:rsid w:val="00F46B14"/>
    <w:rsid w:val="00F52AFB"/>
    <w:rsid w:val="00F54B06"/>
    <w:rsid w:val="00F57A0A"/>
    <w:rsid w:val="00F57A7E"/>
    <w:rsid w:val="00F61B17"/>
    <w:rsid w:val="00F61BF2"/>
    <w:rsid w:val="00F64C94"/>
    <w:rsid w:val="00F66153"/>
    <w:rsid w:val="00F70A83"/>
    <w:rsid w:val="00F72A4A"/>
    <w:rsid w:val="00F73F51"/>
    <w:rsid w:val="00F74B69"/>
    <w:rsid w:val="00F75FB0"/>
    <w:rsid w:val="00F77BCA"/>
    <w:rsid w:val="00F804C1"/>
    <w:rsid w:val="00F86737"/>
    <w:rsid w:val="00F87021"/>
    <w:rsid w:val="00F87532"/>
    <w:rsid w:val="00F90E6C"/>
    <w:rsid w:val="00F9152C"/>
    <w:rsid w:val="00F94935"/>
    <w:rsid w:val="00F9533C"/>
    <w:rsid w:val="00F957FA"/>
    <w:rsid w:val="00F97023"/>
    <w:rsid w:val="00FA10EB"/>
    <w:rsid w:val="00FB192F"/>
    <w:rsid w:val="00FB3114"/>
    <w:rsid w:val="00FC4F1F"/>
    <w:rsid w:val="00FC50E8"/>
    <w:rsid w:val="00FC7A62"/>
    <w:rsid w:val="00FD0161"/>
    <w:rsid w:val="00FD20F0"/>
    <w:rsid w:val="00FD7B8B"/>
    <w:rsid w:val="00FE08E3"/>
    <w:rsid w:val="00FE127B"/>
    <w:rsid w:val="00FE3850"/>
    <w:rsid w:val="00FF11CE"/>
    <w:rsid w:val="00FF140C"/>
    <w:rsid w:val="00FF4E18"/>
    <w:rsid w:val="00FF75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104AD"/>
  <w15:docId w15:val="{1C287A4C-228D-4891-9A1B-595C9FB3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10613"/>
  </w:style>
  <w:style w:type="paragraph" w:styleId="Titolo1">
    <w:name w:val="heading 1"/>
    <w:basedOn w:val="Normale"/>
    <w:next w:val="Normale"/>
    <w:link w:val="Titolo1Carattere"/>
    <w:uiPriority w:val="9"/>
    <w:qFormat/>
    <w:rsid w:val="003F1CA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intensa">
    <w:name w:val="Intense Quote"/>
    <w:basedOn w:val="Normale"/>
    <w:next w:val="Normale"/>
    <w:link w:val="CitazioneintensaCarattere"/>
    <w:uiPriority w:val="30"/>
    <w:qFormat/>
    <w:rsid w:val="00A81B35"/>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A81B35"/>
    <w:rPr>
      <w:b/>
      <w:bCs/>
      <w:i/>
      <w:iCs/>
      <w:color w:val="4F81BD" w:themeColor="accent1"/>
    </w:rPr>
  </w:style>
  <w:style w:type="paragraph" w:styleId="Paragrafoelenco">
    <w:name w:val="List Paragraph"/>
    <w:basedOn w:val="Normale"/>
    <w:uiPriority w:val="34"/>
    <w:qFormat/>
    <w:rsid w:val="00AB6D20"/>
    <w:pPr>
      <w:ind w:left="720"/>
      <w:contextualSpacing/>
    </w:pPr>
  </w:style>
  <w:style w:type="character" w:styleId="Collegamentoipertestuale">
    <w:name w:val="Hyperlink"/>
    <w:basedOn w:val="Carpredefinitoparagrafo"/>
    <w:uiPriority w:val="99"/>
    <w:semiHidden/>
    <w:unhideWhenUsed/>
    <w:rsid w:val="00DC46B7"/>
    <w:rPr>
      <w:color w:val="0000FF"/>
      <w:u w:val="single"/>
    </w:rPr>
  </w:style>
  <w:style w:type="paragraph" w:styleId="NormaleWeb">
    <w:name w:val="Normal (Web)"/>
    <w:basedOn w:val="Normale"/>
    <w:uiPriority w:val="99"/>
    <w:semiHidden/>
    <w:unhideWhenUsed/>
    <w:rsid w:val="001C2B0D"/>
    <w:pPr>
      <w:spacing w:before="100" w:beforeAutospacing="1" w:after="100" w:afterAutospacing="1"/>
    </w:pPr>
    <w:rPr>
      <w:rFonts w:ascii="Times" w:hAnsi="Times" w:cs="Times New Roman"/>
      <w:sz w:val="20"/>
      <w:szCs w:val="20"/>
    </w:rPr>
  </w:style>
  <w:style w:type="table" w:styleId="Grigliatabella">
    <w:name w:val="Table Grid"/>
    <w:basedOn w:val="Tabellanormale"/>
    <w:uiPriority w:val="59"/>
    <w:rsid w:val="00F87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995D90"/>
  </w:style>
  <w:style w:type="paragraph" w:styleId="Testofumetto">
    <w:name w:val="Balloon Text"/>
    <w:basedOn w:val="Normale"/>
    <w:link w:val="TestofumettoCarattere"/>
    <w:uiPriority w:val="99"/>
    <w:semiHidden/>
    <w:unhideWhenUsed/>
    <w:rsid w:val="00995D9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95D90"/>
    <w:rPr>
      <w:rFonts w:ascii="Lucida Grande" w:hAnsi="Lucida Grande" w:cs="Lucida Grande"/>
      <w:sz w:val="18"/>
      <w:szCs w:val="18"/>
    </w:rPr>
  </w:style>
  <w:style w:type="paragraph" w:styleId="Testonotaapidipagina">
    <w:name w:val="footnote text"/>
    <w:basedOn w:val="Normale"/>
    <w:link w:val="TestonotaapidipaginaCarattere"/>
    <w:uiPriority w:val="99"/>
    <w:unhideWhenUsed/>
    <w:rsid w:val="00AA59BC"/>
  </w:style>
  <w:style w:type="character" w:customStyle="1" w:styleId="TestonotaapidipaginaCarattere">
    <w:name w:val="Testo nota a piè di pagina Carattere"/>
    <w:basedOn w:val="Carpredefinitoparagrafo"/>
    <w:link w:val="Testonotaapidipagina"/>
    <w:uiPriority w:val="99"/>
    <w:rsid w:val="00AA59BC"/>
  </w:style>
  <w:style w:type="character" w:styleId="Rimandonotaapidipagina">
    <w:name w:val="footnote reference"/>
    <w:basedOn w:val="Carpredefinitoparagrafo"/>
    <w:uiPriority w:val="99"/>
    <w:unhideWhenUsed/>
    <w:rsid w:val="00AA59BC"/>
    <w:rPr>
      <w:vertAlign w:val="superscript"/>
    </w:rPr>
  </w:style>
  <w:style w:type="paragraph" w:styleId="Pidipagina">
    <w:name w:val="footer"/>
    <w:basedOn w:val="Normale"/>
    <w:link w:val="PidipaginaCarattere"/>
    <w:uiPriority w:val="99"/>
    <w:unhideWhenUsed/>
    <w:rsid w:val="00AA59BC"/>
    <w:pPr>
      <w:tabs>
        <w:tab w:val="center" w:pos="4819"/>
        <w:tab w:val="right" w:pos="9638"/>
      </w:tabs>
    </w:pPr>
  </w:style>
  <w:style w:type="character" w:customStyle="1" w:styleId="PidipaginaCarattere">
    <w:name w:val="Piè di pagina Carattere"/>
    <w:basedOn w:val="Carpredefinitoparagrafo"/>
    <w:link w:val="Pidipagina"/>
    <w:uiPriority w:val="99"/>
    <w:rsid w:val="00AA59BC"/>
  </w:style>
  <w:style w:type="character" w:styleId="Numeropagina">
    <w:name w:val="page number"/>
    <w:basedOn w:val="Carpredefinitoparagrafo"/>
    <w:uiPriority w:val="99"/>
    <w:semiHidden/>
    <w:unhideWhenUsed/>
    <w:rsid w:val="00AA59BC"/>
  </w:style>
  <w:style w:type="paragraph" w:customStyle="1" w:styleId="Default">
    <w:name w:val="Default"/>
    <w:rsid w:val="003A307B"/>
    <w:pPr>
      <w:autoSpaceDE w:val="0"/>
      <w:autoSpaceDN w:val="0"/>
      <w:adjustRightInd w:val="0"/>
      <w:spacing w:after="200"/>
      <w:ind w:left="-284"/>
      <w:jc w:val="both"/>
    </w:pPr>
    <w:rPr>
      <w:rFonts w:ascii="Times New Roman" w:eastAsia="Times New Roman" w:hAnsi="Times New Roman" w:cs="Times New Roman"/>
      <w:color w:val="000000"/>
    </w:rPr>
  </w:style>
  <w:style w:type="paragraph" w:styleId="Rientrocorpodeltesto2">
    <w:name w:val="Body Text Indent 2"/>
    <w:basedOn w:val="Normale"/>
    <w:link w:val="Rientrocorpodeltesto2Carattere"/>
    <w:uiPriority w:val="99"/>
    <w:rsid w:val="007F03DA"/>
    <w:pPr>
      <w:spacing w:after="120" w:line="480" w:lineRule="auto"/>
      <w:ind w:left="283"/>
      <w:jc w:val="both"/>
    </w:pPr>
    <w:rPr>
      <w:rFonts w:ascii="Calibri" w:eastAsia="Times New Roman" w:hAnsi="Calibri" w:cs="Times New Roman"/>
      <w:sz w:val="22"/>
      <w:szCs w:val="22"/>
      <w:lang w:eastAsia="en-US"/>
    </w:rPr>
  </w:style>
  <w:style w:type="character" w:customStyle="1" w:styleId="Rientrocorpodeltesto2Carattere">
    <w:name w:val="Rientro corpo del testo 2 Carattere"/>
    <w:basedOn w:val="Carpredefinitoparagrafo"/>
    <w:link w:val="Rientrocorpodeltesto2"/>
    <w:uiPriority w:val="99"/>
    <w:rsid w:val="007F03DA"/>
    <w:rPr>
      <w:rFonts w:ascii="Calibri" w:eastAsia="Times New Roman" w:hAnsi="Calibri" w:cs="Times New Roman"/>
      <w:sz w:val="22"/>
      <w:szCs w:val="22"/>
      <w:lang w:eastAsia="en-US"/>
    </w:rPr>
  </w:style>
  <w:style w:type="character" w:customStyle="1" w:styleId="Titolo1Carattere">
    <w:name w:val="Titolo 1 Carattere"/>
    <w:basedOn w:val="Carpredefinitoparagrafo"/>
    <w:link w:val="Titolo1"/>
    <w:uiPriority w:val="9"/>
    <w:rsid w:val="003F1CAA"/>
    <w:rPr>
      <w:rFonts w:asciiTheme="majorHAnsi" w:eastAsiaTheme="majorEastAsia" w:hAnsiTheme="majorHAnsi" w:cstheme="majorBidi"/>
      <w:b/>
      <w:bCs/>
      <w:color w:val="345A8A" w:themeColor="accent1" w:themeShade="B5"/>
      <w:sz w:val="32"/>
      <w:szCs w:val="32"/>
    </w:rPr>
  </w:style>
  <w:style w:type="paragraph" w:styleId="Sottotitolo">
    <w:name w:val="Subtitle"/>
    <w:basedOn w:val="Normale"/>
    <w:next w:val="Normale"/>
    <w:link w:val="SottotitoloCarattere"/>
    <w:uiPriority w:val="11"/>
    <w:qFormat/>
    <w:rsid w:val="003F1CAA"/>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11"/>
    <w:rsid w:val="003F1CAA"/>
    <w:rPr>
      <w:rFonts w:asciiTheme="majorHAnsi" w:eastAsiaTheme="majorEastAsia" w:hAnsiTheme="majorHAnsi" w:cstheme="majorBidi"/>
      <w:i/>
      <w:iCs/>
      <w:color w:val="4F81BD" w:themeColor="accent1"/>
      <w:spacing w:val="15"/>
    </w:rPr>
  </w:style>
  <w:style w:type="character" w:styleId="Enfasiintensa">
    <w:name w:val="Intense Emphasis"/>
    <w:basedOn w:val="Carpredefinitoparagrafo"/>
    <w:uiPriority w:val="21"/>
    <w:qFormat/>
    <w:rsid w:val="00CE1906"/>
    <w:rPr>
      <w:b/>
      <w:bCs/>
      <w:i/>
      <w:iCs/>
      <w:color w:val="4F81BD" w:themeColor="accent1"/>
    </w:rPr>
  </w:style>
  <w:style w:type="character" w:styleId="Enfasicorsivo">
    <w:name w:val="Emphasis"/>
    <w:basedOn w:val="Carpredefinitoparagrafo"/>
    <w:uiPriority w:val="20"/>
    <w:qFormat/>
    <w:rsid w:val="00B826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184417">
      <w:bodyDiv w:val="1"/>
      <w:marLeft w:val="0"/>
      <w:marRight w:val="0"/>
      <w:marTop w:val="0"/>
      <w:marBottom w:val="0"/>
      <w:divBdr>
        <w:top w:val="none" w:sz="0" w:space="0" w:color="auto"/>
        <w:left w:val="none" w:sz="0" w:space="0" w:color="auto"/>
        <w:bottom w:val="none" w:sz="0" w:space="0" w:color="auto"/>
        <w:right w:val="none" w:sz="0" w:space="0" w:color="auto"/>
      </w:divBdr>
    </w:div>
    <w:div w:id="80950748">
      <w:bodyDiv w:val="1"/>
      <w:marLeft w:val="0"/>
      <w:marRight w:val="0"/>
      <w:marTop w:val="0"/>
      <w:marBottom w:val="0"/>
      <w:divBdr>
        <w:top w:val="none" w:sz="0" w:space="0" w:color="auto"/>
        <w:left w:val="none" w:sz="0" w:space="0" w:color="auto"/>
        <w:bottom w:val="none" w:sz="0" w:space="0" w:color="auto"/>
        <w:right w:val="none" w:sz="0" w:space="0" w:color="auto"/>
      </w:divBdr>
    </w:div>
    <w:div w:id="97332618">
      <w:bodyDiv w:val="1"/>
      <w:marLeft w:val="0"/>
      <w:marRight w:val="0"/>
      <w:marTop w:val="0"/>
      <w:marBottom w:val="0"/>
      <w:divBdr>
        <w:top w:val="none" w:sz="0" w:space="0" w:color="auto"/>
        <w:left w:val="none" w:sz="0" w:space="0" w:color="auto"/>
        <w:bottom w:val="none" w:sz="0" w:space="0" w:color="auto"/>
        <w:right w:val="none" w:sz="0" w:space="0" w:color="auto"/>
      </w:divBdr>
    </w:div>
    <w:div w:id="108208009">
      <w:bodyDiv w:val="1"/>
      <w:marLeft w:val="0"/>
      <w:marRight w:val="0"/>
      <w:marTop w:val="0"/>
      <w:marBottom w:val="0"/>
      <w:divBdr>
        <w:top w:val="none" w:sz="0" w:space="0" w:color="auto"/>
        <w:left w:val="none" w:sz="0" w:space="0" w:color="auto"/>
        <w:bottom w:val="none" w:sz="0" w:space="0" w:color="auto"/>
        <w:right w:val="none" w:sz="0" w:space="0" w:color="auto"/>
      </w:divBdr>
      <w:divsChild>
        <w:div w:id="19474341">
          <w:marLeft w:val="432"/>
          <w:marRight w:val="0"/>
          <w:marTop w:val="125"/>
          <w:marBottom w:val="0"/>
          <w:divBdr>
            <w:top w:val="none" w:sz="0" w:space="0" w:color="auto"/>
            <w:left w:val="none" w:sz="0" w:space="0" w:color="auto"/>
            <w:bottom w:val="none" w:sz="0" w:space="0" w:color="auto"/>
            <w:right w:val="none" w:sz="0" w:space="0" w:color="auto"/>
          </w:divBdr>
        </w:div>
      </w:divsChild>
    </w:div>
    <w:div w:id="138308453">
      <w:bodyDiv w:val="1"/>
      <w:marLeft w:val="0"/>
      <w:marRight w:val="0"/>
      <w:marTop w:val="0"/>
      <w:marBottom w:val="0"/>
      <w:divBdr>
        <w:top w:val="none" w:sz="0" w:space="0" w:color="auto"/>
        <w:left w:val="none" w:sz="0" w:space="0" w:color="auto"/>
        <w:bottom w:val="none" w:sz="0" w:space="0" w:color="auto"/>
        <w:right w:val="none" w:sz="0" w:space="0" w:color="auto"/>
      </w:divBdr>
    </w:div>
    <w:div w:id="141967887">
      <w:bodyDiv w:val="1"/>
      <w:marLeft w:val="0"/>
      <w:marRight w:val="0"/>
      <w:marTop w:val="0"/>
      <w:marBottom w:val="0"/>
      <w:divBdr>
        <w:top w:val="none" w:sz="0" w:space="0" w:color="auto"/>
        <w:left w:val="none" w:sz="0" w:space="0" w:color="auto"/>
        <w:bottom w:val="none" w:sz="0" w:space="0" w:color="auto"/>
        <w:right w:val="none" w:sz="0" w:space="0" w:color="auto"/>
      </w:divBdr>
    </w:div>
    <w:div w:id="183593958">
      <w:bodyDiv w:val="1"/>
      <w:marLeft w:val="0"/>
      <w:marRight w:val="0"/>
      <w:marTop w:val="0"/>
      <w:marBottom w:val="0"/>
      <w:divBdr>
        <w:top w:val="none" w:sz="0" w:space="0" w:color="auto"/>
        <w:left w:val="none" w:sz="0" w:space="0" w:color="auto"/>
        <w:bottom w:val="none" w:sz="0" w:space="0" w:color="auto"/>
        <w:right w:val="none" w:sz="0" w:space="0" w:color="auto"/>
      </w:divBdr>
    </w:div>
    <w:div w:id="273174572">
      <w:bodyDiv w:val="1"/>
      <w:marLeft w:val="0"/>
      <w:marRight w:val="0"/>
      <w:marTop w:val="0"/>
      <w:marBottom w:val="0"/>
      <w:divBdr>
        <w:top w:val="none" w:sz="0" w:space="0" w:color="auto"/>
        <w:left w:val="none" w:sz="0" w:space="0" w:color="auto"/>
        <w:bottom w:val="none" w:sz="0" w:space="0" w:color="auto"/>
        <w:right w:val="none" w:sz="0" w:space="0" w:color="auto"/>
      </w:divBdr>
    </w:div>
    <w:div w:id="328751990">
      <w:bodyDiv w:val="1"/>
      <w:marLeft w:val="0"/>
      <w:marRight w:val="0"/>
      <w:marTop w:val="0"/>
      <w:marBottom w:val="0"/>
      <w:divBdr>
        <w:top w:val="none" w:sz="0" w:space="0" w:color="auto"/>
        <w:left w:val="none" w:sz="0" w:space="0" w:color="auto"/>
        <w:bottom w:val="none" w:sz="0" w:space="0" w:color="auto"/>
        <w:right w:val="none" w:sz="0" w:space="0" w:color="auto"/>
      </w:divBdr>
    </w:div>
    <w:div w:id="490098101">
      <w:bodyDiv w:val="1"/>
      <w:marLeft w:val="0"/>
      <w:marRight w:val="0"/>
      <w:marTop w:val="0"/>
      <w:marBottom w:val="0"/>
      <w:divBdr>
        <w:top w:val="none" w:sz="0" w:space="0" w:color="auto"/>
        <w:left w:val="none" w:sz="0" w:space="0" w:color="auto"/>
        <w:bottom w:val="none" w:sz="0" w:space="0" w:color="auto"/>
        <w:right w:val="none" w:sz="0" w:space="0" w:color="auto"/>
      </w:divBdr>
    </w:div>
    <w:div w:id="608122653">
      <w:bodyDiv w:val="1"/>
      <w:marLeft w:val="0"/>
      <w:marRight w:val="0"/>
      <w:marTop w:val="0"/>
      <w:marBottom w:val="0"/>
      <w:divBdr>
        <w:top w:val="none" w:sz="0" w:space="0" w:color="auto"/>
        <w:left w:val="none" w:sz="0" w:space="0" w:color="auto"/>
        <w:bottom w:val="none" w:sz="0" w:space="0" w:color="auto"/>
        <w:right w:val="none" w:sz="0" w:space="0" w:color="auto"/>
      </w:divBdr>
    </w:div>
    <w:div w:id="617032026">
      <w:bodyDiv w:val="1"/>
      <w:marLeft w:val="0"/>
      <w:marRight w:val="0"/>
      <w:marTop w:val="0"/>
      <w:marBottom w:val="0"/>
      <w:divBdr>
        <w:top w:val="none" w:sz="0" w:space="0" w:color="auto"/>
        <w:left w:val="none" w:sz="0" w:space="0" w:color="auto"/>
        <w:bottom w:val="none" w:sz="0" w:space="0" w:color="auto"/>
        <w:right w:val="none" w:sz="0" w:space="0" w:color="auto"/>
      </w:divBdr>
    </w:div>
    <w:div w:id="642586428">
      <w:bodyDiv w:val="1"/>
      <w:marLeft w:val="0"/>
      <w:marRight w:val="0"/>
      <w:marTop w:val="0"/>
      <w:marBottom w:val="0"/>
      <w:divBdr>
        <w:top w:val="none" w:sz="0" w:space="0" w:color="auto"/>
        <w:left w:val="none" w:sz="0" w:space="0" w:color="auto"/>
        <w:bottom w:val="none" w:sz="0" w:space="0" w:color="auto"/>
        <w:right w:val="none" w:sz="0" w:space="0" w:color="auto"/>
      </w:divBdr>
    </w:div>
    <w:div w:id="685788233">
      <w:bodyDiv w:val="1"/>
      <w:marLeft w:val="0"/>
      <w:marRight w:val="0"/>
      <w:marTop w:val="0"/>
      <w:marBottom w:val="0"/>
      <w:divBdr>
        <w:top w:val="none" w:sz="0" w:space="0" w:color="auto"/>
        <w:left w:val="none" w:sz="0" w:space="0" w:color="auto"/>
        <w:bottom w:val="none" w:sz="0" w:space="0" w:color="auto"/>
        <w:right w:val="none" w:sz="0" w:space="0" w:color="auto"/>
      </w:divBdr>
    </w:div>
    <w:div w:id="764694969">
      <w:bodyDiv w:val="1"/>
      <w:marLeft w:val="0"/>
      <w:marRight w:val="0"/>
      <w:marTop w:val="0"/>
      <w:marBottom w:val="0"/>
      <w:divBdr>
        <w:top w:val="none" w:sz="0" w:space="0" w:color="auto"/>
        <w:left w:val="none" w:sz="0" w:space="0" w:color="auto"/>
        <w:bottom w:val="none" w:sz="0" w:space="0" w:color="auto"/>
        <w:right w:val="none" w:sz="0" w:space="0" w:color="auto"/>
      </w:divBdr>
    </w:div>
    <w:div w:id="866069226">
      <w:bodyDiv w:val="1"/>
      <w:marLeft w:val="0"/>
      <w:marRight w:val="0"/>
      <w:marTop w:val="0"/>
      <w:marBottom w:val="0"/>
      <w:divBdr>
        <w:top w:val="none" w:sz="0" w:space="0" w:color="auto"/>
        <w:left w:val="none" w:sz="0" w:space="0" w:color="auto"/>
        <w:bottom w:val="none" w:sz="0" w:space="0" w:color="auto"/>
        <w:right w:val="none" w:sz="0" w:space="0" w:color="auto"/>
      </w:divBdr>
    </w:div>
    <w:div w:id="966818286">
      <w:bodyDiv w:val="1"/>
      <w:marLeft w:val="0"/>
      <w:marRight w:val="0"/>
      <w:marTop w:val="0"/>
      <w:marBottom w:val="0"/>
      <w:divBdr>
        <w:top w:val="none" w:sz="0" w:space="0" w:color="auto"/>
        <w:left w:val="none" w:sz="0" w:space="0" w:color="auto"/>
        <w:bottom w:val="none" w:sz="0" w:space="0" w:color="auto"/>
        <w:right w:val="none" w:sz="0" w:space="0" w:color="auto"/>
      </w:divBdr>
    </w:div>
    <w:div w:id="985738681">
      <w:bodyDiv w:val="1"/>
      <w:marLeft w:val="0"/>
      <w:marRight w:val="0"/>
      <w:marTop w:val="0"/>
      <w:marBottom w:val="0"/>
      <w:divBdr>
        <w:top w:val="none" w:sz="0" w:space="0" w:color="auto"/>
        <w:left w:val="none" w:sz="0" w:space="0" w:color="auto"/>
        <w:bottom w:val="none" w:sz="0" w:space="0" w:color="auto"/>
        <w:right w:val="none" w:sz="0" w:space="0" w:color="auto"/>
      </w:divBdr>
      <w:divsChild>
        <w:div w:id="1288469224">
          <w:marLeft w:val="432"/>
          <w:marRight w:val="0"/>
          <w:marTop w:val="115"/>
          <w:marBottom w:val="0"/>
          <w:divBdr>
            <w:top w:val="none" w:sz="0" w:space="0" w:color="auto"/>
            <w:left w:val="none" w:sz="0" w:space="0" w:color="auto"/>
            <w:bottom w:val="none" w:sz="0" w:space="0" w:color="auto"/>
            <w:right w:val="none" w:sz="0" w:space="0" w:color="auto"/>
          </w:divBdr>
        </w:div>
        <w:div w:id="268703959">
          <w:marLeft w:val="432"/>
          <w:marRight w:val="0"/>
          <w:marTop w:val="115"/>
          <w:marBottom w:val="0"/>
          <w:divBdr>
            <w:top w:val="none" w:sz="0" w:space="0" w:color="auto"/>
            <w:left w:val="none" w:sz="0" w:space="0" w:color="auto"/>
            <w:bottom w:val="none" w:sz="0" w:space="0" w:color="auto"/>
            <w:right w:val="none" w:sz="0" w:space="0" w:color="auto"/>
          </w:divBdr>
        </w:div>
        <w:div w:id="836306824">
          <w:marLeft w:val="432"/>
          <w:marRight w:val="0"/>
          <w:marTop w:val="115"/>
          <w:marBottom w:val="0"/>
          <w:divBdr>
            <w:top w:val="none" w:sz="0" w:space="0" w:color="auto"/>
            <w:left w:val="none" w:sz="0" w:space="0" w:color="auto"/>
            <w:bottom w:val="none" w:sz="0" w:space="0" w:color="auto"/>
            <w:right w:val="none" w:sz="0" w:space="0" w:color="auto"/>
          </w:divBdr>
        </w:div>
        <w:div w:id="687105560">
          <w:marLeft w:val="432"/>
          <w:marRight w:val="0"/>
          <w:marTop w:val="115"/>
          <w:marBottom w:val="0"/>
          <w:divBdr>
            <w:top w:val="none" w:sz="0" w:space="0" w:color="auto"/>
            <w:left w:val="none" w:sz="0" w:space="0" w:color="auto"/>
            <w:bottom w:val="none" w:sz="0" w:space="0" w:color="auto"/>
            <w:right w:val="none" w:sz="0" w:space="0" w:color="auto"/>
          </w:divBdr>
        </w:div>
      </w:divsChild>
    </w:div>
    <w:div w:id="994530849">
      <w:bodyDiv w:val="1"/>
      <w:marLeft w:val="0"/>
      <w:marRight w:val="0"/>
      <w:marTop w:val="0"/>
      <w:marBottom w:val="0"/>
      <w:divBdr>
        <w:top w:val="none" w:sz="0" w:space="0" w:color="auto"/>
        <w:left w:val="none" w:sz="0" w:space="0" w:color="auto"/>
        <w:bottom w:val="none" w:sz="0" w:space="0" w:color="auto"/>
        <w:right w:val="none" w:sz="0" w:space="0" w:color="auto"/>
      </w:divBdr>
    </w:div>
    <w:div w:id="1037898885">
      <w:bodyDiv w:val="1"/>
      <w:marLeft w:val="0"/>
      <w:marRight w:val="0"/>
      <w:marTop w:val="0"/>
      <w:marBottom w:val="0"/>
      <w:divBdr>
        <w:top w:val="none" w:sz="0" w:space="0" w:color="auto"/>
        <w:left w:val="none" w:sz="0" w:space="0" w:color="auto"/>
        <w:bottom w:val="none" w:sz="0" w:space="0" w:color="auto"/>
        <w:right w:val="none" w:sz="0" w:space="0" w:color="auto"/>
      </w:divBdr>
    </w:div>
    <w:div w:id="1106730398">
      <w:bodyDiv w:val="1"/>
      <w:marLeft w:val="0"/>
      <w:marRight w:val="0"/>
      <w:marTop w:val="0"/>
      <w:marBottom w:val="0"/>
      <w:divBdr>
        <w:top w:val="none" w:sz="0" w:space="0" w:color="auto"/>
        <w:left w:val="none" w:sz="0" w:space="0" w:color="auto"/>
        <w:bottom w:val="none" w:sz="0" w:space="0" w:color="auto"/>
        <w:right w:val="none" w:sz="0" w:space="0" w:color="auto"/>
      </w:divBdr>
    </w:div>
    <w:div w:id="1123962845">
      <w:bodyDiv w:val="1"/>
      <w:marLeft w:val="0"/>
      <w:marRight w:val="0"/>
      <w:marTop w:val="0"/>
      <w:marBottom w:val="0"/>
      <w:divBdr>
        <w:top w:val="none" w:sz="0" w:space="0" w:color="auto"/>
        <w:left w:val="none" w:sz="0" w:space="0" w:color="auto"/>
        <w:bottom w:val="none" w:sz="0" w:space="0" w:color="auto"/>
        <w:right w:val="none" w:sz="0" w:space="0" w:color="auto"/>
      </w:divBdr>
      <w:divsChild>
        <w:div w:id="297608690">
          <w:marLeft w:val="432"/>
          <w:marRight w:val="0"/>
          <w:marTop w:val="125"/>
          <w:marBottom w:val="0"/>
          <w:divBdr>
            <w:top w:val="none" w:sz="0" w:space="0" w:color="auto"/>
            <w:left w:val="none" w:sz="0" w:space="0" w:color="auto"/>
            <w:bottom w:val="none" w:sz="0" w:space="0" w:color="auto"/>
            <w:right w:val="none" w:sz="0" w:space="0" w:color="auto"/>
          </w:divBdr>
        </w:div>
      </w:divsChild>
    </w:div>
    <w:div w:id="1246577293">
      <w:bodyDiv w:val="1"/>
      <w:marLeft w:val="0"/>
      <w:marRight w:val="0"/>
      <w:marTop w:val="0"/>
      <w:marBottom w:val="0"/>
      <w:divBdr>
        <w:top w:val="none" w:sz="0" w:space="0" w:color="auto"/>
        <w:left w:val="none" w:sz="0" w:space="0" w:color="auto"/>
        <w:bottom w:val="none" w:sz="0" w:space="0" w:color="auto"/>
        <w:right w:val="none" w:sz="0" w:space="0" w:color="auto"/>
      </w:divBdr>
    </w:div>
    <w:div w:id="1266691179">
      <w:bodyDiv w:val="1"/>
      <w:marLeft w:val="0"/>
      <w:marRight w:val="0"/>
      <w:marTop w:val="0"/>
      <w:marBottom w:val="0"/>
      <w:divBdr>
        <w:top w:val="none" w:sz="0" w:space="0" w:color="auto"/>
        <w:left w:val="none" w:sz="0" w:space="0" w:color="auto"/>
        <w:bottom w:val="none" w:sz="0" w:space="0" w:color="auto"/>
        <w:right w:val="none" w:sz="0" w:space="0" w:color="auto"/>
      </w:divBdr>
    </w:div>
    <w:div w:id="1349597087">
      <w:bodyDiv w:val="1"/>
      <w:marLeft w:val="0"/>
      <w:marRight w:val="0"/>
      <w:marTop w:val="0"/>
      <w:marBottom w:val="0"/>
      <w:divBdr>
        <w:top w:val="none" w:sz="0" w:space="0" w:color="auto"/>
        <w:left w:val="none" w:sz="0" w:space="0" w:color="auto"/>
        <w:bottom w:val="none" w:sz="0" w:space="0" w:color="auto"/>
        <w:right w:val="none" w:sz="0" w:space="0" w:color="auto"/>
      </w:divBdr>
      <w:divsChild>
        <w:div w:id="717509887">
          <w:marLeft w:val="432"/>
          <w:marRight w:val="0"/>
          <w:marTop w:val="125"/>
          <w:marBottom w:val="0"/>
          <w:divBdr>
            <w:top w:val="none" w:sz="0" w:space="0" w:color="auto"/>
            <w:left w:val="none" w:sz="0" w:space="0" w:color="auto"/>
            <w:bottom w:val="none" w:sz="0" w:space="0" w:color="auto"/>
            <w:right w:val="none" w:sz="0" w:space="0" w:color="auto"/>
          </w:divBdr>
        </w:div>
      </w:divsChild>
    </w:div>
    <w:div w:id="1385061148">
      <w:bodyDiv w:val="1"/>
      <w:marLeft w:val="0"/>
      <w:marRight w:val="0"/>
      <w:marTop w:val="0"/>
      <w:marBottom w:val="0"/>
      <w:divBdr>
        <w:top w:val="none" w:sz="0" w:space="0" w:color="auto"/>
        <w:left w:val="none" w:sz="0" w:space="0" w:color="auto"/>
        <w:bottom w:val="none" w:sz="0" w:space="0" w:color="auto"/>
        <w:right w:val="none" w:sz="0" w:space="0" w:color="auto"/>
      </w:divBdr>
    </w:div>
    <w:div w:id="1492060612">
      <w:bodyDiv w:val="1"/>
      <w:marLeft w:val="0"/>
      <w:marRight w:val="0"/>
      <w:marTop w:val="0"/>
      <w:marBottom w:val="0"/>
      <w:divBdr>
        <w:top w:val="none" w:sz="0" w:space="0" w:color="auto"/>
        <w:left w:val="none" w:sz="0" w:space="0" w:color="auto"/>
        <w:bottom w:val="none" w:sz="0" w:space="0" w:color="auto"/>
        <w:right w:val="none" w:sz="0" w:space="0" w:color="auto"/>
      </w:divBdr>
    </w:div>
    <w:div w:id="1492258243">
      <w:bodyDiv w:val="1"/>
      <w:marLeft w:val="0"/>
      <w:marRight w:val="0"/>
      <w:marTop w:val="0"/>
      <w:marBottom w:val="0"/>
      <w:divBdr>
        <w:top w:val="none" w:sz="0" w:space="0" w:color="auto"/>
        <w:left w:val="none" w:sz="0" w:space="0" w:color="auto"/>
        <w:bottom w:val="none" w:sz="0" w:space="0" w:color="auto"/>
        <w:right w:val="none" w:sz="0" w:space="0" w:color="auto"/>
      </w:divBdr>
    </w:div>
    <w:div w:id="1496803481">
      <w:bodyDiv w:val="1"/>
      <w:marLeft w:val="0"/>
      <w:marRight w:val="0"/>
      <w:marTop w:val="0"/>
      <w:marBottom w:val="0"/>
      <w:divBdr>
        <w:top w:val="none" w:sz="0" w:space="0" w:color="auto"/>
        <w:left w:val="none" w:sz="0" w:space="0" w:color="auto"/>
        <w:bottom w:val="none" w:sz="0" w:space="0" w:color="auto"/>
        <w:right w:val="none" w:sz="0" w:space="0" w:color="auto"/>
      </w:divBdr>
    </w:div>
    <w:div w:id="1647513121">
      <w:bodyDiv w:val="1"/>
      <w:marLeft w:val="0"/>
      <w:marRight w:val="0"/>
      <w:marTop w:val="0"/>
      <w:marBottom w:val="0"/>
      <w:divBdr>
        <w:top w:val="none" w:sz="0" w:space="0" w:color="auto"/>
        <w:left w:val="none" w:sz="0" w:space="0" w:color="auto"/>
        <w:bottom w:val="none" w:sz="0" w:space="0" w:color="auto"/>
        <w:right w:val="none" w:sz="0" w:space="0" w:color="auto"/>
      </w:divBdr>
    </w:div>
    <w:div w:id="1668442070">
      <w:bodyDiv w:val="1"/>
      <w:marLeft w:val="0"/>
      <w:marRight w:val="0"/>
      <w:marTop w:val="0"/>
      <w:marBottom w:val="0"/>
      <w:divBdr>
        <w:top w:val="none" w:sz="0" w:space="0" w:color="auto"/>
        <w:left w:val="none" w:sz="0" w:space="0" w:color="auto"/>
        <w:bottom w:val="none" w:sz="0" w:space="0" w:color="auto"/>
        <w:right w:val="none" w:sz="0" w:space="0" w:color="auto"/>
      </w:divBdr>
    </w:div>
    <w:div w:id="1917586904">
      <w:bodyDiv w:val="1"/>
      <w:marLeft w:val="0"/>
      <w:marRight w:val="0"/>
      <w:marTop w:val="0"/>
      <w:marBottom w:val="0"/>
      <w:divBdr>
        <w:top w:val="none" w:sz="0" w:space="0" w:color="auto"/>
        <w:left w:val="none" w:sz="0" w:space="0" w:color="auto"/>
        <w:bottom w:val="none" w:sz="0" w:space="0" w:color="auto"/>
        <w:right w:val="none" w:sz="0" w:space="0" w:color="auto"/>
      </w:divBdr>
    </w:div>
    <w:div w:id="2100443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5F4B9-73A1-4BDB-918D-019D45139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13614</Words>
  <Characters>77602</Characters>
  <Application>Microsoft Office Word</Application>
  <DocSecurity>0</DocSecurity>
  <Lines>646</Lines>
  <Paragraphs>182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v</dc:creator>
  <cp:keywords/>
  <dc:description/>
  <cp:lastModifiedBy>SERENA GUARDUCCI</cp:lastModifiedBy>
  <cp:revision>2</cp:revision>
  <cp:lastPrinted>2017-11-13T13:36:00Z</cp:lastPrinted>
  <dcterms:created xsi:type="dcterms:W3CDTF">2024-08-28T07:32:00Z</dcterms:created>
  <dcterms:modified xsi:type="dcterms:W3CDTF">2024-08-28T07:32:00Z</dcterms:modified>
</cp:coreProperties>
</file>