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2505" w:rsidRPr="003C092C" w:rsidRDefault="006C2505" w:rsidP="006C2505">
      <w:pPr>
        <w:shd w:val="clear" w:color="auto" w:fill="FFFFFF"/>
        <w:spacing w:after="0" w:line="336" w:lineRule="atLeast"/>
        <w:outlineLvl w:val="2"/>
        <w:rPr>
          <w:rFonts w:ascii="Arial" w:eastAsia="Times New Roman" w:hAnsi="Arial" w:cs="Arial"/>
          <w:color w:val="404040"/>
          <w:sz w:val="24"/>
          <w:szCs w:val="24"/>
          <w:lang w:eastAsia="it-IT"/>
        </w:rPr>
      </w:pPr>
      <w:r w:rsidRPr="003C092C">
        <w:rPr>
          <w:rFonts w:ascii="Arial" w:eastAsia="Times New Roman" w:hAnsi="Arial" w:cs="Arial"/>
          <w:color w:val="404040"/>
          <w:sz w:val="24"/>
          <w:szCs w:val="24"/>
          <w:lang w:eastAsia="it-IT"/>
        </w:rPr>
        <w:t>DIRITTO COMUNITARIO</w:t>
      </w:r>
    </w:p>
    <w:p w:rsidR="006C2505" w:rsidRPr="003C092C" w:rsidRDefault="006C2505" w:rsidP="006C2505">
      <w:pPr>
        <w:pStyle w:val="jqcsstitoloamargine"/>
        <w:spacing w:before="0" w:beforeAutospacing="0" w:after="0" w:afterAutospacing="0" w:line="408" w:lineRule="atLeast"/>
        <w:textAlignment w:val="baseline"/>
        <w:rPr>
          <w:rFonts w:ascii="Arial" w:hAnsi="Arial" w:cs="Arial"/>
        </w:rPr>
      </w:pPr>
      <w:r w:rsidRPr="003C092C">
        <w:rPr>
          <w:rStyle w:val="Enfasigrassetto"/>
          <w:rFonts w:ascii="Arial" w:hAnsi="Arial" w:cs="Arial"/>
          <w:bdr w:val="none" w:sz="0" w:space="0" w:color="auto" w:frame="1"/>
        </w:rPr>
        <w:t>La CECA, istituita ufficialmente con il </w:t>
      </w:r>
      <w:r w:rsidRPr="003C092C">
        <w:rPr>
          <w:rStyle w:val="jqcssnota"/>
          <w:rFonts w:ascii="Arial" w:hAnsi="Arial" w:cs="Arial"/>
          <w:b/>
          <w:bCs/>
          <w:i/>
          <w:iCs/>
          <w:color w:val="222222"/>
          <w:bdr w:val="none" w:sz="0" w:space="0" w:color="auto" w:frame="1"/>
          <w:shd w:val="clear" w:color="auto" w:fill="FFFFFF"/>
        </w:rPr>
        <w:t>trattato di Parigi</w:t>
      </w:r>
      <w:r w:rsidRPr="003C092C">
        <w:rPr>
          <w:rStyle w:val="Enfasigrassetto"/>
          <w:rFonts w:ascii="Arial" w:hAnsi="Arial" w:cs="Arial"/>
          <w:bdr w:val="none" w:sz="0" w:space="0" w:color="auto" w:frame="1"/>
        </w:rPr>
        <w:t> (18 aprile 1951) contava sei paesi membri</w:t>
      </w:r>
      <w:r w:rsidRPr="003C092C">
        <w:rPr>
          <w:rFonts w:ascii="Arial" w:hAnsi="Arial" w:cs="Arial"/>
        </w:rPr>
        <w:t> (Belgio, </w:t>
      </w:r>
      <w:r w:rsidR="004C0A0D" w:rsidRPr="003C092C">
        <w:rPr>
          <w:rFonts w:ascii="Arial" w:hAnsi="Arial" w:cs="Arial"/>
        </w:rPr>
        <w:t xml:space="preserve">Francia, Germania </w:t>
      </w:r>
      <w:r w:rsidRPr="003C092C">
        <w:rPr>
          <w:rFonts w:ascii="Arial" w:hAnsi="Arial" w:cs="Arial"/>
        </w:rPr>
        <w:t>Ovest, Italia, Lussemburgo, Paesi Bassi), che misero in comune la produzione e resero libera la circolazione del carbone e dell’acciaio. La proposta partiva dal presupposto che il </w:t>
      </w:r>
      <w:r w:rsidR="004C0A0D" w:rsidRPr="003C092C">
        <w:rPr>
          <w:rFonts w:ascii="Arial" w:hAnsi="Arial" w:cs="Arial"/>
        </w:rPr>
        <w:t>carbone</w:t>
      </w:r>
      <w:r w:rsidRPr="003C092C">
        <w:rPr>
          <w:rFonts w:ascii="Arial" w:hAnsi="Arial" w:cs="Arial"/>
        </w:rPr>
        <w:t> e l’acciaio, situati prevalentemente in due giacimenti (la Ruhr e la Saar) eternamente contesi tra Francia e Germania, erano stati alla base di moltissimi conflitti negli ultimi decenni.    </w:t>
      </w:r>
    </w:p>
    <w:p w:rsidR="006C2505" w:rsidRPr="003C092C" w:rsidRDefault="006C2505" w:rsidP="006C2505">
      <w:pPr>
        <w:pStyle w:val="jqcsstitoloamargine"/>
        <w:spacing w:before="0" w:beforeAutospacing="0" w:after="0" w:afterAutospacing="0" w:line="408" w:lineRule="atLeast"/>
        <w:textAlignment w:val="baseline"/>
        <w:rPr>
          <w:rFonts w:ascii="Arial" w:hAnsi="Arial" w:cs="Arial"/>
        </w:rPr>
      </w:pPr>
      <w:r w:rsidRPr="003C092C">
        <w:rPr>
          <w:rFonts w:ascii="Arial" w:hAnsi="Arial" w:cs="Arial"/>
        </w:rPr>
        <w:t>Si trattava del primo nucleo da cui, nei successivi decenni, prenderà vita l’</w:t>
      </w:r>
      <w:r w:rsidRPr="003C092C">
        <w:rPr>
          <w:rStyle w:val="Enfasigrassetto"/>
          <w:rFonts w:ascii="Arial" w:hAnsi="Arial" w:cs="Arial"/>
          <w:bdr w:val="none" w:sz="0" w:space="0" w:color="auto" w:frame="1"/>
        </w:rPr>
        <w:t>Unione Europea</w:t>
      </w:r>
      <w:r w:rsidRPr="003C092C">
        <w:rPr>
          <w:rFonts w:ascii="Arial" w:hAnsi="Arial" w:cs="Arial"/>
        </w:rPr>
        <w:t>, perché i paesi della CECA rinunciavano alle restrizioni doganali su carbone e acciaio: era il primo caso in cui, esclusivamente nel settore carbo-siderurgico, un numero di Stati rinunciava in qualche misura alla propria sovranità in favore di un’organizzazione internazionale.</w:t>
      </w:r>
      <w:r w:rsidRPr="003C092C">
        <w:rPr>
          <w:rStyle w:val="Enfasigrassetto"/>
          <w:rFonts w:ascii="Arial" w:hAnsi="Arial" w:cs="Arial"/>
          <w:bdr w:val="none" w:sz="0" w:space="0" w:color="auto" w:frame="1"/>
        </w:rPr>
        <w:t> Lo scopo principale era quello di evitare conflitti futuri tra i paesi che avevano vinto o perso la guerra</w:t>
      </w:r>
      <w:r w:rsidRPr="003C092C">
        <w:rPr>
          <w:rFonts w:ascii="Arial" w:hAnsi="Arial" w:cs="Arial"/>
        </w:rPr>
        <w:t>, iniziando a cooperare sotto la guida di un’autorità che disponeva anche di poteri giurisdizionali, consultivi e di controllo politico.    </w:t>
      </w:r>
    </w:p>
    <w:p w:rsidR="006C2505" w:rsidRPr="003C092C" w:rsidRDefault="006C2505" w:rsidP="006C2505">
      <w:pPr>
        <w:pStyle w:val="jqcsstitoloamargine"/>
        <w:spacing w:before="0" w:beforeAutospacing="0" w:after="0" w:afterAutospacing="0" w:line="408" w:lineRule="atLeast"/>
        <w:textAlignment w:val="baseline"/>
        <w:rPr>
          <w:rFonts w:ascii="Arial" w:hAnsi="Arial" w:cs="Arial"/>
        </w:rPr>
      </w:pPr>
      <w:r w:rsidRPr="003C092C">
        <w:rPr>
          <w:rFonts w:ascii="Arial" w:hAnsi="Arial" w:cs="Arial"/>
        </w:rPr>
        <w:t>Sei anni dopo, con la </w:t>
      </w:r>
      <w:r w:rsidRPr="003C092C">
        <w:rPr>
          <w:rStyle w:val="Enfasigrassetto"/>
          <w:rFonts w:ascii="Arial" w:hAnsi="Arial" w:cs="Arial"/>
          <w:color w:val="222222"/>
          <w:bdr w:val="none" w:sz="0" w:space="0" w:color="auto" w:frame="1"/>
          <w:shd w:val="clear" w:color="auto" w:fill="FFFFFF"/>
        </w:rPr>
        <w:t>conferenza di Roma del 25 marzo 1957</w:t>
      </w:r>
      <w:r w:rsidRPr="003C092C">
        <w:rPr>
          <w:rFonts w:ascii="Arial" w:hAnsi="Arial" w:cs="Arial"/>
        </w:rPr>
        <w:t>, gli stessi sei Stati daranno vita alla </w:t>
      </w:r>
      <w:r w:rsidRPr="003C092C">
        <w:rPr>
          <w:rStyle w:val="Enfasigrassetto"/>
          <w:rFonts w:ascii="Arial" w:hAnsi="Arial" w:cs="Arial"/>
          <w:bdr w:val="none" w:sz="0" w:space="0" w:color="auto" w:frame="1"/>
        </w:rPr>
        <w:t>Comunità economica europea (CEE) e alla Comunità europea dell’</w:t>
      </w:r>
      <w:r w:rsidR="004C0A0D" w:rsidRPr="003C092C">
        <w:rPr>
          <w:rStyle w:val="Enfasigrassetto"/>
          <w:rFonts w:ascii="Arial" w:hAnsi="Arial" w:cs="Arial"/>
          <w:bdr w:val="none" w:sz="0" w:space="0" w:color="auto" w:frame="1"/>
        </w:rPr>
        <w:t xml:space="preserve">energia </w:t>
      </w:r>
      <w:r w:rsidRPr="003C092C">
        <w:rPr>
          <w:rStyle w:val="Enfasigrassetto"/>
          <w:rFonts w:ascii="Arial" w:hAnsi="Arial" w:cs="Arial"/>
          <w:bdr w:val="none" w:sz="0" w:space="0" w:color="auto" w:frame="1"/>
        </w:rPr>
        <w:t>atomica</w:t>
      </w:r>
      <w:r w:rsidRPr="003C092C">
        <w:rPr>
          <w:rFonts w:ascii="Arial" w:hAnsi="Arial" w:cs="Arial"/>
        </w:rPr>
        <w:t> (</w:t>
      </w:r>
      <w:proofErr w:type="spellStart"/>
      <w:r w:rsidRPr="003C092C">
        <w:rPr>
          <w:rFonts w:ascii="Arial" w:hAnsi="Arial" w:cs="Arial"/>
        </w:rPr>
        <w:t>Euratom</w:t>
      </w:r>
      <w:proofErr w:type="spellEnd"/>
      <w:r w:rsidRPr="003C092C">
        <w:rPr>
          <w:rFonts w:ascii="Arial" w:hAnsi="Arial" w:cs="Arial"/>
        </w:rPr>
        <w:t xml:space="preserve">, o CEEA). Con la CEE, la più importante tra le tre comunità, il mercato comune continuò ad ampliarsi progressivamente, finché nel 1968 non sarebbero stati completamente aboliti i dazi tra i sei paesi, che negli stessi anni adotteranno politiche comuni in campo agricolo ed in campo commerciale.     </w:t>
      </w:r>
    </w:p>
    <w:p w:rsidR="006C2505" w:rsidRPr="003C092C" w:rsidRDefault="006C2505" w:rsidP="006C2505">
      <w:pPr>
        <w:pStyle w:val="jqcsstitoloamargine"/>
        <w:spacing w:before="0" w:beforeAutospacing="0" w:after="0" w:afterAutospacing="0" w:line="408" w:lineRule="atLeast"/>
        <w:textAlignment w:val="baseline"/>
        <w:rPr>
          <w:rFonts w:ascii="Arial" w:hAnsi="Arial" w:cs="Arial"/>
        </w:rPr>
      </w:pPr>
      <w:r w:rsidRPr="003C092C">
        <w:rPr>
          <w:rFonts w:ascii="Arial" w:hAnsi="Arial" w:cs="Arial"/>
        </w:rPr>
        <w:t>Negli anni ‘70 la </w:t>
      </w:r>
      <w:r w:rsidRPr="003C092C">
        <w:rPr>
          <w:rStyle w:val="Enfasigrassetto"/>
          <w:rFonts w:ascii="Arial" w:hAnsi="Arial" w:cs="Arial"/>
          <w:bdr w:val="none" w:sz="0" w:space="0" w:color="auto" w:frame="1"/>
        </w:rPr>
        <w:t>CEE</w:t>
      </w:r>
      <w:r w:rsidRPr="003C092C">
        <w:rPr>
          <w:rFonts w:ascii="Arial" w:hAnsi="Arial" w:cs="Arial"/>
        </w:rPr>
        <w:t> inizia ad allargarsi, accogliendo nel 1973 Danimarca, </w:t>
      </w:r>
      <w:r w:rsidR="004C0A0D" w:rsidRPr="003C092C">
        <w:rPr>
          <w:rFonts w:ascii="Arial" w:hAnsi="Arial" w:cs="Arial"/>
        </w:rPr>
        <w:t xml:space="preserve">Irlanda </w:t>
      </w:r>
      <w:r w:rsidRPr="003C092C">
        <w:rPr>
          <w:rFonts w:ascii="Arial" w:hAnsi="Arial" w:cs="Arial"/>
        </w:rPr>
        <w:t>e Regno Unito tra gli Stati membri. Nel corso della decade, i paesi della </w:t>
      </w:r>
      <w:proofErr w:type="spellStart"/>
      <w:r w:rsidRPr="003C092C">
        <w:rPr>
          <w:rStyle w:val="Enfasigrassetto"/>
          <w:rFonts w:ascii="Arial" w:hAnsi="Arial" w:cs="Arial"/>
          <w:bdr w:val="none" w:sz="0" w:space="0" w:color="auto" w:frame="1"/>
        </w:rPr>
        <w:t>CEE</w:t>
      </w:r>
      <w:r w:rsidRPr="003C092C">
        <w:rPr>
          <w:rFonts w:ascii="Arial" w:hAnsi="Arial" w:cs="Arial"/>
        </w:rPr>
        <w:t>intraprendono</w:t>
      </w:r>
      <w:proofErr w:type="spellEnd"/>
      <w:r w:rsidRPr="003C092C">
        <w:rPr>
          <w:rFonts w:ascii="Arial" w:hAnsi="Arial" w:cs="Arial"/>
        </w:rPr>
        <w:t xml:space="preserve"> nuove politiche estere comuni, e viene creato nel 1975 il </w:t>
      </w:r>
      <w:r w:rsidRPr="003C092C">
        <w:rPr>
          <w:rStyle w:val="Enfasigrassetto"/>
          <w:rFonts w:ascii="Arial" w:hAnsi="Arial" w:cs="Arial"/>
          <w:color w:val="222222"/>
          <w:bdr w:val="none" w:sz="0" w:space="0" w:color="auto" w:frame="1"/>
          <w:shd w:val="clear" w:color="auto" w:fill="FFFFFF"/>
        </w:rPr>
        <w:t>Fondo europeo di sviluppo regionale</w:t>
      </w:r>
      <w:r w:rsidRPr="003C092C">
        <w:rPr>
          <w:rFonts w:ascii="Arial" w:hAnsi="Arial" w:cs="Arial"/>
        </w:rPr>
        <w:t>. Nel frattempo, il </w:t>
      </w:r>
      <w:r w:rsidR="004C0A0D" w:rsidRPr="003C092C">
        <w:rPr>
          <w:rFonts w:ascii="Arial" w:hAnsi="Arial" w:cs="Arial"/>
        </w:rPr>
        <w:t>Parlamento</w:t>
      </w:r>
      <w:r w:rsidRPr="003C092C">
        <w:rPr>
          <w:rStyle w:val="Enfasigrassetto"/>
          <w:rFonts w:ascii="Arial" w:hAnsi="Arial" w:cs="Arial"/>
          <w:bdr w:val="none" w:sz="0" w:space="0" w:color="auto" w:frame="1"/>
        </w:rPr>
        <w:t> </w:t>
      </w:r>
      <w:proofErr w:type="spellStart"/>
      <w:r w:rsidRPr="003C092C">
        <w:rPr>
          <w:rStyle w:val="Enfasigrassetto"/>
          <w:rFonts w:ascii="Arial" w:hAnsi="Arial" w:cs="Arial"/>
          <w:bdr w:val="none" w:sz="0" w:space="0" w:color="auto" w:frame="1"/>
        </w:rPr>
        <w:t>europeo</w:t>
      </w:r>
      <w:r w:rsidRPr="003C092C">
        <w:rPr>
          <w:rFonts w:ascii="Arial" w:hAnsi="Arial" w:cs="Arial"/>
        </w:rPr>
        <w:t>continua</w:t>
      </w:r>
      <w:proofErr w:type="spellEnd"/>
      <w:r w:rsidRPr="003C092C">
        <w:rPr>
          <w:rFonts w:ascii="Arial" w:hAnsi="Arial" w:cs="Arial"/>
        </w:rPr>
        <w:t xml:space="preserve"> ad evolversi. La struttura era nata nel 1951, con sede a Strasburgo, come </w:t>
      </w:r>
      <w:r w:rsidRPr="003C092C">
        <w:rPr>
          <w:rStyle w:val="Enfasigrassetto"/>
          <w:rFonts w:ascii="Arial" w:hAnsi="Arial" w:cs="Arial"/>
          <w:bdr w:val="none" w:sz="0" w:space="0" w:color="auto" w:frame="1"/>
        </w:rPr>
        <w:t>assemblea della CECA, e si era trasformata in Assemblea parlamentare europea</w:t>
      </w:r>
      <w:r w:rsidRPr="003C092C">
        <w:rPr>
          <w:rFonts w:ascii="Arial" w:hAnsi="Arial" w:cs="Arial"/>
        </w:rPr>
        <w:t> (con 142 membri eletti) in seguito ai trattati di Roma. Soltanto dal 1962 l’Assemblea aveva cambiato nome in </w:t>
      </w:r>
      <w:r w:rsidRPr="003C092C">
        <w:rPr>
          <w:rStyle w:val="Enfasigrassetto"/>
          <w:rFonts w:ascii="Arial" w:hAnsi="Arial" w:cs="Arial"/>
          <w:bdr w:val="none" w:sz="0" w:space="0" w:color="auto" w:frame="1"/>
        </w:rPr>
        <w:t>Parlamento europeo</w:t>
      </w:r>
    </w:p>
    <w:p w:rsidR="006C2505" w:rsidRPr="003C092C" w:rsidRDefault="006C2505" w:rsidP="006C2505">
      <w:pPr>
        <w:pStyle w:val="jqcsstitoloamargine"/>
        <w:spacing w:before="0" w:beforeAutospacing="0" w:after="0" w:afterAutospacing="0" w:line="408" w:lineRule="atLeast"/>
        <w:textAlignment w:val="baseline"/>
        <w:rPr>
          <w:rFonts w:ascii="Arial" w:hAnsi="Arial" w:cs="Arial"/>
        </w:rPr>
      </w:pPr>
      <w:r w:rsidRPr="003C092C">
        <w:rPr>
          <w:rFonts w:ascii="Arial" w:hAnsi="Arial" w:cs="Arial"/>
        </w:rPr>
        <w:t>Dal 1º luglio del 1978, in seguito a decisioni prese dal Consiglio europeo, </w:t>
      </w:r>
      <w:r w:rsidRPr="003C092C">
        <w:rPr>
          <w:rStyle w:val="Enfasigrassetto"/>
          <w:rFonts w:ascii="Arial" w:hAnsi="Arial" w:cs="Arial"/>
          <w:bdr w:val="none" w:sz="0" w:space="0" w:color="auto" w:frame="1"/>
        </w:rPr>
        <w:t>le elezioni per il parlamento europeo diventano a suffragio universale</w:t>
      </w:r>
      <w:r w:rsidRPr="003C092C">
        <w:rPr>
          <w:rFonts w:ascii="Arial" w:hAnsi="Arial" w:cs="Arial"/>
        </w:rPr>
        <w:t>: prima di allora, i membri del parlamento erano stati semplicemente dei delegati dei parlamenti nazionali. La prima elezione è nel giugno del 1979, e da allora si svolgeranno ogni 5 anni. Il parlamento si organizza in gruppi di partito transnazionali (verdi, socialisti, popolari, etc.).    </w:t>
      </w:r>
    </w:p>
    <w:p w:rsidR="006C2505" w:rsidRPr="003C092C" w:rsidRDefault="006C2505" w:rsidP="006C2505">
      <w:pPr>
        <w:pStyle w:val="jqcsstitoloamargine"/>
        <w:spacing w:before="0" w:beforeAutospacing="0" w:after="0" w:afterAutospacing="0" w:line="408" w:lineRule="atLeast"/>
        <w:textAlignment w:val="baseline"/>
        <w:rPr>
          <w:rFonts w:ascii="Arial" w:hAnsi="Arial" w:cs="Arial"/>
        </w:rPr>
      </w:pPr>
      <w:r w:rsidRPr="003C092C">
        <w:rPr>
          <w:rStyle w:val="Enfasigrassetto"/>
          <w:rFonts w:ascii="Arial" w:hAnsi="Arial" w:cs="Arial"/>
          <w:bdr w:val="none" w:sz="0" w:space="0" w:color="auto" w:frame="1"/>
        </w:rPr>
        <w:t>Nel 1979 viene introdotto il Sistema Monetario Europeo</w:t>
      </w:r>
      <w:r w:rsidRPr="003C092C">
        <w:rPr>
          <w:rFonts w:ascii="Arial" w:hAnsi="Arial" w:cs="Arial"/>
        </w:rPr>
        <w:t xml:space="preserve"> (SME), con lo scopo di realizzare un mercato unico e stabile per le finanze e per la circolazione dei capitali, in un </w:t>
      </w:r>
      <w:r w:rsidRPr="003C092C">
        <w:rPr>
          <w:rFonts w:ascii="Arial" w:hAnsi="Arial" w:cs="Arial"/>
        </w:rPr>
        <w:lastRenderedPageBreak/>
        <w:t>periodo contraddistinto da una forte instabilità finanziaria. La </w:t>
      </w:r>
      <w:r w:rsidRPr="003C092C">
        <w:rPr>
          <w:rStyle w:val="Enfasigrassetto"/>
          <w:rFonts w:ascii="Arial" w:hAnsi="Arial" w:cs="Arial"/>
          <w:bdr w:val="none" w:sz="0" w:space="0" w:color="auto" w:frame="1"/>
        </w:rPr>
        <w:t>Comunità Economica Europea</w:t>
      </w:r>
      <w:r w:rsidRPr="003C092C">
        <w:rPr>
          <w:rFonts w:ascii="Arial" w:hAnsi="Arial" w:cs="Arial"/>
        </w:rPr>
        <w:t> continua nel frattempo ad allargarsi, ammettendo tra i paesi membri la </w:t>
      </w:r>
      <w:hyperlink r:id="rId7" w:tooltip="Tutto su Grecia" w:history="1">
        <w:r w:rsidRPr="003C092C">
          <w:rPr>
            <w:rStyle w:val="Collegamentoipertestuale"/>
            <w:rFonts w:ascii="Arial" w:eastAsiaTheme="majorEastAsia" w:hAnsi="Arial" w:cs="Arial"/>
            <w:color w:val="0753AD"/>
            <w:bdr w:val="none" w:sz="0" w:space="0" w:color="auto" w:frame="1"/>
          </w:rPr>
          <w:t>Grecia</w:t>
        </w:r>
      </w:hyperlink>
      <w:r w:rsidRPr="003C092C">
        <w:rPr>
          <w:rFonts w:ascii="Arial" w:hAnsi="Arial" w:cs="Arial"/>
        </w:rPr>
        <w:t> nel 1981, il </w:t>
      </w:r>
      <w:r w:rsidR="004C0A0D" w:rsidRPr="003C092C">
        <w:rPr>
          <w:rFonts w:ascii="Arial" w:hAnsi="Arial" w:cs="Arial"/>
        </w:rPr>
        <w:t>Portogallo</w:t>
      </w:r>
      <w:r w:rsidRPr="003C092C">
        <w:rPr>
          <w:rFonts w:ascii="Arial" w:hAnsi="Arial" w:cs="Arial"/>
        </w:rPr>
        <w:t> e la </w:t>
      </w:r>
      <w:r w:rsidR="004C0A0D" w:rsidRPr="003C092C">
        <w:rPr>
          <w:rFonts w:ascii="Arial" w:hAnsi="Arial" w:cs="Arial"/>
        </w:rPr>
        <w:t>Spagna</w:t>
      </w:r>
      <w:r w:rsidRPr="003C092C">
        <w:rPr>
          <w:rFonts w:ascii="Arial" w:hAnsi="Arial" w:cs="Arial"/>
        </w:rPr>
        <w:t xml:space="preserve"> nel 1986.     </w:t>
      </w:r>
    </w:p>
    <w:p w:rsidR="006C2505" w:rsidRPr="003C092C" w:rsidRDefault="006C2505" w:rsidP="006C2505">
      <w:pPr>
        <w:pStyle w:val="jqcsstitoloamargine"/>
        <w:spacing w:before="0" w:beforeAutospacing="0" w:after="0" w:afterAutospacing="0" w:line="408" w:lineRule="atLeast"/>
        <w:textAlignment w:val="baseline"/>
        <w:rPr>
          <w:rFonts w:ascii="Arial" w:hAnsi="Arial" w:cs="Arial"/>
        </w:rPr>
      </w:pPr>
      <w:r w:rsidRPr="003C092C">
        <w:rPr>
          <w:rStyle w:val="Enfasigrassetto"/>
          <w:rFonts w:ascii="Arial" w:hAnsi="Arial" w:cs="Arial"/>
          <w:bdr w:val="none" w:sz="0" w:space="0" w:color="auto" w:frame="1"/>
        </w:rPr>
        <w:t>L’Atto Unico Europeo (AUE), entrato in vigore il 1º luglio del 1987, pose agli stati membri della Comunità Economica Europea l’importantissimo obiettivo di realizzare il mercato unico entro la fine del 1992</w:t>
      </w:r>
      <w:r w:rsidRPr="003C092C">
        <w:rPr>
          <w:rFonts w:ascii="Arial" w:hAnsi="Arial" w:cs="Arial"/>
        </w:rPr>
        <w:t>. Il mercato unico avrebbe dovuto essere uno spazio senza frontiere interne, dove le merci, le persone, i capitali ed i servizi (‘le ‘quattro libertà’) possono circolare liberamente. Per realizzare il mercato comune, una serie di barriere legali, tecniche, fiscali e fisiche andavano eliminate.  </w:t>
      </w:r>
    </w:p>
    <w:p w:rsidR="006C2505" w:rsidRPr="003C092C" w:rsidRDefault="006C2505" w:rsidP="006C2505">
      <w:pPr>
        <w:pStyle w:val="jqcsstitoloamargine"/>
        <w:spacing w:before="0" w:beforeAutospacing="0" w:after="0" w:afterAutospacing="0" w:line="408" w:lineRule="atLeast"/>
        <w:textAlignment w:val="baseline"/>
        <w:rPr>
          <w:rFonts w:ascii="Arial" w:hAnsi="Arial" w:cs="Arial"/>
        </w:rPr>
      </w:pPr>
      <w:r w:rsidRPr="003C092C">
        <w:rPr>
          <w:rStyle w:val="Enfasigrassetto"/>
          <w:rFonts w:ascii="Arial" w:hAnsi="Arial" w:cs="Arial"/>
          <w:bdr w:val="none" w:sz="0" w:space="0" w:color="auto" w:frame="1"/>
        </w:rPr>
        <w:t>Per velocizzare la realizzazione del mercato unico, l’AUE introdusse nelle regole delle istituzioni europee il </w:t>
      </w:r>
      <w:r w:rsidRPr="003C092C">
        <w:rPr>
          <w:rStyle w:val="Enfasicorsivo"/>
          <w:rFonts w:ascii="Arial" w:hAnsi="Arial" w:cs="Arial"/>
          <w:b/>
          <w:bCs/>
          <w:bdr w:val="none" w:sz="0" w:space="0" w:color="auto" w:frame="1"/>
        </w:rPr>
        <w:t>voto a maggioranza qualificata</w:t>
      </w:r>
      <w:r w:rsidRPr="003C092C">
        <w:rPr>
          <w:rFonts w:ascii="Arial" w:hAnsi="Arial" w:cs="Arial"/>
        </w:rPr>
        <w:t>: sulle questioni relative al mercato unico non sarebbe più servita l’unanimità dei voti dei singoli Paesi, ma sulla maggioranza dei voti singoli, ed ogni paese poteva disporre di un numero di voti in base alla propria popolazione. Il documento accresceva inoltre le competenze della </w:t>
      </w:r>
      <w:r w:rsidRPr="003C092C">
        <w:rPr>
          <w:rStyle w:val="Enfasigrassetto"/>
          <w:rFonts w:ascii="Arial" w:hAnsi="Arial" w:cs="Arial"/>
          <w:bdr w:val="none" w:sz="0" w:space="0" w:color="auto" w:frame="1"/>
        </w:rPr>
        <w:t>Comunità Economica Europea</w:t>
      </w:r>
      <w:r w:rsidRPr="003C092C">
        <w:rPr>
          <w:rFonts w:ascii="Arial" w:hAnsi="Arial" w:cs="Arial"/>
        </w:rPr>
        <w:t> e si impegnava per ridurre il divario economico tra i diversi paesi.  </w:t>
      </w:r>
    </w:p>
    <w:p w:rsidR="006C2505" w:rsidRPr="003C092C" w:rsidRDefault="006C2505" w:rsidP="006C2505">
      <w:pPr>
        <w:pStyle w:val="jqcsstitoloamargine"/>
        <w:spacing w:before="0" w:beforeAutospacing="0" w:after="0" w:afterAutospacing="0" w:line="408" w:lineRule="atLeast"/>
        <w:textAlignment w:val="baseline"/>
        <w:rPr>
          <w:rFonts w:ascii="Arial" w:hAnsi="Arial" w:cs="Arial"/>
        </w:rPr>
      </w:pPr>
      <w:r w:rsidRPr="003C092C">
        <w:rPr>
          <w:rFonts w:ascii="Arial" w:hAnsi="Arial" w:cs="Arial"/>
        </w:rPr>
        <w:t>All’inizio degli anni ‘90, la </w:t>
      </w:r>
      <w:r w:rsidR="004C0A0D" w:rsidRPr="003C092C">
        <w:rPr>
          <w:rFonts w:ascii="Arial" w:hAnsi="Arial" w:cs="Arial"/>
        </w:rPr>
        <w:t>guerra fredda</w:t>
      </w:r>
      <w:r w:rsidRPr="003C092C">
        <w:rPr>
          <w:rFonts w:ascii="Arial" w:hAnsi="Arial" w:cs="Arial"/>
        </w:rPr>
        <w:t> poteva dirsi definitivamente conclusa: il </w:t>
      </w:r>
      <w:r w:rsidR="004C0A0D" w:rsidRPr="003C092C">
        <w:rPr>
          <w:rFonts w:ascii="Arial" w:hAnsi="Arial" w:cs="Arial"/>
        </w:rPr>
        <w:t xml:space="preserve">muro di Berlino </w:t>
      </w:r>
      <w:r w:rsidRPr="003C092C">
        <w:rPr>
          <w:rFonts w:ascii="Arial" w:hAnsi="Arial" w:cs="Arial"/>
        </w:rPr>
        <w:t>(1989), la Germania era riunificata (1990), l’Unione Sovietica era definitivamente tracollata nel 1991, e di conseguenza i paesi del blocco sovietico si stavano aprendo alla democrazia.      </w:t>
      </w:r>
    </w:p>
    <w:p w:rsidR="006C2505" w:rsidRPr="003C092C" w:rsidRDefault="006C2505" w:rsidP="006C2505">
      <w:pPr>
        <w:pStyle w:val="jqcsstitoloamargine"/>
        <w:spacing w:before="0" w:beforeAutospacing="0" w:after="0" w:afterAutospacing="0" w:line="408" w:lineRule="atLeast"/>
        <w:textAlignment w:val="baseline"/>
        <w:rPr>
          <w:rFonts w:ascii="Arial" w:hAnsi="Arial" w:cs="Arial"/>
        </w:rPr>
      </w:pPr>
      <w:r w:rsidRPr="003C092C">
        <w:rPr>
          <w:rStyle w:val="Enfasigrassetto"/>
          <w:rFonts w:ascii="Arial" w:hAnsi="Arial" w:cs="Arial"/>
          <w:bdr w:val="none" w:sz="0" w:space="0" w:color="auto" w:frame="1"/>
        </w:rPr>
        <w:t>Dopo cambiamenti così radicali nell’assetto politico europeo, i paesi della Comunità Economica Europea sentirono il bisogno di cambiare l’assetto del continente</w:t>
      </w:r>
      <w:r w:rsidRPr="003C092C">
        <w:rPr>
          <w:rFonts w:ascii="Arial" w:hAnsi="Arial" w:cs="Arial"/>
        </w:rPr>
        <w:t>: con il trattato di </w:t>
      </w:r>
      <w:r w:rsidRPr="003C092C">
        <w:rPr>
          <w:rStyle w:val="Enfasigrassetto"/>
          <w:rFonts w:ascii="Arial" w:hAnsi="Arial" w:cs="Arial"/>
          <w:bdr w:val="none" w:sz="0" w:space="0" w:color="auto" w:frame="1"/>
        </w:rPr>
        <w:t>Maastricht</w:t>
      </w:r>
      <w:r w:rsidRPr="003C092C">
        <w:rPr>
          <w:rFonts w:ascii="Arial" w:hAnsi="Arial" w:cs="Arial"/>
        </w:rPr>
        <w:t>, firmato dai rappresentanti dei paesi (ormai 12), nel febbraio del 1992, venne formalmente istituita l’</w:t>
      </w:r>
      <w:r w:rsidRPr="003C092C">
        <w:rPr>
          <w:rStyle w:val="Enfasigrassetto"/>
          <w:rFonts w:ascii="Arial" w:hAnsi="Arial" w:cs="Arial"/>
          <w:bdr w:val="none" w:sz="0" w:space="0" w:color="auto" w:frame="1"/>
        </w:rPr>
        <w:t>Unione Europea</w:t>
      </w:r>
      <w:r w:rsidRPr="003C092C">
        <w:rPr>
          <w:rFonts w:ascii="Arial" w:hAnsi="Arial" w:cs="Arial"/>
        </w:rPr>
        <w:t> (UE). Il nuovo trattato, in vigore dal 1º novembre del 1993, fu una tappa fondamentale nel percorso di integrazione dell’Europa, perché poneva le basi per una cooperazione più completa in settori come la politica estera e la sicurezza interna, ma soprattutto conteneva le regole della futura </w:t>
      </w:r>
      <w:r w:rsidRPr="003C092C">
        <w:rPr>
          <w:rStyle w:val="Enfasigrassetto"/>
          <w:rFonts w:ascii="Arial" w:hAnsi="Arial" w:cs="Arial"/>
          <w:bdr w:val="none" w:sz="0" w:space="0" w:color="auto" w:frame="1"/>
        </w:rPr>
        <w:t>Unione Europea (UE)</w:t>
      </w:r>
      <w:r w:rsidRPr="003C092C">
        <w:rPr>
          <w:rFonts w:ascii="Arial" w:hAnsi="Arial" w:cs="Arial"/>
        </w:rPr>
        <w:t xml:space="preserve">.  </w:t>
      </w:r>
    </w:p>
    <w:p w:rsidR="006C2505" w:rsidRPr="003C092C" w:rsidRDefault="006C2505" w:rsidP="006C2505">
      <w:pPr>
        <w:pStyle w:val="jqcsstitoloamargine"/>
        <w:spacing w:before="0" w:beforeAutospacing="0" w:after="0" w:afterAutospacing="0" w:line="408" w:lineRule="atLeast"/>
        <w:textAlignment w:val="baseline"/>
        <w:rPr>
          <w:rFonts w:ascii="Arial" w:hAnsi="Arial" w:cs="Arial"/>
        </w:rPr>
      </w:pPr>
      <w:r w:rsidRPr="003C092C">
        <w:rPr>
          <w:rFonts w:ascii="Arial" w:hAnsi="Arial" w:cs="Arial"/>
        </w:rPr>
        <w:t>L’</w:t>
      </w:r>
      <w:r w:rsidRPr="003C092C">
        <w:rPr>
          <w:rStyle w:val="Enfasigrassetto"/>
          <w:rFonts w:ascii="Arial" w:hAnsi="Arial" w:cs="Arial"/>
          <w:bdr w:val="none" w:sz="0" w:space="0" w:color="auto" w:frame="1"/>
        </w:rPr>
        <w:t>Unione Europea</w:t>
      </w:r>
      <w:r w:rsidRPr="003C092C">
        <w:rPr>
          <w:rFonts w:ascii="Arial" w:hAnsi="Arial" w:cs="Arial"/>
        </w:rPr>
        <w:t> avrebbe assorbito le precedenti </w:t>
      </w:r>
      <w:r w:rsidRPr="003C092C">
        <w:rPr>
          <w:rStyle w:val="Enfasigrassetto"/>
          <w:rFonts w:ascii="Arial" w:hAnsi="Arial" w:cs="Arial"/>
          <w:bdr w:val="none" w:sz="0" w:space="0" w:color="auto" w:frame="1"/>
        </w:rPr>
        <w:t>comunità europee</w:t>
      </w:r>
      <w:r w:rsidRPr="003C092C">
        <w:rPr>
          <w:rFonts w:ascii="Arial" w:hAnsi="Arial" w:cs="Arial"/>
        </w:rPr>
        <w:t> (CEE, CECA e CEEA), stabilendo tra gli stati membri una politica estera comune, politiche per la sicurezza collettiva, e cooperazione in materia giudiziaria, penale e di polizia. </w:t>
      </w:r>
      <w:r w:rsidRPr="003C092C">
        <w:rPr>
          <w:rStyle w:val="Enfasigrassetto"/>
          <w:rFonts w:ascii="Arial" w:hAnsi="Arial" w:cs="Arial"/>
          <w:bdr w:val="none" w:sz="0" w:space="0" w:color="auto" w:frame="1"/>
        </w:rPr>
        <w:t>Il trattato adottava inoltre il principio della </w:t>
      </w:r>
      <w:proofErr w:type="spellStart"/>
      <w:r w:rsidRPr="003C092C">
        <w:rPr>
          <w:rStyle w:val="jqcssnota"/>
          <w:rFonts w:ascii="Arial" w:hAnsi="Arial" w:cs="Arial"/>
          <w:b/>
          <w:bCs/>
          <w:i/>
          <w:iCs/>
          <w:color w:val="222222"/>
          <w:bdr w:val="none" w:sz="0" w:space="0" w:color="auto" w:frame="1"/>
          <w:shd w:val="clear" w:color="auto" w:fill="FFFFFF"/>
        </w:rPr>
        <w:t>sussidiarietà</w:t>
      </w:r>
      <w:r w:rsidRPr="003C092C">
        <w:rPr>
          <w:rFonts w:ascii="Arial" w:hAnsi="Arial" w:cs="Arial"/>
        </w:rPr>
        <w:t>come</w:t>
      </w:r>
      <w:proofErr w:type="spellEnd"/>
      <w:r w:rsidRPr="003C092C">
        <w:rPr>
          <w:rFonts w:ascii="Arial" w:hAnsi="Arial" w:cs="Arial"/>
        </w:rPr>
        <w:t xml:space="preserve"> base per stabilire le competenze degli Stati membri e dell’</w:t>
      </w:r>
      <w:r w:rsidRPr="003C092C">
        <w:rPr>
          <w:rStyle w:val="Enfasigrassetto"/>
          <w:rFonts w:ascii="Arial" w:hAnsi="Arial" w:cs="Arial"/>
          <w:bdr w:val="none" w:sz="0" w:space="0" w:color="auto" w:frame="1"/>
        </w:rPr>
        <w:t>Unione Europea</w:t>
      </w:r>
      <w:r w:rsidRPr="003C092C">
        <w:rPr>
          <w:rFonts w:ascii="Arial" w:hAnsi="Arial" w:cs="Arial"/>
        </w:rPr>
        <w:t>. Il Parlamento europeo venne rafforzato, e vennero poste le basi per l’</w:t>
      </w:r>
      <w:r w:rsidRPr="003C092C">
        <w:rPr>
          <w:rStyle w:val="Enfasigrassetto"/>
          <w:rFonts w:ascii="Arial" w:hAnsi="Arial" w:cs="Arial"/>
          <w:bdr w:val="none" w:sz="0" w:space="0" w:color="auto" w:frame="1"/>
        </w:rPr>
        <w:t>Unione economica e monetaria</w:t>
      </w:r>
      <w:r w:rsidRPr="003C092C">
        <w:rPr>
          <w:rFonts w:ascii="Arial" w:hAnsi="Arial" w:cs="Arial"/>
        </w:rPr>
        <w:t>(UEM): entro il 1999 l’Europa avrebbe avuto una moneta unica (l’Euro) ed una </w:t>
      </w:r>
      <w:r w:rsidRPr="003C092C">
        <w:rPr>
          <w:rStyle w:val="Enfasigrassetto"/>
          <w:rFonts w:ascii="Arial" w:hAnsi="Arial" w:cs="Arial"/>
          <w:bdr w:val="none" w:sz="0" w:space="0" w:color="auto" w:frame="1"/>
        </w:rPr>
        <w:t>Banca centrale europea</w:t>
      </w:r>
      <w:r w:rsidRPr="003C092C">
        <w:rPr>
          <w:rFonts w:ascii="Arial" w:hAnsi="Arial" w:cs="Arial"/>
        </w:rPr>
        <w:t> (la BCE). Per poter adottare l’Euro, ogni stato doveva raggiungere determinati parametri economici.   </w:t>
      </w:r>
    </w:p>
    <w:p w:rsidR="006C2505" w:rsidRPr="003C092C" w:rsidRDefault="006C2505" w:rsidP="006C2505">
      <w:pPr>
        <w:pStyle w:val="jqcsstitoloamargine"/>
        <w:spacing w:before="0" w:beforeAutospacing="0" w:after="0" w:afterAutospacing="0" w:line="408" w:lineRule="atLeast"/>
        <w:textAlignment w:val="baseline"/>
        <w:rPr>
          <w:rFonts w:ascii="Arial" w:hAnsi="Arial" w:cs="Arial"/>
        </w:rPr>
      </w:pPr>
      <w:r w:rsidRPr="003C092C">
        <w:rPr>
          <w:rStyle w:val="Enfasigrassetto"/>
          <w:rFonts w:ascii="Arial" w:hAnsi="Arial" w:cs="Arial"/>
          <w:bdr w:val="none" w:sz="0" w:space="0" w:color="auto" w:frame="1"/>
        </w:rPr>
        <w:lastRenderedPageBreak/>
        <w:t>Nel 1995 l’Unione Europea si allarga ulteriormente con l’adesione di </w:t>
      </w:r>
      <w:r w:rsidR="004C0A0D" w:rsidRPr="003C092C">
        <w:rPr>
          <w:rStyle w:val="Enfasigrassetto"/>
          <w:rFonts w:ascii="Arial" w:hAnsi="Arial" w:cs="Arial"/>
          <w:bdr w:val="none" w:sz="0" w:space="0" w:color="auto" w:frame="1"/>
        </w:rPr>
        <w:t>Austria</w:t>
      </w:r>
      <w:r w:rsidRPr="003C092C">
        <w:rPr>
          <w:rStyle w:val="Enfasigrassetto"/>
          <w:rFonts w:ascii="Arial" w:hAnsi="Arial" w:cs="Arial"/>
          <w:bdr w:val="none" w:sz="0" w:space="0" w:color="auto" w:frame="1"/>
        </w:rPr>
        <w:t>, Finlandia e </w:t>
      </w:r>
      <w:r w:rsidR="004C0A0D" w:rsidRPr="003C092C">
        <w:rPr>
          <w:rStyle w:val="Enfasigrassetto"/>
          <w:rFonts w:ascii="Arial" w:hAnsi="Arial" w:cs="Arial"/>
          <w:bdr w:val="none" w:sz="0" w:space="0" w:color="auto" w:frame="1"/>
        </w:rPr>
        <w:t>Svezia</w:t>
      </w:r>
      <w:r w:rsidRPr="003C092C">
        <w:rPr>
          <w:rFonts w:ascii="Arial" w:hAnsi="Arial" w:cs="Arial"/>
        </w:rPr>
        <w:t>, che portano il numero complessivo di Stati membri a 15. Gli unici Stati europei occidentali a rimanere fuori dall’organizzazione rimanevano l’Islanda, la Norvegia e la Svizzera.     </w:t>
      </w:r>
    </w:p>
    <w:p w:rsidR="006C2505" w:rsidRPr="003C092C" w:rsidRDefault="006C2505" w:rsidP="006C2505">
      <w:pPr>
        <w:pStyle w:val="NormaleWeb"/>
        <w:spacing w:before="0" w:beforeAutospacing="0" w:after="0" w:afterAutospacing="0" w:line="408" w:lineRule="atLeast"/>
        <w:textAlignment w:val="baseline"/>
        <w:rPr>
          <w:rFonts w:ascii="Arial" w:hAnsi="Arial" w:cs="Arial"/>
        </w:rPr>
      </w:pPr>
      <w:r w:rsidRPr="003C092C">
        <w:rPr>
          <w:rFonts w:ascii="Arial" w:hAnsi="Arial" w:cs="Arial"/>
        </w:rPr>
        <w:t>Parallelamente, </w:t>
      </w:r>
      <w:r w:rsidRPr="003C092C">
        <w:rPr>
          <w:rStyle w:val="Enfasigrassetto"/>
          <w:rFonts w:ascii="Arial" w:hAnsi="Arial" w:cs="Arial"/>
          <w:bdr w:val="none" w:sz="0" w:space="0" w:color="auto" w:frame="1"/>
        </w:rPr>
        <w:t>numerosi nuovi paesi iniziarono a presentare domanda dalla metà degli anni ‘90</w:t>
      </w:r>
      <w:r w:rsidRPr="003C092C">
        <w:rPr>
          <w:rFonts w:ascii="Arial" w:hAnsi="Arial" w:cs="Arial"/>
        </w:rPr>
        <w:t>. Si trattava di due piccoli stati del </w:t>
      </w:r>
      <w:r w:rsidR="004C0A0D" w:rsidRPr="003C092C">
        <w:rPr>
          <w:rFonts w:ascii="Arial" w:hAnsi="Arial" w:cs="Arial"/>
        </w:rPr>
        <w:t>mediterraneo</w:t>
      </w:r>
      <w:r w:rsidRPr="003C092C">
        <w:rPr>
          <w:rFonts w:ascii="Arial" w:hAnsi="Arial" w:cs="Arial"/>
        </w:rPr>
        <w:t> (Cipro e Malta), degli stati precedentemente appartenenti al blocco sovietico (Bulgaria, </w:t>
      </w:r>
      <w:r w:rsidR="004C0A0D" w:rsidRPr="003C092C">
        <w:rPr>
          <w:rFonts w:ascii="Arial" w:hAnsi="Arial" w:cs="Arial"/>
        </w:rPr>
        <w:t>Polonia</w:t>
      </w:r>
      <w:r w:rsidRPr="003C092C">
        <w:rPr>
          <w:rFonts w:ascii="Arial" w:hAnsi="Arial" w:cs="Arial"/>
        </w:rPr>
        <w:t>, Repubblica Ceca, Romania, Slovacchia, Ungheria), di una repubblica che aveva fatto parte della </w:t>
      </w:r>
      <w:r w:rsidR="004C0A0D" w:rsidRPr="003C092C">
        <w:rPr>
          <w:rFonts w:ascii="Arial" w:hAnsi="Arial" w:cs="Arial"/>
        </w:rPr>
        <w:t>Jugoslavia</w:t>
      </w:r>
      <w:r w:rsidRPr="003C092C">
        <w:rPr>
          <w:rFonts w:ascii="Arial" w:hAnsi="Arial" w:cs="Arial"/>
        </w:rPr>
        <w:t> (la Slovenia), di tre stati baltici che avevano fatto parte dell’Unione Sovietica (Estonia, Lettonia e Lituania).     </w:t>
      </w:r>
    </w:p>
    <w:p w:rsidR="006C2505" w:rsidRPr="003C092C" w:rsidRDefault="006C2505" w:rsidP="006C2505">
      <w:pPr>
        <w:pStyle w:val="jqcsstitoloamargine"/>
        <w:spacing w:before="0" w:beforeAutospacing="0" w:after="0" w:afterAutospacing="0" w:line="408" w:lineRule="atLeast"/>
        <w:textAlignment w:val="baseline"/>
        <w:rPr>
          <w:rFonts w:ascii="Arial" w:hAnsi="Arial" w:cs="Arial"/>
        </w:rPr>
      </w:pPr>
      <w:r w:rsidRPr="003C092C">
        <w:rPr>
          <w:rFonts w:ascii="Arial" w:hAnsi="Arial" w:cs="Arial"/>
        </w:rPr>
        <w:t>L’</w:t>
      </w:r>
      <w:r w:rsidRPr="003C092C">
        <w:rPr>
          <w:rStyle w:val="Enfasigrassetto"/>
          <w:rFonts w:ascii="Arial" w:hAnsi="Arial" w:cs="Arial"/>
          <w:bdr w:val="none" w:sz="0" w:space="0" w:color="auto" w:frame="1"/>
        </w:rPr>
        <w:t>Unione</w:t>
      </w:r>
      <w:r w:rsidRPr="003C092C">
        <w:rPr>
          <w:rFonts w:ascii="Arial" w:hAnsi="Arial" w:cs="Arial"/>
        </w:rPr>
        <w:t> </w:t>
      </w:r>
      <w:r w:rsidRPr="003C092C">
        <w:rPr>
          <w:rStyle w:val="Enfasigrassetto"/>
          <w:rFonts w:ascii="Arial" w:hAnsi="Arial" w:cs="Arial"/>
          <w:bdr w:val="none" w:sz="0" w:space="0" w:color="auto" w:frame="1"/>
        </w:rPr>
        <w:t>Europea</w:t>
      </w:r>
      <w:r w:rsidRPr="003C092C">
        <w:rPr>
          <w:rFonts w:ascii="Arial" w:hAnsi="Arial" w:cs="Arial"/>
        </w:rPr>
        <w:t> accolse in modo favorevole queste candidature, aprendo i negoziati alla fine del 1997: si trattava di giovani democrazie che avrebbero tratto numerosi benefici dall’</w:t>
      </w:r>
      <w:r w:rsidRPr="003C092C">
        <w:rPr>
          <w:rStyle w:val="Enfasigrassetto"/>
          <w:rFonts w:ascii="Arial" w:hAnsi="Arial" w:cs="Arial"/>
          <w:bdr w:val="none" w:sz="0" w:space="0" w:color="auto" w:frame="1"/>
        </w:rPr>
        <w:t>unificazione europea</w:t>
      </w:r>
      <w:r w:rsidRPr="003C092C">
        <w:rPr>
          <w:rFonts w:ascii="Arial" w:hAnsi="Arial" w:cs="Arial"/>
        </w:rPr>
        <w:t>, garantendo maggiore stabilità al continente. </w:t>
      </w:r>
      <w:r w:rsidRPr="003C092C">
        <w:rPr>
          <w:rStyle w:val="Enfasigrassetto"/>
          <w:rFonts w:ascii="Arial" w:hAnsi="Arial" w:cs="Arial"/>
          <w:bdr w:val="none" w:sz="0" w:space="0" w:color="auto" w:frame="1"/>
        </w:rPr>
        <w:t>Allo scopo di fortificare le economie di questi paesi, li si ammise soltanto in alcuni settori dell’integrazione economica</w:t>
      </w:r>
      <w:r w:rsidRPr="003C092C">
        <w:rPr>
          <w:rFonts w:ascii="Arial" w:hAnsi="Arial" w:cs="Arial"/>
        </w:rPr>
        <w:t> prima dell’entrata ufficiale nell’Unione, che per dieci di loro avvenne il 1º maggio del 2004. Nel 2007 fu la volta di Bulgaria e Romania, e nel 2013 toccò alla Croazia: l’</w:t>
      </w:r>
      <w:r w:rsidRPr="003C092C">
        <w:rPr>
          <w:rStyle w:val="Enfasigrassetto"/>
          <w:rFonts w:ascii="Arial" w:hAnsi="Arial" w:cs="Arial"/>
          <w:bdr w:val="none" w:sz="0" w:space="0" w:color="auto" w:frame="1"/>
        </w:rPr>
        <w:t>Unione Europea</w:t>
      </w:r>
      <w:r w:rsidRPr="003C092C">
        <w:rPr>
          <w:rFonts w:ascii="Arial" w:hAnsi="Arial" w:cs="Arial"/>
        </w:rPr>
        <w:t> è attualmente composta da 28 Stati membri.   </w:t>
      </w:r>
    </w:p>
    <w:p w:rsidR="006C2505" w:rsidRPr="003C092C" w:rsidRDefault="006C2505" w:rsidP="006C2505">
      <w:pPr>
        <w:pStyle w:val="NormaleWeb"/>
        <w:spacing w:before="0" w:beforeAutospacing="0" w:after="0" w:afterAutospacing="0" w:line="408" w:lineRule="atLeast"/>
        <w:textAlignment w:val="baseline"/>
        <w:rPr>
          <w:rFonts w:ascii="Arial" w:hAnsi="Arial" w:cs="Arial"/>
        </w:rPr>
      </w:pPr>
      <w:r w:rsidRPr="003C092C">
        <w:rPr>
          <w:rFonts w:ascii="Arial" w:hAnsi="Arial" w:cs="Arial"/>
        </w:rPr>
        <w:t>Una sorte diversa toccò alla Turchia, la cui entrata in Europa è in negoziazione dal 2005, ma che non è stata ancora ammessa per una serie di ragioni: i rapporti da sempre burrascosi con la Grecia (in particolare per via della questione di Cipro), alcune violazioni dei </w:t>
      </w:r>
      <w:r w:rsidR="004C0A0D" w:rsidRPr="003C092C">
        <w:rPr>
          <w:rFonts w:ascii="Arial" w:hAnsi="Arial" w:cs="Arial"/>
        </w:rPr>
        <w:t>diritti umani</w:t>
      </w:r>
      <w:r w:rsidRPr="003C092C">
        <w:rPr>
          <w:rFonts w:ascii="Arial" w:hAnsi="Arial" w:cs="Arial"/>
        </w:rPr>
        <w:t> di cui è stata accusata, e la prevalenza islamica nel paese.   </w:t>
      </w:r>
    </w:p>
    <w:p w:rsidR="004C0A0D" w:rsidRPr="003C092C" w:rsidRDefault="004C0A0D" w:rsidP="006C2505">
      <w:pPr>
        <w:pStyle w:val="jqcsstitoloamargine"/>
        <w:spacing w:before="0" w:beforeAutospacing="0" w:after="0" w:afterAutospacing="0" w:line="408" w:lineRule="atLeast"/>
        <w:textAlignment w:val="baseline"/>
        <w:rPr>
          <w:rFonts w:ascii="Arial" w:hAnsi="Arial" w:cs="Arial"/>
          <w:i/>
          <w:iCs/>
          <w:color w:val="222222"/>
          <w:bdr w:val="none" w:sz="0" w:space="0" w:color="auto" w:frame="1"/>
          <w:shd w:val="clear" w:color="auto" w:fill="FAF7F3"/>
        </w:rPr>
      </w:pPr>
    </w:p>
    <w:p w:rsidR="006C2505" w:rsidRPr="003C092C" w:rsidRDefault="006C2505" w:rsidP="006C2505">
      <w:pPr>
        <w:pStyle w:val="jqcsstitoloamargine"/>
        <w:spacing w:before="0" w:beforeAutospacing="0" w:after="0" w:afterAutospacing="0" w:line="408" w:lineRule="atLeast"/>
        <w:textAlignment w:val="baseline"/>
        <w:rPr>
          <w:rFonts w:ascii="Arial" w:hAnsi="Arial" w:cs="Arial"/>
        </w:rPr>
      </w:pPr>
      <w:r w:rsidRPr="003C092C">
        <w:rPr>
          <w:rFonts w:ascii="Arial" w:hAnsi="Arial" w:cs="Arial"/>
        </w:rPr>
        <w:t>Negli ultimi cinque anni l’</w:t>
      </w:r>
      <w:proofErr w:type="spellStart"/>
      <w:r w:rsidRPr="003C092C">
        <w:rPr>
          <w:rStyle w:val="Enfasigrassetto"/>
          <w:rFonts w:ascii="Arial" w:hAnsi="Arial" w:cs="Arial"/>
          <w:bdr w:val="none" w:sz="0" w:space="0" w:color="auto" w:frame="1"/>
        </w:rPr>
        <w:t>UnioneEuropea</w:t>
      </w:r>
      <w:proofErr w:type="spellEnd"/>
      <w:r w:rsidRPr="003C092C">
        <w:rPr>
          <w:rFonts w:ascii="Arial" w:hAnsi="Arial" w:cs="Arial"/>
        </w:rPr>
        <w:t> ha dovuto affrontare le conseguenze di due delle più grandi sfide affrontate finora. La </w:t>
      </w:r>
      <w:r w:rsidRPr="003C092C">
        <w:rPr>
          <w:rStyle w:val="Enfasigrassetto"/>
          <w:rFonts w:ascii="Arial" w:hAnsi="Arial" w:cs="Arial"/>
          <w:bdr w:val="none" w:sz="0" w:space="0" w:color="auto" w:frame="1"/>
        </w:rPr>
        <w:t>crisi del debito</w:t>
      </w:r>
      <w:r w:rsidRPr="003C092C">
        <w:rPr>
          <w:rFonts w:ascii="Arial" w:hAnsi="Arial" w:cs="Arial"/>
        </w:rPr>
        <w:t> del 2009, iniziata in Grecia e rapidamente arrivata in Irlanda, Italia, Portogallo, Cipro e Spagna. L</w:t>
      </w:r>
      <w:r w:rsidRPr="003C092C">
        <w:rPr>
          <w:rStyle w:val="Enfasigrassetto"/>
          <w:rFonts w:ascii="Arial" w:hAnsi="Arial" w:cs="Arial"/>
          <w:bdr w:val="none" w:sz="0" w:space="0" w:color="auto" w:frame="1"/>
        </w:rPr>
        <w:t>e misure di austerity con cui si è fronteggiata la crisi hanno causato l’instabilità dei partiti che hanno governato l’Europa nei primi anni ‘10</w:t>
      </w:r>
      <w:r w:rsidRPr="003C092C">
        <w:rPr>
          <w:rFonts w:ascii="Arial" w:hAnsi="Arial" w:cs="Arial"/>
        </w:rPr>
        <w:t>: più della metà dei governi dell’</w:t>
      </w:r>
      <w:r w:rsidRPr="003C092C">
        <w:rPr>
          <w:rStyle w:val="Enfasigrassetto"/>
          <w:rFonts w:ascii="Arial" w:hAnsi="Arial" w:cs="Arial"/>
          <w:bdr w:val="none" w:sz="0" w:space="0" w:color="auto" w:frame="1"/>
        </w:rPr>
        <w:t>eurozona</w:t>
      </w:r>
      <w:r w:rsidRPr="003C092C">
        <w:rPr>
          <w:rFonts w:ascii="Arial" w:hAnsi="Arial" w:cs="Arial"/>
        </w:rPr>
        <w:t> sono caduti o hanno subito rimpasti tra il 2011 ed il 2012. La fase di lenta ripresa, tutt’ora in corso, è più lenta del previsto.     </w:t>
      </w:r>
    </w:p>
    <w:p w:rsidR="006C2505" w:rsidRPr="003C092C" w:rsidRDefault="006C2505" w:rsidP="006C2505">
      <w:pPr>
        <w:pStyle w:val="jqcsstitoloamargine"/>
        <w:spacing w:before="0" w:beforeAutospacing="0" w:after="0" w:afterAutospacing="0" w:line="408" w:lineRule="atLeast"/>
        <w:textAlignment w:val="baseline"/>
        <w:rPr>
          <w:rFonts w:ascii="Arial" w:hAnsi="Arial" w:cs="Arial"/>
        </w:rPr>
      </w:pPr>
      <w:r w:rsidRPr="003C092C">
        <w:rPr>
          <w:rFonts w:ascii="Arial" w:hAnsi="Arial" w:cs="Arial"/>
        </w:rPr>
        <w:t>Nel 2014, l’ex repubblica sovietica di Ucraina ha dovuto rinunciare ad accordi di associazione con l’</w:t>
      </w:r>
      <w:r w:rsidRPr="003C092C">
        <w:rPr>
          <w:rStyle w:val="Enfasigrassetto"/>
          <w:rFonts w:ascii="Arial" w:hAnsi="Arial" w:cs="Arial"/>
          <w:bdr w:val="none" w:sz="0" w:space="0" w:color="auto" w:frame="1"/>
        </w:rPr>
        <w:t>Unione Europea</w:t>
      </w:r>
      <w:r w:rsidRPr="003C092C">
        <w:rPr>
          <w:rFonts w:ascii="Arial" w:hAnsi="Arial" w:cs="Arial"/>
        </w:rPr>
        <w:t> a causa di pesanti pressioni russe provocando manifestazioni popolari, mentre la </w:t>
      </w:r>
      <w:r w:rsidR="004C0A0D" w:rsidRPr="003C092C">
        <w:rPr>
          <w:rFonts w:ascii="Arial" w:hAnsi="Arial" w:cs="Arial"/>
        </w:rPr>
        <w:t>Crimea</w:t>
      </w:r>
      <w:r w:rsidRPr="003C092C">
        <w:rPr>
          <w:rFonts w:ascii="Arial" w:hAnsi="Arial" w:cs="Arial"/>
        </w:rPr>
        <w:t>, regione autonoma a maggioranza russa, annunciava la propria indipendenza dall’Ucraina. La </w:t>
      </w:r>
      <w:r w:rsidR="004C0A0D" w:rsidRPr="003C092C">
        <w:rPr>
          <w:rFonts w:ascii="Arial" w:hAnsi="Arial" w:cs="Arial"/>
        </w:rPr>
        <w:t xml:space="preserve">Russia </w:t>
      </w:r>
      <w:r w:rsidRPr="003C092C">
        <w:rPr>
          <w:rFonts w:ascii="Arial" w:hAnsi="Arial" w:cs="Arial"/>
        </w:rPr>
        <w:t>è stata sanzionata dall’</w:t>
      </w:r>
      <w:r w:rsidRPr="003C092C">
        <w:rPr>
          <w:rStyle w:val="Enfasigrassetto"/>
          <w:rFonts w:ascii="Arial" w:hAnsi="Arial" w:cs="Arial"/>
          <w:bdr w:val="none" w:sz="0" w:space="0" w:color="auto" w:frame="1"/>
        </w:rPr>
        <w:t>Unione</w:t>
      </w:r>
      <w:r w:rsidRPr="003C092C">
        <w:rPr>
          <w:rFonts w:ascii="Arial" w:hAnsi="Arial" w:cs="Arial"/>
        </w:rPr>
        <w:t> </w:t>
      </w:r>
      <w:r w:rsidRPr="003C092C">
        <w:rPr>
          <w:rStyle w:val="Enfasigrassetto"/>
          <w:rFonts w:ascii="Arial" w:hAnsi="Arial" w:cs="Arial"/>
          <w:bdr w:val="none" w:sz="0" w:space="0" w:color="auto" w:frame="1"/>
        </w:rPr>
        <w:t>Europea</w:t>
      </w:r>
      <w:r w:rsidRPr="003C092C">
        <w:rPr>
          <w:rFonts w:ascii="Arial" w:hAnsi="Arial" w:cs="Arial"/>
        </w:rPr>
        <w:t> per la partecipazione nella guerra civile in Ucraina, ed attualmente i paesi dell’</w:t>
      </w:r>
      <w:r w:rsidRPr="003C092C">
        <w:rPr>
          <w:rStyle w:val="Enfasigrassetto"/>
          <w:rFonts w:ascii="Arial" w:hAnsi="Arial" w:cs="Arial"/>
          <w:bdr w:val="none" w:sz="0" w:space="0" w:color="auto" w:frame="1"/>
        </w:rPr>
        <w:t>UE</w:t>
      </w:r>
      <w:r w:rsidRPr="003C092C">
        <w:rPr>
          <w:rFonts w:ascii="Arial" w:hAnsi="Arial" w:cs="Arial"/>
        </w:rPr>
        <w:t> sono fortemente divisi su come agire in futuro con la Russia di Putin</w:t>
      </w:r>
    </w:p>
    <w:p w:rsidR="006C2505" w:rsidRPr="003C092C" w:rsidRDefault="006C2505" w:rsidP="006C2505">
      <w:pPr>
        <w:pStyle w:val="jqcsstitoloamargine"/>
        <w:spacing w:before="0" w:beforeAutospacing="0" w:after="0" w:afterAutospacing="0" w:line="408" w:lineRule="atLeast"/>
        <w:textAlignment w:val="baseline"/>
        <w:rPr>
          <w:rFonts w:ascii="Arial" w:hAnsi="Arial" w:cs="Arial"/>
        </w:rPr>
      </w:pPr>
      <w:r w:rsidRPr="003C092C">
        <w:rPr>
          <w:rFonts w:ascii="Arial" w:hAnsi="Arial" w:cs="Arial"/>
        </w:rPr>
        <w:lastRenderedPageBreak/>
        <w:t>Attualmente, l’</w:t>
      </w:r>
      <w:r w:rsidRPr="003C092C">
        <w:rPr>
          <w:rStyle w:val="Enfasigrassetto"/>
          <w:rFonts w:ascii="Arial" w:hAnsi="Arial" w:cs="Arial"/>
          <w:bdr w:val="none" w:sz="0" w:space="0" w:color="auto" w:frame="1"/>
        </w:rPr>
        <w:t>Europa si trova a fronteggiare un numero di profughi provenienti da numerosi paesi</w:t>
      </w:r>
      <w:r w:rsidRPr="003C092C">
        <w:rPr>
          <w:rFonts w:ascii="Arial" w:hAnsi="Arial" w:cs="Arial"/>
        </w:rPr>
        <w:t>. I paesi più colpiti da queste </w:t>
      </w:r>
      <w:r w:rsidR="004C0A0D" w:rsidRPr="003C092C">
        <w:rPr>
          <w:rFonts w:ascii="Arial" w:hAnsi="Arial" w:cs="Arial"/>
        </w:rPr>
        <w:t>migrazioni</w:t>
      </w:r>
      <w:r w:rsidRPr="003C092C">
        <w:rPr>
          <w:rFonts w:ascii="Arial" w:hAnsi="Arial" w:cs="Arial"/>
        </w:rPr>
        <w:t> (in particolare Ungheria, Grecia ed Italia) hanno chiesto a tutti gli stati dell’</w:t>
      </w:r>
      <w:r w:rsidRPr="003C092C">
        <w:rPr>
          <w:rStyle w:val="Enfasigrassetto"/>
          <w:rFonts w:ascii="Arial" w:hAnsi="Arial" w:cs="Arial"/>
          <w:bdr w:val="none" w:sz="0" w:space="0" w:color="auto" w:frame="1"/>
        </w:rPr>
        <w:t>Unione Europea</w:t>
      </w:r>
      <w:r w:rsidRPr="003C092C">
        <w:rPr>
          <w:rFonts w:ascii="Arial" w:hAnsi="Arial" w:cs="Arial"/>
        </w:rPr>
        <w:t> di farsi carico del problema in qualche misura.     </w:t>
      </w:r>
    </w:p>
    <w:p w:rsidR="006C2505" w:rsidRPr="003C092C" w:rsidRDefault="006C2505" w:rsidP="006C2505">
      <w:pPr>
        <w:pStyle w:val="jqcsstitoloamargine"/>
        <w:spacing w:before="0" w:beforeAutospacing="0" w:after="0" w:afterAutospacing="0" w:line="408" w:lineRule="atLeast"/>
        <w:textAlignment w:val="baseline"/>
        <w:rPr>
          <w:rFonts w:ascii="Arial" w:hAnsi="Arial" w:cs="Arial"/>
        </w:rPr>
      </w:pPr>
      <w:r w:rsidRPr="003C092C">
        <w:rPr>
          <w:rFonts w:ascii="Arial" w:hAnsi="Arial" w:cs="Arial"/>
        </w:rPr>
        <w:t>Oggi molti paesi stanno meditando come una seria opzione per il futuro, l’uscita dall’</w:t>
      </w:r>
      <w:r w:rsidRPr="003C092C">
        <w:rPr>
          <w:rStyle w:val="Enfasigrassetto"/>
          <w:rFonts w:ascii="Arial" w:hAnsi="Arial" w:cs="Arial"/>
          <w:bdr w:val="none" w:sz="0" w:space="0" w:color="auto" w:frame="1"/>
        </w:rPr>
        <w:t>Unione Europea</w:t>
      </w:r>
      <w:r w:rsidRPr="003C092C">
        <w:rPr>
          <w:rFonts w:ascii="Arial" w:hAnsi="Arial" w:cs="Arial"/>
        </w:rPr>
        <w:t xml:space="preserve">. Questa scelta, se da una parte è la via logica da percorrere per i paesi europei in questa società globalizzata, dall’altra è ancora lontana dai progetti federalisti del Manifesto di </w:t>
      </w:r>
      <w:proofErr w:type="spellStart"/>
      <w:r w:rsidRPr="003C092C">
        <w:rPr>
          <w:rFonts w:ascii="Arial" w:hAnsi="Arial" w:cs="Arial"/>
        </w:rPr>
        <w:t>Ventotene</w:t>
      </w:r>
      <w:proofErr w:type="spellEnd"/>
      <w:r w:rsidRPr="003C092C">
        <w:rPr>
          <w:rFonts w:ascii="Arial" w:hAnsi="Arial" w:cs="Arial"/>
        </w:rPr>
        <w:t>.    </w:t>
      </w:r>
    </w:p>
    <w:p w:rsidR="006C2505" w:rsidRPr="003C092C" w:rsidRDefault="006C2505" w:rsidP="006C2505">
      <w:pPr>
        <w:shd w:val="clear" w:color="auto" w:fill="FFFFFF"/>
        <w:spacing w:after="0" w:line="336" w:lineRule="atLeast"/>
        <w:outlineLvl w:val="2"/>
        <w:rPr>
          <w:rFonts w:ascii="Arial" w:eastAsia="Times New Roman" w:hAnsi="Arial" w:cs="Arial"/>
          <w:color w:val="404040"/>
          <w:sz w:val="24"/>
          <w:szCs w:val="24"/>
          <w:lang w:eastAsia="it-IT"/>
        </w:rPr>
      </w:pPr>
    </w:p>
    <w:p w:rsidR="006C2505" w:rsidRPr="003C092C" w:rsidRDefault="004C0A0D" w:rsidP="006C2505">
      <w:pPr>
        <w:shd w:val="clear" w:color="auto" w:fill="FFFFFF"/>
        <w:spacing w:after="0" w:line="336" w:lineRule="atLeast"/>
        <w:outlineLvl w:val="2"/>
        <w:rPr>
          <w:rFonts w:ascii="Arial" w:hAnsi="Arial" w:cs="Arial"/>
          <w:sz w:val="24"/>
          <w:szCs w:val="24"/>
        </w:rPr>
      </w:pPr>
      <w:r w:rsidRPr="003C092C">
        <w:rPr>
          <w:rFonts w:ascii="Arial" w:hAnsi="Arial" w:cs="Arial"/>
          <w:sz w:val="24"/>
          <w:szCs w:val="24"/>
        </w:rPr>
        <w:t>dell’Unione europea. La Carta dei diritti fondamentali dell'Unione europea è stata solennemente proclamata una prima volta il 7 dicembre 2000 a Nizza e una seconda volta, in una versione adattata, il 12 dicembre 2007 a Strasburgo da Parlamento, Consiglio e Commissione. Con l'entrata in vigore del trattato di Lisbona, la Carta di Nizza ha il medesimo valore giuridico dei trattati. Essa risponde alla necessità di definire un gruppo di diritti e di libertà di eccezionale rilevanza che fossero garantiti a tutti i cittadini dell’Unione La Carta enuncia i diritti e i principi che dovranno essere rispettati dall'Unione in sede di applicazione del diritto comunitario. L'attuazione di tali principi, comunque, è affidata anche alle normative nazionali. Tali diritti sono : Dignità (art 1-5); Libertà (art. 6-19); Uguaglianza (art. 20-26); Solidarietà (art. 27-38); Cittadinanza (art. 39-46); Giustizia (art. 47-50).</w:t>
      </w:r>
    </w:p>
    <w:p w:rsidR="004C0A0D" w:rsidRPr="003C092C" w:rsidRDefault="004C0A0D" w:rsidP="006C2505">
      <w:pPr>
        <w:shd w:val="clear" w:color="auto" w:fill="FFFFFF"/>
        <w:spacing w:after="0" w:line="336" w:lineRule="atLeast"/>
        <w:outlineLvl w:val="2"/>
        <w:rPr>
          <w:rFonts w:ascii="Arial" w:hAnsi="Arial" w:cs="Arial"/>
          <w:sz w:val="24"/>
          <w:szCs w:val="24"/>
        </w:rPr>
      </w:pPr>
    </w:p>
    <w:p w:rsidR="00CA2E12" w:rsidRPr="003C092C" w:rsidRDefault="004C0A0D" w:rsidP="006C2505">
      <w:pPr>
        <w:shd w:val="clear" w:color="auto" w:fill="FFFFFF"/>
        <w:spacing w:after="0" w:line="336" w:lineRule="atLeast"/>
        <w:outlineLvl w:val="2"/>
        <w:rPr>
          <w:rFonts w:ascii="Arial" w:hAnsi="Arial" w:cs="Arial"/>
          <w:sz w:val="24"/>
          <w:szCs w:val="24"/>
        </w:rPr>
      </w:pPr>
      <w:r w:rsidRPr="003C092C">
        <w:rPr>
          <w:rFonts w:ascii="Arial" w:hAnsi="Arial" w:cs="Arial"/>
          <w:sz w:val="24"/>
          <w:szCs w:val="24"/>
        </w:rPr>
        <w:t xml:space="preserve">Il “no” referendario di Francia e Paesi Bassi ha segnato, però, il fallimento dell’iniziativa. In seguito al fallimento del progetto, abbandonato l’idea di sostituire ai TRATTATI CE dell’Unione un testo di livello costituzionale è stato deciso di far ripartire il progetto di riforma dei trattati. </w:t>
      </w:r>
    </w:p>
    <w:p w:rsidR="00CA2E12" w:rsidRPr="003C092C" w:rsidRDefault="004C0A0D" w:rsidP="006C2505">
      <w:pPr>
        <w:shd w:val="clear" w:color="auto" w:fill="FFFFFF"/>
        <w:spacing w:after="0" w:line="336" w:lineRule="atLeast"/>
        <w:outlineLvl w:val="2"/>
        <w:rPr>
          <w:rFonts w:ascii="Arial" w:hAnsi="Arial" w:cs="Arial"/>
          <w:sz w:val="24"/>
          <w:szCs w:val="24"/>
        </w:rPr>
      </w:pPr>
      <w:r w:rsidRPr="003C092C">
        <w:rPr>
          <w:rFonts w:ascii="Arial" w:hAnsi="Arial" w:cs="Arial"/>
          <w:sz w:val="24"/>
          <w:szCs w:val="24"/>
        </w:rPr>
        <w:t>Nel 2007 è stato firmato il Trattato di Lisbona. (Fanno parte dell’UE, 28 Paesi – Croazia dal 1° Luglio 2013). 5) prevede la modifica del TCE (trattato istitutivo della Comunità europea del 1957) e del trattato di Maastricht del 1993</w:t>
      </w:r>
    </w:p>
    <w:p w:rsidR="00CA2E12" w:rsidRPr="003C092C" w:rsidRDefault="004C0A0D" w:rsidP="006C2505">
      <w:pPr>
        <w:shd w:val="clear" w:color="auto" w:fill="FFFFFF"/>
        <w:spacing w:after="0" w:line="336" w:lineRule="atLeast"/>
        <w:outlineLvl w:val="2"/>
        <w:rPr>
          <w:rFonts w:ascii="Arial" w:hAnsi="Arial" w:cs="Arial"/>
          <w:sz w:val="24"/>
          <w:szCs w:val="24"/>
        </w:rPr>
      </w:pPr>
      <w:r w:rsidRPr="003C092C">
        <w:rPr>
          <w:rFonts w:ascii="Arial" w:hAnsi="Arial" w:cs="Arial"/>
          <w:sz w:val="24"/>
          <w:szCs w:val="24"/>
        </w:rPr>
        <w:t xml:space="preserve">I trattati istitutivi restano sempre 2: </w:t>
      </w:r>
    </w:p>
    <w:p w:rsidR="00CA2E12" w:rsidRPr="003C092C" w:rsidRDefault="004C0A0D" w:rsidP="006C2505">
      <w:pPr>
        <w:shd w:val="clear" w:color="auto" w:fill="FFFFFF"/>
        <w:spacing w:after="0" w:line="336" w:lineRule="atLeast"/>
        <w:outlineLvl w:val="2"/>
        <w:rPr>
          <w:rFonts w:ascii="Arial" w:hAnsi="Arial" w:cs="Arial"/>
          <w:sz w:val="24"/>
          <w:szCs w:val="24"/>
        </w:rPr>
      </w:pPr>
      <w:r w:rsidRPr="003C092C">
        <w:rPr>
          <w:rFonts w:ascii="Arial" w:hAnsi="Arial" w:cs="Arial"/>
          <w:sz w:val="24"/>
          <w:szCs w:val="24"/>
        </w:rPr>
        <w:t xml:space="preserve">1) il TUE (nuovo trattato sull’Unione Europea – che modifica il trattato di Maastricht) </w:t>
      </w:r>
    </w:p>
    <w:p w:rsidR="00CA2E12" w:rsidRPr="003C092C" w:rsidRDefault="004C0A0D" w:rsidP="006C2505">
      <w:pPr>
        <w:shd w:val="clear" w:color="auto" w:fill="FFFFFF"/>
        <w:spacing w:after="0" w:line="336" w:lineRule="atLeast"/>
        <w:outlineLvl w:val="2"/>
        <w:rPr>
          <w:rFonts w:ascii="Arial" w:hAnsi="Arial" w:cs="Arial"/>
          <w:sz w:val="24"/>
          <w:szCs w:val="24"/>
        </w:rPr>
      </w:pPr>
      <w:r w:rsidRPr="003C092C">
        <w:rPr>
          <w:rFonts w:ascii="Arial" w:hAnsi="Arial" w:cs="Arial"/>
          <w:sz w:val="24"/>
          <w:szCs w:val="24"/>
        </w:rPr>
        <w:t xml:space="preserve">2) il TFUE (che sostituisce il TCE del 1957): </w:t>
      </w:r>
    </w:p>
    <w:p w:rsidR="00CA2E12" w:rsidRPr="003C092C" w:rsidRDefault="00CA2E12" w:rsidP="006C2505">
      <w:pPr>
        <w:shd w:val="clear" w:color="auto" w:fill="FFFFFF"/>
        <w:spacing w:after="0" w:line="336" w:lineRule="atLeast"/>
        <w:outlineLvl w:val="2"/>
        <w:rPr>
          <w:rFonts w:ascii="Arial" w:hAnsi="Arial" w:cs="Arial"/>
          <w:sz w:val="24"/>
          <w:szCs w:val="24"/>
        </w:rPr>
      </w:pPr>
    </w:p>
    <w:p w:rsidR="00CA2E12" w:rsidRPr="003C092C" w:rsidRDefault="004C0A0D" w:rsidP="006C2505">
      <w:pPr>
        <w:shd w:val="clear" w:color="auto" w:fill="FFFFFF"/>
        <w:spacing w:after="0" w:line="336" w:lineRule="atLeast"/>
        <w:outlineLvl w:val="2"/>
        <w:rPr>
          <w:rFonts w:ascii="Arial" w:hAnsi="Arial" w:cs="Arial"/>
          <w:sz w:val="24"/>
          <w:szCs w:val="24"/>
        </w:rPr>
      </w:pPr>
      <w:r w:rsidRPr="003C092C">
        <w:rPr>
          <w:rFonts w:ascii="Arial" w:hAnsi="Arial" w:cs="Arial"/>
          <w:sz w:val="24"/>
          <w:szCs w:val="24"/>
        </w:rPr>
        <w:t>Il TUE è ora composto da 6 titoli:</w:t>
      </w:r>
    </w:p>
    <w:p w:rsidR="00CA2E12" w:rsidRPr="003C092C" w:rsidRDefault="004C0A0D" w:rsidP="006C2505">
      <w:pPr>
        <w:shd w:val="clear" w:color="auto" w:fill="FFFFFF"/>
        <w:spacing w:after="0" w:line="336" w:lineRule="atLeast"/>
        <w:outlineLvl w:val="2"/>
        <w:rPr>
          <w:rFonts w:ascii="Arial" w:hAnsi="Arial" w:cs="Arial"/>
          <w:sz w:val="24"/>
          <w:szCs w:val="24"/>
        </w:rPr>
      </w:pPr>
      <w:r w:rsidRPr="003C092C">
        <w:rPr>
          <w:rFonts w:ascii="Arial" w:hAnsi="Arial" w:cs="Arial"/>
          <w:sz w:val="24"/>
          <w:szCs w:val="24"/>
        </w:rPr>
        <w:t xml:space="preserve"> 1) Disposizioni comuni</w:t>
      </w:r>
    </w:p>
    <w:p w:rsidR="00CA2E12" w:rsidRPr="003C092C" w:rsidRDefault="004C0A0D" w:rsidP="006C2505">
      <w:pPr>
        <w:shd w:val="clear" w:color="auto" w:fill="FFFFFF"/>
        <w:spacing w:after="0" w:line="336" w:lineRule="atLeast"/>
        <w:outlineLvl w:val="2"/>
        <w:rPr>
          <w:rFonts w:ascii="Arial" w:hAnsi="Arial" w:cs="Arial"/>
          <w:sz w:val="24"/>
          <w:szCs w:val="24"/>
        </w:rPr>
      </w:pPr>
      <w:r w:rsidRPr="003C092C">
        <w:rPr>
          <w:rFonts w:ascii="Arial" w:hAnsi="Arial" w:cs="Arial"/>
          <w:sz w:val="24"/>
          <w:szCs w:val="24"/>
        </w:rPr>
        <w:t xml:space="preserve"> 2) Disposizioni relative ai principi democratici</w:t>
      </w:r>
    </w:p>
    <w:p w:rsidR="00CA2E12" w:rsidRPr="003C092C" w:rsidRDefault="004C0A0D" w:rsidP="006C2505">
      <w:pPr>
        <w:shd w:val="clear" w:color="auto" w:fill="FFFFFF"/>
        <w:spacing w:after="0" w:line="336" w:lineRule="atLeast"/>
        <w:outlineLvl w:val="2"/>
        <w:rPr>
          <w:rFonts w:ascii="Arial" w:hAnsi="Arial" w:cs="Arial"/>
          <w:sz w:val="24"/>
          <w:szCs w:val="24"/>
        </w:rPr>
      </w:pPr>
      <w:r w:rsidRPr="003C092C">
        <w:rPr>
          <w:rFonts w:ascii="Arial" w:hAnsi="Arial" w:cs="Arial"/>
          <w:sz w:val="24"/>
          <w:szCs w:val="24"/>
        </w:rPr>
        <w:t xml:space="preserve"> 3) Disposizioni relative alle istituzioni</w:t>
      </w:r>
    </w:p>
    <w:p w:rsidR="00CA2E12" w:rsidRPr="003C092C" w:rsidRDefault="004C0A0D" w:rsidP="006C2505">
      <w:pPr>
        <w:shd w:val="clear" w:color="auto" w:fill="FFFFFF"/>
        <w:spacing w:after="0" w:line="336" w:lineRule="atLeast"/>
        <w:outlineLvl w:val="2"/>
        <w:rPr>
          <w:rFonts w:ascii="Arial" w:hAnsi="Arial" w:cs="Arial"/>
          <w:sz w:val="24"/>
          <w:szCs w:val="24"/>
        </w:rPr>
      </w:pPr>
      <w:r w:rsidRPr="003C092C">
        <w:rPr>
          <w:rFonts w:ascii="Arial" w:hAnsi="Arial" w:cs="Arial"/>
          <w:sz w:val="24"/>
          <w:szCs w:val="24"/>
        </w:rPr>
        <w:t xml:space="preserve"> 4) Disposizioni sulle cooperazioni rinforzate </w:t>
      </w:r>
    </w:p>
    <w:p w:rsidR="00CA2E12" w:rsidRPr="003C092C" w:rsidRDefault="004C0A0D" w:rsidP="006C2505">
      <w:pPr>
        <w:shd w:val="clear" w:color="auto" w:fill="FFFFFF"/>
        <w:spacing w:after="0" w:line="336" w:lineRule="atLeast"/>
        <w:outlineLvl w:val="2"/>
        <w:rPr>
          <w:rFonts w:ascii="Arial" w:hAnsi="Arial" w:cs="Arial"/>
          <w:sz w:val="24"/>
          <w:szCs w:val="24"/>
        </w:rPr>
      </w:pPr>
      <w:r w:rsidRPr="003C092C">
        <w:rPr>
          <w:rFonts w:ascii="Arial" w:hAnsi="Arial" w:cs="Arial"/>
          <w:sz w:val="24"/>
          <w:szCs w:val="24"/>
        </w:rPr>
        <w:t>5) Disposizioni sull’azione esterna dell’UE – politica estera e sicurezza comune</w:t>
      </w:r>
    </w:p>
    <w:p w:rsidR="004C0A0D" w:rsidRPr="003C092C" w:rsidRDefault="004C0A0D" w:rsidP="006C2505">
      <w:pPr>
        <w:shd w:val="clear" w:color="auto" w:fill="FFFFFF"/>
        <w:spacing w:after="0" w:line="336" w:lineRule="atLeast"/>
        <w:outlineLvl w:val="2"/>
        <w:rPr>
          <w:rFonts w:ascii="Arial" w:eastAsia="Times New Roman" w:hAnsi="Arial" w:cs="Arial"/>
          <w:color w:val="404040"/>
          <w:sz w:val="24"/>
          <w:szCs w:val="24"/>
          <w:lang w:eastAsia="it-IT"/>
        </w:rPr>
      </w:pPr>
      <w:r w:rsidRPr="003C092C">
        <w:rPr>
          <w:rFonts w:ascii="Arial" w:hAnsi="Arial" w:cs="Arial"/>
          <w:sz w:val="24"/>
          <w:szCs w:val="24"/>
        </w:rPr>
        <w:t xml:space="preserve"> 6) Disposizioni finali.</w:t>
      </w:r>
    </w:p>
    <w:p w:rsidR="006C2505" w:rsidRPr="003C092C" w:rsidRDefault="006C2505">
      <w:pPr>
        <w:rPr>
          <w:rFonts w:ascii="Arial" w:hAnsi="Arial" w:cs="Arial"/>
          <w:sz w:val="24"/>
          <w:szCs w:val="24"/>
        </w:rPr>
      </w:pPr>
    </w:p>
    <w:p w:rsidR="00CA2E12" w:rsidRPr="003C092C" w:rsidRDefault="00CA2E12">
      <w:pPr>
        <w:rPr>
          <w:rFonts w:ascii="Arial" w:hAnsi="Arial" w:cs="Arial"/>
          <w:sz w:val="24"/>
          <w:szCs w:val="24"/>
        </w:rPr>
      </w:pPr>
      <w:r w:rsidRPr="003C092C">
        <w:rPr>
          <w:rFonts w:ascii="Arial" w:hAnsi="Arial" w:cs="Arial"/>
          <w:sz w:val="24"/>
          <w:szCs w:val="24"/>
        </w:rPr>
        <w:t xml:space="preserve">Le istituzioni dell’Unione: il Trattato di Lisbona ha ridisegnato il quadro istituzionale dell’Unione europea con l’obiettivo di: </w:t>
      </w:r>
    </w:p>
    <w:p w:rsidR="00CA2E12" w:rsidRPr="003C092C" w:rsidRDefault="00CA2E12">
      <w:pPr>
        <w:rPr>
          <w:rFonts w:ascii="Arial" w:hAnsi="Arial" w:cs="Arial"/>
          <w:sz w:val="24"/>
          <w:szCs w:val="24"/>
        </w:rPr>
      </w:pPr>
      <w:r w:rsidRPr="003C092C">
        <w:rPr>
          <w:rFonts w:ascii="Arial" w:hAnsi="Arial" w:cs="Arial"/>
          <w:sz w:val="24"/>
          <w:szCs w:val="24"/>
        </w:rPr>
        <w:t>1) promuoverne i valori,</w:t>
      </w:r>
    </w:p>
    <w:p w:rsidR="00CA2E12" w:rsidRPr="003C092C" w:rsidRDefault="00CA2E12">
      <w:pPr>
        <w:rPr>
          <w:rFonts w:ascii="Arial" w:hAnsi="Arial" w:cs="Arial"/>
          <w:sz w:val="24"/>
          <w:szCs w:val="24"/>
        </w:rPr>
      </w:pPr>
      <w:r w:rsidRPr="003C092C">
        <w:rPr>
          <w:rFonts w:ascii="Arial" w:hAnsi="Arial" w:cs="Arial"/>
          <w:sz w:val="24"/>
          <w:szCs w:val="24"/>
        </w:rPr>
        <w:lastRenderedPageBreak/>
        <w:t xml:space="preserve"> 2) perseguirne gli obiettivi,</w:t>
      </w:r>
    </w:p>
    <w:p w:rsidR="00CA2E12" w:rsidRPr="003C092C" w:rsidRDefault="00CA2E12">
      <w:pPr>
        <w:rPr>
          <w:rFonts w:ascii="Arial" w:hAnsi="Arial" w:cs="Arial"/>
          <w:sz w:val="24"/>
          <w:szCs w:val="24"/>
        </w:rPr>
      </w:pPr>
      <w:r w:rsidRPr="003C092C">
        <w:rPr>
          <w:rFonts w:ascii="Arial" w:hAnsi="Arial" w:cs="Arial"/>
          <w:sz w:val="24"/>
          <w:szCs w:val="24"/>
        </w:rPr>
        <w:t xml:space="preserve"> 3) servire i suoi interessi, quelli dei suoi cittadini e quelli degli stati membri, garantirne la coerenza, l’efficacia e la continuità delle sue politiche e delle sue azioni. </w:t>
      </w:r>
    </w:p>
    <w:p w:rsidR="003C092C" w:rsidRPr="003C092C" w:rsidRDefault="003C092C" w:rsidP="003C092C">
      <w:pPr>
        <w:pStyle w:val="NormaleWeb"/>
        <w:shd w:val="clear" w:color="auto" w:fill="FFFFFF"/>
        <w:spacing w:before="120" w:beforeAutospacing="0" w:after="120" w:afterAutospacing="0"/>
        <w:rPr>
          <w:rFonts w:ascii="Arial" w:hAnsi="Arial" w:cs="Arial"/>
          <w:color w:val="222222"/>
        </w:rPr>
      </w:pPr>
      <w:r w:rsidRPr="003C092C">
        <w:rPr>
          <w:rFonts w:ascii="Arial" w:hAnsi="Arial" w:cs="Arial"/>
          <w:color w:val="222222"/>
        </w:rPr>
        <w:t>Il  </w:t>
      </w:r>
      <w:r w:rsidRPr="003C092C">
        <w:rPr>
          <w:rFonts w:ascii="Arial" w:hAnsi="Arial" w:cs="Arial"/>
          <w:b/>
          <w:bCs/>
          <w:color w:val="222222"/>
        </w:rPr>
        <w:t>Mercato europeo comune</w:t>
      </w:r>
      <w:r w:rsidRPr="003C092C">
        <w:rPr>
          <w:rFonts w:ascii="Arial" w:hAnsi="Arial" w:cs="Arial"/>
          <w:color w:val="222222"/>
        </w:rPr>
        <w:t> (</w:t>
      </w:r>
      <w:r w:rsidRPr="003C092C">
        <w:rPr>
          <w:rFonts w:ascii="Arial" w:hAnsi="Arial" w:cs="Arial"/>
          <w:b/>
          <w:bCs/>
          <w:color w:val="222222"/>
        </w:rPr>
        <w:t>MEC</w:t>
      </w:r>
      <w:r w:rsidRPr="003C092C">
        <w:rPr>
          <w:rFonts w:ascii="Arial" w:hAnsi="Arial" w:cs="Arial"/>
          <w:color w:val="222222"/>
        </w:rPr>
        <w:t xml:space="preserve">)è un mercato </w:t>
      </w:r>
      <w:proofErr w:type="spellStart"/>
      <w:r w:rsidRPr="003C092C">
        <w:rPr>
          <w:rFonts w:ascii="Arial" w:hAnsi="Arial" w:cs="Arial"/>
          <w:color w:val="222222"/>
        </w:rPr>
        <w:t>unicoa</w:t>
      </w:r>
      <w:proofErr w:type="spellEnd"/>
      <w:r w:rsidRPr="003C092C">
        <w:rPr>
          <w:rFonts w:ascii="Arial" w:hAnsi="Arial" w:cs="Arial"/>
          <w:color w:val="222222"/>
        </w:rPr>
        <w:t>, della , CEE), la cui creazione era uno degli obiettivi fondamentali dei Trattati di Roma che istituirono la CEE. L'espressione veniva inoltre spesso utilizzata come sinonimo di CEE.</w:t>
      </w:r>
    </w:p>
    <w:p w:rsidR="003C092C" w:rsidRPr="003C092C" w:rsidRDefault="003C092C" w:rsidP="003C092C">
      <w:pPr>
        <w:pStyle w:val="NormaleWeb"/>
        <w:shd w:val="clear" w:color="auto" w:fill="FFFFFF"/>
        <w:spacing w:before="120" w:beforeAutospacing="0" w:after="120" w:afterAutospacing="0"/>
        <w:rPr>
          <w:rFonts w:ascii="Arial" w:hAnsi="Arial" w:cs="Arial"/>
          <w:color w:val="222222"/>
        </w:rPr>
      </w:pPr>
      <w:r w:rsidRPr="003C092C">
        <w:rPr>
          <w:rFonts w:ascii="Arial" w:hAnsi="Arial" w:cs="Arial"/>
          <w:color w:val="222222"/>
        </w:rPr>
        <w:t>I trattati di Roma – firmati il 25 marzo 1957– fissavano un periodo transitorio di dodici anni (conclusosi il 31 dicembre </w:t>
      </w:r>
      <w:hyperlink r:id="rId8" w:tooltip="1969" w:history="1">
        <w:r w:rsidRPr="003C092C">
          <w:rPr>
            <w:rStyle w:val="Collegamentoipertestuale"/>
            <w:rFonts w:ascii="Arial" w:hAnsi="Arial" w:cs="Arial"/>
            <w:color w:val="0B0080"/>
          </w:rPr>
          <w:t>1969</w:t>
        </w:r>
      </w:hyperlink>
      <w:r w:rsidRPr="003C092C">
        <w:rPr>
          <w:rFonts w:ascii="Arial" w:hAnsi="Arial" w:cs="Arial"/>
          <w:color w:val="222222"/>
        </w:rPr>
        <w:t xml:space="preserve">) entro cui si sarebbe dovuto realizzare il mercato unico, vale a dire la libera circolazione di merci,servizi persone </w:t>
      </w:r>
      <w:proofErr w:type="spellStart"/>
      <w:r w:rsidRPr="003C092C">
        <w:rPr>
          <w:rFonts w:ascii="Arial" w:hAnsi="Arial" w:cs="Arial"/>
          <w:color w:val="222222"/>
        </w:rPr>
        <w:t>ecapitali</w:t>
      </w:r>
      <w:proofErr w:type="spellEnd"/>
      <w:r w:rsidRPr="003C092C">
        <w:rPr>
          <w:rFonts w:ascii="Arial" w:hAnsi="Arial" w:cs="Arial"/>
          <w:color w:val="222222"/>
        </w:rPr>
        <w:t> su tutto il territorio dei sei Paesi aderenti (Dopo il fallimento di progetti di integrazione di più ampio respiro (, si scelse di procedere, in ottica funzionalista, con l'integrazione nel settore economico, meno soggetto alle resistenze dei governi nazionali. L'istituzione della CEE e conseguentemente del mercato unico si orientano in questo senso.</w:t>
      </w:r>
    </w:p>
    <w:p w:rsidR="003C092C" w:rsidRPr="003C092C" w:rsidRDefault="003C092C" w:rsidP="003C092C">
      <w:pPr>
        <w:pStyle w:val="NormaleWeb"/>
        <w:shd w:val="clear" w:color="auto" w:fill="FFFFFF"/>
        <w:spacing w:before="120" w:beforeAutospacing="0" w:after="120" w:afterAutospacing="0"/>
        <w:rPr>
          <w:rFonts w:ascii="Arial" w:hAnsi="Arial" w:cs="Arial"/>
          <w:color w:val="222222"/>
        </w:rPr>
      </w:pPr>
      <w:r w:rsidRPr="003C092C">
        <w:rPr>
          <w:rFonts w:ascii="Arial" w:hAnsi="Arial" w:cs="Arial"/>
          <w:color w:val="222222"/>
        </w:rPr>
        <w:t>Il mercato comune si basa su quattro libertà:</w:t>
      </w:r>
    </w:p>
    <w:p w:rsidR="003C092C" w:rsidRPr="003C092C" w:rsidRDefault="003C092C" w:rsidP="003C092C">
      <w:pPr>
        <w:numPr>
          <w:ilvl w:val="0"/>
          <w:numId w:val="14"/>
        </w:numPr>
        <w:shd w:val="clear" w:color="auto" w:fill="FFFFFF"/>
        <w:spacing w:before="100" w:beforeAutospacing="1" w:after="24" w:line="240" w:lineRule="auto"/>
        <w:ind w:left="384"/>
        <w:rPr>
          <w:rFonts w:ascii="Arial" w:hAnsi="Arial" w:cs="Arial"/>
          <w:color w:val="222222"/>
          <w:sz w:val="24"/>
          <w:szCs w:val="24"/>
        </w:rPr>
      </w:pPr>
      <w:r w:rsidRPr="003C092C">
        <w:rPr>
          <w:rFonts w:ascii="Arial" w:hAnsi="Arial" w:cs="Arial"/>
          <w:color w:val="222222"/>
          <w:sz w:val="24"/>
          <w:szCs w:val="24"/>
        </w:rPr>
        <w:t>libera circolazione delle persone;</w:t>
      </w:r>
    </w:p>
    <w:p w:rsidR="003C092C" w:rsidRPr="003C092C" w:rsidRDefault="003C092C" w:rsidP="003C092C">
      <w:pPr>
        <w:numPr>
          <w:ilvl w:val="0"/>
          <w:numId w:val="14"/>
        </w:numPr>
        <w:shd w:val="clear" w:color="auto" w:fill="FFFFFF"/>
        <w:spacing w:before="100" w:beforeAutospacing="1" w:after="24" w:line="240" w:lineRule="auto"/>
        <w:ind w:left="384"/>
        <w:rPr>
          <w:rFonts w:ascii="Arial" w:hAnsi="Arial" w:cs="Arial"/>
          <w:color w:val="222222"/>
          <w:sz w:val="24"/>
          <w:szCs w:val="24"/>
        </w:rPr>
      </w:pPr>
      <w:r w:rsidRPr="003C092C">
        <w:rPr>
          <w:rFonts w:ascii="Arial" w:hAnsi="Arial" w:cs="Arial"/>
          <w:color w:val="222222"/>
          <w:sz w:val="24"/>
          <w:szCs w:val="24"/>
        </w:rPr>
        <w:t>libera circolazione dei servizi;</w:t>
      </w:r>
    </w:p>
    <w:p w:rsidR="003C092C" w:rsidRPr="003C092C" w:rsidRDefault="003C092C" w:rsidP="003C092C">
      <w:pPr>
        <w:numPr>
          <w:ilvl w:val="0"/>
          <w:numId w:val="14"/>
        </w:numPr>
        <w:shd w:val="clear" w:color="auto" w:fill="FFFFFF"/>
        <w:spacing w:before="100" w:beforeAutospacing="1" w:after="24" w:line="240" w:lineRule="auto"/>
        <w:ind w:left="384"/>
        <w:rPr>
          <w:rFonts w:ascii="Arial" w:hAnsi="Arial" w:cs="Arial"/>
          <w:color w:val="222222"/>
          <w:sz w:val="24"/>
          <w:szCs w:val="24"/>
        </w:rPr>
      </w:pPr>
      <w:r w:rsidRPr="003C092C">
        <w:rPr>
          <w:rFonts w:ascii="Arial" w:hAnsi="Arial" w:cs="Arial"/>
          <w:color w:val="222222"/>
          <w:sz w:val="24"/>
          <w:szCs w:val="24"/>
        </w:rPr>
        <w:t>libera circolazione delle merci;</w:t>
      </w:r>
    </w:p>
    <w:p w:rsidR="003C092C" w:rsidRPr="003C092C" w:rsidRDefault="003C092C" w:rsidP="003C092C">
      <w:pPr>
        <w:numPr>
          <w:ilvl w:val="0"/>
          <w:numId w:val="14"/>
        </w:numPr>
        <w:shd w:val="clear" w:color="auto" w:fill="FFFFFF"/>
        <w:spacing w:before="100" w:beforeAutospacing="1" w:after="24" w:line="240" w:lineRule="auto"/>
        <w:ind w:left="384"/>
        <w:rPr>
          <w:rFonts w:ascii="Arial" w:hAnsi="Arial" w:cs="Arial"/>
          <w:color w:val="222222"/>
          <w:sz w:val="24"/>
          <w:szCs w:val="24"/>
        </w:rPr>
      </w:pPr>
      <w:r w:rsidRPr="003C092C">
        <w:rPr>
          <w:rFonts w:ascii="Arial" w:hAnsi="Arial" w:cs="Arial"/>
          <w:color w:val="222222"/>
          <w:sz w:val="24"/>
          <w:szCs w:val="24"/>
        </w:rPr>
        <w:t>libera circolazione dei capitali.</w:t>
      </w:r>
    </w:p>
    <w:p w:rsidR="003C092C" w:rsidRPr="003C092C" w:rsidRDefault="003C092C" w:rsidP="003C092C">
      <w:pPr>
        <w:pStyle w:val="NormaleWeb"/>
        <w:shd w:val="clear" w:color="auto" w:fill="FFFFFF"/>
        <w:spacing w:before="120" w:beforeAutospacing="0" w:after="120" w:afterAutospacing="0"/>
        <w:rPr>
          <w:rFonts w:ascii="Arial" w:hAnsi="Arial" w:cs="Arial"/>
          <w:color w:val="222222"/>
        </w:rPr>
      </w:pPr>
      <w:r w:rsidRPr="003C092C">
        <w:rPr>
          <w:rFonts w:ascii="Arial" w:hAnsi="Arial" w:cs="Arial"/>
          <w:color w:val="222222"/>
        </w:rPr>
        <w:t>Sulla disciplina della concorrenza e sulla limitazione degli aiuti statali alle imprese.</w:t>
      </w:r>
    </w:p>
    <w:p w:rsidR="003C092C" w:rsidRPr="003C092C" w:rsidRDefault="003C092C" w:rsidP="003C092C">
      <w:pPr>
        <w:pStyle w:val="NormaleWeb"/>
        <w:shd w:val="clear" w:color="auto" w:fill="FFFFFF"/>
        <w:spacing w:before="120" w:beforeAutospacing="0" w:after="120" w:afterAutospacing="0"/>
        <w:rPr>
          <w:rFonts w:ascii="Arial" w:hAnsi="Arial" w:cs="Arial"/>
          <w:color w:val="222222"/>
        </w:rPr>
      </w:pPr>
      <w:r w:rsidRPr="003C092C">
        <w:rPr>
          <w:rFonts w:ascii="Arial" w:hAnsi="Arial" w:cs="Arial"/>
          <w:color w:val="222222"/>
        </w:rPr>
        <w:t>Fanno parte del Mercato europeo comune, oltre ai membri dell'Unione europea, la Svizzera, Islanda,Norvegia,Liechtenstein.</w:t>
      </w:r>
    </w:p>
    <w:p w:rsidR="003C092C" w:rsidRPr="003C092C" w:rsidRDefault="003C092C">
      <w:pPr>
        <w:rPr>
          <w:rFonts w:ascii="Arial" w:hAnsi="Arial" w:cs="Arial"/>
          <w:sz w:val="24"/>
          <w:szCs w:val="24"/>
        </w:rPr>
      </w:pPr>
    </w:p>
    <w:p w:rsidR="00CA2E12" w:rsidRPr="003C092C" w:rsidRDefault="00CA2E12">
      <w:pPr>
        <w:rPr>
          <w:rFonts w:ascii="Arial" w:hAnsi="Arial" w:cs="Arial"/>
          <w:sz w:val="24"/>
          <w:szCs w:val="24"/>
        </w:rPr>
      </w:pPr>
      <w:r w:rsidRPr="003C092C">
        <w:rPr>
          <w:rFonts w:ascii="Arial" w:hAnsi="Arial" w:cs="Arial"/>
          <w:sz w:val="24"/>
          <w:szCs w:val="24"/>
        </w:rPr>
        <w:t xml:space="preserve">LA CITTADINANZA EUROPEA. Il trattato di Maastricht </w:t>
      </w:r>
      <w:r w:rsidRPr="003C092C">
        <w:rPr>
          <w:rFonts w:ascii="Arial" w:hAnsi="Arial" w:cs="Arial"/>
          <w:sz w:val="24"/>
          <w:szCs w:val="24"/>
        </w:rPr>
        <w:sym w:font="Symbol" w:char="F0E8"/>
      </w:r>
      <w:r w:rsidRPr="003C092C">
        <w:rPr>
          <w:rFonts w:ascii="Arial" w:hAnsi="Arial" w:cs="Arial"/>
          <w:sz w:val="24"/>
          <w:szCs w:val="24"/>
        </w:rPr>
        <w:t xml:space="preserve"> prevedeva già la cittadinanza europea. Il trattato di Lisbona ha recepito le disposizioni negli </w:t>
      </w:r>
      <w:proofErr w:type="spellStart"/>
      <w:r w:rsidRPr="003C092C">
        <w:rPr>
          <w:rFonts w:ascii="Arial" w:hAnsi="Arial" w:cs="Arial"/>
          <w:sz w:val="24"/>
          <w:szCs w:val="24"/>
        </w:rPr>
        <w:t>artt</w:t>
      </w:r>
      <w:proofErr w:type="spellEnd"/>
      <w:r w:rsidRPr="003C092C">
        <w:rPr>
          <w:rFonts w:ascii="Arial" w:hAnsi="Arial" w:cs="Arial"/>
          <w:sz w:val="24"/>
          <w:szCs w:val="24"/>
        </w:rPr>
        <w:t xml:space="preserve"> 20-25 TFUE . E’ cittadino dell’Unione chiunque abbia la cittadinanza di uno Stato membro. I cittadini dell’Unione godono dei diritti e sono soggetti ai doveri previsti dai trattati. Di seguito alcuni diritti del cittadino UE: </w:t>
      </w:r>
    </w:p>
    <w:p w:rsidR="00CA2E12" w:rsidRPr="003C092C" w:rsidRDefault="00CA2E12">
      <w:pPr>
        <w:rPr>
          <w:rFonts w:ascii="Arial" w:hAnsi="Arial" w:cs="Arial"/>
          <w:sz w:val="24"/>
          <w:szCs w:val="24"/>
        </w:rPr>
      </w:pPr>
      <w:r w:rsidRPr="003C092C">
        <w:rPr>
          <w:rFonts w:ascii="Arial" w:hAnsi="Arial" w:cs="Arial"/>
          <w:sz w:val="24"/>
          <w:szCs w:val="24"/>
        </w:rPr>
        <w:sym w:font="Symbol" w:char="F0E0"/>
      </w:r>
      <w:r w:rsidRPr="003C092C">
        <w:rPr>
          <w:rFonts w:ascii="Arial" w:hAnsi="Arial" w:cs="Arial"/>
          <w:sz w:val="24"/>
          <w:szCs w:val="24"/>
        </w:rPr>
        <w:t xml:space="preserve"> diritto di circolare e soggiornare liberamente nel territorio degli Stati membri</w:t>
      </w:r>
    </w:p>
    <w:p w:rsidR="00CA2E12" w:rsidRPr="003C092C" w:rsidRDefault="00CA2E12">
      <w:pPr>
        <w:rPr>
          <w:rFonts w:ascii="Arial" w:hAnsi="Arial" w:cs="Arial"/>
          <w:sz w:val="24"/>
          <w:szCs w:val="24"/>
        </w:rPr>
      </w:pPr>
      <w:r w:rsidRPr="003C092C">
        <w:rPr>
          <w:rFonts w:ascii="Arial" w:hAnsi="Arial" w:cs="Arial"/>
          <w:sz w:val="24"/>
          <w:szCs w:val="24"/>
        </w:rPr>
        <w:t xml:space="preserve"> </w:t>
      </w:r>
      <w:r w:rsidRPr="003C092C">
        <w:rPr>
          <w:rFonts w:ascii="Arial" w:hAnsi="Arial" w:cs="Arial"/>
          <w:sz w:val="24"/>
          <w:szCs w:val="24"/>
        </w:rPr>
        <w:sym w:font="Symbol" w:char="F0E0"/>
      </w:r>
      <w:r w:rsidRPr="003C092C">
        <w:rPr>
          <w:rFonts w:ascii="Arial" w:hAnsi="Arial" w:cs="Arial"/>
          <w:sz w:val="24"/>
          <w:szCs w:val="24"/>
        </w:rPr>
        <w:t xml:space="preserve"> diritto di votare e di essere eletto nello Stato membro in cui risiede</w:t>
      </w:r>
    </w:p>
    <w:p w:rsidR="00CA2E12" w:rsidRPr="003C092C" w:rsidRDefault="00CA2E12">
      <w:pPr>
        <w:rPr>
          <w:rFonts w:ascii="Arial" w:hAnsi="Arial" w:cs="Arial"/>
          <w:sz w:val="24"/>
          <w:szCs w:val="24"/>
        </w:rPr>
      </w:pPr>
      <w:r w:rsidRPr="003C092C">
        <w:rPr>
          <w:rFonts w:ascii="Arial" w:hAnsi="Arial" w:cs="Arial"/>
          <w:sz w:val="24"/>
          <w:szCs w:val="24"/>
        </w:rPr>
        <w:t xml:space="preserve"> </w:t>
      </w:r>
      <w:r w:rsidRPr="003C092C">
        <w:rPr>
          <w:rFonts w:ascii="Arial" w:hAnsi="Arial" w:cs="Arial"/>
          <w:sz w:val="24"/>
          <w:szCs w:val="24"/>
        </w:rPr>
        <w:sym w:font="Symbol" w:char="F0E0"/>
      </w:r>
      <w:r w:rsidRPr="003C092C">
        <w:rPr>
          <w:rFonts w:ascii="Arial" w:hAnsi="Arial" w:cs="Arial"/>
          <w:sz w:val="24"/>
          <w:szCs w:val="24"/>
        </w:rPr>
        <w:t xml:space="preserve"> diritto alla tutela diplomatica e consolare nei paesi terzi, se il suo stato di appartenenza non è rappresentato. </w:t>
      </w:r>
    </w:p>
    <w:p w:rsidR="00CA2E12" w:rsidRPr="003C092C" w:rsidRDefault="00CA2E12">
      <w:pPr>
        <w:rPr>
          <w:rFonts w:ascii="Arial" w:hAnsi="Arial" w:cs="Arial"/>
          <w:sz w:val="24"/>
          <w:szCs w:val="24"/>
        </w:rPr>
      </w:pPr>
      <w:r w:rsidRPr="003C092C">
        <w:rPr>
          <w:rFonts w:ascii="Arial" w:hAnsi="Arial" w:cs="Arial"/>
          <w:sz w:val="24"/>
          <w:szCs w:val="24"/>
        </w:rPr>
        <w:sym w:font="Symbol" w:char="F0E0"/>
      </w:r>
      <w:r w:rsidRPr="003C092C">
        <w:rPr>
          <w:rFonts w:ascii="Arial" w:hAnsi="Arial" w:cs="Arial"/>
          <w:sz w:val="24"/>
          <w:szCs w:val="24"/>
        </w:rPr>
        <w:t xml:space="preserve"> Diritto di accesso ai documenti delle istituzioni; </w:t>
      </w:r>
    </w:p>
    <w:p w:rsidR="00CA2E12" w:rsidRPr="003C092C" w:rsidRDefault="00CA2E12">
      <w:pPr>
        <w:rPr>
          <w:rFonts w:ascii="Arial" w:hAnsi="Arial" w:cs="Arial"/>
          <w:sz w:val="24"/>
          <w:szCs w:val="24"/>
        </w:rPr>
      </w:pPr>
      <w:r w:rsidRPr="003C092C">
        <w:rPr>
          <w:rFonts w:ascii="Arial" w:hAnsi="Arial" w:cs="Arial"/>
          <w:sz w:val="24"/>
          <w:szCs w:val="24"/>
        </w:rPr>
        <w:sym w:font="Symbol" w:char="F0E0"/>
      </w:r>
      <w:r w:rsidRPr="003C092C">
        <w:rPr>
          <w:rFonts w:ascii="Arial" w:hAnsi="Arial" w:cs="Arial"/>
          <w:sz w:val="24"/>
          <w:szCs w:val="24"/>
        </w:rPr>
        <w:t xml:space="preserve"> Diritto di rivolgersi al mediatore europeo nei casi di cattiva amministrazione delle istituzioni</w:t>
      </w:r>
    </w:p>
    <w:p w:rsidR="00CA2E12" w:rsidRPr="003C092C" w:rsidRDefault="00CA2E12">
      <w:pPr>
        <w:rPr>
          <w:rFonts w:ascii="Arial" w:hAnsi="Arial" w:cs="Arial"/>
          <w:sz w:val="24"/>
          <w:szCs w:val="24"/>
        </w:rPr>
      </w:pPr>
      <w:r w:rsidRPr="003C092C">
        <w:rPr>
          <w:rFonts w:ascii="Arial" w:hAnsi="Arial" w:cs="Arial"/>
          <w:sz w:val="24"/>
          <w:szCs w:val="24"/>
        </w:rPr>
        <w:t xml:space="preserve">PROCEDIMENTO </w:t>
      </w:r>
      <w:proofErr w:type="spellStart"/>
      <w:r w:rsidRPr="003C092C">
        <w:rPr>
          <w:rFonts w:ascii="Arial" w:hAnsi="Arial" w:cs="Arial"/>
          <w:sz w:val="24"/>
          <w:szCs w:val="24"/>
        </w:rPr>
        <w:t>DI</w:t>
      </w:r>
      <w:proofErr w:type="spellEnd"/>
      <w:r w:rsidRPr="003C092C">
        <w:rPr>
          <w:rFonts w:ascii="Arial" w:hAnsi="Arial" w:cs="Arial"/>
          <w:sz w:val="24"/>
          <w:szCs w:val="24"/>
        </w:rPr>
        <w:t xml:space="preserve"> ADESIONE. </w:t>
      </w:r>
    </w:p>
    <w:p w:rsidR="007604D9" w:rsidRPr="003C092C" w:rsidRDefault="007604D9">
      <w:pPr>
        <w:rPr>
          <w:rFonts w:ascii="Arial" w:hAnsi="Arial" w:cs="Arial"/>
          <w:sz w:val="24"/>
          <w:szCs w:val="24"/>
        </w:rPr>
      </w:pPr>
      <w:r w:rsidRPr="003C092C">
        <w:rPr>
          <w:rFonts w:ascii="Arial" w:hAnsi="Arial" w:cs="Arial"/>
          <w:sz w:val="24"/>
          <w:szCs w:val="24"/>
        </w:rPr>
        <w:t xml:space="preserve">I trattati CEE , CECA ed </w:t>
      </w:r>
      <w:proofErr w:type="spellStart"/>
      <w:r w:rsidRPr="003C092C">
        <w:rPr>
          <w:rFonts w:ascii="Arial" w:hAnsi="Arial" w:cs="Arial"/>
          <w:sz w:val="24"/>
          <w:szCs w:val="24"/>
        </w:rPr>
        <w:t>Euratom</w:t>
      </w:r>
      <w:proofErr w:type="spellEnd"/>
      <w:r w:rsidRPr="003C092C">
        <w:rPr>
          <w:rFonts w:ascii="Arial" w:hAnsi="Arial" w:cs="Arial"/>
          <w:sz w:val="24"/>
          <w:szCs w:val="24"/>
        </w:rPr>
        <w:t xml:space="preserve"> furono concepiti come trattati aperti, attraverso l’inserimento di una clausola di adesione. </w:t>
      </w:r>
      <w:r w:rsidRPr="003C092C">
        <w:rPr>
          <w:rFonts w:ascii="Arial" w:hAnsi="Arial" w:cs="Arial"/>
          <w:sz w:val="24"/>
          <w:szCs w:val="24"/>
        </w:rPr>
        <w:sym w:font="Symbol" w:char="F0DE"/>
      </w:r>
      <w:r w:rsidRPr="003C092C">
        <w:rPr>
          <w:rFonts w:ascii="Arial" w:hAnsi="Arial" w:cs="Arial"/>
          <w:sz w:val="24"/>
          <w:szCs w:val="24"/>
        </w:rPr>
        <w:t>. Il trattato di Maastricht ha abrogato le vecchie disposizioni rendendole omogenee. Il trattato di Lisbona, ha confermato le disposizioni relative al trattato di Maastricht, prevedendo anche la possibilità di recesso dall’Unione da parte degli Stati membri.</w:t>
      </w:r>
    </w:p>
    <w:p w:rsidR="00CA2E12" w:rsidRPr="003C092C" w:rsidRDefault="00CA2E12">
      <w:pPr>
        <w:rPr>
          <w:rFonts w:ascii="Arial" w:hAnsi="Arial" w:cs="Arial"/>
          <w:sz w:val="24"/>
          <w:szCs w:val="24"/>
        </w:rPr>
      </w:pPr>
      <w:r w:rsidRPr="003C092C">
        <w:rPr>
          <w:rFonts w:ascii="Arial" w:hAnsi="Arial" w:cs="Arial"/>
          <w:sz w:val="24"/>
          <w:szCs w:val="24"/>
        </w:rPr>
        <w:t xml:space="preserve">Ogni stato europeo che rispetti i valori di cui all’art. 2 del TUE e si impegni a promuoverli, può domandare di diventare membro dell’Unione. </w:t>
      </w:r>
    </w:p>
    <w:p w:rsidR="00CA2E12" w:rsidRPr="003C092C" w:rsidRDefault="00CA2E12">
      <w:pPr>
        <w:rPr>
          <w:rFonts w:ascii="Arial" w:hAnsi="Arial" w:cs="Arial"/>
          <w:sz w:val="24"/>
          <w:szCs w:val="24"/>
        </w:rPr>
      </w:pPr>
      <w:r w:rsidRPr="003C092C">
        <w:rPr>
          <w:rFonts w:ascii="Arial" w:hAnsi="Arial" w:cs="Arial"/>
          <w:sz w:val="24"/>
          <w:szCs w:val="24"/>
        </w:rPr>
        <w:t xml:space="preserve">Art. 2 TUE : L'Unione si fonda sui valori del rispetto della dignità umana, della libertà, della democrazia,dell'uguaglianza, dello Stato di diritto e del rispetto dei diritti umani, compresi i diritti delle persone appartenenti a minoranze. Questi valori sono comuni agli Stati membri in una società caratterizzata dal pluralismo, dalla non discriminazione, dalla tolleranza, dalla giustizia, dalla solidarietà e dalla parità tra donne e uomini. </w:t>
      </w:r>
    </w:p>
    <w:p w:rsidR="00CA2E12" w:rsidRPr="003C092C" w:rsidRDefault="00CA2E12">
      <w:pPr>
        <w:rPr>
          <w:rFonts w:ascii="Arial" w:hAnsi="Arial" w:cs="Arial"/>
          <w:sz w:val="24"/>
          <w:szCs w:val="24"/>
        </w:rPr>
      </w:pPr>
      <w:r w:rsidRPr="003C092C">
        <w:rPr>
          <w:rFonts w:ascii="Arial" w:hAnsi="Arial" w:cs="Arial"/>
          <w:sz w:val="24"/>
          <w:szCs w:val="24"/>
        </w:rPr>
        <w:t>1) Ogni paese europeo che desideri aderire all'UE presenta la propria candidatura al Consiglio.</w:t>
      </w:r>
    </w:p>
    <w:p w:rsidR="00CA2E12" w:rsidRPr="003C092C" w:rsidRDefault="00CA2E12">
      <w:pPr>
        <w:rPr>
          <w:rFonts w:ascii="Arial" w:hAnsi="Arial" w:cs="Arial"/>
          <w:sz w:val="24"/>
          <w:szCs w:val="24"/>
        </w:rPr>
      </w:pPr>
      <w:r w:rsidRPr="003C092C">
        <w:rPr>
          <w:rFonts w:ascii="Arial" w:hAnsi="Arial" w:cs="Arial"/>
          <w:sz w:val="24"/>
          <w:szCs w:val="24"/>
        </w:rPr>
        <w:t xml:space="preserve"> 2) Prima di prendere la propria decisione, quest'ultimo deve consultare la Commissione e chiedere un parere conforme al Parlamento europeo che si pronuncia alla maggioranza assoluta dei membri che lo compongono. </w:t>
      </w:r>
    </w:p>
    <w:p w:rsidR="00CA2E12" w:rsidRPr="003C092C" w:rsidRDefault="00CA2E12">
      <w:pPr>
        <w:rPr>
          <w:rFonts w:ascii="Arial" w:hAnsi="Arial" w:cs="Arial"/>
          <w:sz w:val="24"/>
          <w:szCs w:val="24"/>
        </w:rPr>
      </w:pPr>
      <w:r w:rsidRPr="003C092C">
        <w:rPr>
          <w:rFonts w:ascii="Arial" w:hAnsi="Arial" w:cs="Arial"/>
          <w:sz w:val="24"/>
          <w:szCs w:val="24"/>
        </w:rPr>
        <w:t>3) Il Consiglio, allora, decide all'unanimità.</w:t>
      </w:r>
    </w:p>
    <w:p w:rsidR="00CA2E12" w:rsidRPr="003C092C" w:rsidRDefault="00CA2E12">
      <w:pPr>
        <w:rPr>
          <w:rFonts w:ascii="Arial" w:hAnsi="Arial" w:cs="Arial"/>
          <w:sz w:val="24"/>
          <w:szCs w:val="24"/>
        </w:rPr>
      </w:pPr>
      <w:r w:rsidRPr="003C092C">
        <w:rPr>
          <w:rFonts w:ascii="Arial" w:hAnsi="Arial" w:cs="Arial"/>
          <w:sz w:val="24"/>
          <w:szCs w:val="24"/>
        </w:rPr>
        <w:t xml:space="preserve"> Per aderire all’Unione, occorre stipulare un accordo internazionale tra gli Stati membri del trattato originario e i nuovi Stati. Accordo che poi deve essere sottoposto alla ratifica di tutti i soggetti che vi hanno partecipato. Condizioni di adesione: </w:t>
      </w:r>
    </w:p>
    <w:p w:rsidR="00CA2E12" w:rsidRPr="003C092C" w:rsidRDefault="00CA2E12" w:rsidP="00CA2E12">
      <w:pPr>
        <w:pStyle w:val="Paragrafoelenco"/>
        <w:numPr>
          <w:ilvl w:val="0"/>
          <w:numId w:val="1"/>
        </w:numPr>
        <w:rPr>
          <w:rFonts w:ascii="Arial" w:hAnsi="Arial" w:cs="Arial"/>
          <w:sz w:val="24"/>
          <w:szCs w:val="24"/>
        </w:rPr>
      </w:pPr>
      <w:r w:rsidRPr="003C092C">
        <w:rPr>
          <w:rFonts w:ascii="Arial" w:hAnsi="Arial" w:cs="Arial"/>
          <w:sz w:val="24"/>
          <w:szCs w:val="24"/>
        </w:rPr>
        <w:t xml:space="preserve">i nuovi stati devono garantire il rispetto delle condizioni dettate dal TUE (dignità umana – libertà – democrazia - ..) </w:t>
      </w:r>
    </w:p>
    <w:p w:rsidR="00CA2E12" w:rsidRPr="003C092C" w:rsidRDefault="00CA2E12" w:rsidP="00CA2E12">
      <w:pPr>
        <w:pStyle w:val="Paragrafoelenco"/>
        <w:numPr>
          <w:ilvl w:val="0"/>
          <w:numId w:val="1"/>
        </w:numPr>
        <w:rPr>
          <w:rFonts w:ascii="Arial" w:hAnsi="Arial" w:cs="Arial"/>
          <w:sz w:val="24"/>
          <w:szCs w:val="24"/>
        </w:rPr>
      </w:pPr>
      <w:r w:rsidRPr="003C092C">
        <w:rPr>
          <w:rFonts w:ascii="Arial" w:hAnsi="Arial" w:cs="Arial"/>
          <w:sz w:val="24"/>
          <w:szCs w:val="24"/>
        </w:rPr>
        <w:lastRenderedPageBreak/>
        <w:t xml:space="preserve">i nuovi Stati diventano parti dei trattati istitutivi. </w:t>
      </w:r>
    </w:p>
    <w:p w:rsidR="00CA2E12" w:rsidRPr="003C092C" w:rsidRDefault="00CA2E12" w:rsidP="00CA2E12">
      <w:pPr>
        <w:pStyle w:val="Paragrafoelenco"/>
        <w:numPr>
          <w:ilvl w:val="0"/>
          <w:numId w:val="1"/>
        </w:numPr>
        <w:rPr>
          <w:rFonts w:ascii="Arial" w:hAnsi="Arial" w:cs="Arial"/>
          <w:sz w:val="24"/>
          <w:szCs w:val="24"/>
        </w:rPr>
      </w:pPr>
      <w:r w:rsidRPr="003C092C">
        <w:rPr>
          <w:rFonts w:ascii="Arial" w:hAnsi="Arial" w:cs="Arial"/>
          <w:sz w:val="24"/>
          <w:szCs w:val="24"/>
        </w:rPr>
        <w:t xml:space="preserve">L’adesione comporta anche l’accettazione del diritto derivato in forza dei trattati. </w:t>
      </w:r>
    </w:p>
    <w:p w:rsidR="00CA2E12" w:rsidRPr="003C092C" w:rsidRDefault="00CA2E12" w:rsidP="00CA2E12">
      <w:pPr>
        <w:pStyle w:val="Paragrafoelenco"/>
        <w:numPr>
          <w:ilvl w:val="0"/>
          <w:numId w:val="1"/>
        </w:numPr>
        <w:rPr>
          <w:rFonts w:ascii="Arial" w:hAnsi="Arial" w:cs="Arial"/>
          <w:sz w:val="24"/>
          <w:szCs w:val="24"/>
        </w:rPr>
      </w:pPr>
      <w:r w:rsidRPr="003C092C">
        <w:rPr>
          <w:rFonts w:ascii="Arial" w:hAnsi="Arial" w:cs="Arial"/>
          <w:sz w:val="24"/>
          <w:szCs w:val="24"/>
        </w:rPr>
        <w:t xml:space="preserve">L’adesione deve essere progressiva </w:t>
      </w:r>
      <w:r w:rsidRPr="003C092C">
        <w:rPr>
          <w:rFonts w:ascii="Arial" w:hAnsi="Arial" w:cs="Arial"/>
          <w:sz w:val="24"/>
          <w:szCs w:val="24"/>
        </w:rPr>
        <w:sym w:font="Symbol" w:char="F0E8"/>
      </w:r>
      <w:r w:rsidRPr="003C092C">
        <w:rPr>
          <w:rFonts w:ascii="Arial" w:hAnsi="Arial" w:cs="Arial"/>
          <w:sz w:val="24"/>
          <w:szCs w:val="24"/>
        </w:rPr>
        <w:t xml:space="preserve"> cioè occorre un periodo transitorio affinché i nuovi Stati si inseriscano gradualmente nell’Unione</w:t>
      </w:r>
    </w:p>
    <w:p w:rsidR="00CA2E12" w:rsidRPr="003C092C" w:rsidRDefault="00CA2E12" w:rsidP="00CA2E12">
      <w:pPr>
        <w:rPr>
          <w:rFonts w:ascii="Arial" w:hAnsi="Arial" w:cs="Arial"/>
          <w:sz w:val="24"/>
          <w:szCs w:val="24"/>
        </w:rPr>
      </w:pPr>
      <w:r w:rsidRPr="003C092C">
        <w:rPr>
          <w:rFonts w:ascii="Arial" w:hAnsi="Arial" w:cs="Arial"/>
          <w:sz w:val="24"/>
          <w:szCs w:val="24"/>
        </w:rPr>
        <w:t xml:space="preserve">A tali criteri vanno aggiunti quelli fissati dal consiglio europeo di Copenaghen del 1993, di natura economica e politica </w:t>
      </w:r>
    </w:p>
    <w:p w:rsidR="00CA2E12" w:rsidRPr="003C092C" w:rsidRDefault="00CA2E12" w:rsidP="00CA2E12">
      <w:pPr>
        <w:rPr>
          <w:rFonts w:ascii="Arial" w:hAnsi="Arial" w:cs="Arial"/>
          <w:sz w:val="24"/>
          <w:szCs w:val="24"/>
        </w:rPr>
      </w:pPr>
      <w:r w:rsidRPr="003C092C">
        <w:rPr>
          <w:rFonts w:ascii="Arial" w:hAnsi="Arial" w:cs="Arial"/>
          <w:sz w:val="24"/>
          <w:szCs w:val="24"/>
        </w:rPr>
        <w:t xml:space="preserve">RECESSO DALL’UNIONE. </w:t>
      </w:r>
    </w:p>
    <w:p w:rsidR="00CA2E12" w:rsidRPr="003C092C" w:rsidRDefault="00CA2E12" w:rsidP="00CA2E12">
      <w:pPr>
        <w:rPr>
          <w:rFonts w:ascii="Arial" w:hAnsi="Arial" w:cs="Arial"/>
          <w:sz w:val="24"/>
          <w:szCs w:val="24"/>
        </w:rPr>
      </w:pPr>
      <w:r w:rsidRPr="003C092C">
        <w:rPr>
          <w:rFonts w:ascii="Arial" w:hAnsi="Arial" w:cs="Arial"/>
          <w:sz w:val="24"/>
          <w:szCs w:val="24"/>
        </w:rPr>
        <w:t xml:space="preserve">L’art. 50 TUE attribuisce ad ogni stato dell’UE la facoltà di decidere, conformemente alle proprie norme costituzionali, di recedere dall’Unione. </w:t>
      </w:r>
    </w:p>
    <w:p w:rsidR="00CA2E12" w:rsidRPr="003C092C" w:rsidRDefault="00CA2E12" w:rsidP="00CA2E12">
      <w:pPr>
        <w:rPr>
          <w:rFonts w:ascii="Arial" w:hAnsi="Arial" w:cs="Arial"/>
          <w:sz w:val="24"/>
          <w:szCs w:val="24"/>
        </w:rPr>
      </w:pPr>
      <w:r w:rsidRPr="003C092C">
        <w:rPr>
          <w:rFonts w:ascii="Arial" w:hAnsi="Arial" w:cs="Arial"/>
          <w:sz w:val="24"/>
          <w:szCs w:val="24"/>
        </w:rPr>
        <w:t>10) non è richiesta l’approvazione del recesso da parte degli altri Stati</w:t>
      </w:r>
    </w:p>
    <w:p w:rsidR="00CA2E12" w:rsidRPr="003C092C" w:rsidRDefault="00CA2E12" w:rsidP="00CA2E12">
      <w:pPr>
        <w:rPr>
          <w:rFonts w:ascii="Arial" w:hAnsi="Arial" w:cs="Arial"/>
          <w:sz w:val="24"/>
          <w:szCs w:val="24"/>
        </w:rPr>
      </w:pPr>
      <w:r w:rsidRPr="003C092C">
        <w:rPr>
          <w:rFonts w:ascii="Arial" w:hAnsi="Arial" w:cs="Arial"/>
          <w:sz w:val="24"/>
          <w:szCs w:val="24"/>
        </w:rPr>
        <w:t xml:space="preserve"> Lo stato membro deve notificare tale intenzione al Consiglio europeo, che formula gli orientamenti in base ai quali l’Unione negozia e conclude con tale Stato un accordo volto a definire le modalità di recesso. L’accordo di recesso, che definisce anche le pendenze reciproche tra Unione e Stato recedente, viene negoziato ed è concluso dal Consiglio, che delibera a maggioranza qualificata previa approvazione del Parlamento europeo. A differenza del procedimento di adesione, che comprende, oltre alla fase comunitaria, anche una fase nazionale (ratifica accordo), la procedura di recesso si svolge interamente all’interno dell’Unione.</w:t>
      </w:r>
    </w:p>
    <w:p w:rsidR="00B224A6" w:rsidRPr="003C092C" w:rsidRDefault="00B224A6" w:rsidP="00CA2E12">
      <w:pPr>
        <w:rPr>
          <w:rFonts w:ascii="Arial" w:hAnsi="Arial" w:cs="Arial"/>
          <w:sz w:val="24"/>
          <w:szCs w:val="24"/>
        </w:rPr>
      </w:pPr>
      <w:r w:rsidRPr="003C092C">
        <w:rPr>
          <w:rFonts w:ascii="Arial" w:hAnsi="Arial" w:cs="Arial"/>
          <w:sz w:val="24"/>
          <w:szCs w:val="24"/>
        </w:rPr>
        <w:t>RAPPORTI TRA ISTITUZIONI E I CITTADINI DELL’UNIONE.</w:t>
      </w:r>
    </w:p>
    <w:p w:rsidR="00B224A6" w:rsidRPr="003C092C" w:rsidRDefault="00B224A6" w:rsidP="00CA2E12">
      <w:pPr>
        <w:rPr>
          <w:rFonts w:ascii="Arial" w:hAnsi="Arial" w:cs="Arial"/>
          <w:sz w:val="24"/>
          <w:szCs w:val="24"/>
        </w:rPr>
      </w:pPr>
      <w:r w:rsidRPr="003C092C">
        <w:rPr>
          <w:rFonts w:ascii="Arial" w:hAnsi="Arial" w:cs="Arial"/>
          <w:sz w:val="24"/>
          <w:szCs w:val="24"/>
        </w:rPr>
        <w:t xml:space="preserve"> Il principio di trasparenza è direttamente richiamato dall’art. 1 TUE, in cui si afferma che le decisioni devono essere prese nel modo più trasparente possibile e il più vicino possibile ai cittadini. Il diritto di accesso agli atti da parte dei cittadini europei è stato inserito col trattato di Amsterdam. Il trattato di Lisbona prevede che qualsiasi cittadino dell’Unione (e qualsiasi persona fisica o giuridica) che risiede in uno Stato membro, ha diritto di accedere ai documento delle istituzioni, organi e organismi europei. Tale diritto incontra delle limitazioni. </w:t>
      </w:r>
    </w:p>
    <w:p w:rsidR="00B224A6" w:rsidRPr="003C092C" w:rsidRDefault="00B224A6" w:rsidP="00CA2E12">
      <w:pPr>
        <w:rPr>
          <w:rFonts w:ascii="Arial" w:hAnsi="Arial" w:cs="Arial"/>
          <w:sz w:val="24"/>
          <w:szCs w:val="24"/>
        </w:rPr>
      </w:pPr>
      <w:r w:rsidRPr="003C092C">
        <w:rPr>
          <w:rFonts w:ascii="Arial" w:hAnsi="Arial" w:cs="Arial"/>
          <w:sz w:val="24"/>
          <w:szCs w:val="24"/>
        </w:rPr>
        <w:t>Le istituzioni possono rifiutare l’accesso ai documenti, quando la loro diffusione possa arrecare pregiudizio alla tutela :</w:t>
      </w:r>
    </w:p>
    <w:p w:rsidR="00B224A6" w:rsidRPr="003C092C" w:rsidRDefault="00B224A6" w:rsidP="00B224A6">
      <w:pPr>
        <w:pStyle w:val="Paragrafoelenco"/>
        <w:numPr>
          <w:ilvl w:val="0"/>
          <w:numId w:val="3"/>
        </w:numPr>
        <w:rPr>
          <w:rFonts w:ascii="Arial" w:hAnsi="Arial" w:cs="Arial"/>
          <w:sz w:val="24"/>
          <w:szCs w:val="24"/>
        </w:rPr>
      </w:pPr>
      <w:r w:rsidRPr="003C092C">
        <w:rPr>
          <w:rFonts w:ascii="Arial" w:hAnsi="Arial" w:cs="Arial"/>
          <w:sz w:val="24"/>
          <w:szCs w:val="24"/>
        </w:rPr>
        <w:t xml:space="preserve">dell’interesse pubblico </w:t>
      </w:r>
    </w:p>
    <w:p w:rsidR="00B224A6" w:rsidRPr="003C092C" w:rsidRDefault="00B224A6" w:rsidP="00B224A6">
      <w:pPr>
        <w:pStyle w:val="Paragrafoelenco"/>
        <w:numPr>
          <w:ilvl w:val="0"/>
          <w:numId w:val="3"/>
        </w:numPr>
        <w:rPr>
          <w:rFonts w:ascii="Arial" w:hAnsi="Arial" w:cs="Arial"/>
          <w:sz w:val="24"/>
          <w:szCs w:val="24"/>
        </w:rPr>
      </w:pPr>
      <w:r w:rsidRPr="003C092C">
        <w:rPr>
          <w:rFonts w:ascii="Arial" w:hAnsi="Arial" w:cs="Arial"/>
          <w:sz w:val="24"/>
          <w:szCs w:val="24"/>
        </w:rPr>
        <w:t>della vita privata e dell’integrità dell’individuo</w:t>
      </w:r>
    </w:p>
    <w:p w:rsidR="0095024E" w:rsidRPr="003C092C" w:rsidRDefault="0095024E" w:rsidP="0095024E">
      <w:pPr>
        <w:rPr>
          <w:rFonts w:ascii="Arial" w:hAnsi="Arial" w:cs="Arial"/>
          <w:b/>
          <w:sz w:val="24"/>
          <w:szCs w:val="24"/>
        </w:rPr>
      </w:pPr>
      <w:r w:rsidRPr="003C092C">
        <w:rPr>
          <w:rFonts w:ascii="Arial" w:hAnsi="Arial" w:cs="Arial"/>
          <w:b/>
          <w:sz w:val="24"/>
          <w:szCs w:val="24"/>
        </w:rPr>
        <w:t>PARLAMENTO EUROPEO</w:t>
      </w:r>
    </w:p>
    <w:p w:rsidR="0095024E" w:rsidRPr="003C092C" w:rsidRDefault="0095024E" w:rsidP="007604D9">
      <w:pPr>
        <w:rPr>
          <w:rFonts w:ascii="Arial" w:hAnsi="Arial" w:cs="Arial"/>
          <w:b/>
          <w:sz w:val="24"/>
          <w:szCs w:val="24"/>
        </w:rPr>
      </w:pPr>
      <w:r w:rsidRPr="003C092C">
        <w:rPr>
          <w:rFonts w:ascii="Arial" w:hAnsi="Arial" w:cs="Arial"/>
          <w:color w:val="222222"/>
          <w:sz w:val="24"/>
          <w:szCs w:val="24"/>
        </w:rPr>
        <w:t>Il </w:t>
      </w:r>
      <w:r w:rsidRPr="003C092C">
        <w:rPr>
          <w:rFonts w:ascii="Arial" w:hAnsi="Arial" w:cs="Arial"/>
          <w:b/>
          <w:bCs/>
          <w:color w:val="222222"/>
          <w:sz w:val="24"/>
          <w:szCs w:val="24"/>
        </w:rPr>
        <w:t>Parlamento europeo</w:t>
      </w:r>
      <w:r w:rsidRPr="003C092C">
        <w:rPr>
          <w:rFonts w:ascii="Arial" w:hAnsi="Arial" w:cs="Arial"/>
          <w:color w:val="222222"/>
          <w:sz w:val="24"/>
          <w:szCs w:val="24"/>
        </w:rPr>
        <w:t> (anche noto come </w:t>
      </w:r>
      <w:r w:rsidRPr="003C092C">
        <w:rPr>
          <w:rFonts w:ascii="Arial" w:hAnsi="Arial" w:cs="Arial"/>
          <w:b/>
          <w:bCs/>
          <w:color w:val="222222"/>
          <w:sz w:val="24"/>
          <w:szCs w:val="24"/>
        </w:rPr>
        <w:t>Europarlamento</w:t>
      </w:r>
      <w:r w:rsidRPr="003C092C">
        <w:rPr>
          <w:rFonts w:ascii="Arial" w:hAnsi="Arial" w:cs="Arial"/>
          <w:color w:val="222222"/>
          <w:sz w:val="24"/>
          <w:szCs w:val="24"/>
        </w:rPr>
        <w:t>) è un'ISTITUZIONE parlamentare dell’UE che rappresenta i popoli dell'UE ed è l'unica istituzione ad essere eletta direttamente dai cittadini dell'Unione. Il Parlamento europeo esercita la funzione legislativa dell'Unione europea assieme al Consiglio UE. Inoltre in alcuni casi stabiliti dai trattati, ha il potere di iniziativa legislativa che generalmente spetta alla Commissione europea</w:t>
      </w:r>
    </w:p>
    <w:p w:rsidR="0010072F" w:rsidRPr="003C092C" w:rsidRDefault="0010072F" w:rsidP="007604D9">
      <w:pPr>
        <w:rPr>
          <w:rFonts w:ascii="Arial" w:hAnsi="Arial" w:cs="Arial"/>
          <w:sz w:val="24"/>
          <w:szCs w:val="24"/>
        </w:rPr>
      </w:pPr>
      <w:r w:rsidRPr="003C092C">
        <w:rPr>
          <w:rFonts w:ascii="Arial" w:hAnsi="Arial" w:cs="Arial"/>
          <w:sz w:val="24"/>
          <w:szCs w:val="24"/>
        </w:rPr>
        <w:t>Il Parlamento europeo è composto dai rappresentanti dei cittadini dell’unione. Esercita congiuntamente al Consiglio, la funzione legislativa e la funzione di bilancio . Il Parlamento europeo fu composto per molti anni dai membri dei Parlamenti nazionali. In questo modo la rappresentatività era: Indiretta, in quanto i parlamentari non erano eletti dai cittadini europei; Imperfetta, in quanto non rifletteva la presenza di tutte le componenti politiche in seno ai Parlamenti nazionali.</w:t>
      </w:r>
      <w:r w:rsidRPr="003C092C">
        <w:rPr>
          <w:rFonts w:ascii="Arial" w:hAnsi="Arial" w:cs="Arial"/>
          <w:sz w:val="24"/>
          <w:szCs w:val="24"/>
          <w:u w:val="single"/>
        </w:rPr>
        <w:t xml:space="preserve"> L’elezione diretta fu decisa da un Atto del Consiglio nel 1979</w:t>
      </w:r>
      <w:r w:rsidRPr="003C092C">
        <w:rPr>
          <w:rFonts w:ascii="Arial" w:hAnsi="Arial" w:cs="Arial"/>
          <w:sz w:val="24"/>
          <w:szCs w:val="24"/>
        </w:rPr>
        <w:t xml:space="preserve">. </w:t>
      </w:r>
    </w:p>
    <w:p w:rsidR="000632EA" w:rsidRPr="003C092C" w:rsidRDefault="0010072F" w:rsidP="007604D9">
      <w:pPr>
        <w:rPr>
          <w:rFonts w:ascii="Arial" w:hAnsi="Arial" w:cs="Arial"/>
          <w:sz w:val="24"/>
          <w:szCs w:val="24"/>
        </w:rPr>
      </w:pPr>
      <w:r w:rsidRPr="003C092C">
        <w:rPr>
          <w:rFonts w:ascii="Arial" w:hAnsi="Arial" w:cs="Arial"/>
          <w:sz w:val="24"/>
          <w:szCs w:val="24"/>
        </w:rPr>
        <w:lastRenderedPageBreak/>
        <w:t xml:space="preserve">Il TUE stabilisce che il Parlamento europeo è composto da rappresentanti di cittadini di Stati membri. Il numero dei parlamentari non può essere superiore a 750, più il presidente. </w:t>
      </w:r>
      <w:r w:rsidRPr="003C092C">
        <w:rPr>
          <w:rFonts w:ascii="Arial" w:hAnsi="Arial" w:cs="Arial"/>
          <w:sz w:val="24"/>
          <w:szCs w:val="24"/>
        </w:rPr>
        <w:sym w:font="Symbol" w:char="F0B7"/>
      </w:r>
      <w:r w:rsidRPr="003C092C">
        <w:rPr>
          <w:rFonts w:ascii="Arial" w:hAnsi="Arial" w:cs="Arial"/>
          <w:sz w:val="24"/>
          <w:szCs w:val="24"/>
        </w:rPr>
        <w:t xml:space="preserve"> tuttavia la composizione del Parlamento non è predeterminata dal Trattato, ma da un atto adottato dal consiglio europeo adottato all’unanimità, su iniziativa del parlamento europeo con l’approvazione di quest’ultimo. Attualmente, i membri del Parlamento sono 751, in virtù della riduzione di 3 seggi della Germania</w:t>
      </w:r>
      <w:r w:rsidR="000632EA" w:rsidRPr="003C092C">
        <w:rPr>
          <w:rFonts w:ascii="Arial" w:hAnsi="Arial" w:cs="Arial"/>
          <w:sz w:val="24"/>
          <w:szCs w:val="24"/>
        </w:rPr>
        <w:t xml:space="preserve">. </w:t>
      </w:r>
      <w:r w:rsidR="000632EA" w:rsidRPr="003C092C">
        <w:rPr>
          <w:rFonts w:ascii="Arial" w:hAnsi="Arial" w:cs="Arial"/>
          <w:color w:val="222222"/>
          <w:sz w:val="24"/>
          <w:szCs w:val="24"/>
          <w:shd w:val="clear" w:color="auto" w:fill="FFFFFF"/>
        </w:rPr>
        <w:t>Secondo il Trattato di Lisbona, i seggi vengono assegnati a ciascuno Stato in base alla popolazione</w:t>
      </w:r>
    </w:p>
    <w:p w:rsidR="00131FCA" w:rsidRPr="003C092C" w:rsidRDefault="00131FCA" w:rsidP="007604D9">
      <w:pPr>
        <w:rPr>
          <w:rFonts w:ascii="Arial" w:hAnsi="Arial" w:cs="Arial"/>
          <w:sz w:val="24"/>
          <w:szCs w:val="24"/>
        </w:rPr>
      </w:pPr>
      <w:r w:rsidRPr="003C092C">
        <w:rPr>
          <w:rFonts w:ascii="Arial" w:hAnsi="Arial" w:cs="Arial"/>
          <w:sz w:val="24"/>
          <w:szCs w:val="24"/>
        </w:rPr>
        <w:t xml:space="preserve">Sono divisi in gruppi politici (partiti a livello europeo) e non in gruppi nazionali. I partiti politici sono definiti a livello europeo come importante fattore per l’integrazione in seno all’Unione e  contribuiscono a formare una coscienza europea e a esprimere la volontà politica dei cittadini dell’Unione. – </w:t>
      </w:r>
    </w:p>
    <w:p w:rsidR="00131FCA" w:rsidRPr="003C092C" w:rsidRDefault="00131FCA" w:rsidP="007604D9">
      <w:pPr>
        <w:rPr>
          <w:rFonts w:ascii="Arial" w:hAnsi="Arial" w:cs="Arial"/>
          <w:sz w:val="24"/>
          <w:szCs w:val="24"/>
        </w:rPr>
      </w:pPr>
      <w:r w:rsidRPr="003C092C">
        <w:rPr>
          <w:rFonts w:ascii="Arial" w:hAnsi="Arial" w:cs="Arial"/>
          <w:sz w:val="24"/>
          <w:szCs w:val="24"/>
        </w:rPr>
        <w:t xml:space="preserve">Esiste una incompatibilità tra la carica di parlamentare europeo con quella di parlamentare nazionale.  Altri casi di Incompatibilità : </w:t>
      </w:r>
    </w:p>
    <w:p w:rsidR="00131FCA" w:rsidRPr="003C092C" w:rsidRDefault="00131FCA" w:rsidP="007604D9">
      <w:pPr>
        <w:rPr>
          <w:rFonts w:ascii="Arial" w:hAnsi="Arial" w:cs="Arial"/>
          <w:sz w:val="24"/>
          <w:szCs w:val="24"/>
        </w:rPr>
      </w:pPr>
      <w:r w:rsidRPr="003C092C">
        <w:rPr>
          <w:rFonts w:ascii="Arial" w:hAnsi="Arial" w:cs="Arial"/>
          <w:sz w:val="24"/>
          <w:szCs w:val="24"/>
        </w:rPr>
        <w:sym w:font="Symbol" w:char="F0B7"/>
      </w:r>
      <w:r w:rsidRPr="003C092C">
        <w:rPr>
          <w:rFonts w:ascii="Arial" w:hAnsi="Arial" w:cs="Arial"/>
          <w:sz w:val="24"/>
          <w:szCs w:val="24"/>
        </w:rPr>
        <w:t xml:space="preserve"> membro del governo di uno Stato membro</w:t>
      </w:r>
    </w:p>
    <w:p w:rsidR="00131FCA" w:rsidRPr="003C092C" w:rsidRDefault="00131FCA" w:rsidP="007604D9">
      <w:pPr>
        <w:rPr>
          <w:rFonts w:ascii="Arial" w:hAnsi="Arial" w:cs="Arial"/>
          <w:sz w:val="24"/>
          <w:szCs w:val="24"/>
        </w:rPr>
      </w:pPr>
      <w:r w:rsidRPr="003C092C">
        <w:rPr>
          <w:rFonts w:ascii="Arial" w:hAnsi="Arial" w:cs="Arial"/>
          <w:sz w:val="24"/>
          <w:szCs w:val="24"/>
        </w:rPr>
        <w:t xml:space="preserve"> </w:t>
      </w:r>
      <w:r w:rsidRPr="003C092C">
        <w:rPr>
          <w:rFonts w:ascii="Arial" w:hAnsi="Arial" w:cs="Arial"/>
          <w:sz w:val="24"/>
          <w:szCs w:val="24"/>
        </w:rPr>
        <w:sym w:font="Symbol" w:char="F0B7"/>
      </w:r>
      <w:r w:rsidRPr="003C092C">
        <w:rPr>
          <w:rFonts w:ascii="Arial" w:hAnsi="Arial" w:cs="Arial"/>
          <w:sz w:val="24"/>
          <w:szCs w:val="24"/>
        </w:rPr>
        <w:t xml:space="preserve"> membro della commissione europea </w:t>
      </w:r>
    </w:p>
    <w:p w:rsidR="00131FCA" w:rsidRPr="003C092C" w:rsidRDefault="00131FCA" w:rsidP="007604D9">
      <w:pPr>
        <w:rPr>
          <w:rFonts w:ascii="Arial" w:hAnsi="Arial" w:cs="Arial"/>
          <w:sz w:val="24"/>
          <w:szCs w:val="24"/>
        </w:rPr>
      </w:pPr>
      <w:r w:rsidRPr="003C092C">
        <w:rPr>
          <w:rFonts w:ascii="Arial" w:hAnsi="Arial" w:cs="Arial"/>
          <w:sz w:val="24"/>
          <w:szCs w:val="24"/>
        </w:rPr>
        <w:sym w:font="Symbol" w:char="F0B7"/>
      </w:r>
      <w:r w:rsidRPr="003C092C">
        <w:rPr>
          <w:rFonts w:ascii="Arial" w:hAnsi="Arial" w:cs="Arial"/>
          <w:sz w:val="24"/>
          <w:szCs w:val="24"/>
        </w:rPr>
        <w:t xml:space="preserve"> giudice , avvocato generale o cancelliere della Corte di Giustizia o del Tribunale</w:t>
      </w:r>
    </w:p>
    <w:p w:rsidR="00131FCA" w:rsidRPr="003C092C" w:rsidRDefault="00131FCA" w:rsidP="007604D9">
      <w:pPr>
        <w:rPr>
          <w:rFonts w:ascii="Arial" w:hAnsi="Arial" w:cs="Arial"/>
          <w:sz w:val="24"/>
          <w:szCs w:val="24"/>
        </w:rPr>
      </w:pPr>
      <w:r w:rsidRPr="003C092C">
        <w:rPr>
          <w:rFonts w:ascii="Arial" w:hAnsi="Arial" w:cs="Arial"/>
          <w:sz w:val="24"/>
          <w:szCs w:val="24"/>
        </w:rPr>
        <w:t xml:space="preserve"> </w:t>
      </w:r>
      <w:r w:rsidRPr="003C092C">
        <w:rPr>
          <w:rFonts w:ascii="Arial" w:hAnsi="Arial" w:cs="Arial"/>
          <w:sz w:val="24"/>
          <w:szCs w:val="24"/>
        </w:rPr>
        <w:sym w:font="Symbol" w:char="F0B7"/>
      </w:r>
      <w:r w:rsidRPr="003C092C">
        <w:rPr>
          <w:rFonts w:ascii="Arial" w:hAnsi="Arial" w:cs="Arial"/>
          <w:sz w:val="24"/>
          <w:szCs w:val="24"/>
        </w:rPr>
        <w:t xml:space="preserve"> membro della Corte dei Conti</w:t>
      </w:r>
    </w:p>
    <w:p w:rsidR="00131FCA" w:rsidRPr="003C092C" w:rsidRDefault="00131FCA" w:rsidP="007604D9">
      <w:pPr>
        <w:rPr>
          <w:rFonts w:ascii="Arial" w:hAnsi="Arial" w:cs="Arial"/>
          <w:sz w:val="24"/>
          <w:szCs w:val="24"/>
        </w:rPr>
      </w:pPr>
      <w:r w:rsidRPr="003C092C">
        <w:rPr>
          <w:rFonts w:ascii="Arial" w:hAnsi="Arial" w:cs="Arial"/>
          <w:sz w:val="24"/>
          <w:szCs w:val="24"/>
        </w:rPr>
        <w:t xml:space="preserve"> </w:t>
      </w:r>
      <w:r w:rsidRPr="003C092C">
        <w:rPr>
          <w:rFonts w:ascii="Arial" w:hAnsi="Arial" w:cs="Arial"/>
          <w:sz w:val="24"/>
          <w:szCs w:val="24"/>
        </w:rPr>
        <w:sym w:font="Symbol" w:char="F0B7"/>
      </w:r>
      <w:r w:rsidRPr="003C092C">
        <w:rPr>
          <w:rFonts w:ascii="Arial" w:hAnsi="Arial" w:cs="Arial"/>
          <w:sz w:val="24"/>
          <w:szCs w:val="24"/>
        </w:rPr>
        <w:t xml:space="preserve"> Mediatore dell’Unione</w:t>
      </w:r>
    </w:p>
    <w:p w:rsidR="00131FCA" w:rsidRPr="003C092C" w:rsidRDefault="00131FCA" w:rsidP="007604D9">
      <w:pPr>
        <w:rPr>
          <w:rFonts w:ascii="Arial" w:hAnsi="Arial" w:cs="Arial"/>
          <w:sz w:val="24"/>
          <w:szCs w:val="24"/>
        </w:rPr>
      </w:pPr>
      <w:r w:rsidRPr="003C092C">
        <w:rPr>
          <w:rFonts w:ascii="Arial" w:hAnsi="Arial" w:cs="Arial"/>
          <w:sz w:val="24"/>
          <w:szCs w:val="24"/>
        </w:rPr>
        <w:t xml:space="preserve"> Immunità e privilegi: i parlamentari europei non possono essere ricercati, detenuti, o perseguiti per le loro opinioni o per i voti espressi nell’esercizi della loro funzione salvo l’ipotesi di flagrante delitto e la possibilità per il Parlamento europeo di privare delle immunità</w:t>
      </w:r>
    </w:p>
    <w:p w:rsidR="00131FCA" w:rsidRPr="003C092C" w:rsidRDefault="00131FCA" w:rsidP="007604D9">
      <w:pPr>
        <w:rPr>
          <w:rFonts w:ascii="Arial" w:hAnsi="Arial" w:cs="Arial"/>
          <w:sz w:val="24"/>
          <w:szCs w:val="24"/>
        </w:rPr>
      </w:pPr>
      <w:r w:rsidRPr="003C092C">
        <w:rPr>
          <w:rFonts w:ascii="Arial" w:hAnsi="Arial" w:cs="Arial"/>
          <w:sz w:val="24"/>
          <w:szCs w:val="24"/>
        </w:rPr>
        <w:t>Ai sensi dell’art. 231 TFUE, salvo disposizioni contrarie dei trattati, il Parlamento delibera a maggioranza dei suffragi espressi.</w:t>
      </w:r>
    </w:p>
    <w:p w:rsidR="00131FCA" w:rsidRPr="003C092C" w:rsidRDefault="00131FCA" w:rsidP="007604D9">
      <w:pPr>
        <w:rPr>
          <w:rFonts w:ascii="Arial" w:hAnsi="Arial" w:cs="Arial"/>
          <w:sz w:val="24"/>
          <w:szCs w:val="24"/>
        </w:rPr>
      </w:pPr>
      <w:r w:rsidRPr="003C092C">
        <w:rPr>
          <w:rFonts w:ascii="Arial" w:hAnsi="Arial" w:cs="Arial"/>
          <w:sz w:val="24"/>
          <w:szCs w:val="24"/>
        </w:rPr>
        <w:t xml:space="preserve"> </w:t>
      </w:r>
      <w:r w:rsidRPr="003C092C">
        <w:rPr>
          <w:rFonts w:ascii="Arial" w:hAnsi="Arial" w:cs="Arial"/>
          <w:sz w:val="24"/>
          <w:szCs w:val="24"/>
        </w:rPr>
        <w:sym w:font="Symbol" w:char="F0B7"/>
      </w:r>
      <w:r w:rsidRPr="003C092C">
        <w:rPr>
          <w:rFonts w:ascii="Arial" w:hAnsi="Arial" w:cs="Arial"/>
          <w:sz w:val="24"/>
          <w:szCs w:val="24"/>
        </w:rPr>
        <w:t xml:space="preserve"> Il quorum è raggiunto quando sono presenti in aula 1/3 dei membri. In taluni casi richiesta la maggioranza assoluta dei componenti (elezione del Presidente della Commissione,ammissione di nuovi stati).</w:t>
      </w:r>
    </w:p>
    <w:p w:rsidR="00131FCA" w:rsidRPr="003C092C" w:rsidRDefault="00131FCA" w:rsidP="007604D9">
      <w:pPr>
        <w:rPr>
          <w:rFonts w:ascii="Arial" w:hAnsi="Arial" w:cs="Arial"/>
          <w:sz w:val="24"/>
          <w:szCs w:val="24"/>
        </w:rPr>
      </w:pPr>
      <w:r w:rsidRPr="003C092C">
        <w:rPr>
          <w:rFonts w:ascii="Arial" w:hAnsi="Arial" w:cs="Arial"/>
          <w:sz w:val="24"/>
          <w:szCs w:val="24"/>
        </w:rPr>
        <w:t xml:space="preserve"> La sede della struttura amministrativa è Lussemburgo mentre le riunioni della Commissione si svolgono a Bruxelles e la sessione plenaria mensile si tiene a Strasburgo. </w:t>
      </w:r>
    </w:p>
    <w:p w:rsidR="00131FCA" w:rsidRPr="003C092C" w:rsidRDefault="00131FCA" w:rsidP="007604D9">
      <w:pPr>
        <w:rPr>
          <w:rFonts w:ascii="Arial" w:hAnsi="Arial" w:cs="Arial"/>
          <w:sz w:val="24"/>
          <w:szCs w:val="24"/>
        </w:rPr>
      </w:pPr>
      <w:proofErr w:type="spellStart"/>
      <w:r w:rsidRPr="003C092C">
        <w:rPr>
          <w:rFonts w:ascii="Arial" w:hAnsi="Arial" w:cs="Arial"/>
          <w:sz w:val="24"/>
          <w:szCs w:val="24"/>
        </w:rPr>
        <w:t>Ilregolamento</w:t>
      </w:r>
      <w:proofErr w:type="spellEnd"/>
      <w:r w:rsidRPr="003C092C">
        <w:rPr>
          <w:rFonts w:ascii="Arial" w:hAnsi="Arial" w:cs="Arial"/>
          <w:sz w:val="24"/>
          <w:szCs w:val="24"/>
        </w:rPr>
        <w:t xml:space="preserve"> interno del Parlamento attualmente in vigore si compone da 216 articoli e disciplina tutti gli aspetti dell’attività dell’istituzione quindi, status dei deputati, svolgimento dei lavori, organizzazione interna..ecc. Per eventuali modifiche al regolamento, è sufficiente la proposta anche di un singolo deputato. Segue il suo esame in Commissione parlamentare competente e la successiva votazione in aula con la maggioranza richiesta.</w:t>
      </w:r>
    </w:p>
    <w:p w:rsidR="00131FCA" w:rsidRPr="003C092C" w:rsidRDefault="00131FCA" w:rsidP="007604D9">
      <w:pPr>
        <w:rPr>
          <w:rFonts w:ascii="Arial" w:hAnsi="Arial" w:cs="Arial"/>
          <w:sz w:val="24"/>
          <w:szCs w:val="24"/>
        </w:rPr>
      </w:pPr>
      <w:r w:rsidRPr="003C092C">
        <w:rPr>
          <w:rFonts w:ascii="Arial" w:hAnsi="Arial" w:cs="Arial"/>
          <w:sz w:val="24"/>
          <w:szCs w:val="24"/>
        </w:rPr>
        <w:t xml:space="preserve"> Lo svolgimento dei lavori in parlamento si articola in : </w:t>
      </w:r>
    </w:p>
    <w:p w:rsidR="00131FCA" w:rsidRPr="003C092C" w:rsidRDefault="00131FCA" w:rsidP="007604D9">
      <w:pPr>
        <w:rPr>
          <w:rFonts w:ascii="Arial" w:hAnsi="Arial" w:cs="Arial"/>
          <w:sz w:val="24"/>
          <w:szCs w:val="24"/>
        </w:rPr>
      </w:pPr>
      <w:r w:rsidRPr="003C092C">
        <w:rPr>
          <w:rFonts w:ascii="Arial" w:hAnsi="Arial" w:cs="Arial"/>
          <w:sz w:val="24"/>
          <w:szCs w:val="24"/>
        </w:rPr>
        <w:t xml:space="preserve">1) legislature  periodo di durata effettiva massima del mandato dei parlamentari europei (5 anni) </w:t>
      </w:r>
    </w:p>
    <w:p w:rsidR="00131FCA" w:rsidRPr="003C092C" w:rsidRDefault="00131FCA" w:rsidP="007604D9">
      <w:pPr>
        <w:rPr>
          <w:rFonts w:ascii="Arial" w:hAnsi="Arial" w:cs="Arial"/>
          <w:sz w:val="24"/>
          <w:szCs w:val="24"/>
        </w:rPr>
      </w:pPr>
      <w:r w:rsidRPr="003C092C">
        <w:rPr>
          <w:rFonts w:ascii="Arial" w:hAnsi="Arial" w:cs="Arial"/>
          <w:sz w:val="24"/>
          <w:szCs w:val="24"/>
        </w:rPr>
        <w:t xml:space="preserve">2) sessioni hanno durata annuale </w:t>
      </w:r>
    </w:p>
    <w:p w:rsidR="00131FCA" w:rsidRPr="003C092C" w:rsidRDefault="00131FCA" w:rsidP="007604D9">
      <w:pPr>
        <w:rPr>
          <w:rFonts w:ascii="Arial" w:hAnsi="Arial" w:cs="Arial"/>
          <w:sz w:val="24"/>
          <w:szCs w:val="24"/>
        </w:rPr>
      </w:pPr>
      <w:r w:rsidRPr="003C092C">
        <w:rPr>
          <w:rFonts w:ascii="Arial" w:hAnsi="Arial" w:cs="Arial"/>
          <w:sz w:val="24"/>
          <w:szCs w:val="24"/>
        </w:rPr>
        <w:t>3) tornate vale a dire le singole riunioni del Parlamento , che ripartiscono in sedute</w:t>
      </w:r>
    </w:p>
    <w:p w:rsidR="0010072F" w:rsidRPr="003C092C" w:rsidRDefault="00131FCA" w:rsidP="007604D9">
      <w:pPr>
        <w:rPr>
          <w:rFonts w:ascii="Arial" w:hAnsi="Arial" w:cs="Arial"/>
          <w:sz w:val="24"/>
          <w:szCs w:val="24"/>
        </w:rPr>
      </w:pPr>
      <w:r w:rsidRPr="003C092C">
        <w:rPr>
          <w:rFonts w:ascii="Arial" w:hAnsi="Arial" w:cs="Arial"/>
          <w:sz w:val="24"/>
          <w:szCs w:val="24"/>
        </w:rPr>
        <w:lastRenderedPageBreak/>
        <w:t>4) sedute  singole riunioni quotidiane dell’istituzione. Se si tengono più sedute durante la singola giornata, la seduta si considera unica.</w:t>
      </w:r>
    </w:p>
    <w:p w:rsidR="00131FCA" w:rsidRPr="003C092C" w:rsidRDefault="00131FCA" w:rsidP="007604D9">
      <w:pPr>
        <w:rPr>
          <w:rFonts w:ascii="Arial" w:hAnsi="Arial" w:cs="Arial"/>
          <w:sz w:val="24"/>
          <w:szCs w:val="24"/>
        </w:rPr>
      </w:pPr>
      <w:r w:rsidRPr="003C092C">
        <w:rPr>
          <w:rFonts w:ascii="Arial" w:hAnsi="Arial" w:cs="Arial"/>
          <w:sz w:val="24"/>
          <w:szCs w:val="24"/>
        </w:rPr>
        <w:t xml:space="preserve">La maggior parte dei lavori parlamentari, viene svolta all’interno di commissioni specializzate, suddivise a loro volta in sottocommissioni. </w:t>
      </w:r>
    </w:p>
    <w:p w:rsidR="00131FCA" w:rsidRPr="003C092C" w:rsidRDefault="00131FCA" w:rsidP="007604D9">
      <w:pPr>
        <w:rPr>
          <w:rFonts w:ascii="Arial" w:hAnsi="Arial" w:cs="Arial"/>
          <w:sz w:val="24"/>
          <w:szCs w:val="24"/>
        </w:rPr>
      </w:pPr>
      <w:r w:rsidRPr="003C092C">
        <w:rPr>
          <w:rFonts w:ascii="Arial" w:hAnsi="Arial" w:cs="Arial"/>
          <w:sz w:val="24"/>
          <w:szCs w:val="24"/>
        </w:rPr>
        <w:t>GLI ORGANI DEL PARLAMENTO EUROPEO.</w:t>
      </w:r>
    </w:p>
    <w:p w:rsidR="00131FCA" w:rsidRPr="003C092C" w:rsidRDefault="00131FCA" w:rsidP="007604D9">
      <w:pPr>
        <w:rPr>
          <w:rFonts w:ascii="Arial" w:hAnsi="Arial" w:cs="Arial"/>
          <w:sz w:val="24"/>
          <w:szCs w:val="24"/>
        </w:rPr>
      </w:pPr>
      <w:r w:rsidRPr="003C092C">
        <w:rPr>
          <w:rFonts w:ascii="Arial" w:hAnsi="Arial" w:cs="Arial"/>
          <w:sz w:val="24"/>
          <w:szCs w:val="24"/>
        </w:rPr>
        <w:t xml:space="preserve"> 1. Ufficio di presidenza</w:t>
      </w:r>
    </w:p>
    <w:p w:rsidR="00131FCA" w:rsidRPr="003C092C" w:rsidRDefault="00131FCA" w:rsidP="007604D9">
      <w:pPr>
        <w:rPr>
          <w:rFonts w:ascii="Arial" w:hAnsi="Arial" w:cs="Arial"/>
          <w:sz w:val="24"/>
          <w:szCs w:val="24"/>
        </w:rPr>
      </w:pPr>
      <w:r w:rsidRPr="003C092C">
        <w:rPr>
          <w:rFonts w:ascii="Arial" w:hAnsi="Arial" w:cs="Arial"/>
          <w:sz w:val="24"/>
          <w:szCs w:val="24"/>
        </w:rPr>
        <w:t xml:space="preserve"> 2. Conferenza dei presidenti</w:t>
      </w:r>
    </w:p>
    <w:p w:rsidR="00131FCA" w:rsidRPr="003C092C" w:rsidRDefault="00131FCA" w:rsidP="007604D9">
      <w:pPr>
        <w:rPr>
          <w:rFonts w:ascii="Arial" w:hAnsi="Arial" w:cs="Arial"/>
          <w:sz w:val="24"/>
          <w:szCs w:val="24"/>
        </w:rPr>
      </w:pPr>
      <w:r w:rsidRPr="003C092C">
        <w:rPr>
          <w:rFonts w:ascii="Arial" w:hAnsi="Arial" w:cs="Arial"/>
          <w:sz w:val="24"/>
          <w:szCs w:val="24"/>
        </w:rPr>
        <w:t xml:space="preserve"> 3. Conferenza dei questori (I questori sono membri dell’ufficio e svolgono funzioni consultive e sono incaricati di compiti </w:t>
      </w:r>
      <w:proofErr w:type="spellStart"/>
      <w:r w:rsidRPr="003C092C">
        <w:rPr>
          <w:rFonts w:ascii="Arial" w:hAnsi="Arial" w:cs="Arial"/>
          <w:sz w:val="24"/>
          <w:szCs w:val="24"/>
        </w:rPr>
        <w:t>amm.vi</w:t>
      </w:r>
      <w:proofErr w:type="spellEnd"/>
      <w:r w:rsidRPr="003C092C">
        <w:rPr>
          <w:rFonts w:ascii="Arial" w:hAnsi="Arial" w:cs="Arial"/>
          <w:sz w:val="24"/>
          <w:szCs w:val="24"/>
        </w:rPr>
        <w:t xml:space="preserve"> e finanziari riguardanti direttamente i deputati.)</w:t>
      </w:r>
    </w:p>
    <w:p w:rsidR="00131FCA" w:rsidRPr="003C092C" w:rsidRDefault="00131FCA" w:rsidP="007604D9">
      <w:pPr>
        <w:rPr>
          <w:rFonts w:ascii="Arial" w:hAnsi="Arial" w:cs="Arial"/>
          <w:sz w:val="24"/>
          <w:szCs w:val="24"/>
        </w:rPr>
      </w:pPr>
      <w:r w:rsidRPr="003C092C">
        <w:rPr>
          <w:rFonts w:ascii="Arial" w:hAnsi="Arial" w:cs="Arial"/>
          <w:sz w:val="24"/>
          <w:szCs w:val="24"/>
        </w:rPr>
        <w:t xml:space="preserve">4. Conferenza dei presidenti di commissione </w:t>
      </w:r>
    </w:p>
    <w:p w:rsidR="00131FCA" w:rsidRPr="003C092C" w:rsidRDefault="00131FCA" w:rsidP="007604D9">
      <w:pPr>
        <w:rPr>
          <w:rFonts w:ascii="Arial" w:hAnsi="Arial" w:cs="Arial"/>
          <w:sz w:val="24"/>
          <w:szCs w:val="24"/>
        </w:rPr>
      </w:pPr>
      <w:r w:rsidRPr="003C092C">
        <w:rPr>
          <w:rFonts w:ascii="Arial" w:hAnsi="Arial" w:cs="Arial"/>
          <w:sz w:val="24"/>
          <w:szCs w:val="24"/>
        </w:rPr>
        <w:t>5. Conferenza dei presidenti di delegazione.</w:t>
      </w:r>
    </w:p>
    <w:p w:rsidR="00131FCA" w:rsidRPr="003C092C" w:rsidRDefault="00131FCA" w:rsidP="007604D9">
      <w:pPr>
        <w:rPr>
          <w:rFonts w:ascii="Arial" w:hAnsi="Arial" w:cs="Arial"/>
          <w:sz w:val="24"/>
          <w:szCs w:val="24"/>
        </w:rPr>
      </w:pPr>
      <w:r w:rsidRPr="003C092C">
        <w:rPr>
          <w:rFonts w:ascii="Arial" w:hAnsi="Arial" w:cs="Arial"/>
          <w:sz w:val="24"/>
          <w:szCs w:val="24"/>
        </w:rPr>
        <w:t>L’ufficio di presidenza è composto da 1 presidente e da 14 vice presidenti, in carica per 2 anni e mezzo.</w:t>
      </w:r>
    </w:p>
    <w:p w:rsidR="00131FCA" w:rsidRPr="003C092C" w:rsidRDefault="00131FCA" w:rsidP="007604D9">
      <w:pPr>
        <w:rPr>
          <w:rFonts w:ascii="Arial" w:hAnsi="Arial" w:cs="Arial"/>
          <w:sz w:val="24"/>
          <w:szCs w:val="24"/>
        </w:rPr>
      </w:pPr>
      <w:r w:rsidRPr="003C092C">
        <w:rPr>
          <w:rFonts w:ascii="Arial" w:hAnsi="Arial" w:cs="Arial"/>
          <w:sz w:val="24"/>
          <w:szCs w:val="24"/>
        </w:rPr>
        <w:t xml:space="preserve">Il presidente è eletto per 2 anni e mezzo dal Parlamento a maggioranza assoluta dei voti nei primi 3 turni. Dal 4 turno in poi, si procede al ballottaggio tra i 2 candidati più votati. Funzioni presidente del Parlamento europeo: </w:t>
      </w:r>
    </w:p>
    <w:p w:rsidR="00131FCA" w:rsidRPr="003C092C" w:rsidRDefault="00131FCA" w:rsidP="00131FCA">
      <w:pPr>
        <w:pStyle w:val="NormaleWeb"/>
        <w:shd w:val="clear" w:color="auto" w:fill="FFFFFF"/>
        <w:spacing w:before="120" w:beforeAutospacing="0" w:after="120" w:afterAutospacing="0"/>
        <w:rPr>
          <w:rFonts w:ascii="Arial" w:hAnsi="Arial" w:cs="Arial"/>
          <w:color w:val="222222"/>
        </w:rPr>
      </w:pPr>
      <w:r w:rsidRPr="003C092C">
        <w:rPr>
          <w:rFonts w:ascii="Arial" w:hAnsi="Arial" w:cs="Arial"/>
          <w:color w:val="222222"/>
        </w:rPr>
        <w:t>l </w:t>
      </w:r>
      <w:r w:rsidRPr="003C092C">
        <w:rPr>
          <w:rFonts w:ascii="Arial" w:hAnsi="Arial" w:cs="Arial"/>
          <w:b/>
          <w:bCs/>
          <w:color w:val="222222"/>
        </w:rPr>
        <w:t>presidente del Parlamento europeo</w:t>
      </w:r>
      <w:r w:rsidRPr="003C092C">
        <w:rPr>
          <w:rFonts w:ascii="Arial" w:hAnsi="Arial" w:cs="Arial"/>
          <w:color w:val="222222"/>
        </w:rPr>
        <w:t> presiede i dibattiti e le attività del Parlamento e lo rappresenta all'interno dell'UE e a livello internazionale. La firma del presidente è necessaria per rendere operativa la maggior parte degli atti legislativi europei e per l'approvazione del bilancio dell'UE.</w:t>
      </w:r>
    </w:p>
    <w:p w:rsidR="00335BF9" w:rsidRPr="003C092C" w:rsidRDefault="00131FCA" w:rsidP="00131FCA">
      <w:pPr>
        <w:pStyle w:val="NormaleWeb"/>
        <w:shd w:val="clear" w:color="auto" w:fill="FFFFFF"/>
        <w:spacing w:before="120" w:beforeAutospacing="0" w:after="120" w:afterAutospacing="0"/>
        <w:rPr>
          <w:rFonts w:ascii="Arial" w:hAnsi="Arial" w:cs="Arial"/>
          <w:color w:val="222222"/>
        </w:rPr>
      </w:pPr>
      <w:r w:rsidRPr="003C092C">
        <w:rPr>
          <w:rFonts w:ascii="Arial" w:hAnsi="Arial" w:cs="Arial"/>
          <w:color w:val="222222"/>
        </w:rPr>
        <w:t>In ogni legislatura del Parlamento si alternano due presidenti, i cui nomi vengono generalmente individuati da un accordo politico tra i due maggiori </w:t>
      </w:r>
      <w:r w:rsidR="00335BF9" w:rsidRPr="003C092C">
        <w:rPr>
          <w:rFonts w:ascii="Arial" w:hAnsi="Arial" w:cs="Arial"/>
          <w:color w:val="222222"/>
        </w:rPr>
        <w:t>gruppi parlamentari</w:t>
      </w:r>
    </w:p>
    <w:p w:rsidR="00335BF9" w:rsidRPr="003C092C" w:rsidRDefault="00335BF9" w:rsidP="00335BF9">
      <w:pPr>
        <w:pStyle w:val="NormaleWeb"/>
        <w:shd w:val="clear" w:color="auto" w:fill="FFFFFF"/>
        <w:spacing w:before="120" w:beforeAutospacing="0" w:after="120" w:afterAutospacing="0"/>
        <w:rPr>
          <w:rFonts w:ascii="Arial" w:hAnsi="Arial" w:cs="Arial"/>
          <w:color w:val="222222"/>
        </w:rPr>
      </w:pPr>
      <w:r w:rsidRPr="003C092C">
        <w:rPr>
          <w:rFonts w:ascii="Arial" w:hAnsi="Arial" w:cs="Arial"/>
          <w:color w:val="222222"/>
        </w:rPr>
        <w:t xml:space="preserve"> Il presidente del Parlamento presiede i dibattiti dell'assemblea, assistito da 14 vicepresidenti che lo sostituiscono durante i suoi periodi di assenza. Il presidente convoca e presiede l'Ufficio di presidenza del Parlamento (composto dal presidente, dai vicepresidenti e da 5 questori eletti dall'assemblea) e la Conferenza dei </w:t>
      </w:r>
      <w:proofErr w:type="spellStart"/>
      <w:r w:rsidRPr="003C092C">
        <w:rPr>
          <w:rFonts w:ascii="Arial" w:hAnsi="Arial" w:cs="Arial"/>
          <w:color w:val="222222"/>
        </w:rPr>
        <w:t>Presidneti</w:t>
      </w:r>
      <w:proofErr w:type="spellEnd"/>
      <w:r w:rsidRPr="003C092C">
        <w:rPr>
          <w:rFonts w:ascii="Arial" w:hAnsi="Arial" w:cs="Arial"/>
          <w:color w:val="222222"/>
        </w:rPr>
        <w:t> dei gruppi politici.</w:t>
      </w:r>
    </w:p>
    <w:p w:rsidR="00335BF9" w:rsidRPr="003C092C" w:rsidRDefault="00335BF9" w:rsidP="00335BF9">
      <w:pPr>
        <w:pStyle w:val="NormaleWeb"/>
        <w:shd w:val="clear" w:color="auto" w:fill="FFFFFF"/>
        <w:spacing w:before="120" w:beforeAutospacing="0" w:after="120" w:afterAutospacing="0"/>
        <w:rPr>
          <w:rFonts w:ascii="Arial" w:hAnsi="Arial" w:cs="Arial"/>
          <w:color w:val="222222"/>
        </w:rPr>
      </w:pPr>
      <w:r w:rsidRPr="003C092C">
        <w:rPr>
          <w:rFonts w:ascii="Arial" w:hAnsi="Arial" w:cs="Arial"/>
          <w:color w:val="222222"/>
        </w:rPr>
        <w:t>Il presidente inoltre coordina tutte le attività del Parlamento, delle sue varie commissioni e degli altri gruppi di lavoro istituiti al suo interno ed assicura il rispetto del regolamento parlamentare.</w:t>
      </w:r>
    </w:p>
    <w:p w:rsidR="00335BF9" w:rsidRPr="003C092C" w:rsidRDefault="00335BF9" w:rsidP="00335BF9">
      <w:pPr>
        <w:pStyle w:val="NormaleWeb"/>
        <w:shd w:val="clear" w:color="auto" w:fill="FFFFFF"/>
        <w:spacing w:before="120" w:beforeAutospacing="0" w:after="120" w:afterAutospacing="0"/>
        <w:rPr>
          <w:rFonts w:ascii="Arial" w:hAnsi="Arial" w:cs="Arial"/>
          <w:color w:val="000000"/>
        </w:rPr>
      </w:pPr>
      <w:r w:rsidRPr="003C092C">
        <w:rPr>
          <w:rFonts w:ascii="Arial" w:hAnsi="Arial" w:cs="Arial"/>
          <w:color w:val="222222"/>
        </w:rPr>
        <w:t>Non è espressamente previsto ma, secondo una convenzione parlamentare, il Presidente non vota.</w:t>
      </w:r>
    </w:p>
    <w:p w:rsidR="00335BF9" w:rsidRPr="003C092C" w:rsidRDefault="00335BF9" w:rsidP="00335BF9">
      <w:pPr>
        <w:pStyle w:val="NormaleWeb"/>
        <w:shd w:val="clear" w:color="auto" w:fill="FFFFFF"/>
        <w:spacing w:before="120" w:beforeAutospacing="0" w:after="120" w:afterAutospacing="0"/>
        <w:rPr>
          <w:rFonts w:ascii="Arial" w:hAnsi="Arial" w:cs="Arial"/>
          <w:color w:val="222222"/>
        </w:rPr>
      </w:pPr>
      <w:r w:rsidRPr="003C092C">
        <w:rPr>
          <w:rFonts w:ascii="Arial" w:hAnsi="Arial" w:cs="Arial"/>
          <w:color w:val="222222"/>
        </w:rPr>
        <w:t>Il presidente del Parlamento rappresenta il P. dal punto di vista legale, nei suoi rapporti con le altre istituzioni dell'UE e nelle relazioni internazionali.</w:t>
      </w:r>
    </w:p>
    <w:p w:rsidR="00335BF9" w:rsidRPr="003C092C" w:rsidRDefault="00335BF9" w:rsidP="00335BF9">
      <w:pPr>
        <w:pStyle w:val="NormaleWeb"/>
        <w:shd w:val="clear" w:color="auto" w:fill="FFFFFF"/>
        <w:spacing w:before="120" w:beforeAutospacing="0" w:after="120" w:afterAutospacing="0"/>
        <w:rPr>
          <w:rFonts w:ascii="Arial" w:hAnsi="Arial" w:cs="Arial"/>
          <w:color w:val="222222"/>
        </w:rPr>
      </w:pPr>
      <w:r w:rsidRPr="003C092C">
        <w:rPr>
          <w:rFonts w:ascii="Arial" w:hAnsi="Arial" w:cs="Arial"/>
          <w:color w:val="222222"/>
        </w:rPr>
        <w:t xml:space="preserve">La firma del presidente è necessaria per l'approvazione del bilancio dell'UE e per tutti gli atti legislativi europei approvati secondo la procedura legislativa ordinaria. Il presidente presiede i comitati di </w:t>
      </w:r>
      <w:proofErr w:type="spellStart"/>
      <w:r w:rsidRPr="003C092C">
        <w:rPr>
          <w:rFonts w:ascii="Arial" w:hAnsi="Arial" w:cs="Arial"/>
          <w:color w:val="222222"/>
        </w:rPr>
        <w:t>conicliazione</w:t>
      </w:r>
      <w:proofErr w:type="spellEnd"/>
      <w:r w:rsidRPr="003C092C">
        <w:rPr>
          <w:rFonts w:ascii="Arial" w:hAnsi="Arial" w:cs="Arial"/>
          <w:color w:val="222222"/>
        </w:rPr>
        <w:t> tra Parlamento e Consiglio  istituiti in caso di disaccordo tra le due istituzioni.</w:t>
      </w:r>
    </w:p>
    <w:p w:rsidR="00335BF9" w:rsidRPr="003C092C" w:rsidRDefault="00335BF9" w:rsidP="00335BF9">
      <w:pPr>
        <w:pStyle w:val="NormaleWeb"/>
        <w:shd w:val="clear" w:color="auto" w:fill="FFFFFF"/>
        <w:spacing w:before="120" w:beforeAutospacing="0" w:after="120" w:afterAutospacing="0"/>
        <w:rPr>
          <w:rFonts w:ascii="Arial" w:hAnsi="Arial" w:cs="Arial"/>
          <w:color w:val="222222"/>
        </w:rPr>
      </w:pPr>
      <w:r w:rsidRPr="003C092C">
        <w:rPr>
          <w:rFonts w:ascii="Arial" w:hAnsi="Arial" w:cs="Arial"/>
          <w:color w:val="222222"/>
        </w:rPr>
        <w:t>Il presidente interviene ai vertici del Consiglio europeo per esprimere la posizione del Parlamento sui temi in discussione. Partecipa anche alle </w:t>
      </w:r>
      <w:proofErr w:type="spellStart"/>
      <w:r w:rsidRPr="003C092C">
        <w:rPr>
          <w:rFonts w:ascii="Arial" w:hAnsi="Arial" w:cs="Arial"/>
          <w:color w:val="222222"/>
        </w:rPr>
        <w:t>conferenz</w:t>
      </w:r>
      <w:proofErr w:type="spellEnd"/>
      <w:r w:rsidRPr="003C092C">
        <w:rPr>
          <w:rFonts w:ascii="Arial" w:hAnsi="Arial" w:cs="Arial"/>
          <w:color w:val="222222"/>
        </w:rPr>
        <w:t xml:space="preserve"> intergovernative  convocate per la riforma o l'introduzione di nuovi trattati.</w:t>
      </w:r>
    </w:p>
    <w:p w:rsidR="00335BF9" w:rsidRPr="003C092C" w:rsidRDefault="00335BF9" w:rsidP="00335BF9">
      <w:pPr>
        <w:pStyle w:val="NormaleWeb"/>
        <w:shd w:val="clear" w:color="auto" w:fill="FFFFFF"/>
        <w:spacing w:before="120" w:beforeAutospacing="0" w:after="120" w:afterAutospacing="0"/>
        <w:rPr>
          <w:rFonts w:ascii="Arial" w:hAnsi="Arial" w:cs="Arial"/>
          <w:color w:val="222222"/>
        </w:rPr>
      </w:pPr>
      <w:r w:rsidRPr="003C092C">
        <w:rPr>
          <w:rFonts w:ascii="Arial" w:hAnsi="Arial" w:cs="Arial"/>
          <w:color w:val="222222"/>
        </w:rPr>
        <w:t>Dal punto di vista del protocollo, il presidente del Parlamento precede tutte le altre cariche dell’UE.</w:t>
      </w:r>
    </w:p>
    <w:p w:rsidR="00335BF9" w:rsidRPr="003C092C" w:rsidRDefault="00335BF9" w:rsidP="00335BF9">
      <w:pPr>
        <w:pStyle w:val="NormaleWeb"/>
        <w:shd w:val="clear" w:color="auto" w:fill="FFFFFF"/>
        <w:spacing w:before="120" w:beforeAutospacing="0" w:after="120" w:afterAutospacing="0"/>
        <w:rPr>
          <w:rFonts w:ascii="Arial" w:hAnsi="Arial" w:cs="Arial"/>
          <w:color w:val="222222"/>
        </w:rPr>
      </w:pPr>
      <w:r w:rsidRPr="003C092C">
        <w:rPr>
          <w:rFonts w:ascii="Arial" w:hAnsi="Arial" w:cs="Arial"/>
          <w:color w:val="222222"/>
        </w:rPr>
        <w:t>L'Ufficio di presidenza del Parlamento viene eletto assieme al presidente del Parlamento e rimane in carica per due anni e mezzo. È composto dal presidente, dai 14 vicepresidenti e da 5 questori eletti dall'assemblea.</w:t>
      </w:r>
    </w:p>
    <w:p w:rsidR="00335BF9" w:rsidRPr="003C092C" w:rsidRDefault="00335BF9" w:rsidP="00335BF9">
      <w:pPr>
        <w:pStyle w:val="NormaleWeb"/>
        <w:shd w:val="clear" w:color="auto" w:fill="FFFFFF"/>
        <w:spacing w:before="120" w:beforeAutospacing="0" w:after="120" w:afterAutospacing="0"/>
        <w:rPr>
          <w:rFonts w:ascii="Arial" w:hAnsi="Arial" w:cs="Arial"/>
          <w:color w:val="222222"/>
        </w:rPr>
      </w:pPr>
      <w:r w:rsidRPr="003C092C">
        <w:rPr>
          <w:rFonts w:ascii="Arial" w:hAnsi="Arial" w:cs="Arial"/>
          <w:color w:val="222222"/>
        </w:rPr>
        <w:t>L'Ufficio di presidenza si occupa del bilancio del Parlamento e di varie questioni di tipo amministrativo e organizzativo.</w:t>
      </w:r>
    </w:p>
    <w:p w:rsidR="00335BF9" w:rsidRPr="003C092C" w:rsidRDefault="00335BF9" w:rsidP="00335BF9">
      <w:pPr>
        <w:pStyle w:val="NormaleWeb"/>
        <w:shd w:val="clear" w:color="auto" w:fill="FFFFFF"/>
        <w:spacing w:before="120" w:beforeAutospacing="0" w:after="120" w:afterAutospacing="0"/>
        <w:rPr>
          <w:rFonts w:ascii="Arial" w:hAnsi="Arial" w:cs="Arial"/>
          <w:color w:val="222222"/>
        </w:rPr>
      </w:pPr>
      <w:r w:rsidRPr="003C092C">
        <w:rPr>
          <w:rFonts w:ascii="Arial" w:hAnsi="Arial" w:cs="Arial"/>
          <w:color w:val="222222"/>
        </w:rPr>
        <w:t>I vicepresidenti del Parlamento europeo sono quattordici e vengono eletti dagli europarlamentari subito dopo il presidente. Come il presidente, rimangono in carica due anni e mezzo.</w:t>
      </w:r>
    </w:p>
    <w:p w:rsidR="00335BF9" w:rsidRPr="003C092C" w:rsidRDefault="00335BF9" w:rsidP="00335BF9">
      <w:pPr>
        <w:pStyle w:val="NormaleWeb"/>
        <w:shd w:val="clear" w:color="auto" w:fill="FFFFFF"/>
        <w:spacing w:before="120" w:beforeAutospacing="0" w:after="120" w:afterAutospacing="0"/>
        <w:rPr>
          <w:rFonts w:ascii="Arial" w:hAnsi="Arial" w:cs="Arial"/>
          <w:color w:val="222222"/>
        </w:rPr>
      </w:pPr>
      <w:r w:rsidRPr="003C092C">
        <w:rPr>
          <w:rFonts w:ascii="Arial" w:hAnsi="Arial" w:cs="Arial"/>
          <w:color w:val="222222"/>
        </w:rPr>
        <w:t>I vicepresidenti presiedono l'assemblea quando il presidente è assente e sono membri di diritto dell'Ufficio di presidenza del Parlamento. Il presidente può delegare funzioni e compiti ai singoli vicepresidenti. Tra i 14 vicepresidenti, la Conferenza dei presidenti dei gruppi del Parlamento ne indica tre, che partecipano assieme al presidente agli eventuali comitati di conciliazione istituiti tra Parlamento e Consiglio. I tre vicepresidenti che ottengono questa maggiore influenza sono generalmente scelti tra coloro che hanno ottenuto il maggior numero di voti.</w:t>
      </w:r>
    </w:p>
    <w:p w:rsidR="006C53A3" w:rsidRPr="003C092C" w:rsidRDefault="00335BF9" w:rsidP="00131FCA">
      <w:pPr>
        <w:pStyle w:val="NormaleWeb"/>
        <w:shd w:val="clear" w:color="auto" w:fill="FFFFFF"/>
        <w:spacing w:before="120" w:beforeAutospacing="0" w:after="120" w:afterAutospacing="0"/>
        <w:rPr>
          <w:rFonts w:ascii="Arial" w:hAnsi="Arial" w:cs="Arial"/>
        </w:rPr>
      </w:pPr>
      <w:r w:rsidRPr="003C092C">
        <w:rPr>
          <w:rFonts w:ascii="Arial" w:hAnsi="Arial" w:cs="Arial"/>
        </w:rPr>
        <w:t xml:space="preserve">FUNZIONI DEL PARLAMENTO EUROPEO. Il parlamento europeo svolge : </w:t>
      </w:r>
    </w:p>
    <w:p w:rsidR="006C53A3" w:rsidRPr="003C092C" w:rsidRDefault="00335BF9" w:rsidP="00131FCA">
      <w:pPr>
        <w:pStyle w:val="NormaleWeb"/>
        <w:shd w:val="clear" w:color="auto" w:fill="FFFFFF"/>
        <w:spacing w:before="120" w:beforeAutospacing="0" w:after="120" w:afterAutospacing="0"/>
        <w:rPr>
          <w:rFonts w:ascii="Arial" w:hAnsi="Arial" w:cs="Arial"/>
        </w:rPr>
      </w:pPr>
      <w:r w:rsidRPr="003C092C">
        <w:rPr>
          <w:rFonts w:ascii="Arial" w:hAnsi="Arial" w:cs="Arial"/>
        </w:rPr>
        <w:t>1) funzioni legislative e di bilancio  congiuntamente con il Consiglio</w:t>
      </w:r>
    </w:p>
    <w:p w:rsidR="006C53A3" w:rsidRPr="003C092C" w:rsidRDefault="00335BF9" w:rsidP="00131FCA">
      <w:pPr>
        <w:pStyle w:val="NormaleWeb"/>
        <w:shd w:val="clear" w:color="auto" w:fill="FFFFFF"/>
        <w:spacing w:before="120" w:beforeAutospacing="0" w:after="120" w:afterAutospacing="0"/>
        <w:rPr>
          <w:rFonts w:ascii="Arial" w:hAnsi="Arial" w:cs="Arial"/>
        </w:rPr>
      </w:pPr>
      <w:r w:rsidRPr="003C092C">
        <w:rPr>
          <w:rFonts w:ascii="Arial" w:hAnsi="Arial" w:cs="Arial"/>
        </w:rPr>
        <w:t xml:space="preserve"> 2) funzioni di controllo politico e consultive </w:t>
      </w:r>
    </w:p>
    <w:p w:rsidR="006C53A3" w:rsidRPr="003C092C" w:rsidRDefault="00335BF9" w:rsidP="00131FCA">
      <w:pPr>
        <w:pStyle w:val="NormaleWeb"/>
        <w:shd w:val="clear" w:color="auto" w:fill="FFFFFF"/>
        <w:spacing w:before="120" w:beforeAutospacing="0" w:after="120" w:afterAutospacing="0"/>
        <w:rPr>
          <w:rFonts w:ascii="Arial" w:hAnsi="Arial" w:cs="Arial"/>
        </w:rPr>
      </w:pPr>
      <w:r w:rsidRPr="003C092C">
        <w:rPr>
          <w:rFonts w:ascii="Arial" w:hAnsi="Arial" w:cs="Arial"/>
        </w:rPr>
        <w:t xml:space="preserve">3) elegge il presidente della Commissione. </w:t>
      </w:r>
    </w:p>
    <w:p w:rsidR="006C53A3" w:rsidRPr="003C092C" w:rsidRDefault="00335BF9" w:rsidP="00131FCA">
      <w:pPr>
        <w:pStyle w:val="NormaleWeb"/>
        <w:shd w:val="clear" w:color="auto" w:fill="FFFFFF"/>
        <w:spacing w:before="120" w:beforeAutospacing="0" w:after="120" w:afterAutospacing="0"/>
        <w:rPr>
          <w:rFonts w:ascii="Arial" w:hAnsi="Arial" w:cs="Arial"/>
        </w:rPr>
      </w:pPr>
      <w:r w:rsidRPr="003C092C">
        <w:rPr>
          <w:rFonts w:ascii="Arial" w:hAnsi="Arial" w:cs="Arial"/>
        </w:rPr>
        <w:lastRenderedPageBreak/>
        <w:t xml:space="preserve"> FUNZIONE LEGISLATIVA E </w:t>
      </w:r>
      <w:proofErr w:type="spellStart"/>
      <w:r w:rsidRPr="003C092C">
        <w:rPr>
          <w:rFonts w:ascii="Arial" w:hAnsi="Arial" w:cs="Arial"/>
        </w:rPr>
        <w:t>DI</w:t>
      </w:r>
      <w:proofErr w:type="spellEnd"/>
      <w:r w:rsidRPr="003C092C">
        <w:rPr>
          <w:rFonts w:ascii="Arial" w:hAnsi="Arial" w:cs="Arial"/>
        </w:rPr>
        <w:t xml:space="preserve"> BILANCIO La funzione legislativa è condivisa con il Consiglio nel procedimento di formazione degli atti dell’Unione.  Tale competenza può essere esercitata attraverso la procedura legislativa ordinaria o speciale a seconda della specifica previsione dei trattati. La funzione di bilancio non può essere esercitata senza l’accordo del Consiglio e del Parlamento. Tale funzione consiste : </w:t>
      </w:r>
    </w:p>
    <w:p w:rsidR="006C53A3" w:rsidRPr="003C092C" w:rsidRDefault="00335BF9" w:rsidP="00131FCA">
      <w:pPr>
        <w:pStyle w:val="NormaleWeb"/>
        <w:shd w:val="clear" w:color="auto" w:fill="FFFFFF"/>
        <w:spacing w:before="120" w:beforeAutospacing="0" w:after="120" w:afterAutospacing="0"/>
        <w:rPr>
          <w:rFonts w:ascii="Arial" w:hAnsi="Arial" w:cs="Arial"/>
        </w:rPr>
      </w:pPr>
      <w:r w:rsidRPr="003C092C">
        <w:rPr>
          <w:rFonts w:ascii="Arial" w:hAnsi="Arial" w:cs="Arial"/>
        </w:rPr>
        <w:sym w:font="Symbol" w:char="F0B7"/>
      </w:r>
      <w:r w:rsidRPr="003C092C">
        <w:rPr>
          <w:rFonts w:ascii="Arial" w:hAnsi="Arial" w:cs="Arial"/>
        </w:rPr>
        <w:t xml:space="preserve"> approvazione del quadro finanziario pluriennale</w:t>
      </w:r>
    </w:p>
    <w:p w:rsidR="00131FCA" w:rsidRPr="003C092C" w:rsidRDefault="00335BF9" w:rsidP="00131FCA">
      <w:pPr>
        <w:pStyle w:val="NormaleWeb"/>
        <w:shd w:val="clear" w:color="auto" w:fill="FFFFFF"/>
        <w:spacing w:before="120" w:beforeAutospacing="0" w:after="120" w:afterAutospacing="0"/>
        <w:rPr>
          <w:rFonts w:ascii="Arial" w:hAnsi="Arial" w:cs="Arial"/>
          <w:color w:val="222222"/>
        </w:rPr>
      </w:pPr>
      <w:r w:rsidRPr="003C092C">
        <w:rPr>
          <w:rFonts w:ascii="Arial" w:hAnsi="Arial" w:cs="Arial"/>
        </w:rPr>
        <w:t xml:space="preserve"> </w:t>
      </w:r>
      <w:r w:rsidRPr="003C092C">
        <w:rPr>
          <w:rFonts w:ascii="Arial" w:hAnsi="Arial" w:cs="Arial"/>
        </w:rPr>
        <w:sym w:font="Symbol" w:char="F0B7"/>
      </w:r>
      <w:r w:rsidRPr="003C092C">
        <w:rPr>
          <w:rFonts w:ascii="Arial" w:hAnsi="Arial" w:cs="Arial"/>
        </w:rPr>
        <w:t>adozione delle spese da iscrivere nel Bilancio dell’Unione.</w:t>
      </w:r>
    </w:p>
    <w:p w:rsidR="0095024E" w:rsidRPr="003C092C" w:rsidRDefault="006C53A3" w:rsidP="00CA2E12">
      <w:pPr>
        <w:rPr>
          <w:rFonts w:ascii="Arial" w:hAnsi="Arial" w:cs="Arial"/>
          <w:sz w:val="24"/>
          <w:szCs w:val="24"/>
        </w:rPr>
      </w:pPr>
      <w:r w:rsidRPr="003C092C">
        <w:rPr>
          <w:rFonts w:ascii="Arial" w:hAnsi="Arial" w:cs="Arial"/>
          <w:sz w:val="24"/>
          <w:szCs w:val="24"/>
        </w:rPr>
        <w:t xml:space="preserve">FUNZIONI </w:t>
      </w:r>
      <w:proofErr w:type="spellStart"/>
      <w:r w:rsidRPr="003C092C">
        <w:rPr>
          <w:rFonts w:ascii="Arial" w:hAnsi="Arial" w:cs="Arial"/>
          <w:sz w:val="24"/>
          <w:szCs w:val="24"/>
        </w:rPr>
        <w:t>DI</w:t>
      </w:r>
      <w:proofErr w:type="spellEnd"/>
      <w:r w:rsidRPr="003C092C">
        <w:rPr>
          <w:rFonts w:ascii="Arial" w:hAnsi="Arial" w:cs="Arial"/>
          <w:sz w:val="24"/>
          <w:szCs w:val="24"/>
        </w:rPr>
        <w:t xml:space="preserve"> CONTROLLO </w:t>
      </w:r>
      <w:proofErr w:type="spellStart"/>
      <w:r w:rsidRPr="003C092C">
        <w:rPr>
          <w:rFonts w:ascii="Arial" w:hAnsi="Arial" w:cs="Arial"/>
          <w:sz w:val="24"/>
          <w:szCs w:val="24"/>
        </w:rPr>
        <w:t>CONTROLLO</w:t>
      </w:r>
      <w:proofErr w:type="spellEnd"/>
      <w:r w:rsidRPr="003C092C">
        <w:rPr>
          <w:rFonts w:ascii="Arial" w:hAnsi="Arial" w:cs="Arial"/>
          <w:sz w:val="24"/>
          <w:szCs w:val="24"/>
        </w:rPr>
        <w:t xml:space="preserve"> SULLE ISTITUZIONI. </w:t>
      </w:r>
    </w:p>
    <w:p w:rsidR="00B224A6" w:rsidRPr="003C092C" w:rsidRDefault="006C53A3" w:rsidP="00CA2E12">
      <w:pPr>
        <w:rPr>
          <w:rFonts w:ascii="Arial" w:hAnsi="Arial" w:cs="Arial"/>
          <w:sz w:val="24"/>
          <w:szCs w:val="24"/>
        </w:rPr>
      </w:pPr>
      <w:r w:rsidRPr="003C092C">
        <w:rPr>
          <w:rFonts w:ascii="Arial" w:hAnsi="Arial" w:cs="Arial"/>
          <w:sz w:val="24"/>
          <w:szCs w:val="24"/>
        </w:rPr>
        <w:t>Tale controllo si esplica innanzitutto attraverso l’elezione del presidente della Commissione a maggioranza qualificata. Il parlamento può sentire i singoli commissari facenti parte della Commissione prima di votare. Il parlamento esercita una forma di controllo indiretto anche sulla Corte dei conti: infatti, la nomina dei componenti di quest</w:t>
      </w:r>
      <w:r w:rsidR="0095024E" w:rsidRPr="003C092C">
        <w:rPr>
          <w:rFonts w:ascii="Arial" w:hAnsi="Arial" w:cs="Arial"/>
          <w:sz w:val="24"/>
          <w:szCs w:val="24"/>
        </w:rPr>
        <w:t>’</w:t>
      </w:r>
      <w:r w:rsidRPr="003C092C">
        <w:rPr>
          <w:rFonts w:ascii="Arial" w:hAnsi="Arial" w:cs="Arial"/>
          <w:sz w:val="24"/>
          <w:szCs w:val="24"/>
        </w:rPr>
        <w:t xml:space="preserve"> organo è effettuata dal Consiglio in seguito al parere del Parlamento, che anche in tal caso adotta la procedura di audizione dei candidati. Inoltre il Consiglio europeo, deve riferire al Parlamento europeo sui risultati, attraverso la presentazione di una relazione.</w:t>
      </w:r>
    </w:p>
    <w:p w:rsidR="0095024E" w:rsidRPr="003C092C" w:rsidRDefault="0095024E" w:rsidP="00CA2E12">
      <w:pPr>
        <w:rPr>
          <w:rFonts w:ascii="Arial" w:hAnsi="Arial" w:cs="Arial"/>
          <w:sz w:val="24"/>
          <w:szCs w:val="24"/>
        </w:rPr>
      </w:pPr>
      <w:r w:rsidRPr="003C092C">
        <w:rPr>
          <w:rFonts w:ascii="Arial" w:hAnsi="Arial" w:cs="Arial"/>
          <w:sz w:val="24"/>
          <w:szCs w:val="24"/>
        </w:rPr>
        <w:t>CONTROLLO SULL’APPARATO AMMINISTRATIVO</w:t>
      </w:r>
    </w:p>
    <w:p w:rsidR="0095024E" w:rsidRPr="003C092C" w:rsidRDefault="0095024E" w:rsidP="00CA2E12">
      <w:pPr>
        <w:rPr>
          <w:rFonts w:ascii="Arial" w:hAnsi="Arial" w:cs="Arial"/>
          <w:sz w:val="24"/>
          <w:szCs w:val="24"/>
        </w:rPr>
      </w:pPr>
      <w:r w:rsidRPr="003C092C">
        <w:rPr>
          <w:rFonts w:ascii="Arial" w:hAnsi="Arial" w:cs="Arial"/>
          <w:sz w:val="24"/>
          <w:szCs w:val="24"/>
        </w:rPr>
        <w:t xml:space="preserve"> Il controllo del Parlamento europeo, si estrinseca sulla Commissione, attraverso gli strumenti della:</w:t>
      </w:r>
    </w:p>
    <w:p w:rsidR="0095024E" w:rsidRPr="003C092C" w:rsidRDefault="0095024E" w:rsidP="00CA2E12">
      <w:pPr>
        <w:rPr>
          <w:rFonts w:ascii="Arial" w:hAnsi="Arial" w:cs="Arial"/>
          <w:sz w:val="24"/>
          <w:szCs w:val="24"/>
        </w:rPr>
      </w:pPr>
      <w:r w:rsidRPr="003C092C">
        <w:rPr>
          <w:rFonts w:ascii="Arial" w:hAnsi="Arial" w:cs="Arial"/>
          <w:sz w:val="24"/>
          <w:szCs w:val="24"/>
        </w:rPr>
        <w:t xml:space="preserve"> 1. Mozione di Censura una volta approvata dai parlamentari, obbliga i membri della Commissione a dismettere collettivamente le loro funzioni </w:t>
      </w:r>
    </w:p>
    <w:p w:rsidR="0095024E" w:rsidRPr="003C092C" w:rsidRDefault="0095024E" w:rsidP="00CA2E12">
      <w:pPr>
        <w:rPr>
          <w:rFonts w:ascii="Arial" w:hAnsi="Arial" w:cs="Arial"/>
          <w:sz w:val="24"/>
          <w:szCs w:val="24"/>
        </w:rPr>
      </w:pPr>
      <w:r w:rsidRPr="003C092C">
        <w:rPr>
          <w:rFonts w:ascii="Arial" w:hAnsi="Arial" w:cs="Arial"/>
          <w:sz w:val="24"/>
          <w:szCs w:val="24"/>
        </w:rPr>
        <w:t xml:space="preserve">2. Interrogazioni  che ciascun parlamentare può porre alla Commissione </w:t>
      </w:r>
    </w:p>
    <w:p w:rsidR="0095024E" w:rsidRPr="003C092C" w:rsidRDefault="0095024E" w:rsidP="00CA2E12">
      <w:pPr>
        <w:rPr>
          <w:rFonts w:ascii="Arial" w:hAnsi="Arial" w:cs="Arial"/>
          <w:sz w:val="24"/>
          <w:szCs w:val="24"/>
        </w:rPr>
      </w:pPr>
      <w:r w:rsidRPr="003C092C">
        <w:rPr>
          <w:rFonts w:ascii="Arial" w:hAnsi="Arial" w:cs="Arial"/>
          <w:sz w:val="24"/>
          <w:szCs w:val="24"/>
        </w:rPr>
        <w:t>3. Costituzione di una Commissione d’inchiesta(costituita su richiesta di ¼ dei membri del parlamento − è incaricata di esaminare le denunce di infrazione o di cattiva amministrazione del diritto dell’UE − redatta una relazione sui fatti oggetti di indagine, si SCIOGLIE)</w:t>
      </w:r>
    </w:p>
    <w:p w:rsidR="0095024E" w:rsidRPr="003C092C" w:rsidRDefault="0095024E" w:rsidP="0095024E">
      <w:pPr>
        <w:rPr>
          <w:rFonts w:ascii="Arial" w:hAnsi="Arial" w:cs="Arial"/>
          <w:sz w:val="24"/>
          <w:szCs w:val="24"/>
        </w:rPr>
      </w:pPr>
      <w:r w:rsidRPr="003C092C">
        <w:rPr>
          <w:rFonts w:ascii="Arial" w:hAnsi="Arial" w:cs="Arial"/>
          <w:sz w:val="24"/>
          <w:szCs w:val="24"/>
        </w:rPr>
        <w:t xml:space="preserve"> 4. Nomina di un Mediatore (eletto dal Parlamento europeo, dopo ogni elezione, per la durata della legislatura − è abilitato a ricevere denunce riguardanti i casi di cattiva amministrazione nell’azione delle istituzioni, ad eccezione della Corte di giustizia dell’UE nell’esercizio delle sue funzioni giurisdizionali. Possono proporre denuncia al mediatore: </w:t>
      </w:r>
      <w:r w:rsidRPr="003C092C">
        <w:rPr>
          <w:rFonts w:ascii="Arial" w:hAnsi="Arial" w:cs="Arial"/>
          <w:sz w:val="24"/>
          <w:szCs w:val="24"/>
        </w:rPr>
        <w:sym w:font="Symbol" w:char="F0B7"/>
      </w:r>
      <w:r w:rsidRPr="003C092C">
        <w:rPr>
          <w:rFonts w:ascii="Arial" w:hAnsi="Arial" w:cs="Arial"/>
          <w:sz w:val="24"/>
          <w:szCs w:val="24"/>
        </w:rPr>
        <w:t xml:space="preserve"> qualsiasi cittadino dell’Unione </w:t>
      </w:r>
      <w:r w:rsidRPr="003C092C">
        <w:rPr>
          <w:rFonts w:ascii="Arial" w:hAnsi="Arial" w:cs="Arial"/>
          <w:sz w:val="24"/>
          <w:szCs w:val="24"/>
        </w:rPr>
        <w:sym w:font="Symbol" w:char="F0B7"/>
      </w:r>
      <w:r w:rsidRPr="003C092C">
        <w:rPr>
          <w:rFonts w:ascii="Arial" w:hAnsi="Arial" w:cs="Arial"/>
          <w:sz w:val="24"/>
          <w:szCs w:val="24"/>
        </w:rPr>
        <w:t xml:space="preserve"> qualsiasi persona fisica o giuridica che risiede o ha la sede sociale in uno Stato membro. Il mediatore è INDIPENDENTE ed la sua figura è incompatibile con qualunque tipo di attività professionale (anche non remunerata): Può essere dichiarato dimissionario solo dalla Corte di giustizia, su richiesta del Parlamento per motivi attinenti alla propria indipendenza</w:t>
      </w:r>
    </w:p>
    <w:p w:rsidR="0095024E" w:rsidRPr="003C092C" w:rsidRDefault="0095024E" w:rsidP="00CA2E12">
      <w:pPr>
        <w:rPr>
          <w:rFonts w:ascii="Arial" w:hAnsi="Arial" w:cs="Arial"/>
          <w:sz w:val="24"/>
          <w:szCs w:val="24"/>
        </w:rPr>
      </w:pPr>
      <w:r w:rsidRPr="003C092C">
        <w:rPr>
          <w:rFonts w:ascii="Arial" w:hAnsi="Arial" w:cs="Arial"/>
          <w:sz w:val="24"/>
          <w:szCs w:val="24"/>
        </w:rPr>
        <w:t>5. Ricezione di petizioni su materie di interesse europeo.: una volta ricevuta la petizione, il Parlamento la trasmette alla commissione per le petizioni.</w:t>
      </w:r>
    </w:p>
    <w:p w:rsidR="002C74FB" w:rsidRPr="003C092C" w:rsidRDefault="002C74FB" w:rsidP="002C74FB">
      <w:pPr>
        <w:pStyle w:val="NormaleWeb"/>
        <w:shd w:val="clear" w:color="auto" w:fill="FFFFFF"/>
        <w:spacing w:before="0" w:beforeAutospacing="0" w:after="125" w:afterAutospacing="0"/>
        <w:rPr>
          <w:rFonts w:ascii="Arial" w:hAnsi="Arial" w:cs="Arial"/>
          <w:b/>
        </w:rPr>
      </w:pPr>
      <w:r w:rsidRPr="003C092C">
        <w:rPr>
          <w:rFonts w:ascii="Arial" w:hAnsi="Arial" w:cs="Arial"/>
          <w:b/>
        </w:rPr>
        <w:t>CONSIGLIO DELL’UNIONE EUROPEA</w:t>
      </w:r>
    </w:p>
    <w:p w:rsidR="002C74FB" w:rsidRPr="003C092C" w:rsidRDefault="002C74FB" w:rsidP="002C74FB">
      <w:pPr>
        <w:pStyle w:val="NormaleWeb"/>
        <w:shd w:val="clear" w:color="auto" w:fill="FFFFFF"/>
        <w:spacing w:before="0" w:beforeAutospacing="0" w:after="125" w:afterAutospacing="0"/>
        <w:rPr>
          <w:rFonts w:ascii="Arial" w:hAnsi="Arial" w:cs="Arial"/>
          <w:color w:val="404040"/>
        </w:rPr>
      </w:pPr>
      <w:r w:rsidRPr="003C092C">
        <w:rPr>
          <w:rFonts w:ascii="Arial" w:hAnsi="Arial" w:cs="Arial"/>
          <w:color w:val="404040"/>
        </w:rPr>
        <w:t xml:space="preserve"> Nel Consiglio i </w:t>
      </w:r>
      <w:r w:rsidRPr="003C092C">
        <w:rPr>
          <w:rStyle w:val="Enfasigrassetto"/>
          <w:rFonts w:ascii="Arial" w:hAnsi="Arial" w:cs="Arial"/>
          <w:color w:val="404040"/>
        </w:rPr>
        <w:t>ministri dei governi di ciascun paese dell'UE</w:t>
      </w:r>
      <w:r w:rsidRPr="003C092C">
        <w:rPr>
          <w:rFonts w:ascii="Arial" w:hAnsi="Arial" w:cs="Arial"/>
          <w:color w:val="404040"/>
        </w:rPr>
        <w:t> si incontrano per discutere, modificare e adottare la legislazione e coordinare le politiche. Sono autorizzati a </w:t>
      </w:r>
      <w:r w:rsidRPr="003C092C">
        <w:rPr>
          <w:rStyle w:val="Enfasigrassetto"/>
          <w:rFonts w:ascii="Arial" w:hAnsi="Arial" w:cs="Arial"/>
          <w:color w:val="404040"/>
        </w:rPr>
        <w:t>impegnare i rispettivi governi</w:t>
      </w:r>
      <w:r w:rsidRPr="003C092C">
        <w:rPr>
          <w:rFonts w:ascii="Arial" w:hAnsi="Arial" w:cs="Arial"/>
          <w:color w:val="404040"/>
        </w:rPr>
        <w:t> a perseguire le azioni concordate in tale sede.</w:t>
      </w:r>
    </w:p>
    <w:p w:rsidR="002C74FB" w:rsidRPr="003C092C" w:rsidRDefault="002C74FB" w:rsidP="002C74FB">
      <w:pPr>
        <w:pStyle w:val="NormaleWeb"/>
        <w:shd w:val="clear" w:color="auto" w:fill="FFFFFF"/>
        <w:spacing w:before="0" w:beforeAutospacing="0" w:after="125" w:afterAutospacing="0"/>
        <w:rPr>
          <w:rFonts w:ascii="Arial" w:hAnsi="Arial" w:cs="Arial"/>
          <w:color w:val="404040"/>
        </w:rPr>
      </w:pPr>
      <w:r w:rsidRPr="003C092C">
        <w:rPr>
          <w:rFonts w:ascii="Arial" w:hAnsi="Arial" w:cs="Arial"/>
          <w:color w:val="404040"/>
        </w:rPr>
        <w:t>Assieme al Parlamento, il Consiglio è il </w:t>
      </w:r>
      <w:r w:rsidRPr="003C092C">
        <w:rPr>
          <w:rStyle w:val="Enfasigrassetto"/>
          <w:rFonts w:ascii="Arial" w:hAnsi="Arial" w:cs="Arial"/>
          <w:color w:val="404040"/>
        </w:rPr>
        <w:t>principale organo decisionale</w:t>
      </w:r>
      <w:r w:rsidRPr="003C092C">
        <w:rPr>
          <w:rFonts w:ascii="Arial" w:hAnsi="Arial" w:cs="Arial"/>
          <w:color w:val="404040"/>
        </w:rPr>
        <w:t> dell'UE.</w:t>
      </w:r>
    </w:p>
    <w:p w:rsidR="002C74FB" w:rsidRPr="003C092C" w:rsidRDefault="002C74FB" w:rsidP="002C74FB">
      <w:pPr>
        <w:pStyle w:val="NormaleWeb"/>
        <w:shd w:val="clear" w:color="auto" w:fill="FFFFFF"/>
        <w:spacing w:before="0" w:beforeAutospacing="0" w:after="125" w:afterAutospacing="0"/>
        <w:rPr>
          <w:rFonts w:ascii="Arial" w:hAnsi="Arial" w:cs="Arial"/>
          <w:color w:val="404040"/>
        </w:rPr>
      </w:pPr>
      <w:r w:rsidRPr="003C092C">
        <w:rPr>
          <w:rFonts w:ascii="Arial" w:hAnsi="Arial" w:cs="Arial"/>
          <w:color w:val="404040"/>
        </w:rPr>
        <w:t>Non va confuso con:</w:t>
      </w:r>
    </w:p>
    <w:p w:rsidR="002C74FB" w:rsidRPr="003C092C" w:rsidRDefault="002C74FB" w:rsidP="002C74FB">
      <w:pPr>
        <w:numPr>
          <w:ilvl w:val="0"/>
          <w:numId w:val="6"/>
        </w:numPr>
        <w:shd w:val="clear" w:color="auto" w:fill="FFFFFF"/>
        <w:spacing w:before="100" w:beforeAutospacing="1" w:after="82" w:line="240" w:lineRule="auto"/>
        <w:ind w:left="0"/>
        <w:rPr>
          <w:rFonts w:ascii="Arial" w:hAnsi="Arial" w:cs="Arial"/>
          <w:color w:val="333333"/>
          <w:sz w:val="24"/>
          <w:szCs w:val="24"/>
        </w:rPr>
      </w:pPr>
      <w:r w:rsidRPr="003C092C">
        <w:rPr>
          <w:rFonts w:ascii="Arial" w:hAnsi="Arial" w:cs="Arial"/>
          <w:color w:val="333333"/>
          <w:sz w:val="24"/>
          <w:szCs w:val="24"/>
        </w:rPr>
        <w:lastRenderedPageBreak/>
        <w:t>il Consiglio europeo - riunione trimestrale in cui i leader dell'UE si incontrano per delineare in senso ampio le direttrici politiche dell'Unione</w:t>
      </w:r>
    </w:p>
    <w:p w:rsidR="002C74FB" w:rsidRPr="003C092C" w:rsidRDefault="002C74FB" w:rsidP="002C74FB">
      <w:pPr>
        <w:numPr>
          <w:ilvl w:val="0"/>
          <w:numId w:val="6"/>
        </w:numPr>
        <w:shd w:val="clear" w:color="auto" w:fill="FFFFFF"/>
        <w:spacing w:before="100" w:beforeAutospacing="1" w:after="82" w:line="240" w:lineRule="auto"/>
        <w:ind w:left="0"/>
        <w:rPr>
          <w:rFonts w:ascii="Arial" w:hAnsi="Arial" w:cs="Arial"/>
          <w:color w:val="333333"/>
          <w:sz w:val="24"/>
          <w:szCs w:val="24"/>
        </w:rPr>
      </w:pPr>
      <w:r w:rsidRPr="003C092C">
        <w:rPr>
          <w:rFonts w:ascii="Arial" w:hAnsi="Arial" w:cs="Arial"/>
          <w:color w:val="333333"/>
          <w:sz w:val="24"/>
          <w:szCs w:val="24"/>
        </w:rPr>
        <w:t>il Consiglio d’Europa - non è un'istituzione dell'UE.</w:t>
      </w:r>
    </w:p>
    <w:p w:rsidR="002C74FB" w:rsidRPr="003C092C" w:rsidRDefault="002C74FB" w:rsidP="002C74FB">
      <w:pPr>
        <w:pStyle w:val="NormaleWeb"/>
        <w:shd w:val="clear" w:color="auto" w:fill="FFFFFF"/>
        <w:spacing w:before="0" w:beforeAutospacing="0" w:after="125" w:afterAutospacing="0"/>
        <w:rPr>
          <w:rFonts w:ascii="Arial" w:hAnsi="Arial" w:cs="Arial"/>
          <w:color w:val="404040"/>
        </w:rPr>
      </w:pPr>
      <w:r w:rsidRPr="003C092C">
        <w:rPr>
          <w:rFonts w:ascii="Arial" w:hAnsi="Arial" w:cs="Arial"/>
          <w:color w:val="404040"/>
        </w:rPr>
        <w:t>Il Consiglio dell'UE </w:t>
      </w:r>
      <w:r w:rsidRPr="003C092C">
        <w:rPr>
          <w:rStyle w:val="Enfasigrassetto"/>
          <w:rFonts w:ascii="Arial" w:hAnsi="Arial" w:cs="Arial"/>
          <w:color w:val="404040"/>
        </w:rPr>
        <w:t>non ha membri permanenti</w:t>
      </w:r>
      <w:r w:rsidRPr="003C092C">
        <w:rPr>
          <w:rFonts w:ascii="Arial" w:hAnsi="Arial" w:cs="Arial"/>
          <w:color w:val="404040"/>
        </w:rPr>
        <w:t>, ma si riunisce in DIECI DIVERSE CONFIGURAZIONI, ognuna delle quali corrisponde al settore di cui si discute. A seconda della configurazione, ogni paese invia i ministri competenti.</w:t>
      </w:r>
    </w:p>
    <w:p w:rsidR="002C74FB" w:rsidRPr="003C092C" w:rsidRDefault="002C74FB" w:rsidP="002C74FB">
      <w:pPr>
        <w:pStyle w:val="NormaleWeb"/>
        <w:shd w:val="clear" w:color="auto" w:fill="FFFFFF"/>
        <w:spacing w:before="0" w:beforeAutospacing="0" w:after="125" w:afterAutospacing="0"/>
        <w:rPr>
          <w:rFonts w:ascii="Arial" w:hAnsi="Arial" w:cs="Arial"/>
          <w:color w:val="404040"/>
        </w:rPr>
      </w:pPr>
      <w:r w:rsidRPr="003C092C">
        <w:rPr>
          <w:rFonts w:ascii="Arial" w:hAnsi="Arial" w:cs="Arial"/>
          <w:color w:val="404040"/>
        </w:rPr>
        <w:t>Per esempio, al Consiglio "Affari economici e finanziari" (Consiglio "Ecofin") , partecipano i ministri delle Finanze di ciascun paese.</w:t>
      </w:r>
    </w:p>
    <w:p w:rsidR="002C74FB" w:rsidRPr="003C092C" w:rsidRDefault="002C74FB" w:rsidP="002C74FB">
      <w:pPr>
        <w:pStyle w:val="NormaleWeb"/>
        <w:shd w:val="clear" w:color="auto" w:fill="FFFFFF"/>
        <w:spacing w:before="0" w:beforeAutospacing="0" w:after="125" w:afterAutospacing="0"/>
        <w:rPr>
          <w:rFonts w:ascii="Arial" w:hAnsi="Arial" w:cs="Arial"/>
          <w:color w:val="404040"/>
        </w:rPr>
      </w:pPr>
      <w:r w:rsidRPr="003C092C">
        <w:rPr>
          <w:rFonts w:ascii="Arial" w:hAnsi="Arial" w:cs="Arial"/>
          <w:color w:val="404040"/>
        </w:rPr>
        <w:t xml:space="preserve">Il Consiglio Affari esteri ha un presidente permanente, l'Alto rappresentante per la politica estera e la sicurezza dell’UE Tutte le altre riunioni del Consiglio sono presiedute dal ministro competente del paese che in quel momento esercita la PRESIDENZA </w:t>
      </w:r>
      <w:proofErr w:type="spellStart"/>
      <w:r w:rsidRPr="003C092C">
        <w:rPr>
          <w:rFonts w:ascii="Arial" w:hAnsi="Arial" w:cs="Arial"/>
          <w:color w:val="404040"/>
        </w:rPr>
        <w:t>DI</w:t>
      </w:r>
      <w:proofErr w:type="spellEnd"/>
      <w:r w:rsidRPr="003C092C">
        <w:rPr>
          <w:rFonts w:ascii="Arial" w:hAnsi="Arial" w:cs="Arial"/>
          <w:color w:val="404040"/>
        </w:rPr>
        <w:t xml:space="preserve"> TURNO UE.</w:t>
      </w:r>
    </w:p>
    <w:p w:rsidR="002C74FB" w:rsidRPr="003C092C" w:rsidRDefault="002C74FB" w:rsidP="002C74FB">
      <w:pPr>
        <w:pStyle w:val="NormaleWeb"/>
        <w:shd w:val="clear" w:color="auto" w:fill="FFFFFF"/>
        <w:spacing w:before="0" w:beforeAutospacing="0" w:after="125" w:afterAutospacing="0"/>
        <w:rPr>
          <w:rFonts w:ascii="Arial" w:hAnsi="Arial" w:cs="Arial"/>
          <w:color w:val="404040"/>
        </w:rPr>
      </w:pPr>
      <w:r w:rsidRPr="003C092C">
        <w:rPr>
          <w:rFonts w:ascii="Arial" w:hAnsi="Arial" w:cs="Arial"/>
          <w:color w:val="404040"/>
        </w:rPr>
        <w:t>Ad esempio, se si riunisce nel momento in cui l'Estonia esercita la presidenza, il Consiglio "Ambiente" sarà presieduto dal ministro dell'Ambiente estone.</w:t>
      </w:r>
    </w:p>
    <w:p w:rsidR="002C74FB" w:rsidRPr="003C092C" w:rsidRDefault="002C74FB" w:rsidP="002C74FB">
      <w:pPr>
        <w:numPr>
          <w:ilvl w:val="0"/>
          <w:numId w:val="7"/>
        </w:numPr>
        <w:shd w:val="clear" w:color="auto" w:fill="FFFFFF"/>
        <w:spacing w:before="100" w:beforeAutospacing="1" w:after="82" w:line="240" w:lineRule="auto"/>
        <w:ind w:left="0"/>
        <w:rPr>
          <w:rFonts w:ascii="Arial" w:hAnsi="Arial" w:cs="Arial"/>
          <w:color w:val="333333"/>
          <w:sz w:val="24"/>
          <w:szCs w:val="24"/>
        </w:rPr>
      </w:pPr>
      <w:r w:rsidRPr="003C092C">
        <w:rPr>
          <w:rFonts w:ascii="Arial" w:hAnsi="Arial" w:cs="Arial"/>
          <w:color w:val="333333"/>
          <w:sz w:val="24"/>
          <w:szCs w:val="24"/>
        </w:rPr>
        <w:t>Tutte </w:t>
      </w:r>
      <w:r w:rsidRPr="003C092C">
        <w:rPr>
          <w:rStyle w:val="Enfasigrassetto"/>
          <w:rFonts w:ascii="Arial" w:hAnsi="Arial" w:cs="Arial"/>
          <w:color w:val="333333"/>
          <w:sz w:val="24"/>
          <w:szCs w:val="24"/>
        </w:rPr>
        <w:t>le discussioni e le votazioni</w:t>
      </w:r>
      <w:r w:rsidRPr="003C092C">
        <w:rPr>
          <w:rFonts w:ascii="Arial" w:hAnsi="Arial" w:cs="Arial"/>
          <w:color w:val="333333"/>
          <w:sz w:val="24"/>
          <w:szCs w:val="24"/>
        </w:rPr>
        <w:t> sono pubbliche.</w:t>
      </w:r>
    </w:p>
    <w:p w:rsidR="002C74FB" w:rsidRPr="003C092C" w:rsidRDefault="002C74FB" w:rsidP="002C74FB">
      <w:pPr>
        <w:numPr>
          <w:ilvl w:val="0"/>
          <w:numId w:val="7"/>
        </w:numPr>
        <w:shd w:val="clear" w:color="auto" w:fill="FFFFFF"/>
        <w:spacing w:before="100" w:beforeAutospacing="1" w:after="82" w:line="240" w:lineRule="auto"/>
        <w:ind w:left="0"/>
        <w:rPr>
          <w:rFonts w:ascii="Arial" w:hAnsi="Arial" w:cs="Arial"/>
          <w:color w:val="333333"/>
          <w:sz w:val="24"/>
          <w:szCs w:val="24"/>
        </w:rPr>
      </w:pPr>
      <w:r w:rsidRPr="003C092C">
        <w:rPr>
          <w:rFonts w:ascii="Arial" w:hAnsi="Arial" w:cs="Arial"/>
          <w:color w:val="333333"/>
          <w:sz w:val="24"/>
          <w:szCs w:val="24"/>
        </w:rPr>
        <w:t>Le decisioni vengono di norma adottate a maggioranza qualificata</w:t>
      </w:r>
      <w:r w:rsidRPr="003C092C">
        <w:rPr>
          <w:rStyle w:val="Enfasigrassetto"/>
          <w:rFonts w:ascii="Arial" w:hAnsi="Arial" w:cs="Arial"/>
          <w:color w:val="333333"/>
          <w:sz w:val="24"/>
          <w:szCs w:val="24"/>
        </w:rPr>
        <w:t> </w:t>
      </w:r>
      <w:r w:rsidRPr="003C092C">
        <w:rPr>
          <w:rFonts w:ascii="Arial" w:hAnsi="Arial" w:cs="Arial"/>
          <w:color w:val="333333"/>
          <w:sz w:val="24"/>
          <w:szCs w:val="24"/>
        </w:rPr>
        <w:t>,</w:t>
      </w:r>
    </w:p>
    <w:p w:rsidR="002C74FB" w:rsidRPr="003C092C" w:rsidRDefault="002C74FB" w:rsidP="002C74FB">
      <w:pPr>
        <w:numPr>
          <w:ilvl w:val="1"/>
          <w:numId w:val="7"/>
        </w:numPr>
        <w:shd w:val="clear" w:color="auto" w:fill="FFFFFF"/>
        <w:spacing w:before="100" w:beforeAutospacing="1" w:after="78" w:line="240" w:lineRule="auto"/>
        <w:ind w:left="0"/>
        <w:rPr>
          <w:rFonts w:ascii="Arial" w:hAnsi="Arial" w:cs="Arial"/>
          <w:color w:val="333333"/>
          <w:sz w:val="24"/>
          <w:szCs w:val="24"/>
        </w:rPr>
      </w:pPr>
      <w:r w:rsidRPr="003C092C">
        <w:rPr>
          <w:rFonts w:ascii="Arial" w:hAnsi="Arial" w:cs="Arial"/>
          <w:color w:val="333333"/>
          <w:sz w:val="24"/>
          <w:szCs w:val="24"/>
        </w:rPr>
        <w:t>ossia il 55% dei paesi (almeno </w:t>
      </w:r>
      <w:r w:rsidRPr="003C092C">
        <w:rPr>
          <w:rStyle w:val="Enfasigrassetto"/>
          <w:rFonts w:ascii="Arial" w:hAnsi="Arial" w:cs="Arial"/>
          <w:color w:val="333333"/>
          <w:sz w:val="24"/>
          <w:szCs w:val="24"/>
        </w:rPr>
        <w:t>16 Stati membri </w:t>
      </w:r>
      <w:r w:rsidRPr="003C092C">
        <w:rPr>
          <w:rFonts w:ascii="Arial" w:hAnsi="Arial" w:cs="Arial"/>
          <w:color w:val="333333"/>
          <w:sz w:val="24"/>
          <w:szCs w:val="24"/>
        </w:rPr>
        <w:t>sugli attuali 28)</w:t>
      </w:r>
    </w:p>
    <w:p w:rsidR="002C74FB" w:rsidRPr="003C092C" w:rsidRDefault="002C74FB" w:rsidP="002C74FB">
      <w:pPr>
        <w:numPr>
          <w:ilvl w:val="1"/>
          <w:numId w:val="7"/>
        </w:numPr>
        <w:shd w:val="clear" w:color="auto" w:fill="FFFFFF"/>
        <w:spacing w:before="100" w:beforeAutospacing="1" w:after="78" w:line="240" w:lineRule="auto"/>
        <w:ind w:left="0"/>
        <w:rPr>
          <w:rFonts w:ascii="Arial" w:hAnsi="Arial" w:cs="Arial"/>
          <w:color w:val="333333"/>
          <w:sz w:val="24"/>
          <w:szCs w:val="24"/>
        </w:rPr>
      </w:pPr>
      <w:r w:rsidRPr="003C092C">
        <w:rPr>
          <w:rFonts w:ascii="Arial" w:hAnsi="Arial" w:cs="Arial"/>
          <w:color w:val="333333"/>
          <w:sz w:val="24"/>
          <w:szCs w:val="24"/>
        </w:rPr>
        <w:t>che rappresentino almeno il 65% della popolazione totale dell'UE.</w:t>
      </w:r>
    </w:p>
    <w:p w:rsidR="002C74FB" w:rsidRPr="003C092C" w:rsidRDefault="002C74FB" w:rsidP="002C74FB">
      <w:pPr>
        <w:pStyle w:val="NormaleWeb"/>
        <w:shd w:val="clear" w:color="auto" w:fill="FFFFFF"/>
        <w:spacing w:before="0" w:beforeAutospacing="0" w:after="125" w:afterAutospacing="0"/>
        <w:rPr>
          <w:rFonts w:ascii="Arial" w:hAnsi="Arial" w:cs="Arial"/>
          <w:color w:val="404040"/>
        </w:rPr>
      </w:pPr>
      <w:r w:rsidRPr="003C092C">
        <w:rPr>
          <w:rFonts w:ascii="Arial" w:hAnsi="Arial" w:cs="Arial"/>
          <w:color w:val="404040"/>
        </w:rPr>
        <w:t>Per </w:t>
      </w:r>
      <w:r w:rsidRPr="003C092C">
        <w:rPr>
          <w:rStyle w:val="Enfasigrassetto"/>
          <w:rFonts w:ascii="Arial" w:hAnsi="Arial" w:cs="Arial"/>
          <w:color w:val="404040"/>
        </w:rPr>
        <w:t>bloccare una decisione</w:t>
      </w:r>
      <w:r w:rsidRPr="003C092C">
        <w:rPr>
          <w:rFonts w:ascii="Arial" w:hAnsi="Arial" w:cs="Arial"/>
          <w:color w:val="404040"/>
        </w:rPr>
        <w:t>, occorrono almeno </w:t>
      </w:r>
      <w:r w:rsidRPr="003C092C">
        <w:rPr>
          <w:rStyle w:val="Enfasigrassetto"/>
          <w:rFonts w:ascii="Arial" w:hAnsi="Arial" w:cs="Arial"/>
          <w:color w:val="404040"/>
        </w:rPr>
        <w:t>4 paesi</w:t>
      </w:r>
      <w:r w:rsidRPr="003C092C">
        <w:rPr>
          <w:rFonts w:ascii="Arial" w:hAnsi="Arial" w:cs="Arial"/>
          <w:color w:val="404040"/>
        </w:rPr>
        <w:t> (che rappresentino almeno il 35% della popolazione totale dell'UE)</w:t>
      </w:r>
    </w:p>
    <w:p w:rsidR="002C74FB" w:rsidRPr="003C092C" w:rsidRDefault="002C74FB" w:rsidP="002C74FB">
      <w:pPr>
        <w:numPr>
          <w:ilvl w:val="0"/>
          <w:numId w:val="8"/>
        </w:numPr>
        <w:shd w:val="clear" w:color="auto" w:fill="FFFFFF"/>
        <w:spacing w:before="100" w:beforeAutospacing="1" w:after="82" w:line="240" w:lineRule="auto"/>
        <w:ind w:left="0"/>
        <w:rPr>
          <w:rFonts w:ascii="Arial" w:hAnsi="Arial" w:cs="Arial"/>
          <w:color w:val="333333"/>
          <w:sz w:val="24"/>
          <w:szCs w:val="24"/>
        </w:rPr>
      </w:pPr>
      <w:r w:rsidRPr="003C092C">
        <w:rPr>
          <w:rStyle w:val="Enfasigrassetto"/>
          <w:rFonts w:ascii="Arial" w:hAnsi="Arial" w:cs="Arial"/>
          <w:color w:val="333333"/>
          <w:sz w:val="24"/>
          <w:szCs w:val="24"/>
        </w:rPr>
        <w:t>Eccezione</w:t>
      </w:r>
      <w:r w:rsidRPr="003C092C">
        <w:rPr>
          <w:rFonts w:ascii="Arial" w:hAnsi="Arial" w:cs="Arial"/>
          <w:color w:val="333333"/>
          <w:sz w:val="24"/>
          <w:szCs w:val="24"/>
        </w:rPr>
        <w:t> - materie delicate come la politica estera o la fiscalità richiedono l'unanimità</w:t>
      </w:r>
      <w:r w:rsidRPr="003C092C">
        <w:rPr>
          <w:rStyle w:val="Enfasigrassetto"/>
          <w:rFonts w:ascii="Arial" w:hAnsi="Arial" w:cs="Arial"/>
          <w:color w:val="333333"/>
          <w:sz w:val="24"/>
          <w:szCs w:val="24"/>
        </w:rPr>
        <w:t> </w:t>
      </w:r>
      <w:r w:rsidRPr="003C092C">
        <w:rPr>
          <w:rFonts w:ascii="Arial" w:hAnsi="Arial" w:cs="Arial"/>
          <w:color w:val="333333"/>
          <w:sz w:val="24"/>
          <w:szCs w:val="24"/>
        </w:rPr>
        <w:t>(tutti i paesi a favore).</w:t>
      </w:r>
    </w:p>
    <w:p w:rsidR="002C74FB" w:rsidRPr="003C092C" w:rsidRDefault="002C74FB" w:rsidP="002C74FB">
      <w:pPr>
        <w:numPr>
          <w:ilvl w:val="0"/>
          <w:numId w:val="8"/>
        </w:numPr>
        <w:shd w:val="clear" w:color="auto" w:fill="FFFFFF"/>
        <w:spacing w:before="100" w:beforeAutospacing="1" w:after="82" w:line="240" w:lineRule="auto"/>
        <w:ind w:left="0"/>
        <w:rPr>
          <w:rFonts w:ascii="Arial" w:hAnsi="Arial" w:cs="Arial"/>
          <w:color w:val="333333"/>
          <w:sz w:val="24"/>
          <w:szCs w:val="24"/>
        </w:rPr>
      </w:pPr>
      <w:r w:rsidRPr="003C092C">
        <w:rPr>
          <w:rFonts w:ascii="Arial" w:hAnsi="Arial" w:cs="Arial"/>
          <w:color w:val="333333"/>
          <w:sz w:val="24"/>
          <w:szCs w:val="24"/>
        </w:rPr>
        <w:t>Per le questioni procedurali e amministrative è richiesta la maggioranza semplice</w:t>
      </w:r>
      <w:r w:rsidRPr="003C092C">
        <w:rPr>
          <w:rStyle w:val="Enfasigrassetto"/>
          <w:rFonts w:ascii="Arial" w:hAnsi="Arial" w:cs="Arial"/>
          <w:color w:val="333333"/>
          <w:sz w:val="24"/>
          <w:szCs w:val="24"/>
        </w:rPr>
        <w:t> </w:t>
      </w:r>
      <w:r w:rsidRPr="003C092C">
        <w:rPr>
          <w:rFonts w:ascii="Arial" w:hAnsi="Arial" w:cs="Arial"/>
          <w:color w:val="333333"/>
          <w:sz w:val="24"/>
          <w:szCs w:val="24"/>
        </w:rPr>
        <w:t>.</w:t>
      </w:r>
    </w:p>
    <w:p w:rsidR="002C74FB" w:rsidRPr="003C092C" w:rsidRDefault="002C74FB" w:rsidP="002C74FB">
      <w:pPr>
        <w:pStyle w:val="NormaleWeb"/>
        <w:shd w:val="clear" w:color="auto" w:fill="FFFFFF"/>
        <w:spacing w:before="0" w:beforeAutospacing="0" w:after="125" w:afterAutospacing="0"/>
        <w:rPr>
          <w:rFonts w:ascii="Arial" w:hAnsi="Arial" w:cs="Arial"/>
        </w:rPr>
      </w:pPr>
      <w:r w:rsidRPr="003C092C">
        <w:rPr>
          <w:rFonts w:ascii="Arial" w:hAnsi="Arial" w:cs="Arial"/>
        </w:rPr>
        <w:t xml:space="preserve">FUNZIONI DEL CONSIGLIO: </w:t>
      </w:r>
    </w:p>
    <w:p w:rsidR="002C74FB" w:rsidRPr="003C092C" w:rsidRDefault="002C74FB" w:rsidP="002C74FB">
      <w:pPr>
        <w:pStyle w:val="NormaleWeb"/>
        <w:shd w:val="clear" w:color="auto" w:fill="FFFFFF"/>
        <w:spacing w:before="0" w:beforeAutospacing="0" w:after="125" w:afterAutospacing="0"/>
        <w:rPr>
          <w:rFonts w:ascii="Arial" w:hAnsi="Arial" w:cs="Arial"/>
        </w:rPr>
      </w:pPr>
      <w:r w:rsidRPr="003C092C">
        <w:rPr>
          <w:rFonts w:ascii="Arial" w:hAnsi="Arial" w:cs="Arial"/>
        </w:rPr>
        <w:t xml:space="preserve">1. Approva la legislazione dell'UE </w:t>
      </w:r>
      <w:r w:rsidRPr="003C092C">
        <w:rPr>
          <w:rFonts w:ascii="Arial" w:hAnsi="Arial" w:cs="Arial"/>
        </w:rPr>
        <w:sym w:font="Wingdings" w:char="F0E0"/>
      </w:r>
      <w:r w:rsidRPr="003C092C">
        <w:rPr>
          <w:rFonts w:ascii="Arial" w:hAnsi="Arial" w:cs="Arial"/>
        </w:rPr>
        <w:t xml:space="preserve"> Approvazione della legislazione dell'UE Il Consiglio e il Parlamento europeo prendono congiuntamente la decisione finale sulle proposte legislative presentate dalla Commissione</w:t>
      </w:r>
    </w:p>
    <w:p w:rsidR="002C74FB" w:rsidRPr="003C092C" w:rsidRDefault="002C74FB" w:rsidP="002C74FB">
      <w:pPr>
        <w:pStyle w:val="NormaleWeb"/>
        <w:shd w:val="clear" w:color="auto" w:fill="FFFFFF"/>
        <w:spacing w:before="0" w:beforeAutospacing="0" w:after="125" w:afterAutospacing="0"/>
        <w:rPr>
          <w:rFonts w:ascii="Arial" w:hAnsi="Arial" w:cs="Arial"/>
        </w:rPr>
      </w:pPr>
      <w:r w:rsidRPr="003C092C">
        <w:rPr>
          <w:rFonts w:ascii="Arial" w:hAnsi="Arial" w:cs="Arial"/>
        </w:rPr>
        <w:t xml:space="preserve">2. Coordina le politiche economiche generali dei paesi membri </w:t>
      </w:r>
      <w:r w:rsidRPr="003C092C">
        <w:rPr>
          <w:rFonts w:ascii="Arial" w:hAnsi="Arial" w:cs="Arial"/>
        </w:rPr>
        <w:sym w:font="Wingdings" w:char="F0E0"/>
      </w:r>
      <w:r w:rsidRPr="003C092C">
        <w:rPr>
          <w:rFonts w:ascii="Arial" w:hAnsi="Arial" w:cs="Arial"/>
        </w:rPr>
        <w:t>Coordinamento delle politiche economiche I paesi dell'UE si sono accordati per dotare l'Europa di una politica economica globale, coordinata dai rispettivi ministri dell'Economia e delle Finanze. I paesi membri possono trovare accordi su obiettivi comuni e condividere le loro esperienze</w:t>
      </w:r>
    </w:p>
    <w:p w:rsidR="002C74FB" w:rsidRPr="003C092C" w:rsidRDefault="002C74FB" w:rsidP="002C74FB">
      <w:pPr>
        <w:pStyle w:val="NormaleWeb"/>
        <w:shd w:val="clear" w:color="auto" w:fill="FFFFFF"/>
        <w:tabs>
          <w:tab w:val="center" w:pos="4819"/>
        </w:tabs>
        <w:spacing w:before="0" w:beforeAutospacing="0" w:after="125" w:afterAutospacing="0"/>
        <w:rPr>
          <w:rFonts w:ascii="Arial" w:hAnsi="Arial" w:cs="Arial"/>
        </w:rPr>
      </w:pPr>
      <w:r w:rsidRPr="003C092C">
        <w:rPr>
          <w:rFonts w:ascii="Arial" w:hAnsi="Arial" w:cs="Arial"/>
        </w:rPr>
        <w:t xml:space="preserve">3. Firma accordi tra l'UE e gli altri paesi </w:t>
      </w:r>
      <w:r w:rsidRPr="003C092C">
        <w:rPr>
          <w:rFonts w:ascii="Arial" w:hAnsi="Arial" w:cs="Arial"/>
        </w:rPr>
        <w:sym w:font="Wingdings" w:char="F0E0"/>
      </w:r>
      <w:r w:rsidRPr="003C092C">
        <w:rPr>
          <w:rFonts w:ascii="Arial" w:hAnsi="Arial" w:cs="Arial"/>
        </w:rPr>
        <w:t xml:space="preserve"> Il Consiglio firma accordi per conto dell'UE in diversi settori, come l'ambiente, il commercio, lo sviluppo, il settore tessile, la pesca, la scienza, la tecnologia e i trasporti</w:t>
      </w:r>
      <w:r w:rsidRPr="003C092C">
        <w:rPr>
          <w:rFonts w:ascii="Arial" w:hAnsi="Arial" w:cs="Arial"/>
        </w:rPr>
        <w:tab/>
      </w:r>
    </w:p>
    <w:p w:rsidR="002C74FB" w:rsidRPr="003C092C" w:rsidRDefault="002C74FB" w:rsidP="002C74FB">
      <w:pPr>
        <w:pStyle w:val="NormaleWeb"/>
        <w:shd w:val="clear" w:color="auto" w:fill="FFFFFF"/>
        <w:spacing w:before="0" w:beforeAutospacing="0" w:after="125" w:afterAutospacing="0"/>
        <w:rPr>
          <w:rFonts w:ascii="Arial" w:hAnsi="Arial" w:cs="Arial"/>
        </w:rPr>
      </w:pPr>
      <w:r w:rsidRPr="003C092C">
        <w:rPr>
          <w:rFonts w:ascii="Arial" w:hAnsi="Arial" w:cs="Arial"/>
        </w:rPr>
        <w:t xml:space="preserve">4. Approva il bilancio annuale dell'UE </w:t>
      </w:r>
      <w:r w:rsidRPr="003C092C">
        <w:rPr>
          <w:rFonts w:ascii="Arial" w:hAnsi="Arial" w:cs="Arial"/>
        </w:rPr>
        <w:sym w:font="Wingdings" w:char="F0E0"/>
      </w:r>
      <w:r w:rsidRPr="003C092C">
        <w:rPr>
          <w:rFonts w:ascii="Arial" w:hAnsi="Arial" w:cs="Arial"/>
        </w:rPr>
        <w:t xml:space="preserve"> Approvazione del bilancio dell'UE L'ammontare delle spese che l'UE può sostenere ogni anno viene deciso congiuntamente dal Consiglio e dal Parlamento europeo</w:t>
      </w:r>
    </w:p>
    <w:p w:rsidR="002C74FB" w:rsidRPr="003C092C" w:rsidRDefault="002C74FB" w:rsidP="002C74FB">
      <w:pPr>
        <w:pStyle w:val="NormaleWeb"/>
        <w:shd w:val="clear" w:color="auto" w:fill="FFFFFF"/>
        <w:spacing w:before="0" w:beforeAutospacing="0" w:after="125" w:afterAutospacing="0"/>
        <w:rPr>
          <w:rFonts w:ascii="Arial" w:hAnsi="Arial" w:cs="Arial"/>
        </w:rPr>
      </w:pPr>
      <w:r w:rsidRPr="003C092C">
        <w:rPr>
          <w:rFonts w:ascii="Arial" w:hAnsi="Arial" w:cs="Arial"/>
        </w:rPr>
        <w:t xml:space="preserve">5. Elabora la politica estera e di difesa dell'UE </w:t>
      </w:r>
      <w:r w:rsidRPr="003C092C">
        <w:rPr>
          <w:rFonts w:ascii="Arial" w:hAnsi="Arial" w:cs="Arial"/>
        </w:rPr>
        <w:sym w:font="Wingdings" w:char="F0E0"/>
      </w:r>
      <w:r w:rsidRPr="003C092C">
        <w:rPr>
          <w:rFonts w:ascii="Arial" w:hAnsi="Arial" w:cs="Arial"/>
        </w:rPr>
        <w:t xml:space="preserve"> I governi nazionali mantengono tutte le competenze in queste materie, ma cooperano per sviluppare una cosiddetta politica estera e di sicurezza comune. È principalmente in seno al Consiglio che ha luogo tale cooperazione. L'UE non ha un esercito, ma per una risposta più veloce ai conflitti internazionali e ai disastri naturali, alcuni paesi dell'UE forniscono truppe per una forza di reazione rapida, che si limita tuttavia a interventi umanitari, azioni di salvataggio e mantenimento della pace.</w:t>
      </w:r>
    </w:p>
    <w:p w:rsidR="002C74FB" w:rsidRPr="003C092C" w:rsidRDefault="002C74FB" w:rsidP="002C74FB">
      <w:pPr>
        <w:pStyle w:val="NormaleWeb"/>
        <w:shd w:val="clear" w:color="auto" w:fill="FFFFFF"/>
        <w:spacing w:before="0" w:beforeAutospacing="0" w:after="125" w:afterAutospacing="0"/>
        <w:rPr>
          <w:rFonts w:ascii="Arial" w:hAnsi="Arial" w:cs="Arial"/>
        </w:rPr>
      </w:pPr>
      <w:r w:rsidRPr="003C092C">
        <w:rPr>
          <w:rFonts w:ascii="Arial" w:hAnsi="Arial" w:cs="Arial"/>
        </w:rPr>
        <w:t>6. Coordina la cooperazione fra i tribunali e le forze di polizia nazionali dei paesi membri</w:t>
      </w:r>
      <w:r w:rsidRPr="003C092C">
        <w:rPr>
          <w:rFonts w:ascii="Arial" w:hAnsi="Arial" w:cs="Arial"/>
        </w:rPr>
        <w:sym w:font="Wingdings" w:char="F0E0"/>
      </w:r>
      <w:r w:rsidRPr="003C092C">
        <w:rPr>
          <w:rFonts w:ascii="Arial" w:hAnsi="Arial" w:cs="Arial"/>
        </w:rPr>
        <w:t xml:space="preserve"> I cittadini dell'UE devono avere pari condizioni di accesso alla giustizia in qualsiasi paese dell'UE. All'interno del Consiglio, i ministri della Giustizia si impegnano a garantire che una sentenza emessa da un paese dell'UE, ad esempio in materia di divorzio, venga riconosciuta in tutti gli altri </w:t>
      </w:r>
      <w:r w:rsidRPr="003C092C">
        <w:rPr>
          <w:rFonts w:ascii="Arial" w:hAnsi="Arial" w:cs="Arial"/>
        </w:rPr>
        <w:lastRenderedPageBreak/>
        <w:t>paesi membri. I ministri dell'Interno e della Giustizia coordinano il controllo delle frontiere esterne dell'UE e la lotta al terrorismo e alla criminalità organizzata internazionale</w:t>
      </w:r>
    </w:p>
    <w:p w:rsidR="002C74FB" w:rsidRPr="003C092C" w:rsidRDefault="002C74FB" w:rsidP="002C74FB">
      <w:pPr>
        <w:pStyle w:val="NormaleWeb"/>
        <w:shd w:val="clear" w:color="auto" w:fill="FFFFFF"/>
        <w:spacing w:before="0" w:beforeAutospacing="0" w:after="125" w:afterAutospacing="0"/>
        <w:rPr>
          <w:rFonts w:ascii="Arial" w:hAnsi="Arial" w:cs="Arial"/>
        </w:rPr>
      </w:pPr>
      <w:r w:rsidRPr="003C092C">
        <w:rPr>
          <w:rFonts w:ascii="Arial" w:hAnsi="Arial" w:cs="Arial"/>
        </w:rPr>
        <w:t>Il Consiglio è assistito da un Segretariato generale, che ne rappresenta il supporto funzionale ed amministrativo, posto sotto la responsabilità del Segretario generale. L’organizzazione interna del Segretariato, è decisa dal Consiglio a maggioranza semplice.</w:t>
      </w:r>
    </w:p>
    <w:p w:rsidR="002C74FB" w:rsidRPr="003C092C" w:rsidRDefault="002C74FB" w:rsidP="002C74FB">
      <w:pPr>
        <w:pStyle w:val="NormaleWeb"/>
        <w:shd w:val="clear" w:color="auto" w:fill="FFFFFF"/>
        <w:spacing w:before="0" w:beforeAutospacing="0" w:after="125" w:afterAutospacing="0"/>
        <w:rPr>
          <w:rFonts w:ascii="Arial" w:hAnsi="Arial" w:cs="Arial"/>
        </w:rPr>
      </w:pPr>
      <w:r w:rsidRPr="003C092C">
        <w:rPr>
          <w:rFonts w:ascii="Arial" w:hAnsi="Arial" w:cs="Arial"/>
          <w:color w:val="222222"/>
          <w:shd w:val="clear" w:color="auto" w:fill="FFFFFF"/>
        </w:rPr>
        <w:t>Il </w:t>
      </w:r>
      <w:r w:rsidRPr="003C092C">
        <w:rPr>
          <w:rFonts w:ascii="Arial" w:hAnsi="Arial" w:cs="Arial"/>
          <w:b/>
          <w:bCs/>
          <w:color w:val="222222"/>
          <w:shd w:val="clear" w:color="auto" w:fill="FFFFFF"/>
        </w:rPr>
        <w:t>Comitato dei rappresentanti permanenti</w:t>
      </w:r>
      <w:r w:rsidRPr="003C092C">
        <w:rPr>
          <w:rFonts w:ascii="Arial" w:hAnsi="Arial" w:cs="Arial"/>
          <w:color w:val="222222"/>
          <w:shd w:val="clear" w:color="auto" w:fill="FFFFFF"/>
        </w:rPr>
        <w:t> (</w:t>
      </w:r>
      <w:r w:rsidRPr="003C092C">
        <w:rPr>
          <w:rFonts w:ascii="Arial" w:hAnsi="Arial" w:cs="Arial"/>
          <w:b/>
          <w:bCs/>
          <w:color w:val="222222"/>
          <w:shd w:val="clear" w:color="auto" w:fill="FFFFFF"/>
        </w:rPr>
        <w:t>COREPER</w:t>
      </w:r>
      <w:r w:rsidRPr="003C092C">
        <w:rPr>
          <w:rFonts w:ascii="Arial" w:hAnsi="Arial" w:cs="Arial"/>
          <w:color w:val="222222"/>
          <w:shd w:val="clear" w:color="auto" w:fill="FFFFFF"/>
        </w:rPr>
        <w:t>, dal francese </w:t>
      </w:r>
      <w:proofErr w:type="spellStart"/>
      <w:r w:rsidRPr="003C092C">
        <w:rPr>
          <w:rFonts w:ascii="Arial" w:hAnsi="Arial" w:cs="Arial"/>
          <w:i/>
          <w:iCs/>
          <w:color w:val="222222"/>
          <w:shd w:val="clear" w:color="auto" w:fill="FFFFFF"/>
        </w:rPr>
        <w:t>Comité</w:t>
      </w:r>
      <w:proofErr w:type="spellEnd"/>
      <w:r w:rsidRPr="003C092C">
        <w:rPr>
          <w:rFonts w:ascii="Arial" w:hAnsi="Arial" w:cs="Arial"/>
          <w:i/>
          <w:iCs/>
          <w:color w:val="222222"/>
          <w:shd w:val="clear" w:color="auto" w:fill="FFFFFF"/>
        </w:rPr>
        <w:t xml:space="preserve"> </w:t>
      </w:r>
      <w:proofErr w:type="spellStart"/>
      <w:r w:rsidRPr="003C092C">
        <w:rPr>
          <w:rFonts w:ascii="Arial" w:hAnsi="Arial" w:cs="Arial"/>
          <w:i/>
          <w:iCs/>
          <w:color w:val="222222"/>
          <w:shd w:val="clear" w:color="auto" w:fill="FFFFFF"/>
        </w:rPr>
        <w:t>des</w:t>
      </w:r>
      <w:proofErr w:type="spellEnd"/>
      <w:r w:rsidRPr="003C092C">
        <w:rPr>
          <w:rFonts w:ascii="Arial" w:hAnsi="Arial" w:cs="Arial"/>
          <w:i/>
          <w:iCs/>
          <w:color w:val="222222"/>
          <w:shd w:val="clear" w:color="auto" w:fill="FFFFFF"/>
        </w:rPr>
        <w:t xml:space="preserve"> </w:t>
      </w:r>
      <w:proofErr w:type="spellStart"/>
      <w:r w:rsidRPr="003C092C">
        <w:rPr>
          <w:rFonts w:ascii="Arial" w:hAnsi="Arial" w:cs="Arial"/>
          <w:i/>
          <w:iCs/>
          <w:color w:val="222222"/>
          <w:shd w:val="clear" w:color="auto" w:fill="FFFFFF"/>
        </w:rPr>
        <w:t>représentants</w:t>
      </w:r>
      <w:proofErr w:type="spellEnd"/>
      <w:r w:rsidRPr="003C092C">
        <w:rPr>
          <w:rFonts w:ascii="Arial" w:hAnsi="Arial" w:cs="Arial"/>
          <w:i/>
          <w:iCs/>
          <w:color w:val="222222"/>
          <w:shd w:val="clear" w:color="auto" w:fill="FFFFFF"/>
        </w:rPr>
        <w:t xml:space="preserve"> </w:t>
      </w:r>
      <w:proofErr w:type="spellStart"/>
      <w:r w:rsidRPr="003C092C">
        <w:rPr>
          <w:rFonts w:ascii="Arial" w:hAnsi="Arial" w:cs="Arial"/>
          <w:i/>
          <w:iCs/>
          <w:color w:val="222222"/>
          <w:shd w:val="clear" w:color="auto" w:fill="FFFFFF"/>
        </w:rPr>
        <w:t>permanents</w:t>
      </w:r>
      <w:proofErr w:type="spellEnd"/>
      <w:r w:rsidRPr="003C092C">
        <w:rPr>
          <w:rFonts w:ascii="Arial" w:hAnsi="Arial" w:cs="Arial"/>
          <w:color w:val="222222"/>
          <w:shd w:val="clear" w:color="auto" w:fill="FFFFFF"/>
        </w:rPr>
        <w:t>) è un organo del </w:t>
      </w:r>
      <w:r w:rsidR="00AD1A0D" w:rsidRPr="003C092C">
        <w:rPr>
          <w:rFonts w:ascii="Arial" w:hAnsi="Arial" w:cs="Arial"/>
          <w:color w:val="222222"/>
          <w:shd w:val="clear" w:color="auto" w:fill="FFFFFF"/>
        </w:rPr>
        <w:t>Consiglio</w:t>
      </w:r>
      <w:r w:rsidRPr="003C092C">
        <w:rPr>
          <w:rFonts w:ascii="Arial" w:hAnsi="Arial" w:cs="Arial"/>
          <w:color w:val="222222"/>
          <w:shd w:val="clear" w:color="auto" w:fill="FFFFFF"/>
        </w:rPr>
        <w:t>, composto dai capi o vice-capi delegazione degli </w:t>
      </w:r>
      <w:r w:rsidR="00AD1A0D" w:rsidRPr="003C092C">
        <w:rPr>
          <w:rFonts w:ascii="Arial" w:hAnsi="Arial" w:cs="Arial"/>
          <w:color w:val="222222"/>
          <w:shd w:val="clear" w:color="auto" w:fill="FFFFFF"/>
        </w:rPr>
        <w:t xml:space="preserve">stati membri </w:t>
      </w:r>
      <w:r w:rsidRPr="003C092C">
        <w:rPr>
          <w:rFonts w:ascii="Arial" w:hAnsi="Arial" w:cs="Arial"/>
          <w:color w:val="222222"/>
          <w:shd w:val="clear" w:color="auto" w:fill="FFFFFF"/>
        </w:rPr>
        <w:t>presso l'</w:t>
      </w:r>
      <w:r w:rsidR="00AD1A0D" w:rsidRPr="003C092C">
        <w:rPr>
          <w:rFonts w:ascii="Arial" w:hAnsi="Arial" w:cs="Arial"/>
          <w:color w:val="222222"/>
          <w:shd w:val="clear" w:color="auto" w:fill="FFFFFF"/>
        </w:rPr>
        <w:t>UE</w:t>
      </w:r>
      <w:r w:rsidRPr="003C092C">
        <w:rPr>
          <w:rFonts w:ascii="Arial" w:hAnsi="Arial" w:cs="Arial"/>
          <w:color w:val="222222"/>
          <w:shd w:val="clear" w:color="auto" w:fill="FFFFFF"/>
        </w:rPr>
        <w:t> e da un alto numero di comitati e gruppi di lavoro ad esso subordinati. Il suo compito principale è preparare gli incontri a livello ministeriale del </w:t>
      </w:r>
      <w:r w:rsidR="00AD1A0D" w:rsidRPr="003C092C">
        <w:rPr>
          <w:rFonts w:ascii="Arial" w:hAnsi="Arial" w:cs="Arial"/>
          <w:color w:val="222222"/>
          <w:shd w:val="clear" w:color="auto" w:fill="FFFFFF"/>
        </w:rPr>
        <w:t>Consiglio</w:t>
      </w:r>
      <w:r w:rsidRPr="003C092C">
        <w:rPr>
          <w:rFonts w:ascii="Arial" w:hAnsi="Arial" w:cs="Arial"/>
          <w:color w:val="222222"/>
          <w:shd w:val="clear" w:color="auto" w:fill="FFFFFF"/>
        </w:rPr>
        <w:t>. Il COREPER svolge un ruolo fondamentale nell'elaborazione delle politiche dell'</w:t>
      </w:r>
      <w:r w:rsidR="00AD1A0D" w:rsidRPr="003C092C">
        <w:rPr>
          <w:rFonts w:ascii="Arial" w:hAnsi="Arial" w:cs="Arial"/>
          <w:color w:val="222222"/>
          <w:shd w:val="clear" w:color="auto" w:fill="FFFFFF"/>
        </w:rPr>
        <w:t>UE</w:t>
      </w:r>
      <w:r w:rsidRPr="003C092C">
        <w:rPr>
          <w:rFonts w:ascii="Arial" w:hAnsi="Arial" w:cs="Arial"/>
          <w:color w:val="222222"/>
          <w:shd w:val="clear" w:color="auto" w:fill="FFFFFF"/>
        </w:rPr>
        <w:t>, dato che gran parte dei negoziati tra gli stati membri sulle decisioni da prendere si svolge al suo interno.</w:t>
      </w:r>
    </w:p>
    <w:p w:rsidR="002C74FB" w:rsidRPr="003C092C" w:rsidRDefault="00AD1A0D" w:rsidP="002C74FB">
      <w:pPr>
        <w:pStyle w:val="NormaleWeb"/>
        <w:shd w:val="clear" w:color="auto" w:fill="FFFFFF"/>
        <w:spacing w:before="0" w:beforeAutospacing="0" w:after="125" w:afterAutospacing="0"/>
        <w:rPr>
          <w:rFonts w:ascii="Arial" w:hAnsi="Arial" w:cs="Arial"/>
        </w:rPr>
      </w:pPr>
      <w:r w:rsidRPr="003C092C">
        <w:rPr>
          <w:rFonts w:ascii="Arial" w:hAnsi="Arial" w:cs="Arial"/>
        </w:rPr>
        <w:t xml:space="preserve">Il Comitato dei rappresentanti permanenti o </w:t>
      </w:r>
      <w:proofErr w:type="spellStart"/>
      <w:r w:rsidRPr="003C092C">
        <w:rPr>
          <w:rFonts w:ascii="Arial" w:hAnsi="Arial" w:cs="Arial"/>
        </w:rPr>
        <w:t>Coreper</w:t>
      </w:r>
      <w:proofErr w:type="spellEnd"/>
      <w:r w:rsidRPr="003C092C">
        <w:rPr>
          <w:rFonts w:ascii="Arial" w:hAnsi="Arial" w:cs="Arial"/>
        </w:rPr>
        <w:t xml:space="preserve"> è responsabile della preparazione dei lavori del Consiglio dell’Unione europea. È composto da rappresentanti degli Stati membri aventi il rango di ambasciatori degli Stati membri presso l’Unione europea ed è presieduto dallo Stato membro che esercita la presidenza del Consiglio. E’ al tempo stesso organo di dialogo (dialogo tra i rappresentanti permanenti e di ciascuno di essi con la rispettiva capitale), e di controllo politico (orientamento e supervisione dei lavori dei gruppi di esperti). E’ responsabile dell’esame preliminare dei dossier iscritti all’ordine del giorno del Consiglio (proposte e progetti di atti presentati dalla Commissione).</w:t>
      </w:r>
    </w:p>
    <w:p w:rsidR="003C092C" w:rsidRPr="003C092C" w:rsidRDefault="003C092C" w:rsidP="002C74FB">
      <w:pPr>
        <w:pStyle w:val="NormaleWeb"/>
        <w:shd w:val="clear" w:color="auto" w:fill="FFFFFF"/>
        <w:spacing w:before="0" w:beforeAutospacing="0" w:after="125" w:afterAutospacing="0"/>
        <w:rPr>
          <w:rFonts w:ascii="Arial" w:hAnsi="Arial" w:cs="Arial"/>
          <w:b/>
        </w:rPr>
      </w:pPr>
      <w:r w:rsidRPr="003C092C">
        <w:rPr>
          <w:rFonts w:ascii="Arial" w:hAnsi="Arial" w:cs="Arial"/>
          <w:b/>
        </w:rPr>
        <w:t>CONSIGLIO EUROPEO</w:t>
      </w:r>
    </w:p>
    <w:p w:rsidR="003C092C" w:rsidRPr="003C092C" w:rsidRDefault="003C092C" w:rsidP="003C092C">
      <w:pPr>
        <w:pStyle w:val="NormaleWeb"/>
        <w:shd w:val="clear" w:color="auto" w:fill="FFFFFF"/>
        <w:spacing w:before="120" w:beforeAutospacing="0" w:after="120" w:afterAutospacing="0"/>
        <w:rPr>
          <w:rFonts w:ascii="Arial" w:hAnsi="Arial" w:cs="Arial"/>
          <w:color w:val="222222"/>
        </w:rPr>
      </w:pPr>
      <w:r w:rsidRPr="003C092C">
        <w:rPr>
          <w:rFonts w:ascii="Arial" w:hAnsi="Arial" w:cs="Arial"/>
          <w:color w:val="222222"/>
        </w:rPr>
        <w:t>Il </w:t>
      </w:r>
      <w:r w:rsidRPr="003C092C">
        <w:rPr>
          <w:rFonts w:ascii="Arial" w:hAnsi="Arial" w:cs="Arial"/>
          <w:b/>
          <w:bCs/>
          <w:color w:val="222222"/>
        </w:rPr>
        <w:t>Consiglio europeo</w:t>
      </w:r>
      <w:r w:rsidRPr="003C092C">
        <w:rPr>
          <w:rFonts w:ascii="Arial" w:hAnsi="Arial" w:cs="Arial"/>
          <w:color w:val="222222"/>
        </w:rPr>
        <w:t> è un organo che si riunisce periodicamente per definire "le priorità e gli orientamenti politici generali, ovvero definire l’indirizzo politico dell'Unione europea ed esaminare i principali problemi del processo di integrazione. Con il Trattato di Lisbona, è una delle istituzioni dell'UE e ha un presidente, eletto per due anni e mezzo.</w:t>
      </w:r>
    </w:p>
    <w:p w:rsidR="003C092C" w:rsidRPr="003C092C" w:rsidRDefault="003C092C" w:rsidP="003C092C">
      <w:pPr>
        <w:pStyle w:val="NormaleWeb"/>
        <w:shd w:val="clear" w:color="auto" w:fill="FFFFFF"/>
        <w:spacing w:before="120" w:beforeAutospacing="0" w:after="120" w:afterAutospacing="0"/>
        <w:rPr>
          <w:rFonts w:ascii="Arial" w:hAnsi="Arial" w:cs="Arial"/>
          <w:color w:val="222222"/>
          <w:shd w:val="clear" w:color="auto" w:fill="FFFFFF"/>
        </w:rPr>
      </w:pPr>
      <w:r w:rsidRPr="003C092C">
        <w:rPr>
          <w:rFonts w:ascii="Arial" w:hAnsi="Arial" w:cs="Arial"/>
          <w:color w:val="222222"/>
        </w:rPr>
        <w:t>.</w:t>
      </w:r>
      <w:r w:rsidRPr="003C092C">
        <w:rPr>
          <w:rFonts w:ascii="Arial" w:hAnsi="Arial" w:cs="Arial"/>
          <w:color w:val="222222"/>
          <w:shd w:val="clear" w:color="auto" w:fill="FFFFFF"/>
        </w:rPr>
        <w:t xml:space="preserve"> È rimasta tuttavia la natura giuridica anomala e ambigua del Consiglio, dal momento che la sua creazione non è prevista nei trattati istitutivi della comunità. Se da un lato la volontà politica degli Stati membri di creare uno strumento flessibile, capace di agire liberamente al di fuori degli schemi istituzionali comunitari ha consentito a quest'organo di agire spesso in maniera efficace e positiva per lo sviluppo del processo comunitario (passaggio alla fase definitiva del mercato comune, risorse proprie, sistema monetario, negoziato per l'adesione di nuovi stati, elezione diretta del Parlamento, ecc.), dell'altro lato bisogna considerare che risulta tuttora sprovvisto di qualunque forma di controllo democratico e giurisdizionale sul piano comunitario, in quanto non sottoposto alle regole procedurali dei trattati istitutivi né a limiti di competenza</w:t>
      </w:r>
    </w:p>
    <w:p w:rsidR="003C092C" w:rsidRPr="003C092C" w:rsidRDefault="003C092C" w:rsidP="003C092C">
      <w:pPr>
        <w:pStyle w:val="NormaleWeb"/>
        <w:shd w:val="clear" w:color="auto" w:fill="FFFFFF"/>
        <w:spacing w:before="120" w:beforeAutospacing="0" w:after="120" w:afterAutospacing="0"/>
        <w:rPr>
          <w:rFonts w:ascii="Arial" w:hAnsi="Arial" w:cs="Arial"/>
          <w:color w:val="222222"/>
        </w:rPr>
      </w:pPr>
      <w:r w:rsidRPr="003C092C">
        <w:rPr>
          <w:rFonts w:ascii="Arial" w:hAnsi="Arial" w:cs="Arial"/>
          <w:color w:val="222222"/>
        </w:rPr>
        <w:t>l Consiglio europeo è composto dai capi di Stato o di governo dei paesi membri dell' e dal Presidente del Consiglio UE che ne presiede le sessioni; inoltre partecipa senza diritto di voto il Presidente della Commissione europea. La scelta tra capo di Stato e di governo, quale rappresentante dello Stato membro nelle sedute del Consiglio europeo, è definita dall'ordinamento del singolo Stato in relazione alle peculiarità del sistema istituzionale</w:t>
      </w:r>
    </w:p>
    <w:p w:rsidR="003C092C" w:rsidRPr="003C092C" w:rsidRDefault="003C092C" w:rsidP="003C092C">
      <w:pPr>
        <w:pStyle w:val="NormaleWeb"/>
        <w:shd w:val="clear" w:color="auto" w:fill="FFFFFF"/>
        <w:spacing w:before="120" w:beforeAutospacing="0" w:after="120" w:afterAutospacing="0"/>
        <w:rPr>
          <w:rFonts w:ascii="Arial" w:hAnsi="Arial" w:cs="Arial"/>
          <w:color w:val="222222"/>
        </w:rPr>
      </w:pPr>
      <w:r w:rsidRPr="003C092C">
        <w:rPr>
          <w:rFonts w:ascii="Arial" w:hAnsi="Arial" w:cs="Arial"/>
          <w:color w:val="222222"/>
        </w:rPr>
        <w:t>Qualora l'ordine del giorno lo richieda, i membri del Consiglio europeo possono farsi assistere da un ministro e, per quanto riguarda il presidente della Commissione, da un membro della stessa. Partecipa ai lavori anche l'Alto rappresentante per gli affari esteri e la politica di sicurezza.</w:t>
      </w:r>
    </w:p>
    <w:p w:rsidR="003C092C" w:rsidRPr="003C092C" w:rsidRDefault="003C092C" w:rsidP="003C092C">
      <w:pPr>
        <w:pStyle w:val="NormaleWeb"/>
        <w:shd w:val="clear" w:color="auto" w:fill="FFFFFF"/>
        <w:spacing w:before="120" w:beforeAutospacing="0" w:after="120" w:afterAutospacing="0"/>
        <w:rPr>
          <w:rFonts w:ascii="Arial" w:hAnsi="Arial" w:cs="Arial"/>
          <w:color w:val="222222"/>
          <w:shd w:val="clear" w:color="auto" w:fill="FFFFFF"/>
        </w:rPr>
      </w:pPr>
      <w:r w:rsidRPr="003C092C">
        <w:rPr>
          <w:rFonts w:ascii="Arial" w:hAnsi="Arial" w:cs="Arial"/>
          <w:color w:val="222222"/>
          <w:shd w:val="clear" w:color="auto" w:fill="FFFFFF"/>
        </w:rPr>
        <w:t> Consigli europei ordinari si tengono, per disposto dell'art. 15 del Trattato UE due volte a semestre a Bruxelles. I consigli Europei speciali o straordinari si tengono a Bruxelles e sono convocati per affrontare singole questioni rimaste irrisolte a livelli inferiori, si tengono inoltre dei Consigli informali, senza una data fissa. Tale organo presenta al Parlamento Europeo una relazione dopo ciascuna riunione e una relazione scritta annuale sui progressi compiuti dall'Unione.</w:t>
      </w:r>
    </w:p>
    <w:p w:rsidR="003C092C" w:rsidRPr="003C092C" w:rsidRDefault="003C092C" w:rsidP="003C092C">
      <w:pPr>
        <w:pStyle w:val="NormaleWeb"/>
        <w:shd w:val="clear" w:color="auto" w:fill="FFFFFF"/>
        <w:spacing w:before="120" w:beforeAutospacing="0" w:after="120" w:afterAutospacing="0"/>
        <w:rPr>
          <w:rFonts w:ascii="Arial" w:hAnsi="Arial" w:cs="Arial"/>
          <w:color w:val="222222"/>
        </w:rPr>
      </w:pPr>
    </w:p>
    <w:p w:rsidR="002C74FB" w:rsidRPr="003C092C" w:rsidRDefault="009B66D8" w:rsidP="00CA2E12">
      <w:pPr>
        <w:rPr>
          <w:rFonts w:ascii="Arial" w:hAnsi="Arial" w:cs="Arial"/>
          <w:b/>
          <w:sz w:val="24"/>
          <w:szCs w:val="24"/>
        </w:rPr>
      </w:pPr>
      <w:r w:rsidRPr="003C092C">
        <w:rPr>
          <w:rFonts w:ascii="Arial" w:hAnsi="Arial" w:cs="Arial"/>
          <w:b/>
          <w:sz w:val="24"/>
          <w:szCs w:val="24"/>
        </w:rPr>
        <w:t>COMMISSIONE</w:t>
      </w:r>
    </w:p>
    <w:p w:rsidR="009B66D8" w:rsidRPr="003C092C" w:rsidRDefault="009B66D8" w:rsidP="00CA2E12">
      <w:pPr>
        <w:rPr>
          <w:rFonts w:ascii="Arial" w:hAnsi="Arial" w:cs="Arial"/>
          <w:color w:val="000000" w:themeColor="text1"/>
          <w:sz w:val="24"/>
          <w:szCs w:val="24"/>
        </w:rPr>
      </w:pPr>
      <w:r w:rsidRPr="003C092C">
        <w:rPr>
          <w:rFonts w:ascii="Arial" w:hAnsi="Arial" w:cs="Arial"/>
          <w:color w:val="000000" w:themeColor="text1"/>
          <w:sz w:val="24"/>
          <w:szCs w:val="24"/>
          <w:shd w:val="clear" w:color="auto" w:fill="F5F5F5"/>
        </w:rPr>
        <w:t>La Commissione europea è l’organo esecutivo dell’Unione europea e ne promuove l’interesse generale</w:t>
      </w:r>
    </w:p>
    <w:p w:rsidR="009B66D8" w:rsidRPr="003C092C" w:rsidRDefault="009B66D8" w:rsidP="009B66D8">
      <w:pPr>
        <w:pStyle w:val="NormaleWeb"/>
        <w:shd w:val="clear" w:color="auto" w:fill="FFFFFF"/>
        <w:spacing w:before="0" w:beforeAutospacing="0" w:after="150" w:afterAutospacing="0"/>
        <w:rPr>
          <w:rFonts w:ascii="Arial" w:hAnsi="Arial" w:cs="Arial"/>
        </w:rPr>
      </w:pPr>
      <w:r w:rsidRPr="003C092C">
        <w:rPr>
          <w:rFonts w:ascii="Arial" w:hAnsi="Arial" w:cs="Arial"/>
          <w:color w:val="404040"/>
        </w:rPr>
        <w:t>La Commissione europea è il braccio esecutivo </w:t>
      </w:r>
      <w:r w:rsidRPr="003C092C">
        <w:rPr>
          <w:rStyle w:val="Enfasigrassetto"/>
          <w:rFonts w:ascii="Arial" w:hAnsi="Arial" w:cs="Arial"/>
          <w:color w:val="404040"/>
        </w:rPr>
        <w:t>politicamente indipendente</w:t>
      </w:r>
      <w:r w:rsidRPr="003C092C">
        <w:rPr>
          <w:rFonts w:ascii="Arial" w:hAnsi="Arial" w:cs="Arial"/>
          <w:color w:val="404040"/>
        </w:rPr>
        <w:t> dell'UE. È l'unico organo cui compete redigere le proposte di nuovi atti legislativi europei. Inoltre, attua le decisioni del Parlamento e del Consiglio.</w:t>
      </w:r>
      <w:r w:rsidRPr="003C092C">
        <w:rPr>
          <w:rFonts w:ascii="Arial" w:hAnsi="Arial" w:cs="Arial"/>
        </w:rPr>
        <w:t xml:space="preserve"> La Commissione è, al contrario del Consiglio, un organo di individui, nel senso che i suoi membri esercitano le loro funzioni in piena indipendenza nell’interesse generale della Comunità, e non accettano istruzioni da nessun governo, istituzione organo od organismo ad eccezione dell’Alto rappresentante dell’Unione per gli affari esteri. La commissione è organo esecutivo, in quanto il suo compito principale è quello di far applicare i trattati e gli atti, oltre che la gestione delle varie politiche comuni. 28 Commissari, uno per ogni paese dell'UE, rappresentano la guida politica della Commissione durante il mandato di 5 anni. Il Presidente attribuisce a ogni Commissario la responsabilità per settori politici specifici.</w:t>
      </w:r>
    </w:p>
    <w:p w:rsidR="009B66D8" w:rsidRPr="003C092C" w:rsidRDefault="009B66D8"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1 propone atti legislativi al Parlamento e al Consiglio </w:t>
      </w:r>
      <w:r w:rsidRPr="003C092C">
        <w:rPr>
          <w:rFonts w:ascii="Arial" w:hAnsi="Arial" w:cs="Arial"/>
        </w:rPr>
        <w:sym w:font="Wingdings" w:char="F0E0"/>
      </w:r>
      <w:r w:rsidRPr="003C092C">
        <w:rPr>
          <w:rFonts w:ascii="Arial" w:hAnsi="Arial" w:cs="Arial"/>
        </w:rPr>
        <w:t xml:space="preserve">La Commissione ha il "diritto d'iniziativa", ossia può proporre atti legislativi con l'obiettivo di difendere gli interessi dell'UE e dei suoi cittadini nelle questioni che non possono essere gestite efficacemente a livello nazionale, regionale o locale (principio di sussidiarietà). Quando la Commissione avanza una proposta, cerca di soddisfare la più ampia gamma di interessi. Per gli aspetti tecnici, la Commissione si avvale della consulenza di esperti attraverso i suoi vari comitati e gruppi di lavoro. </w:t>
      </w:r>
      <w:r w:rsidRPr="003C092C">
        <w:rPr>
          <w:rFonts w:ascii="Arial" w:hAnsi="Arial" w:cs="Arial"/>
        </w:rPr>
        <w:sym w:font="Symbol" w:char="F076"/>
      </w:r>
      <w:r w:rsidRPr="003C092C">
        <w:rPr>
          <w:rFonts w:ascii="Arial" w:hAnsi="Arial" w:cs="Arial"/>
        </w:rPr>
        <w:t xml:space="preserve"> La Commissione può anche avviare consultazioni pubbliche. I servizi della Commissione redigono una proposta di atto legislativo. Se la proposta trova concordi almeno 14 dei 28 Commissari, questa viene poi presentata al Consiglio e al Parlamento.</w:t>
      </w:r>
      <w:r w:rsidRPr="003C092C">
        <w:rPr>
          <w:rFonts w:ascii="Arial" w:hAnsi="Arial" w:cs="Arial"/>
        </w:rPr>
        <w:sym w:font="Symbol" w:char="F076"/>
      </w:r>
      <w:r w:rsidRPr="003C092C">
        <w:rPr>
          <w:rFonts w:ascii="Arial" w:hAnsi="Arial" w:cs="Arial"/>
        </w:rPr>
        <w:t xml:space="preserve"> Dopo aver discusso e modificato la proposta, decidono se approvarla o meno.</w:t>
      </w:r>
    </w:p>
    <w:p w:rsidR="009B66D8" w:rsidRPr="003C092C" w:rsidRDefault="009B66D8"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2. gestisce il bilancio dell'UE e attribuisce i finanziamenti </w:t>
      </w:r>
    </w:p>
    <w:p w:rsidR="009B66D8" w:rsidRPr="003C092C" w:rsidRDefault="009B66D8" w:rsidP="009B66D8">
      <w:pPr>
        <w:pStyle w:val="NormaleWeb"/>
        <w:shd w:val="clear" w:color="auto" w:fill="FFFFFF"/>
        <w:spacing w:before="0" w:beforeAutospacing="0" w:after="150" w:afterAutospacing="0"/>
        <w:rPr>
          <w:rFonts w:ascii="Arial" w:hAnsi="Arial" w:cs="Arial"/>
        </w:rPr>
      </w:pPr>
      <w:r w:rsidRPr="003C092C">
        <w:rPr>
          <w:rFonts w:ascii="Arial" w:hAnsi="Arial" w:cs="Arial"/>
        </w:rPr>
        <w:t>3. vigila sull'applicazione del diritto dell’UE (congiuntamente alla Corte di giustizia)</w:t>
      </w:r>
    </w:p>
    <w:p w:rsidR="009B66D8" w:rsidRPr="003C092C" w:rsidRDefault="009B66D8" w:rsidP="009B66D8">
      <w:pPr>
        <w:pStyle w:val="NormaleWeb"/>
        <w:shd w:val="clear" w:color="auto" w:fill="FFFFFF"/>
        <w:spacing w:before="0" w:beforeAutospacing="0" w:after="150" w:afterAutospacing="0"/>
        <w:rPr>
          <w:rFonts w:ascii="Arial" w:hAnsi="Arial" w:cs="Arial"/>
          <w:color w:val="404040"/>
        </w:rPr>
      </w:pPr>
      <w:r w:rsidRPr="003C092C">
        <w:rPr>
          <w:rFonts w:ascii="Arial" w:hAnsi="Arial" w:cs="Arial"/>
        </w:rPr>
        <w:lastRenderedPageBreak/>
        <w:t>4. rappresenta l'Unione europea a livello internazionale, per esempio nei negoziati con paesi terzi per la conclusione di accordi.</w:t>
      </w:r>
    </w:p>
    <w:p w:rsidR="009B66D8" w:rsidRPr="003C092C" w:rsidRDefault="009B66D8" w:rsidP="009B66D8">
      <w:pPr>
        <w:pStyle w:val="NormaleWeb"/>
        <w:shd w:val="clear" w:color="auto" w:fill="FFFFFF"/>
        <w:spacing w:before="0" w:beforeAutospacing="0" w:after="150" w:afterAutospacing="0"/>
        <w:rPr>
          <w:rFonts w:ascii="Arial" w:hAnsi="Arial" w:cs="Arial"/>
          <w:color w:val="404040"/>
        </w:rPr>
      </w:pPr>
      <w:r w:rsidRPr="003C092C">
        <w:rPr>
          <w:rFonts w:ascii="Arial" w:hAnsi="Arial" w:cs="Arial"/>
          <w:color w:val="404040"/>
        </w:rPr>
        <w:t>La Commissione è l’unica istituzione dell’UE a presentare al Parlamento europeo e al Consiglio disposizioni legislative da adottare e:</w:t>
      </w:r>
    </w:p>
    <w:p w:rsidR="009B66D8" w:rsidRPr="003C092C" w:rsidRDefault="009B66D8" w:rsidP="009B66D8">
      <w:pPr>
        <w:numPr>
          <w:ilvl w:val="0"/>
          <w:numId w:val="9"/>
        </w:numPr>
        <w:shd w:val="clear" w:color="auto" w:fill="FFFFFF"/>
        <w:spacing w:before="100" w:beforeAutospacing="1" w:after="98" w:line="240" w:lineRule="auto"/>
        <w:ind w:left="0"/>
        <w:rPr>
          <w:rFonts w:ascii="Arial" w:hAnsi="Arial" w:cs="Arial"/>
          <w:color w:val="333333"/>
          <w:sz w:val="24"/>
          <w:szCs w:val="24"/>
        </w:rPr>
      </w:pPr>
      <w:r w:rsidRPr="003C092C">
        <w:rPr>
          <w:rFonts w:ascii="Arial" w:hAnsi="Arial" w:cs="Arial"/>
          <w:color w:val="333333"/>
          <w:sz w:val="24"/>
          <w:szCs w:val="24"/>
        </w:rPr>
        <w:t>tutela gli interessi dell’UE e dei suoi cittadini su questioni che non possono essere gestite efficacemente a livello nazionale</w:t>
      </w:r>
    </w:p>
    <w:p w:rsidR="009B66D8" w:rsidRPr="003C092C" w:rsidRDefault="009B66D8" w:rsidP="009B66D8">
      <w:pPr>
        <w:numPr>
          <w:ilvl w:val="0"/>
          <w:numId w:val="9"/>
        </w:numPr>
        <w:shd w:val="clear" w:color="auto" w:fill="FFFFFF"/>
        <w:spacing w:before="100" w:beforeAutospacing="1" w:after="98" w:line="240" w:lineRule="auto"/>
        <w:ind w:left="0"/>
        <w:rPr>
          <w:rFonts w:ascii="Arial" w:hAnsi="Arial" w:cs="Arial"/>
          <w:color w:val="333333"/>
          <w:sz w:val="24"/>
          <w:szCs w:val="24"/>
        </w:rPr>
      </w:pPr>
      <w:r w:rsidRPr="003C092C">
        <w:rPr>
          <w:rFonts w:ascii="Arial" w:hAnsi="Arial" w:cs="Arial"/>
          <w:color w:val="333333"/>
          <w:sz w:val="24"/>
          <w:szCs w:val="24"/>
        </w:rPr>
        <w:t>si avvale, per gli aspetti tecnici, di esperti e dell’opinione pubblica.</w:t>
      </w:r>
    </w:p>
    <w:p w:rsidR="009B66D8" w:rsidRPr="003C092C" w:rsidRDefault="009B66D8" w:rsidP="009B66D8">
      <w:pPr>
        <w:numPr>
          <w:ilvl w:val="0"/>
          <w:numId w:val="10"/>
        </w:numPr>
        <w:shd w:val="clear" w:color="auto" w:fill="FFFFFF"/>
        <w:spacing w:before="100" w:beforeAutospacing="1" w:after="98" w:line="240" w:lineRule="auto"/>
        <w:ind w:left="0"/>
        <w:rPr>
          <w:rFonts w:ascii="Arial" w:hAnsi="Arial" w:cs="Arial"/>
          <w:color w:val="333333"/>
          <w:sz w:val="24"/>
          <w:szCs w:val="24"/>
        </w:rPr>
      </w:pPr>
      <w:r w:rsidRPr="003C092C">
        <w:rPr>
          <w:rFonts w:ascii="Arial" w:hAnsi="Arial" w:cs="Arial"/>
          <w:color w:val="333333"/>
          <w:sz w:val="24"/>
          <w:szCs w:val="24"/>
        </w:rPr>
        <w:t>Stabilisce le priorità di spesa dell’UE, unitamente al Consiglio e al Parlamento.</w:t>
      </w:r>
    </w:p>
    <w:p w:rsidR="009B66D8" w:rsidRPr="003C092C" w:rsidRDefault="009B66D8" w:rsidP="009B66D8">
      <w:pPr>
        <w:numPr>
          <w:ilvl w:val="0"/>
          <w:numId w:val="10"/>
        </w:numPr>
        <w:shd w:val="clear" w:color="auto" w:fill="FFFFFF"/>
        <w:spacing w:before="100" w:beforeAutospacing="1" w:after="98" w:line="240" w:lineRule="auto"/>
        <w:ind w:left="0"/>
        <w:rPr>
          <w:rFonts w:ascii="Arial" w:hAnsi="Arial" w:cs="Arial"/>
          <w:color w:val="333333"/>
          <w:sz w:val="24"/>
          <w:szCs w:val="24"/>
        </w:rPr>
      </w:pPr>
      <w:r w:rsidRPr="003C092C">
        <w:rPr>
          <w:rFonts w:ascii="Arial" w:hAnsi="Arial" w:cs="Arial"/>
          <w:color w:val="333333"/>
          <w:sz w:val="24"/>
          <w:szCs w:val="24"/>
        </w:rPr>
        <w:t>Prepara i bilanci annuali da sottoporre all’approvazione del Parlamento e del Consiglio.</w:t>
      </w:r>
    </w:p>
    <w:p w:rsidR="009B66D8" w:rsidRPr="003C092C" w:rsidRDefault="009B66D8" w:rsidP="009B66D8">
      <w:pPr>
        <w:numPr>
          <w:ilvl w:val="0"/>
          <w:numId w:val="10"/>
        </w:numPr>
        <w:shd w:val="clear" w:color="auto" w:fill="FFFFFF"/>
        <w:spacing w:before="100" w:beforeAutospacing="1" w:after="98" w:line="240" w:lineRule="auto"/>
        <w:ind w:left="0"/>
        <w:rPr>
          <w:rFonts w:ascii="Arial" w:hAnsi="Arial" w:cs="Arial"/>
          <w:color w:val="333333"/>
          <w:sz w:val="24"/>
          <w:szCs w:val="24"/>
        </w:rPr>
      </w:pPr>
      <w:r w:rsidRPr="003C092C">
        <w:rPr>
          <w:rFonts w:ascii="Arial" w:hAnsi="Arial" w:cs="Arial"/>
          <w:color w:val="333333"/>
          <w:sz w:val="24"/>
          <w:szCs w:val="24"/>
        </w:rPr>
        <w:t xml:space="preserve">Controlla come vengono usati i fondi, sotto l'attenta sorveglianza </w:t>
      </w:r>
      <w:proofErr w:type="spellStart"/>
      <w:r w:rsidRPr="003C092C">
        <w:rPr>
          <w:rFonts w:ascii="Arial" w:hAnsi="Arial" w:cs="Arial"/>
          <w:color w:val="333333"/>
          <w:sz w:val="24"/>
          <w:szCs w:val="24"/>
        </w:rPr>
        <w:t>dellaCorte</w:t>
      </w:r>
      <w:proofErr w:type="spellEnd"/>
      <w:r w:rsidRPr="003C092C">
        <w:rPr>
          <w:rFonts w:ascii="Arial" w:hAnsi="Arial" w:cs="Arial"/>
          <w:color w:val="333333"/>
          <w:sz w:val="24"/>
          <w:szCs w:val="24"/>
        </w:rPr>
        <w:t xml:space="preserve"> dei Conti.</w:t>
      </w:r>
    </w:p>
    <w:p w:rsidR="009B66D8" w:rsidRPr="003C092C" w:rsidRDefault="009B66D8" w:rsidP="009B66D8">
      <w:pPr>
        <w:numPr>
          <w:ilvl w:val="0"/>
          <w:numId w:val="11"/>
        </w:numPr>
        <w:shd w:val="clear" w:color="auto" w:fill="FFFFFF"/>
        <w:spacing w:before="100" w:beforeAutospacing="1" w:after="98" w:line="240" w:lineRule="auto"/>
        <w:ind w:left="0"/>
        <w:rPr>
          <w:rFonts w:ascii="Arial" w:hAnsi="Arial" w:cs="Arial"/>
          <w:color w:val="333333"/>
          <w:sz w:val="24"/>
          <w:szCs w:val="24"/>
        </w:rPr>
      </w:pPr>
      <w:r w:rsidRPr="003C092C">
        <w:rPr>
          <w:rFonts w:ascii="Arial" w:hAnsi="Arial" w:cs="Arial"/>
          <w:color w:val="333333"/>
          <w:sz w:val="24"/>
          <w:szCs w:val="24"/>
        </w:rPr>
        <w:t>insieme alla Corte di giustizia garantisce che il diritto dell’UE sia correttamente applicato in tutti i paesi membri.</w:t>
      </w:r>
    </w:p>
    <w:p w:rsidR="009B66D8" w:rsidRPr="003C092C" w:rsidRDefault="009B66D8" w:rsidP="009B66D8">
      <w:pPr>
        <w:numPr>
          <w:ilvl w:val="0"/>
          <w:numId w:val="12"/>
        </w:numPr>
        <w:shd w:val="clear" w:color="auto" w:fill="FFFFFF"/>
        <w:spacing w:before="100" w:beforeAutospacing="1" w:after="98" w:line="240" w:lineRule="auto"/>
        <w:ind w:left="0"/>
        <w:rPr>
          <w:rFonts w:ascii="Arial" w:hAnsi="Arial" w:cs="Arial"/>
          <w:color w:val="333333"/>
          <w:sz w:val="24"/>
          <w:szCs w:val="24"/>
        </w:rPr>
      </w:pPr>
      <w:r w:rsidRPr="003C092C">
        <w:rPr>
          <w:rFonts w:ascii="Arial" w:hAnsi="Arial" w:cs="Arial"/>
          <w:color w:val="333333"/>
          <w:sz w:val="24"/>
          <w:szCs w:val="24"/>
        </w:rPr>
        <w:t>Fa da portavoce per tutti i paesi dell’UE presso gli organismi internazionali, in particolare nei settori della politica commerciale e degli aiuti umanitari.</w:t>
      </w:r>
    </w:p>
    <w:p w:rsidR="009B66D8" w:rsidRPr="003C092C" w:rsidRDefault="009B66D8" w:rsidP="009B66D8">
      <w:pPr>
        <w:numPr>
          <w:ilvl w:val="0"/>
          <w:numId w:val="12"/>
        </w:numPr>
        <w:shd w:val="clear" w:color="auto" w:fill="FFFFFF"/>
        <w:spacing w:before="100" w:beforeAutospacing="1" w:after="98" w:line="240" w:lineRule="auto"/>
        <w:ind w:left="0"/>
        <w:rPr>
          <w:rFonts w:ascii="Arial" w:hAnsi="Arial" w:cs="Arial"/>
          <w:color w:val="333333"/>
          <w:sz w:val="24"/>
          <w:szCs w:val="24"/>
        </w:rPr>
      </w:pPr>
      <w:r w:rsidRPr="003C092C">
        <w:rPr>
          <w:rFonts w:ascii="Arial" w:hAnsi="Arial" w:cs="Arial"/>
          <w:color w:val="333333"/>
          <w:sz w:val="24"/>
          <w:szCs w:val="24"/>
        </w:rPr>
        <w:t>Negozia accordi internazionali per conto dell’UE.</w:t>
      </w:r>
    </w:p>
    <w:p w:rsidR="009B66D8" w:rsidRPr="003C092C" w:rsidRDefault="009B66D8" w:rsidP="009B66D8">
      <w:pPr>
        <w:pStyle w:val="Titolo2"/>
        <w:shd w:val="clear" w:color="auto" w:fill="FFFFFF"/>
        <w:spacing w:before="0" w:beforeAutospacing="0" w:after="0" w:afterAutospacing="0" w:line="312" w:lineRule="atLeast"/>
        <w:rPr>
          <w:rFonts w:ascii="Arial" w:hAnsi="Arial" w:cs="Arial"/>
          <w:b w:val="0"/>
          <w:bCs w:val="0"/>
          <w:color w:val="333333"/>
          <w:sz w:val="24"/>
          <w:szCs w:val="24"/>
        </w:rPr>
      </w:pPr>
    </w:p>
    <w:p w:rsidR="009B66D8" w:rsidRPr="003C092C" w:rsidRDefault="009B66D8" w:rsidP="009B66D8">
      <w:pPr>
        <w:pStyle w:val="NormaleWeb"/>
        <w:shd w:val="clear" w:color="auto" w:fill="FFFFFF"/>
        <w:spacing w:before="0" w:beforeAutospacing="0" w:after="150" w:afterAutospacing="0"/>
        <w:rPr>
          <w:rFonts w:ascii="Arial" w:hAnsi="Arial" w:cs="Arial"/>
          <w:color w:val="404040"/>
        </w:rPr>
      </w:pPr>
      <w:r w:rsidRPr="003C092C">
        <w:rPr>
          <w:rFonts w:ascii="Arial" w:hAnsi="Arial" w:cs="Arial"/>
          <w:color w:val="404040"/>
        </w:rPr>
        <w:t>La </w:t>
      </w:r>
      <w:r w:rsidRPr="003C092C">
        <w:rPr>
          <w:rStyle w:val="Enfasigrassetto"/>
          <w:rFonts w:ascii="Arial" w:hAnsi="Arial" w:cs="Arial"/>
          <w:color w:val="404040"/>
        </w:rPr>
        <w:t>guida politica</w:t>
      </w:r>
      <w:r w:rsidRPr="003C092C">
        <w:rPr>
          <w:rFonts w:ascii="Arial" w:hAnsi="Arial" w:cs="Arial"/>
          <w:color w:val="404040"/>
        </w:rPr>
        <w:t> è esercitata da un gruppo di 28 commissari (uno per ciascun paese dell'UE) sotto la direzione del suo Presidente che assegna le diverse competenze politiche.</w:t>
      </w:r>
    </w:p>
    <w:p w:rsidR="009B66D8" w:rsidRPr="003C092C" w:rsidRDefault="009B66D8" w:rsidP="009B66D8">
      <w:pPr>
        <w:pStyle w:val="NormaleWeb"/>
        <w:shd w:val="clear" w:color="auto" w:fill="FFFFFF"/>
        <w:spacing w:before="0" w:beforeAutospacing="0" w:after="150" w:afterAutospacing="0"/>
        <w:rPr>
          <w:rFonts w:ascii="Arial" w:hAnsi="Arial" w:cs="Arial"/>
          <w:color w:val="404040"/>
        </w:rPr>
      </w:pPr>
      <w:r w:rsidRPr="003C092C">
        <w:rPr>
          <w:rFonts w:ascii="Arial" w:hAnsi="Arial" w:cs="Arial"/>
          <w:color w:val="404040"/>
        </w:rPr>
        <w:t>Il collegio dei commissari è costituito dal presidente della Commissione, dai suoi sette vicepresidenti, inclusi il primo vicepresidente e l'Alto rappresentante dell'Unione per gli affari esteri e la politica di sicurezza, e dai 20 commissari incaricati dei rispettivi portafogli.</w:t>
      </w:r>
    </w:p>
    <w:p w:rsidR="009B66D8" w:rsidRPr="003C092C" w:rsidRDefault="009B66D8" w:rsidP="009B66D8">
      <w:pPr>
        <w:pStyle w:val="NormaleWeb"/>
        <w:shd w:val="clear" w:color="auto" w:fill="FFFFFF"/>
        <w:spacing w:before="0" w:beforeAutospacing="0" w:after="150" w:afterAutospacing="0"/>
        <w:rPr>
          <w:rFonts w:ascii="Arial" w:hAnsi="Arial" w:cs="Arial"/>
          <w:color w:val="404040"/>
        </w:rPr>
      </w:pPr>
      <w:r w:rsidRPr="003C092C">
        <w:rPr>
          <w:rFonts w:ascii="Arial" w:hAnsi="Arial" w:cs="Arial"/>
          <w:color w:val="404040"/>
        </w:rPr>
        <w:t>La </w:t>
      </w:r>
      <w:r w:rsidRPr="003C092C">
        <w:rPr>
          <w:rStyle w:val="Enfasigrassetto"/>
          <w:rFonts w:ascii="Arial" w:hAnsi="Arial" w:cs="Arial"/>
          <w:color w:val="404040"/>
        </w:rPr>
        <w:t>gestione quotidiana</w:t>
      </w:r>
      <w:r w:rsidRPr="003C092C">
        <w:rPr>
          <w:rFonts w:ascii="Arial" w:hAnsi="Arial" w:cs="Arial"/>
          <w:color w:val="404040"/>
        </w:rPr>
        <w:t> delle attività della Commissione è svolta dal suo personale (giuristi, economisti, ecc.), organizzato in vari servizi note come direzioni generali, ciascuna responsabile di uno </w:t>
      </w:r>
      <w:r w:rsidRPr="003C092C">
        <w:rPr>
          <w:rStyle w:val="Enfasigrassetto"/>
          <w:rFonts w:ascii="Arial" w:hAnsi="Arial" w:cs="Arial"/>
          <w:color w:val="404040"/>
        </w:rPr>
        <w:t>specifico settore politico</w:t>
      </w:r>
      <w:r w:rsidRPr="003C092C">
        <w:rPr>
          <w:rFonts w:ascii="Arial" w:hAnsi="Arial" w:cs="Arial"/>
          <w:color w:val="404040"/>
        </w:rPr>
        <w:t>.</w:t>
      </w:r>
    </w:p>
    <w:p w:rsidR="009B66D8" w:rsidRPr="003C092C" w:rsidRDefault="009B66D8" w:rsidP="009B66D8">
      <w:pPr>
        <w:pStyle w:val="NormaleWeb"/>
        <w:shd w:val="clear" w:color="auto" w:fill="FFFFFF"/>
        <w:spacing w:before="0" w:beforeAutospacing="0" w:after="150" w:afterAutospacing="0"/>
        <w:rPr>
          <w:rFonts w:ascii="Arial" w:hAnsi="Arial" w:cs="Arial"/>
          <w:color w:val="333333"/>
        </w:rPr>
      </w:pPr>
      <w:r w:rsidRPr="003C092C">
        <w:rPr>
          <w:rFonts w:ascii="Arial" w:hAnsi="Arial" w:cs="Arial"/>
          <w:color w:val="404040"/>
        </w:rPr>
        <w:t>Il presidente definisce l'indirizzo politico della Commissione, permettendo in tal modo ai commissari di decidere assieme gli obiettivi strategici e delineare il programma annuale di lavoro.</w:t>
      </w:r>
    </w:p>
    <w:p w:rsidR="009B66D8" w:rsidRPr="003C092C" w:rsidRDefault="009B66D8" w:rsidP="009B66D8">
      <w:pPr>
        <w:pStyle w:val="NormaleWeb"/>
        <w:shd w:val="clear" w:color="auto" w:fill="FFFFFF"/>
        <w:spacing w:before="0" w:beforeAutospacing="0" w:after="150" w:afterAutospacing="0"/>
        <w:rPr>
          <w:rFonts w:ascii="Arial" w:hAnsi="Arial" w:cs="Arial"/>
          <w:color w:val="404040"/>
        </w:rPr>
      </w:pPr>
      <w:r w:rsidRPr="003C092C">
        <w:rPr>
          <w:rFonts w:ascii="Arial" w:hAnsi="Arial" w:cs="Arial"/>
          <w:color w:val="404040"/>
        </w:rPr>
        <w:t>Le decisioni vengono prese sulla base di una responsabilità collettiva. Tutti i commissari hanno lo stesso peso nel processo decisionale e sono ugualmente responsabili delle decisioni adottate. Essi non hanno alcun potere decisionale individuale, salvo quando autorizzato in determinate situazioni.</w:t>
      </w:r>
    </w:p>
    <w:p w:rsidR="009B66D8" w:rsidRPr="003C092C" w:rsidRDefault="009B66D8" w:rsidP="009B66D8">
      <w:pPr>
        <w:pStyle w:val="NormaleWeb"/>
        <w:shd w:val="clear" w:color="auto" w:fill="FFFFFF"/>
        <w:spacing w:before="0" w:beforeAutospacing="0" w:after="150" w:afterAutospacing="0"/>
        <w:rPr>
          <w:rFonts w:ascii="Arial" w:hAnsi="Arial" w:cs="Arial"/>
          <w:color w:val="404040"/>
        </w:rPr>
      </w:pPr>
      <w:r w:rsidRPr="003C092C">
        <w:rPr>
          <w:rFonts w:ascii="Arial" w:hAnsi="Arial" w:cs="Arial"/>
          <w:color w:val="404040"/>
        </w:rPr>
        <w:t>I vicepresidenti agiscono a nome del presidente e coordinano i lavori nel loro settore di competenza in collaborazione con diversi commissari. Per contribuire a far sì che il collegio lavori in stretta collaborazione e in modo flessibile vengono definiti dei progetti prioritari.</w:t>
      </w:r>
    </w:p>
    <w:p w:rsidR="009B66D8" w:rsidRPr="003C092C" w:rsidRDefault="009B66D8" w:rsidP="009B66D8">
      <w:pPr>
        <w:pStyle w:val="NormaleWeb"/>
        <w:shd w:val="clear" w:color="auto" w:fill="FFFFFF"/>
        <w:spacing w:before="0" w:beforeAutospacing="0" w:after="150" w:afterAutospacing="0"/>
        <w:rPr>
          <w:rFonts w:ascii="Arial" w:hAnsi="Arial" w:cs="Arial"/>
          <w:b/>
          <w:color w:val="404040"/>
        </w:rPr>
      </w:pPr>
      <w:r w:rsidRPr="003C092C">
        <w:rPr>
          <w:rFonts w:ascii="Arial" w:hAnsi="Arial" w:cs="Arial"/>
          <w:b/>
          <w:color w:val="404040"/>
        </w:rPr>
        <w:t xml:space="preserve">CORTE </w:t>
      </w:r>
      <w:proofErr w:type="spellStart"/>
      <w:r w:rsidRPr="003C092C">
        <w:rPr>
          <w:rFonts w:ascii="Arial" w:hAnsi="Arial" w:cs="Arial"/>
          <w:b/>
          <w:color w:val="404040"/>
        </w:rPr>
        <w:t>DI</w:t>
      </w:r>
      <w:proofErr w:type="spellEnd"/>
      <w:r w:rsidRPr="003C092C">
        <w:rPr>
          <w:rFonts w:ascii="Arial" w:hAnsi="Arial" w:cs="Arial"/>
          <w:b/>
          <w:color w:val="404040"/>
        </w:rPr>
        <w:t xml:space="preserve"> GIUSTIZIA</w:t>
      </w:r>
    </w:p>
    <w:p w:rsidR="003C092C" w:rsidRPr="003C092C" w:rsidRDefault="009B66D8" w:rsidP="009B66D8">
      <w:pPr>
        <w:pStyle w:val="NormaleWeb"/>
        <w:shd w:val="clear" w:color="auto" w:fill="FFFFFF"/>
        <w:spacing w:before="0" w:beforeAutospacing="0" w:after="150" w:afterAutospacing="0"/>
        <w:rPr>
          <w:rFonts w:ascii="Arial" w:hAnsi="Arial" w:cs="Arial"/>
        </w:rPr>
      </w:pPr>
      <w:r w:rsidRPr="003C092C">
        <w:rPr>
          <w:rFonts w:ascii="Arial" w:hAnsi="Arial" w:cs="Arial"/>
        </w:rPr>
        <w:lastRenderedPageBreak/>
        <w:t>La Corte di giustizia ha il compito di garantire l'osservanza del diritto nell'interpretazione e nell'applicazione dei trattati fondativi dell'Unione europea. La tutela giurisdizionale dell'Unione europea è affidata alla Corte, organo unitario, suddiviso in una pluralità di formazioni:</w:t>
      </w:r>
    </w:p>
    <w:p w:rsidR="003C092C" w:rsidRPr="003C092C" w:rsidRDefault="009B66D8"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 La Corte di giustizia (creata nel 1952) </w:t>
      </w:r>
    </w:p>
    <w:p w:rsidR="003C092C" w:rsidRPr="003C092C" w:rsidRDefault="009B66D8"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Il Tribunale (creato nel 1988) </w:t>
      </w:r>
    </w:p>
    <w:p w:rsidR="003C092C" w:rsidRPr="003C092C" w:rsidRDefault="009B66D8"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Il Tribunale della funzione pubblica (creato nel 2004) </w:t>
      </w:r>
    </w:p>
    <w:p w:rsidR="009B66D8" w:rsidRPr="003C092C" w:rsidRDefault="009B66D8" w:rsidP="009B66D8">
      <w:pPr>
        <w:pStyle w:val="NormaleWeb"/>
        <w:shd w:val="clear" w:color="auto" w:fill="FFFFFF"/>
        <w:spacing w:before="0" w:beforeAutospacing="0" w:after="150" w:afterAutospacing="0"/>
        <w:rPr>
          <w:rFonts w:ascii="Arial" w:hAnsi="Arial" w:cs="Arial"/>
        </w:rPr>
      </w:pPr>
      <w:r w:rsidRPr="003C092C">
        <w:rPr>
          <w:rFonts w:ascii="Arial" w:hAnsi="Arial" w:cs="Arial"/>
        </w:rPr>
        <w:t>La Corte di giustizia è costituita da un giudice per ciascuno Stato membro. La Corte si avvale di otto avvocati generali che hanno il compito di presentare pareri motivati sulle cause sottoposte al giudizio della Corte. →  devono svolgere tale compito pubblicamente e con assoluta imparzialità.</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I giudici e gli avvocati generali rimangono in carica per un periodo rinnovabile di sei anni e sono designati di comune accordo dai governi degli Stati membri, previa consultazione di un comitato (composto da 7 personalità scelte tra ex membri della Corte di giustizia e dei Tribunali). La Corte nomina ogni 3 anni il Presidente, che dirige i lavori e le udienze. Il suo mandato è rinnovabile. Di regola la Corte, si riunisce in sezioni, composte tra 3 e di 5 giudici. Si può riunire anche in Grande sezione , composta da 13 giudici, qualora lo richiesta uno Stato membro o una istituzione europea che è parte in causa. La ripartizione delle cause tra le sezioni è decisa dal Presidente sulla base di criteri di massima stabiliti dalla Corte. E’ previsto per la corte un Cancellerie, con importanti funzioni giudiziarie e amministrative.</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 Per coadiuvare la Corte di giustizia nell'esame del gran numero di cause proposte e per offrire ai cittadini una maggiore tutela giuridica, è stato istituito il Tribunale, che si pronuncia su cause presentate da privati cittadini, imprese e alcune organizzazioni, e sui casi in materia di concorrenza. Il Tribunale della funzione pubblica si pronuncia in merito alle controversie tra l'UE e i suoi dipendenti.</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La Corte è adita attraverso istanza trasmessa al cancelliere. Il procedimento si divide poi in due fasi: fase scritta e fase orale.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1. Fase scritta a. Nella prima fase, le parti coinvolte presentano documenti scritti al giudice incaricato. b. Il giudice redige quindi una relazione in cui riassume il contenuto di tali documenti e gli aspetti giuridici della controversia.</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 2. Fase orale − La seconda fase è costituita dalla pubblica udienza. − A seconda della complessità della causa, l'udienza può avere luogo dinanzi a una sezione di tre, cinque o 13 giudici o in presenza della Corte in seduta plenaria. − Durante l'udienza, gli avvocati delle parti sono sentiti dai giudici e dall'avvocato generale che possono rivolgere loro le domande che ritengono opportune. L'avvocato generale espone quindi le sue conclusioni. </w:t>
      </w:r>
      <w:proofErr w:type="spellStart"/>
      <w:r w:rsidRPr="003C092C">
        <w:rPr>
          <w:rFonts w:ascii="Arial" w:hAnsi="Arial" w:cs="Arial"/>
        </w:rPr>
        <w:t>Dopodichè</w:t>
      </w:r>
      <w:proofErr w:type="spellEnd"/>
      <w:r w:rsidRPr="003C092C">
        <w:rPr>
          <w:rFonts w:ascii="Arial" w:hAnsi="Arial" w:cs="Arial"/>
        </w:rPr>
        <w:t>, i giudici deliberano ed emettono la sentenza. Gli avvocati generali sono tenuti a esprimere il loro parere su una causa solo se la Corte ritiene che detta causa sollevi un nuovo elemento di diritto. La Corte non si attiene necessariamente al parere dell'avvocato generale. Le sentenze della Corte sono decise a maggioranza e pronunciate in pubblica udienza. La procedura del Tribunale è simile, ma non prevede il parere dell'avvocato generale.</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Nell'ambito della sua missione, la Corte è stata dotata di ampie competenze giurisdizionali, che esercita nell'ambito delle varie categorie di ricorsi. Le categorie più comuni di cause sulle quali la Corte deve pronunciarsi sono cinque:</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 1. il rinvio pregiudiziale, ovvero quando i tribunali nazionali chiedono alla Corte di giustizia di interpretare un determinato punto del diritto dell'UE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2. il ricorso per inadempimento, presentato qualora uno Stato membro non applichi il diritto dell'UE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3. il ricorso di annullamento, presentato qualora si ritenga che il diritto dell'UE violi i trattati o i diritti fondamentali dell'UE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4. il ricorso per carenza, presentato qualora un'istituzione dell'UE si astenga dall'obbligo di prendere decisioni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5. ricorsi diretti presentati da privati cittadini, imprese od organizzazioni contro le decisioni o le azioni dell'UE.</w:t>
      </w:r>
    </w:p>
    <w:p w:rsidR="003C092C" w:rsidRPr="003C092C" w:rsidRDefault="003C092C" w:rsidP="009B66D8">
      <w:pPr>
        <w:pStyle w:val="NormaleWeb"/>
        <w:shd w:val="clear" w:color="auto" w:fill="FFFFFF"/>
        <w:spacing w:before="0" w:beforeAutospacing="0" w:after="150" w:afterAutospacing="0"/>
        <w:rPr>
          <w:rFonts w:ascii="Arial" w:hAnsi="Arial" w:cs="Arial"/>
          <w:u w:val="single"/>
        </w:rPr>
      </w:pPr>
      <w:r w:rsidRPr="003C092C">
        <w:rPr>
          <w:rFonts w:ascii="Arial" w:hAnsi="Arial" w:cs="Arial"/>
        </w:rPr>
        <w:t xml:space="preserve"> Alla Corte è assegnata la funzione di assicurare un’unità di giurisprudenza e di interpretazione. </w:t>
      </w:r>
      <w:r w:rsidRPr="003C092C">
        <w:rPr>
          <w:rFonts w:ascii="Arial" w:hAnsi="Arial" w:cs="Arial"/>
          <w:u w:val="single"/>
        </w:rPr>
        <w:t>La Corte è giudice di appello nelle materie devolute alla competenza del Tribunale.</w:t>
      </w:r>
    </w:p>
    <w:p w:rsidR="003C092C" w:rsidRPr="003C092C" w:rsidRDefault="003C092C" w:rsidP="009B66D8">
      <w:pPr>
        <w:pStyle w:val="NormaleWeb"/>
        <w:shd w:val="clear" w:color="auto" w:fill="FFFFFF"/>
        <w:spacing w:before="0" w:beforeAutospacing="0" w:after="150" w:afterAutospacing="0"/>
        <w:rPr>
          <w:rFonts w:ascii="Arial" w:hAnsi="Arial" w:cs="Arial"/>
          <w:b/>
        </w:rPr>
      </w:pPr>
      <w:r w:rsidRPr="003C092C">
        <w:rPr>
          <w:rFonts w:ascii="Arial" w:hAnsi="Arial" w:cs="Arial"/>
          <w:b/>
        </w:rPr>
        <w:t xml:space="preserve">IL TRIBUNALE.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Ai sensi del Trattato di Lisbona, il Tribunale è competente a conoscere in primo grado, alcune categorie di ricorsi ad eccezione di quelle attribuite ad un tribunale specializzato e di quelle che lo statuto riserva alla Corte di Giustizia.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Insieme alla corte, il Tribunale è chiamato ad assicurare il rispetto del diritto nell’interpretazione e nella applicazione dei trattati.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Il trattato non indica il numero esatto dei giudici e degli avvocati generali. Lo indica lo statuto della Corte di giustizia che stabilisce che i giudici sono 27.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Contro le decisioni del Tribunale è possibile l’impugnazione dinnanzi alla Corte di Giustizia, ma per soli motivi di diritto ed entro i limiti previsti dallo Statuto.</w:t>
      </w:r>
    </w:p>
    <w:p w:rsidR="003C092C" w:rsidRPr="003C092C" w:rsidRDefault="003C092C" w:rsidP="009B66D8">
      <w:pPr>
        <w:pStyle w:val="NormaleWeb"/>
        <w:shd w:val="clear" w:color="auto" w:fill="FFFFFF"/>
        <w:spacing w:before="0" w:beforeAutospacing="0" w:after="150" w:afterAutospacing="0"/>
        <w:rPr>
          <w:rFonts w:ascii="Arial" w:hAnsi="Arial" w:cs="Arial"/>
          <w:b/>
        </w:rPr>
      </w:pPr>
      <w:r w:rsidRPr="003C092C">
        <w:rPr>
          <w:rFonts w:ascii="Arial" w:hAnsi="Arial" w:cs="Arial"/>
          <w:b/>
        </w:rPr>
        <w:t>LA BCE (BANCA CENTRALE EUROPEA.</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 La Banca centrale europea (BCE, con sede a Francoforte, in Germania) gestisce l'euro, la moneta unica dell'UE, e garantisce la stabilità dei prezzi nell'UE.</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 La BCE contribuisce anche a definire e attuare la politica economica e monetaria dell'UE. Obiettivo La Banca centrale europea (BCE) è una delle istituzioni dell'UE. I suoi obiettivi principali sono:</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 1. mantenere la stabilità dei prezzi (tenendo sotto controllo l'inflazione) specialmente nei paesi dell'area dell'euro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2. mantenere stabile il sistema finanziario, assicurandosi che i mercati finanziari e le istituzioni siano controllati in modo appropriato.</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La Banca lavora in collaborazione con le banche centrali dei 28 paesi dell'UE. Insieme costituiscono il Sistema europeo delle banche centrali (SEBC).</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Ne deriva così una cooperazione tra le banche centrali dell'area dell'euro, detta anche eurozona, ovvero i paesi dell'UE che hanno adottato la moneta unica. − La cooperazione all'interno di questo gruppo di banche è chiamata </w:t>
      </w:r>
      <w:proofErr w:type="spellStart"/>
      <w:r w:rsidRPr="003C092C">
        <w:rPr>
          <w:rFonts w:ascii="Arial" w:hAnsi="Arial" w:cs="Arial"/>
        </w:rPr>
        <w:t>Eurosistema</w:t>
      </w:r>
      <w:proofErr w:type="spellEnd"/>
      <w:r w:rsidRPr="003C092C">
        <w:rPr>
          <w:rFonts w:ascii="Arial" w:hAnsi="Arial" w:cs="Arial"/>
        </w:rPr>
        <w:t>.</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 COMPITI Rientra tra i compiti della BCE: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1. fissare i tassi d'interesse di riferimento per l'area dell'euro e controllare la massa monetaria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2. gestire le riserve in valuta estera dell'area dell'euro e comprare o vendere valute quando si presenta la necessità di mantenere in equilibrio i tassi di cambio</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 3. accertarsi che le istituzioni e i mercati finanziari siano adeguatamente controllati dalle autorità nazionali, e che i sistemi di pagamento funzionino correttamente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4. autorizzare le banche centrali dei paesi dell'area dell'euro a emettere banconote in euro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5. monitorare le tendenze dei prezzi valutando il rischio che ne deriva per la stabilità dei prezzi nell'area dell'euro.</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Gli organi decisionali della BCE sono: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1. Il comitato esecutivo, che coordina la gestione quotidiana. Ne fanno parte sei membri (un presidente, un vicepresidente e altri quattro membri), nominati per un mandato di otto anni dai leader dell'area dell'euro.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2. Il consiglio direttivo, che stabilisce la politica monetaria dell'eurozona e fissa i tassi di interesse applicabili ai prestiti erogati dalla Banca centrale alle banche commerciali. È composto dai membri del comitato esecutivo e dai governatori delle  banche centrali nazionali dell'area dell'euro.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3. Il consiglio generale, che concorre all'adempimento delle funzioni consultive e di coordinamento della BCE e ai preparativi necessari per l'allargamento futuro dell'area dell'euro. Comprende il presidente e il vicepresidente della BCE e i governatori delle banche centrali nazionali dei 28 paesi dell'UE. La BCE è totalmente indipendente. La BCE non può, al pari delle banche centrali nazionali dell'</w:t>
      </w:r>
      <w:proofErr w:type="spellStart"/>
      <w:r w:rsidRPr="003C092C">
        <w:rPr>
          <w:rFonts w:ascii="Arial" w:hAnsi="Arial" w:cs="Arial"/>
        </w:rPr>
        <w:t>Eurosistema</w:t>
      </w:r>
      <w:proofErr w:type="spellEnd"/>
      <w:r w:rsidRPr="003C092C">
        <w:rPr>
          <w:rFonts w:ascii="Arial" w:hAnsi="Arial" w:cs="Arial"/>
        </w:rPr>
        <w:t xml:space="preserve"> e dei membri dei rispettivi organi decisionali, sollecitare o accettare istruzioni da organismi esterni. </w:t>
      </w:r>
    </w:p>
    <w:p w:rsidR="003C092C" w:rsidRPr="003C092C" w:rsidRDefault="003C092C" w:rsidP="009B66D8">
      <w:pPr>
        <w:pStyle w:val="NormaleWeb"/>
        <w:shd w:val="clear" w:color="auto" w:fill="FFFFFF"/>
        <w:spacing w:before="0" w:beforeAutospacing="0" w:after="150" w:afterAutospacing="0"/>
        <w:rPr>
          <w:rFonts w:ascii="Arial" w:hAnsi="Arial" w:cs="Arial"/>
          <w:b/>
        </w:rPr>
      </w:pPr>
      <w:r w:rsidRPr="003C092C">
        <w:rPr>
          <w:rFonts w:ascii="Arial" w:hAnsi="Arial" w:cs="Arial"/>
          <w:b/>
        </w:rPr>
        <w:t xml:space="preserve">LA CORTE DEI CONTI.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La Corte dei conti europea verifica le finanze dell'UE. Il suo ruolo è quello di migliorare la gestione finanziaria dell'UE e di riferire in merito all'uso dei fondi pubblici. È stata istituita nel 1975 e ha sede a Lussemburgo. </w:t>
      </w:r>
    </w:p>
    <w:p w:rsidR="003C092C" w:rsidRPr="003C092C" w:rsidRDefault="003C092C" w:rsidP="009B66D8">
      <w:pPr>
        <w:pStyle w:val="NormaleWeb"/>
        <w:shd w:val="clear" w:color="auto" w:fill="FFFFFF"/>
        <w:spacing w:before="0" w:beforeAutospacing="0" w:after="150" w:afterAutospacing="0"/>
        <w:rPr>
          <w:rFonts w:ascii="Arial" w:hAnsi="Arial" w:cs="Arial"/>
          <w:color w:val="404040"/>
          <w:u w:val="single"/>
        </w:rPr>
      </w:pPr>
      <w:r w:rsidRPr="003C092C">
        <w:rPr>
          <w:rFonts w:ascii="Arial" w:hAnsi="Arial" w:cs="Arial"/>
        </w:rPr>
        <w:t>OBIETTIVO:  Per assicurarsi che si faccia il miglior uso possibile del denaro dei contribuenti dell’UE, la Corte dei conti ha il diritto di sottoporre a controllo (</w:t>
      </w:r>
      <w:proofErr w:type="spellStart"/>
      <w:r w:rsidRPr="003C092C">
        <w:rPr>
          <w:rFonts w:ascii="Arial" w:hAnsi="Arial" w:cs="Arial"/>
        </w:rPr>
        <w:t>audit</w:t>
      </w:r>
      <w:proofErr w:type="spellEnd"/>
      <w:r w:rsidRPr="003C092C">
        <w:rPr>
          <w:rFonts w:ascii="Arial" w:hAnsi="Arial" w:cs="Arial"/>
        </w:rPr>
        <w:t>) qualsiasi persona od organizzazione che gestisca i fondi comunitari.</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La Corte effettua spesso controlli sul posto. I risultati sono resi noti in relazioni scritte sottoposte all'attenzione della Commissione e dei governi degli Stati membri.</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 La Corte dei conti non ha poteri giuridici propri. Se i controllori scoprono frodi o irregolarità, ne informano l’OLAF, l’Ufficio europeo per la lotta antifrode. Uno dei compiti fondamentali della Corte è quello di presentare al Parlamento europeo e al Consiglio una relazione annuale sull'esercizio precedente (il "discarico annuale").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Il Parlamento esamina dettagliatamente la relazione della Corte prima di decidere se approvare o meno la gestione del bilancio fatta dalla Commissione. La Corte esprime anche dei pareri sulla legislazione finanziaria dell'UE e sulle norme in materia di lotta antifrode.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COMPOSIZIONE: la Corte dei conti deve agire in piena indipendenza rispetto alle altre istituzioni, pur mantenendo con queste contatti costanti. La Corte è composta di 1 membro di ciascun paese dell'UE, nominato dal Consiglio per un mandato (rinnovabile) di sei anni.</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I membri designano tra di loro il presidente della Corte il cui mandato (anch'esso rinnovabile) è di tre anni. La Corte dei conti si avvale di circa 800 dipendenti, fra cui traduttori, amministratori e controllori. Questi ultimi sono suddivisi in "équipe" e preparano i progetti sui quali la Corte delibera.</w:t>
      </w:r>
    </w:p>
    <w:p w:rsidR="003C092C" w:rsidRPr="003C092C" w:rsidRDefault="003C092C" w:rsidP="009B66D8">
      <w:pPr>
        <w:pStyle w:val="NormaleWeb"/>
        <w:shd w:val="clear" w:color="auto" w:fill="FFFFFF"/>
        <w:spacing w:before="0" w:beforeAutospacing="0" w:after="150" w:afterAutospacing="0"/>
        <w:rPr>
          <w:rFonts w:ascii="Arial" w:hAnsi="Arial" w:cs="Arial"/>
        </w:rPr>
      </w:pPr>
    </w:p>
    <w:p w:rsidR="003C092C" w:rsidRPr="003C092C" w:rsidRDefault="003C092C" w:rsidP="009B66D8">
      <w:pPr>
        <w:pStyle w:val="NormaleWeb"/>
        <w:shd w:val="clear" w:color="auto" w:fill="FFFFFF"/>
        <w:spacing w:before="0" w:beforeAutospacing="0" w:after="150" w:afterAutospacing="0"/>
        <w:rPr>
          <w:rFonts w:ascii="Arial" w:hAnsi="Arial" w:cs="Arial"/>
        </w:rPr>
      </w:pP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APPROVAZIONE DEL BILANCIO</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La Commissione, il Parlamento e il Consiglio dei ministri hanno ruoli e poteri diversi nell’adozione del bilancio.</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 Per prima cosa queste tre istituzioni concludono un accordo vincolante per assicurare la disciplina di bilancio e la programmazione a lungo termine e per rafforzare la cooperazione nell’ambito dei bilanci annuali. Questo «accordo interistituzionale» comprende un «quadro finanziario pluriennale» che fissa i limiti superiori annui (noti come «massimali») per capitolo. I bilanci annuali devono rispettare questi massimali.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Vi sono due tipi di spese di bilancio: obbligatorie e non obbligatorie.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Le spese obbligatorie sono tutte quelle derivanti da accordi internazionali e dai trattati dell’UE. Tutti gli altri tipi di spesa sono classificati come non obbligatori.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Al Consiglio dei ministri spetta la decisione definitiva sulle spese obbligatorie e al Parlamento quella sulle spese non obbligatorie. Tutte le istituzioni e gli organi dell’UE preparano i loro preventivi di spesa per il progetto preliminare di bilancio in base alle proprie procedure interne.</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La Commissione riunisce i preventivi e stabilisce il «progetto preliminare di bilancio», che tiene conto degli orientamenti o delle priorità dell’esercizio finanziario a venire. La Commissione sottopone il progetto preliminare di bilancio al Consiglio dell’Unione in aprile o all’inizio di maggio, prima della riunione in luglio del Consiglio «Bilancio».</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 Il Consiglio dei ministri e il Parlamento devono lavorare sulla base di questa proposta della Commissione. Prima lettura del Consiglio Dopo una riunione di concertazione con il Parlamento, il Consiglio dei ministri, dopo aver apportato eventuali modifiche al progetto preliminare adotta il progetto di bilancio e in settembre lo trasmette al Parlamento.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Prima lettura del Parlamento Nella sua prima lettura, che si tiene in ottobre, il Parlamento può decidere di apportare emendamenti al progetto di bilancio. Le questioni controverse sono prima discusse in riunioni a tre («</w:t>
      </w:r>
      <w:proofErr w:type="spellStart"/>
      <w:r w:rsidRPr="003C092C">
        <w:rPr>
          <w:rFonts w:ascii="Arial" w:hAnsi="Arial" w:cs="Arial"/>
        </w:rPr>
        <w:t>trialogo</w:t>
      </w:r>
      <w:proofErr w:type="spellEnd"/>
      <w:r w:rsidRPr="003C092C">
        <w:rPr>
          <w:rFonts w:ascii="Arial" w:hAnsi="Arial" w:cs="Arial"/>
        </w:rPr>
        <w:t xml:space="preserve">») con la Presidenza del Consiglio e con la Commissione.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La prima lettura e gli emendamenti del Parlamento sono quindi ritrasmessi al Consiglio.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Seconda lettura del Consiglio Prima di procedere ad una seconda lettura in novembre, il Consiglio tiene un’altra riunione di concertazione con il Parlamento nell’intento di raggiungere un accordo sull’insieme del bilancio. Il Consiglio adotta quindi la seconda lettura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Il Parlamento approva o respinge il bilancio (seconda lettura)</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Il Parlamento può modificare l’ultimo testo del Consiglio prima di votare la versione definitiva del bilancio in dicembre. Se il bilancio è approvato, il presidente del Parlamento lo firma dandogli così forza di legge. Il Parlamento può anche respingere il bilancio.</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b/>
        </w:rPr>
        <w:t>GLI ORGANI CONSULTIVI, LA BEI E LE AGENZIE.</w:t>
      </w:r>
      <w:r w:rsidRPr="003C092C">
        <w:rPr>
          <w:rFonts w:ascii="Arial" w:hAnsi="Arial" w:cs="Arial"/>
        </w:rPr>
        <w:t xml:space="preserve">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COMITATO ECONOMICO E SOCIALE EUROPEO. CESE. Il CESE è un organo consultivo dell'Unione europea. Istituito nel 1957, esso fornisce consulenza qualificata alle maggiori istituzioni dell'UE (Commissione, Consiglio e Parlamento europeo) attraverso l'elaborazione di pareri sulle proposte di leggi europee, e si esprime inoltre con pareri formulati di propria iniziativa su altre problematiche che a suo giudizio meritano una riflessione. All'interno del Comitato sono divisi in tre gruppi:</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 1) "Datori di lavoro",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2) "Lavoratori"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3) "Attività diverse" (agricoltori, consumatori, ambientalisti, associazioni delle famiglie, ONG ecc.). In questo modo costituiscono un vero e proprio ponte tra l'UE e le organizzazioni della società civile degli Stati membri. Il numero dei componenti del comitato non può essere superiore a 350, e la ripartizione tra gli Stati membri sono stabiliti dal Consiglio che adotta una decisione all’unanimità su proposta della commissione. Attualmente il CESE è formato da 344 membri. Nominati ad unanimità dal Consiglio su proposta della commissione. La consultazione del comitato può essere obbligatoria o facoltativa, a seconda se sia prevista o meno dai trattati </w:t>
      </w:r>
      <w:r w:rsidRPr="003C092C">
        <w:rPr>
          <w:rFonts w:ascii="Arial" w:hAnsi="Arial" w:cs="Arial"/>
        </w:rPr>
        <w:sym w:font="Symbol" w:char="F0E8"/>
      </w:r>
      <w:r w:rsidRPr="003C092C">
        <w:rPr>
          <w:rFonts w:ascii="Arial" w:hAnsi="Arial" w:cs="Arial"/>
        </w:rPr>
        <w:t xml:space="preserve"> ma i pareri non sono mai vincolanti.</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COMITATO DELLE REGIONI. l Comitato delle regioni è un organo consultivo che dà voce agli enti regionali e locali dell'Unione europea. Il ruolo del Comitato delle regioni (</w:t>
      </w:r>
      <w:proofErr w:type="spellStart"/>
      <w:r w:rsidRPr="003C092C">
        <w:rPr>
          <w:rFonts w:ascii="Arial" w:hAnsi="Arial" w:cs="Arial"/>
        </w:rPr>
        <w:t>CdR</w:t>
      </w:r>
      <w:proofErr w:type="spellEnd"/>
      <w:r w:rsidRPr="003C092C">
        <w:rPr>
          <w:rFonts w:ascii="Arial" w:hAnsi="Arial" w:cs="Arial"/>
        </w:rPr>
        <w:t>) è quello di fare in modo che la legislazione dell'UE tenga conto della prospettiva locale e regionale. A tal fine il Comitato pubblica relazioni (pareri) sulle proposte della Commissione. 24 La Commissione, il Consiglio e il Parlamento devono consultare il Comitato delle Regioni prima che l'UE prenda decisioni su temi di competenza delle amministrazioni locali e regionali (ad esempio, in materia di occupazione, ambiente, istruzione o salute pubblica). Il Comitato delle regioni è costituito attualmente da 353 membri (e altrettanti supplenti) provenienti da tutti i 28 paesi dell'UE. I membri e i supplenti sono nominati dal Consiglio su proposta dei paesi dell'UE e il loro mandato dura cinque anni. Ogni paese sceglie i propri membri in maniera autonoma, ma le delegazioni riflettono l'equilibrio politico, geografico e regionale/locale del paese di origine.</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GARANTE EUROPEO DELLA PROTEZIONE DEI DATI (GEPD) Tale figura è stata istituita nel 2001. Suo compito è garantire il rispetto del diritto alla vita privata nel trattamento dei dati personali da parte delle istituzioni e degli organi dell’UE.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BANCA EUROPEA PER GLI INVESTIMENTI (BEI). La BEI, è un organismo dell’Unione e una banca. - concede prestiti al settore pubblico e privato per finanziare progetti d’interesse comune agli Stati membri - dispone di un proprio capitale sottoscritto </w:t>
      </w:r>
      <w:proofErr w:type="spellStart"/>
      <w:r w:rsidRPr="003C092C">
        <w:rPr>
          <w:rFonts w:ascii="Arial" w:hAnsi="Arial" w:cs="Arial"/>
        </w:rPr>
        <w:t>ab</w:t>
      </w:r>
      <w:proofErr w:type="spellEnd"/>
      <w:r w:rsidRPr="003C092C">
        <w:rPr>
          <w:rFonts w:ascii="Arial" w:hAnsi="Arial" w:cs="Arial"/>
        </w:rPr>
        <w:t xml:space="preserve"> inizio dagli Stati membri e periodicamente aumentato - la BEI non persegue fini di lucro Membri tutti gli Stati EURO. I Prestiti e finanziamenti devono interessare i territori europei degli Stati membri. </w:t>
      </w:r>
      <w:r w:rsidRPr="003C092C">
        <w:rPr>
          <w:rFonts w:ascii="Arial" w:hAnsi="Arial" w:cs="Arial"/>
        </w:rPr>
        <w:sym w:font="Symbol" w:char="F0DE"/>
      </w:r>
      <w:r w:rsidRPr="003C092C">
        <w:rPr>
          <w:rFonts w:ascii="Arial" w:hAnsi="Arial" w:cs="Arial"/>
        </w:rPr>
        <w:t xml:space="preserve"> tuttavia, con deroga deliberata ad unanimità dal Consiglio dei governatori, la Banca può concedere crediti per progetti ad attuarsi anche al di fuori dell’UE. La BEI è amministrata e gestita da: 1. un Consiglio dei governatori (ministri designati da Stati) 2. Consiglio di amministrazione 3. Comitato direttivo 4. Comitato di verifica La BEI è azionista di maggioranza del FONDO EUROPEO PER GLI INVESTIMENTI (FEI). </w:t>
      </w:r>
      <w:r w:rsidRPr="003C092C">
        <w:rPr>
          <w:rFonts w:ascii="Arial" w:hAnsi="Arial" w:cs="Arial"/>
        </w:rPr>
        <w:sym w:font="Symbol" w:char="F0B7"/>
      </w:r>
      <w:r w:rsidRPr="003C092C">
        <w:rPr>
          <w:rFonts w:ascii="Arial" w:hAnsi="Arial" w:cs="Arial"/>
        </w:rPr>
        <w:t xml:space="preserve"> Il Fondo europeo per gli investimenti (FEI) è stato istituito nel 1994 per sostenere le piccole e medie imprese.</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AGENZIE EUROPEE.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Le Agenzie Europee sono organismi di varia denominazione, istituite con atti di diritto derivato.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 Il loro compito fondamentale è quello di fornire informazioni di natura tecnica agli Stati membri e alle parti private interessate. È possibile raggruppare le agenzie e gli organismi decentrati dell'UE in 3 categorie. </w:t>
      </w:r>
    </w:p>
    <w:p w:rsidR="003C092C" w:rsidRPr="003C092C" w:rsidRDefault="003C092C" w:rsidP="003C092C">
      <w:pPr>
        <w:pStyle w:val="NormaleWeb"/>
        <w:shd w:val="clear" w:color="auto" w:fill="FFFFFF"/>
        <w:spacing w:before="0" w:beforeAutospacing="0" w:after="150" w:afterAutospacing="0"/>
        <w:rPr>
          <w:rFonts w:ascii="Arial" w:hAnsi="Arial" w:cs="Arial"/>
        </w:rPr>
      </w:pPr>
      <w:r w:rsidRPr="003C092C">
        <w:rPr>
          <w:rFonts w:ascii="Arial" w:hAnsi="Arial" w:cs="Arial"/>
        </w:rPr>
        <w:t>1)Agenzie e organismi decentrati Più di 30 agenzie sono attualmente presenti nei vari paesi dell'UE. Queste svolgono un ruolo importante nell'attuazione delle politiche dell'UE, in particolare attraverso mansioni tecniche, scientifiche, operative e/o di regolamentazione</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2) Agenzie e organismi di EURATOM Si tratta di organismi costituiti per realizzare gli obiettivi del trattato che istituisce la Comunità europea dell'energia atomica (trattato EURATOM). Gli obiettivi del trattato sono: - coordinare i programmi di ricerca degli Stati membri per l’uso pacifico dell’energia nucleare, - mettere a disposizione conoscenze, infrastrutture e finanziamenti per lo sviluppo dell’energia nucleare - e assicurare un approvvigionamento sufficiente e sicuro di energia atomica.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(3) Agenzie esecutive Sono organizzazioni che svolgono determinati compiti relativi alla gestione di uno o più programmi comunitari. Queste agenzie sono operative per un determinato periodo di tempo e devono essere ubicate in una delle sedi della Commissione europea (Bruxelles o Lussemburgo). L'Istituto europeo di innovazione e tecnologia (EIT) è un organo indipendente e decentrato dell'UE che riunisce le migliori risorse in campo scientifico, imprenditoriale ed educativo per promuovere la capacità di innovazione dell'UE.</w:t>
      </w:r>
    </w:p>
    <w:p w:rsidR="003C092C" w:rsidRPr="003C092C" w:rsidRDefault="003C092C" w:rsidP="009B66D8">
      <w:pPr>
        <w:pStyle w:val="NormaleWeb"/>
        <w:shd w:val="clear" w:color="auto" w:fill="FFFFFF"/>
        <w:spacing w:before="0" w:beforeAutospacing="0" w:after="150" w:afterAutospacing="0"/>
        <w:rPr>
          <w:rFonts w:ascii="Arial" w:hAnsi="Arial" w:cs="Arial"/>
          <w:color w:val="404040"/>
          <w:u w:val="single"/>
        </w:rPr>
      </w:pPr>
      <w:r w:rsidRPr="003C092C">
        <w:rPr>
          <w:rFonts w:ascii="Arial" w:hAnsi="Arial" w:cs="Arial"/>
          <w:color w:val="404040"/>
          <w:u w:val="single"/>
        </w:rPr>
        <w:t>PRINCIPI GENERALI</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IL PRINCIPIO </w:t>
      </w:r>
      <w:proofErr w:type="spellStart"/>
      <w:r w:rsidRPr="003C092C">
        <w:rPr>
          <w:rFonts w:ascii="Arial" w:hAnsi="Arial" w:cs="Arial"/>
        </w:rPr>
        <w:t>DI</w:t>
      </w:r>
      <w:proofErr w:type="spellEnd"/>
      <w:r w:rsidRPr="003C092C">
        <w:rPr>
          <w:rFonts w:ascii="Arial" w:hAnsi="Arial" w:cs="Arial"/>
        </w:rPr>
        <w:t xml:space="preserve"> SUSSIDIARIETA’ Tale principio permette di stabilire quando l’UE può legiferare e contribuisce a che le decisioni siano prese al livello più vicino possibile ai cittadini. Il principio di sussidiarietà è sancito dall’articolo 5 del trattato UE. 26 Esso figura accanto a due altri principi, anch’essi ritenuti fondamentali per il processo decisionale europeo: il principio di attribuzione e di proporzionalità.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IL PRINCIPIO </w:t>
      </w:r>
      <w:proofErr w:type="spellStart"/>
      <w:r w:rsidRPr="003C092C">
        <w:rPr>
          <w:rFonts w:ascii="Arial" w:hAnsi="Arial" w:cs="Arial"/>
        </w:rPr>
        <w:t>DI</w:t>
      </w:r>
      <w:proofErr w:type="spellEnd"/>
      <w:r w:rsidRPr="003C092C">
        <w:rPr>
          <w:rFonts w:ascii="Arial" w:hAnsi="Arial" w:cs="Arial"/>
        </w:rPr>
        <w:t xml:space="preserve"> ATTRIBUZIONE. Il trattato di Lisbona chiarisce la ripartizione delle competenze tra l'Unione e gli Stati membri. Ai sensi dell’articolo 5 del trattato sull’Unione europea –TUE), il principio di attribuzione si inserisce a fianco dei principi di sussidiarietà e proporzionalità. Secondo tale principio, l’Unione europea agisce esclusivamente nei limiti delle competenze che le sono attribuite dagli Stati membri nei determinati settori</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Sono previste tre categorie di competenze diverse:</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 1. le competenze esclusive: previste in virtù dell’articolo 3 del TFUE. Solo l’Unione è autorizzata a legiferare in questi settori. Materie : + Unione doganale + regole per la concorrenza funzionamento mercato interno + politiche monetarie + competenza per accordi internazionali +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2. Le competenze condivise: previste dall’articolo 4 del TFUE. In questi settori, l’Unione e gli Stati membri possono legiferare. Essi possono esercitare la loro competenza nel caso in cui l’Unione non abbia esercitato la sua o rinunci ad esercitarla. Gli Stati membri possono inoltre chiedere alla Commissione di abrogare un atto legislativo adottato in uno di questi settori condivisi al fine di garantire meglio il rispetto dei principi di sussidiarietà e di proporzionalità. Materie : + Mercato interno + politica sociale + Agricoltura e Pesca + Ambiente + Trasporti + Energia +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3. Competenze complementari: i settori in cui gli Stati membri rimangono competenti ma nei quali l’Unione può completare la loro azione conducendo azioni di sostegno o di coordinamento. Materie : + Cultura + Turismo + istruzione + Sport + cooperazione </w:t>
      </w:r>
      <w:proofErr w:type="spellStart"/>
      <w:r w:rsidRPr="003C092C">
        <w:rPr>
          <w:rFonts w:ascii="Arial" w:hAnsi="Arial" w:cs="Arial"/>
        </w:rPr>
        <w:t>amm.va</w:t>
      </w:r>
      <w:proofErr w:type="spellEnd"/>
      <w:r w:rsidRPr="003C092C">
        <w:rPr>
          <w:rFonts w:ascii="Arial" w:hAnsi="Arial" w:cs="Arial"/>
        </w:rPr>
        <w:t xml:space="preserve">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Tali competenze possono essere estese attraverso l’applicazione della clausola di flessibilità. </w:t>
      </w:r>
      <w:r w:rsidRPr="003C092C">
        <w:rPr>
          <w:rFonts w:ascii="Arial" w:hAnsi="Arial" w:cs="Arial"/>
        </w:rPr>
        <w:sym w:font="Symbol" w:char="F0B7"/>
      </w:r>
      <w:r w:rsidRPr="003C092C">
        <w:rPr>
          <w:rFonts w:ascii="Arial" w:hAnsi="Arial" w:cs="Arial"/>
        </w:rPr>
        <w:t xml:space="preserve"> Tale estensione permette di dare ulteriori poteri all’Unione qualora non siano stati previsti dai trattati.</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IL PRINCIPIO </w:t>
      </w:r>
      <w:proofErr w:type="spellStart"/>
      <w:r w:rsidRPr="003C092C">
        <w:rPr>
          <w:rFonts w:ascii="Arial" w:hAnsi="Arial" w:cs="Arial"/>
        </w:rPr>
        <w:t>DI</w:t>
      </w:r>
      <w:proofErr w:type="spellEnd"/>
      <w:r w:rsidRPr="003C092C">
        <w:rPr>
          <w:rFonts w:ascii="Arial" w:hAnsi="Arial" w:cs="Arial"/>
        </w:rPr>
        <w:t xml:space="preserve"> PROPORZIONALITÀ. Il principio di proporzionalità consente di verificare la legittimità di un atto che imponga un obbligo o una sanzione. Spetta al giudice verificare se i mezzi prefigurati per raggiungere lo scopo dell’atto siano idonei e non eccedano quanto è necessario per raggiungerlo. In altre parole </w:t>
      </w:r>
      <w:r w:rsidRPr="003C092C">
        <w:rPr>
          <w:rFonts w:ascii="Arial" w:hAnsi="Arial" w:cs="Arial"/>
        </w:rPr>
        <w:sym w:font="Symbol" w:char="F0E8"/>
      </w:r>
      <w:r w:rsidRPr="003C092C">
        <w:rPr>
          <w:rFonts w:ascii="Arial" w:hAnsi="Arial" w:cs="Arial"/>
        </w:rPr>
        <w:t xml:space="preserve"> il contenuto e la forma dell'azione devono essere in rapporto con la finalità perseguita.</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IL PRINCIPIO </w:t>
      </w:r>
      <w:proofErr w:type="spellStart"/>
      <w:r w:rsidRPr="003C092C">
        <w:rPr>
          <w:rFonts w:ascii="Arial" w:hAnsi="Arial" w:cs="Arial"/>
        </w:rPr>
        <w:t>DI</w:t>
      </w:r>
      <w:proofErr w:type="spellEnd"/>
      <w:r w:rsidRPr="003C092C">
        <w:rPr>
          <w:rFonts w:ascii="Arial" w:hAnsi="Arial" w:cs="Arial"/>
        </w:rPr>
        <w:t xml:space="preserve"> LEALE COOPERAZIONE. In giurisprudenza ricorre più volte il principio della leale cooperazione. Esso è identificato con l’obbligo generale degli Stati membri di assicurare: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sym w:font="Symbol" w:char="F0B7"/>
      </w:r>
      <w:r w:rsidRPr="003C092C">
        <w:rPr>
          <w:rFonts w:ascii="Arial" w:hAnsi="Arial" w:cs="Arial"/>
        </w:rPr>
        <w:t xml:space="preserve"> l’esecuzione delle prescrizioni sancite dal diritto comunitario,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sym w:font="Symbol" w:char="F0B7"/>
      </w:r>
      <w:r w:rsidRPr="003C092C">
        <w:rPr>
          <w:rFonts w:ascii="Arial" w:hAnsi="Arial" w:cs="Arial"/>
        </w:rPr>
        <w:t xml:space="preserve"> facilitare l’assolvimento dei compiti della Comunità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sym w:font="Symbol" w:char="F0B7"/>
      </w:r>
      <w:r w:rsidRPr="003C092C">
        <w:rPr>
          <w:rFonts w:ascii="Arial" w:hAnsi="Arial" w:cs="Arial"/>
        </w:rPr>
        <w:t xml:space="preserve"> astenersi dal porre in essere misure che possano compromettere la realizzazione degli scopi del Trattato. Il principio sancisce anche un dovere di leale cooperazione reciproca (aiuti, agricoltura), sia per la soluzione di problemi specifici, sia come connotazione dei rapporti tra istituzioni e Stati membri.</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 IL PRINCIPIO </w:t>
      </w:r>
      <w:proofErr w:type="spellStart"/>
      <w:r w:rsidRPr="003C092C">
        <w:rPr>
          <w:rFonts w:ascii="Arial" w:hAnsi="Arial" w:cs="Arial"/>
        </w:rPr>
        <w:t>DI</w:t>
      </w:r>
      <w:proofErr w:type="spellEnd"/>
      <w:r w:rsidRPr="003C092C">
        <w:rPr>
          <w:rFonts w:ascii="Arial" w:hAnsi="Arial" w:cs="Arial"/>
        </w:rPr>
        <w:t xml:space="preserve"> EGUAGLIANZA. Il trattato di Lisbona erige il principio della parità tra donne e uomini a valore comune dell’Unione europea. L’Unione promuove l’uguaglianza e lotta contro le disparità nel quadro delle azioni che mette in atto.</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FONTI DEL DIRITTO DELL’UNIONE EUROPEA.</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 Le fonti del diritto dell'Unione europea (UE) sono di tre tipi:</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 1) le fonti primarie,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2) le fonti derivate</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 3) e le fonti complementari</w:t>
      </w:r>
      <w:r w:rsidRPr="003C092C">
        <w:rPr>
          <w:rFonts w:ascii="Arial" w:hAnsi="Arial" w:cs="Arial"/>
        </w:rPr>
        <w:sym w:font="Wingdings" w:char="F0E0"/>
      </w:r>
      <w:r w:rsidRPr="003C092C">
        <w:rPr>
          <w:rFonts w:ascii="Arial" w:hAnsi="Arial" w:cs="Arial"/>
        </w:rPr>
        <w:t xml:space="preserve"> Le fonti di diritto complementare Oltre alla giurisprudenza della Corte di giustizia, le fonti di diritto complementare comprendono il diritto internazionale e i principi generali del diritto. Tali fonti hanno permesso alla Corte di colmare i vuoti lasciati dal diritto primario o derivato. Nell'elaborare la sua giurisprudenza la Corte di giustizia si ispira al diritto internazionale, cui fa riferimento tramite rinvii al diritto scritto, alla consuetudine e agli usi.</w:t>
      </w:r>
    </w:p>
    <w:p w:rsidR="003C092C" w:rsidRPr="003C092C" w:rsidRDefault="003C092C" w:rsidP="009B66D8">
      <w:pPr>
        <w:pStyle w:val="NormaleWeb"/>
        <w:shd w:val="clear" w:color="auto" w:fill="FFFFFF"/>
        <w:spacing w:before="0" w:beforeAutospacing="0" w:after="150" w:afterAutospacing="0"/>
        <w:rPr>
          <w:rFonts w:ascii="Arial" w:hAnsi="Arial" w:cs="Arial"/>
          <w:b/>
        </w:rPr>
      </w:pPr>
      <w:r w:rsidRPr="003C092C">
        <w:rPr>
          <w:rFonts w:ascii="Arial" w:hAnsi="Arial" w:cs="Arial"/>
          <w:b/>
        </w:rPr>
        <w:t>Fonti primarie</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Il diritto primario, denominato anche fonte primaria o diritto originario, costituisce il diritto supremo dell'Unione europea.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La Corte di giustizia fa rispettare questa supremazia attraverso varie forme di ricorso: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 come il ricorso per annullamento (presentato qualora si ritenga che il diritto dell'UE violi i trattati o i diritti fondamentali dell'UE)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 nonché la richiesta di pronuncia in via pregiudiziale (quando i tribunali nazionali chiedono alla Corte di giustizia di interpretare un determinato punto del diritto dell'UE)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Sostanzialmente il diritto primario è costituito </w:t>
      </w:r>
      <w:r w:rsidRPr="003C092C">
        <w:rPr>
          <w:rFonts w:ascii="Arial" w:hAnsi="Arial" w:cs="Arial"/>
          <w:i/>
        </w:rPr>
        <w:t>dai trattati dell'Unione europea</w:t>
      </w:r>
      <w:r w:rsidRPr="003C092C">
        <w:rPr>
          <w:rFonts w:ascii="Arial" w:hAnsi="Arial" w:cs="Arial"/>
        </w:rPr>
        <w:t>. Questi trattati enunciano le regole formali e sostanziali le quali definiscono il quadro al cui interno le istituzioni pongono in essere le varie politiche delle istituzioni europee.</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 I trattati stabiliscono altresì la ripartizione delle competenze fra l'Unione e i suoi Stati membri, nonché i poteri delle istituzioni. Inoltre definiscono la sfera d'applicazione delle politiche e strutturano l'intervento delle istituzioni.</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Il diritto primario è composto da tutti i trattati istitutivi dell’UE, modificati e adattati da vari trattati e atti,ovvero</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 1) dai trattati istitutivi delle Comunità europee e dell'Unione;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2) dai trattati modificativi dell’UE;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3) dai protocolli allegati a detti trattati;</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 4) dai trattati complementari che apportano modifiche settoriali ai trattati istitutivi;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5) dai trattati di adesione attraverso i quali nuovi paesi aderiscono all'UE.</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 I trattati "fondatori" che istituiscono le Comunità europee sono: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1) il trattato di Parigi, firmato il 18 aprile 1951;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2) i trattati di Roma (trattato </w:t>
      </w:r>
      <w:proofErr w:type="spellStart"/>
      <w:r w:rsidRPr="003C092C">
        <w:rPr>
          <w:rFonts w:ascii="Arial" w:hAnsi="Arial" w:cs="Arial"/>
        </w:rPr>
        <w:t>Euratom</w:t>
      </w:r>
      <w:proofErr w:type="spellEnd"/>
      <w:r w:rsidRPr="003C092C">
        <w:rPr>
          <w:rFonts w:ascii="Arial" w:hAnsi="Arial" w:cs="Arial"/>
        </w:rPr>
        <w:t xml:space="preserve"> e trattato che istituisce la Comunità economica europea), firmati il 25 marzo 1957;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3) il trattato di Maastricht sull'Unione europea, firmato il 7 febbraio 1992</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I trattati modificativi sono: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1) l'Atto unico europeo (17 e 28 febbraio 1986);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2) il trattato di Amsterdam (2 ottobre 1997);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3) il trattato di Nizza (26 febbraio 2001).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4) Il trattato di Lisbona (13 dicembre 2007) entrato in vigore dal 1° dicembre 2009.</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I trattati complementari, che apportano modifiche settoriali ai trattati istitutivi sono: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1) il trattato di "fusione degli esecutivi" (8 aprile 1965);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2) il trattato che modifica talune disposizioni di bilancio dei trattati comunitari (22 aprile 1970);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3) il trattato di Bruxelles che modifica talune disposizioni finanziarie dei trattati comunitari e istituisce una Corte dei conti (22 luglio 1975);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4) l'atto relativo all'elezione dei rappresentanti del Parlamento a suffragio universale diretto (20 settembre 1976).</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 Per quanto attiene all'area geografica di applicazione del diritto primario, esso si applica :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 ai territori metropolitani degli Stati membri e - a determinate isole e territori d'oltremare come Madera, le isole Canarie e i dipartimenti francesi d'oltremare. → Esso si applica anche ai territori le cui relazioni esterne sono affidate a uno Stato membro (come Gibilterra e le isole </w:t>
      </w:r>
      <w:proofErr w:type="spellStart"/>
      <w:r w:rsidRPr="003C092C">
        <w:rPr>
          <w:rFonts w:ascii="Arial" w:hAnsi="Arial" w:cs="Arial"/>
        </w:rPr>
        <w:t>Aaland</w:t>
      </w:r>
      <w:proofErr w:type="spellEnd"/>
      <w:r w:rsidRPr="003C092C">
        <w:rPr>
          <w:rFonts w:ascii="Arial" w:hAnsi="Arial" w:cs="Arial"/>
        </w:rPr>
        <w:t xml:space="preserve">).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Quanto all'applicazione temporale del diritto primario, essa decorre dall'entrata in vigore del trattato, fatti salvi i periodi transitori per determinate materie. Per quel che riguarda la durata di applicazione, i testi che rientrano nella sfera del diritto primario di massima hanno una durata illimitata</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La Corte di giustizia dell’UE ha la facoltà di interpretare i trattati. Essa non opera invece un controllo di validità, la quale è determinata dal diritto internazionale. In determinate circostanze, la Corte di giustizia dell’UE ammette che le disposizioni del diritto primario possano essere invocate anche  dai privati.</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Prima dell’entrata in vigore del trattato di Lisbona esisteva una sola procedura di revisione dei trattati che prevedeva la convocazione obbligatoria di una Conferenza intergovernativa (CIG).</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 Il trattato di Lisbona crea soprattutto due tipi di procedura semplificata per facilitare la revisione di determinate disposizioni dei trattati. La facilitazione della revisione dei trattati deve tuttavia essere relativizzata mantenendo come regola di voto quella dell’unanimità. Ne consegue che, a prescindere dalla procedura avviata, gli Stati membri devono adottare la revisione delle disposizioni interessate all’unanimità.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PROCEDURA </w:t>
      </w:r>
      <w:proofErr w:type="spellStart"/>
      <w:r w:rsidRPr="003C092C">
        <w:rPr>
          <w:rFonts w:ascii="Arial" w:hAnsi="Arial" w:cs="Arial"/>
        </w:rPr>
        <w:t>DI</w:t>
      </w:r>
      <w:proofErr w:type="spellEnd"/>
      <w:r w:rsidRPr="003C092C">
        <w:rPr>
          <w:rFonts w:ascii="Arial" w:hAnsi="Arial" w:cs="Arial"/>
        </w:rPr>
        <w:t xml:space="preserve"> REVISIONE ORDINARIA. La procedura di revisione ordinaria riguarda le modifiche più importanti apportate ai trattati, quali l’aumento o la riduzione delle competenze dell’UE. Essa implica in particolare la convocazione di una CIG (conferenza intergovernativa) che adotterà i progetti di revisione per consenso. Le modifiche apportate ai trattati entreranno in vigore soltanto dopo essere state ratificate da tutti gli Stati membri. Se entro 2 anni dalla firma del trattato di modifica, i 4/5 degli Stati hanno ratificato il trattato, la questione è sottoposta al Consiglio europeo.</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PROCEDURA </w:t>
      </w:r>
      <w:proofErr w:type="spellStart"/>
      <w:r w:rsidRPr="003C092C">
        <w:rPr>
          <w:rFonts w:ascii="Arial" w:hAnsi="Arial" w:cs="Arial"/>
        </w:rPr>
        <w:t>DI</w:t>
      </w:r>
      <w:proofErr w:type="spellEnd"/>
      <w:r w:rsidRPr="003C092C">
        <w:rPr>
          <w:rFonts w:ascii="Arial" w:hAnsi="Arial" w:cs="Arial"/>
        </w:rPr>
        <w:t xml:space="preserve"> REVISIONE SEMPLIFICATA. Due procedure.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1. Il Consiglio europeo, su proposta del governo di qualsiasi Stato membro, all’unanimità può modificare in tutto o in parte le disposizione della parte TERZA del TFUE: </w:t>
      </w:r>
      <w:r w:rsidRPr="003C092C">
        <w:rPr>
          <w:rFonts w:ascii="Arial" w:hAnsi="Arial" w:cs="Arial"/>
        </w:rPr>
        <w:sym w:font="Symbol" w:char="F0DE"/>
      </w:r>
      <w:r w:rsidRPr="003C092C">
        <w:rPr>
          <w:rFonts w:ascii="Arial" w:hAnsi="Arial" w:cs="Arial"/>
        </w:rPr>
        <w:t xml:space="preserve"> Cioè relativo alle politiche e alle azioni interne dell’Unione. La decisione di modifica è adottata all’unanimità dal Consiglio europeo, previa consultazione del Parlamento, della Commissione e della BCE (nel caso di modifica nel settore monetario).. La modifica al trattato entrerà in vigore solo dopo l’approvazione degli Stati membri. La procedura semplificata non può applicarsi sulla revisione dell’estensione delle competenze attribuite all’Unione.</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 2. detta Clausola PASSERELLA se è previsto dal TUE o dal TFUE che il consiglio deliberi ad unanimità su uno specifico settore o materia, il Consiglio europeo può consentire con una decisione di deliberare a maggioranza qualificata.</w:t>
      </w:r>
    </w:p>
    <w:p w:rsidR="003C092C" w:rsidRPr="003C092C" w:rsidRDefault="003C092C" w:rsidP="009B66D8">
      <w:pPr>
        <w:pStyle w:val="NormaleWeb"/>
        <w:shd w:val="clear" w:color="auto" w:fill="FFFFFF"/>
        <w:spacing w:before="0" w:beforeAutospacing="0" w:after="150" w:afterAutospacing="0"/>
        <w:rPr>
          <w:rFonts w:ascii="Arial" w:hAnsi="Arial" w:cs="Arial"/>
          <w:b/>
        </w:rPr>
      </w:pPr>
      <w:r w:rsidRPr="003C092C">
        <w:rPr>
          <w:rFonts w:ascii="Arial" w:hAnsi="Arial" w:cs="Arial"/>
          <w:b/>
        </w:rPr>
        <w:t>Fonti derivate</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Il diritto derivato è composto dagli atti unilaterali e dagli atti convenzionali.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Gli atti unilaterali possono essere classificati in due categorie: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1) gli atti menzionati all'articolo 288 del trattato che sul funzionamento dell’UE, ossia il regolamento, la direttiva, la decisione, i pareri e le raccomandazioni;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2) gli atti non menzionati all'articolo 288 del trattato sul funzionamento dell’UE, ossia i cosiddetti atti atipici, come le comunicazioni, le raccomandazioni, i libri bianchi e i libri verdi.</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 Gli atti convenzionali comprendono: 1) gli accordi internazionali tra l'Unione europea, da una parte, e un paese terzo o un'organizzazione terza, dall'altra; 2) gli accordi tra Stati membri; 3) gli accordi interistituzionali, ossia tra le istituzioni dell'UE</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GLI ATTI UNILATERALI. Gli atti unilaterali previsti nella nomenclatura dell'articolo 288 del TFUE sono: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1. il regolamento;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2. la direttiva;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3. la decisione;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4. i pareri e le raccomandazioni.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REGOLAMENTO. Il regolamento fa parte del diritto derivato unilaterale, ossia è ascrivibile esclusivamente alla volontà dell'autorità dell’Unione europea.</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Il regolamento ha portata generale. Esso è obbligatorio in tutti i suoi elementi ed è direttamente applicabile in ciascuno degli Stati membri. Il regolamento non si rivolge a destinatari identificabili bensì a categorie astratte di persone e in questo si differenzia dalla decisione. </w:t>
      </w:r>
      <w:r w:rsidRPr="003C092C">
        <w:rPr>
          <w:rFonts w:ascii="Arial" w:hAnsi="Arial" w:cs="Arial"/>
        </w:rPr>
        <w:sym w:font="Symbol" w:char="F0DE"/>
      </w:r>
      <w:r w:rsidRPr="003C092C">
        <w:rPr>
          <w:rFonts w:ascii="Arial" w:hAnsi="Arial" w:cs="Arial"/>
        </w:rPr>
        <w:t xml:space="preserve"> La Corte di giustizia precisa che il regolamento concerne categorie generali di persone, ma può essere limitato a cerchie di categorie di persone.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Il regolamento è obbligatorio in tutti i suoi elementi e non può pertanto essere applicato in modo incompleto, selettivo o parziale. Si tratta di un atto giuridico vincolante per: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1. le istituzioni;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2. gli Stati membri;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3. i singoli individui.</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 Il regolamento è direttamente applicabile in tutti gli Stati membri Questo significa che esso: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 non è soggetto a misure di recepimento nel diritto nazionale;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conferisce dei diritti e dei doveri indipendentemente da una misura nazionale di attuazione.</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 □ può essere utilizzato come riferimento dai singoli individui nelle loro relazioni con altri singoli individui, con le istituzioni o con le autorità europee.</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 È applicabile in tutti gli Stati membri a partire dalla sua entrata in vigore, ossia venti giorni dopo la sua pubblicazione nella Gazzetta ufficiale. I suoi effetti giuridici prevalgono su tutte le legislazioni nazionali in maniera simultanea, automatica e uniforme</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DIRETTIVA. La direttiva è caratterizzata dalla flessibilità di utilizzo: essa introduce un obbligo in termini di risultato finale, ma lascia agli Stati un ampio margine di manovra quanto ai mezzi da utilizzare per ottenerlo. Una volta adottata a livello europeo, la direttiva deve poi essere recepita dagli Stati membri nel loro diritto interno. Un atto obbligatorio di portata generale. Come il regolamento e la decisione, essa è vincolante per gli Stati membri, che ne sono i destinatari. Essa è obbligatoria in tutti i suoi elementi e quindi non può essere applicata in modo incompleto, selettivo o parziale. La direttiva si distingue tuttavia dalla decisione e dal regolamento. Contrariamente al regolamento, che si applica nel diritto interno degli Stati membri direttamente dopo la sua entrata in vigore, la direttiva deve prima essere recepita dagli Stati membri.</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La direttiva introduce un obbligo in termini di risultato agli Stati membri, che possono liberamente le forme e i mezzi per applicare la direttiva La direttiva inoltre si distingue dalla decisione perché il suo testo ha una portata generale destinata a tutti gli Stati membri. La direttiva entra in vigore dopo essere stata notificata agli Stati membri o dopo essere stata pubblicata nella Gazzetta ufficiale.</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 E’ un atto giuridico che deve essere recepito Soluzioni per lottare contro il recepimento incompleto delle direttive In linea di principio, la direttiva deve essere recepita entro un termine (da 6 mesi a 2 anni). Scaduto tale termine: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 la Commissione può chiedere alla Corte di giustizia di condannare gli Stati membri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 la Corte di giustizia ha accettato inoltre di concedere ai singoli cittadini, in determinate circostanze, la possibilità di ottenere un risarcimento dei danni causati dal recepimento incompleto o in ritardo di una direttiva (sentenza </w:t>
      </w:r>
      <w:proofErr w:type="spellStart"/>
      <w:r w:rsidRPr="003C092C">
        <w:rPr>
          <w:rFonts w:ascii="Arial" w:hAnsi="Arial" w:cs="Arial"/>
        </w:rPr>
        <w:t>Francovitch</w:t>
      </w:r>
      <w:proofErr w:type="spellEnd"/>
      <w:r w:rsidRPr="003C092C">
        <w:rPr>
          <w:rFonts w:ascii="Arial" w:hAnsi="Arial" w:cs="Arial"/>
        </w:rPr>
        <w:t xml:space="preserve"> e </w:t>
      </w:r>
      <w:proofErr w:type="spellStart"/>
      <w:r w:rsidRPr="003C092C">
        <w:rPr>
          <w:rFonts w:ascii="Arial" w:hAnsi="Arial" w:cs="Arial"/>
        </w:rPr>
        <w:t>Bonifaci</w:t>
      </w:r>
      <w:proofErr w:type="spellEnd"/>
      <w:r w:rsidRPr="003C092C">
        <w:rPr>
          <w:rFonts w:ascii="Arial" w:hAnsi="Arial" w:cs="Arial"/>
        </w:rPr>
        <w:t xml:space="preserve"> del 19 novembre 1991);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 La Corte di giustizia ritiene che la direttiva abbia effetto diretto (ovverosia che i singoli cittadini possano invocarla davanti al giudice).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Allo scadere del termine di recepimento, la direttiva ha un effetto diretto verticale. Ciò significa che i singoli cittadini possono invocarla davanti al giudice contro gli Stati membri. La direttiva non ha invece un effetto diretto orizzontale (i singoli cittadini non possono invocare il testo davanti al giudice contro altri singoli cittadini).</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DECISIONE. La decisione è un atto obbligatorio che può essere di portata generale o indirizzata a un destinatario preciso. Essa può essere adottata dalle istituzioni europee sulla base dei trattati istitutivi. A seconda del caso, la decisione può essere rivolta a uno o più destinatari; essa può anche non avere alcun destinatario.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E’ un atto obbligatorio in tutti i suoi elementi. La decisione è un atto obbligatorio in tutti i suoi elementi. Essa non può quindi essere applicata in maniera incompleta, selettiva o parziale. La decisione è adottata in seguito ad una procedura legislativa. Essa è quindi un atto legislativo adottato dal Consiglio e dal Parlamento secondo la procedura legislativa ordinaria o una procedura legislativa speciale. Per contro, la decisione è un atto non legislativo qualora sia adottata unilateralmente da una delle istituzioni europee. La decisione rinvia allora a una norma stabilita dal Consiglio europeo, dal Consiglio o dalla Commissione in casi specifici che non rientrano nella competenza del legislatore.</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PARERI E RACCOMANDAZIONI. - Non hanno efficacia vincolante. - Non sono sottoposti ad alcuna forma particolare (Tranne quando previsto dai trattati) - Possono avere come destinatari gli Stati membri oppure altre istituzioni.</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 Il potere di adottare raccomandazioni spetta al CONSIGLIO (Dei ministri).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sym w:font="Symbol" w:char="F0B7"/>
      </w:r>
      <w:r w:rsidRPr="003C092C">
        <w:rPr>
          <w:rFonts w:ascii="Arial" w:hAnsi="Arial" w:cs="Arial"/>
        </w:rPr>
        <w:t xml:space="preserve"> la Commissione e la BCE possono adottarle solo nei casi previsti dai trattati Il potere generale di emettere pareri, spetta al PARLAMENTO EUROPEO.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sym w:font="Symbol" w:char="F0B7"/>
      </w:r>
      <w:r w:rsidRPr="003C092C">
        <w:rPr>
          <w:rFonts w:ascii="Arial" w:hAnsi="Arial" w:cs="Arial"/>
        </w:rPr>
        <w:t xml:space="preserve"> anche le altre istituzioni possono emetterli, ma solo quando previsto dai trattati. La raccomandazione </w:t>
      </w:r>
      <w:r w:rsidRPr="003C092C">
        <w:rPr>
          <w:rFonts w:ascii="Arial" w:hAnsi="Arial" w:cs="Arial"/>
        </w:rPr>
        <w:sym w:font="Symbol" w:char="F0E8"/>
      </w:r>
      <w:r w:rsidRPr="003C092C">
        <w:rPr>
          <w:rFonts w:ascii="Arial" w:hAnsi="Arial" w:cs="Arial"/>
        </w:rPr>
        <w:t xml:space="preserve"> ha lo scopo di sollecitare il destinatario a tenere un determinato comportamento. Il parere </w:t>
      </w:r>
      <w:r w:rsidRPr="003C092C">
        <w:rPr>
          <w:rFonts w:ascii="Arial" w:hAnsi="Arial" w:cs="Arial"/>
        </w:rPr>
        <w:sym w:font="Symbol" w:char="F0E8"/>
      </w:r>
      <w:r w:rsidRPr="003C092C">
        <w:rPr>
          <w:rFonts w:ascii="Arial" w:hAnsi="Arial" w:cs="Arial"/>
        </w:rPr>
        <w:t xml:space="preserve"> tende a fissare il punto di vista della istituzione che lo emette. La Corte di Giustizia ha posto in evidenza che le Raccomandazioni non sono prive di effetti giuridici. Infatti </w:t>
      </w:r>
      <w:r w:rsidRPr="003C092C">
        <w:rPr>
          <w:rFonts w:ascii="Arial" w:hAnsi="Arial" w:cs="Arial"/>
        </w:rPr>
        <w:sym w:font="Symbol" w:char="F0E8"/>
      </w:r>
      <w:r w:rsidRPr="003C092C">
        <w:rPr>
          <w:rFonts w:ascii="Arial" w:hAnsi="Arial" w:cs="Arial"/>
        </w:rPr>
        <w:t xml:space="preserve"> il giudice nazionale, deve tenerne conto nell’interpretazione degli atti vincolanti comunitari.</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ATTI CONVENZIONALI. Gli atti convenzionali costituiscono, con gli atti unilaterali, gli atti di diritto derivato dell'Unione europea (UE).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 Essi generano diritti e obblighi. Sono il frutto di un accordo di volontà concluso tra le istituzioni europee o tra queste e un terzo. Contrariamente agli atti unilaterali, gli atti convenzionali non risultano da una procedura legislativa o dalla sola volontà di un'istituzione. Inoltre, i trattati istitutivi dell'UE prevedono due grandi tipi di atti convenzionali: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1. gli accordi internazionali;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2. gli accordi interistituzionali.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1. Gli accordi internazionali sono gli accordi conclusi tra l'UE da una parte, e un paese terzo o un'organizzazione terza dall'altra. Hanno un valore superiore agli atti unilaterali di diritto derivato che devono quindi essere conformi ad essi.</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2. Gli accordi interistituzionali sono conclusi tra le istituzioni europee. Il loro fine è di organizzare e facilitare la cooperazione tra le istituzioni, in particolare la Commissione, il Parlamento e il Consiglio. Questo tipo di accordo fa parte della pratica istituzionale, ma è stato accolto nei trattati istitutivi dell'UE con l'entrata in vigore del trattato di Lisbona. </w:t>
      </w:r>
      <w:r w:rsidRPr="003C092C">
        <w:rPr>
          <w:rFonts w:ascii="Arial" w:hAnsi="Arial" w:cs="Arial"/>
        </w:rPr>
        <w:sym w:font="Symbol" w:char="F0DE"/>
      </w:r>
      <w:r w:rsidRPr="003C092C">
        <w:rPr>
          <w:rFonts w:ascii="Arial" w:hAnsi="Arial" w:cs="Arial"/>
        </w:rPr>
        <w:t xml:space="preserve"> Gli accordi interistituzionali possono ad esempio assumere la forma di codici di condotta, linee direttrici o dichiarazioni.</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INIZIATIVA LEGISLATIVA.</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 Spetta alla Commissione il potere di proporre l’adozione di atti dell’Unione. Prima di proporre nuove iniziative, la Commissione si accerta delle possibili conseguenze economiche, sociali e ambientali. A tal fine stila degli studi che evidenzino i vantaggi e gli svantaggi delle possibili alternative. La Commissione consulta inoltre le parti interessate. Gruppi di esperti danno indicazioni sugli aspetti tecnici. La Commissione europea elabora proposte legislative: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sym w:font="Symbol" w:char="F0B7"/>
      </w:r>
      <w:r w:rsidRPr="003C092C">
        <w:rPr>
          <w:rFonts w:ascii="Arial" w:hAnsi="Arial" w:cs="Arial"/>
        </w:rPr>
        <w:t xml:space="preserve"> di propria iniziativa o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sym w:font="Symbol" w:char="F0B7"/>
      </w:r>
      <w:r w:rsidRPr="003C092C">
        <w:rPr>
          <w:rFonts w:ascii="Arial" w:hAnsi="Arial" w:cs="Arial"/>
        </w:rPr>
        <w:t xml:space="preserve"> su richiesta di altre istituzioni o paesi dell'UE,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sym w:font="Symbol" w:char="F0B7"/>
      </w:r>
      <w:r w:rsidRPr="003C092C">
        <w:rPr>
          <w:rFonts w:ascii="Arial" w:hAnsi="Arial" w:cs="Arial"/>
        </w:rPr>
        <w:t xml:space="preserve"> oppure facendo seguito a un'iniziativa dei cittadini (richiesta formulata da 1 </w:t>
      </w:r>
      <w:proofErr w:type="spellStart"/>
      <w:r w:rsidRPr="003C092C">
        <w:rPr>
          <w:rFonts w:ascii="Arial" w:hAnsi="Arial" w:cs="Arial"/>
        </w:rPr>
        <w:t>mln</w:t>
      </w:r>
      <w:proofErr w:type="spellEnd"/>
      <w:r w:rsidRPr="003C092C">
        <w:rPr>
          <w:rFonts w:ascii="Arial" w:hAnsi="Arial" w:cs="Arial"/>
        </w:rPr>
        <w:t xml:space="preserve"> d cittadini)</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La proposta definitiva è trasmessa contemporaneamente al Parlamento europeo, al Consiglio e ai parlamenti nazionali e, in alcuni casi, al Comitato delle regioni e al Comitato economico e sociale. </w:t>
      </w:r>
      <w:r w:rsidRPr="003C092C">
        <w:rPr>
          <w:rFonts w:ascii="Arial" w:hAnsi="Arial" w:cs="Arial"/>
        </w:rPr>
        <w:sym w:font="Symbol" w:char="F0DE"/>
      </w:r>
      <w:r w:rsidRPr="003C092C">
        <w:rPr>
          <w:rFonts w:ascii="Arial" w:hAnsi="Arial" w:cs="Arial"/>
        </w:rPr>
        <w:t xml:space="preserve"> ciascun parlamento nazionale può, entro un termine di otto settimane, inviare un parere motivato che espone le ragioni per le quali ritiene che il progetto di atto legislativo non sia conforme al principio di sussidiarietà, se ritengono quindi, che sarebbe meglio affrontare una questione a livello nazionale piuttosto che europeo</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La procedura legislativa ordinaria consiste nell’adozione congiunta di un regolamento, di una direttiva o di una decisione da parte del Parlamento e del Consiglio su proposta della Commissione. Nei casi specifici previsti dai trattati, l’adozione di un regolamento,direttiva o decisione da parte del Parlamento europeo con la partecipazione del Consiglio o viceversa, costituisce una procedura legislativa speciale. Gli atti adottati mediante la procedura legislativa sono atti legislativi.</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LE PROCEDURE LEGISLATIVE SPECIALI.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sym w:font="Symbol" w:char="F0A7"/>
      </w:r>
      <w:r w:rsidRPr="003C092C">
        <w:rPr>
          <w:rFonts w:ascii="Arial" w:hAnsi="Arial" w:cs="Arial"/>
        </w:rPr>
        <w:t xml:space="preserve"> I Trattati non contengono un’analitica descrizione della procedura legislativa speciale.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sym w:font="Symbol" w:char="F0A7"/>
      </w:r>
      <w:r w:rsidRPr="003C092C">
        <w:rPr>
          <w:rFonts w:ascii="Arial" w:hAnsi="Arial" w:cs="Arial"/>
        </w:rPr>
        <w:t xml:space="preserve"> L’art. 289 TFUE, fa riferimento alla procedura speciale, precisando che l’atto viene adottato da parte del Parlamento europeo con la partecipazione del Consiglio o viceversa.</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 </w:t>
      </w:r>
      <w:r w:rsidRPr="003C092C">
        <w:rPr>
          <w:rFonts w:ascii="Arial" w:hAnsi="Arial" w:cs="Arial"/>
        </w:rPr>
        <w:sym w:font="Symbol" w:char="F0A7"/>
      </w:r>
      <w:r w:rsidRPr="003C092C">
        <w:rPr>
          <w:rFonts w:ascii="Arial" w:hAnsi="Arial" w:cs="Arial"/>
        </w:rPr>
        <w:t xml:space="preserve"> Si applicherà la procedura speciale, tutte le volte in cui lo prevedono i Trattati.</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 </w:t>
      </w:r>
      <w:r w:rsidRPr="003C092C">
        <w:rPr>
          <w:rFonts w:ascii="Arial" w:hAnsi="Arial" w:cs="Arial"/>
        </w:rPr>
        <w:sym w:font="Symbol" w:char="F0A7"/>
      </w:r>
      <w:r w:rsidRPr="003C092C">
        <w:rPr>
          <w:rFonts w:ascii="Arial" w:hAnsi="Arial" w:cs="Arial"/>
        </w:rPr>
        <w:t xml:space="preserve"> Il parere è obbligatorio ma non vincolante. Si può disattendere</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TUTELA GIURISDIZIONALE.</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 La Tutela giurisdizionale comprende</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 1) i ricorsi diretti </w:t>
      </w:r>
      <w:r w:rsidRPr="003C092C">
        <w:rPr>
          <w:rFonts w:ascii="Arial" w:hAnsi="Arial" w:cs="Arial"/>
        </w:rPr>
        <w:sym w:font="Symbol" w:char="F0E8"/>
      </w:r>
      <w:r w:rsidRPr="003C092C">
        <w:rPr>
          <w:rFonts w:ascii="Arial" w:hAnsi="Arial" w:cs="Arial"/>
        </w:rPr>
        <w:t xml:space="preserve"> si caratterizzano per l’azione diretta dei soggetti interessati davanti alla CGE. -&gt; Ricorso per inadempimento, per annullamento, per carenza, in materia di responsabilità extracontrattuale, di controversie tra Unione e i suoi agenti, o quelli attivati in virtù di clausola compromissoria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2) i ricorsi indiretti </w:t>
      </w:r>
      <w:r w:rsidRPr="003C092C">
        <w:rPr>
          <w:rFonts w:ascii="Arial" w:hAnsi="Arial" w:cs="Arial"/>
        </w:rPr>
        <w:sym w:font="Symbol" w:char="F0E8"/>
      </w:r>
      <w:r w:rsidRPr="003C092C">
        <w:rPr>
          <w:rFonts w:ascii="Arial" w:hAnsi="Arial" w:cs="Arial"/>
        </w:rPr>
        <w:t xml:space="preserve"> proposti dinnanzi ai giudici nazionali e successivamente portati all’esame della CGE, nel procedimento di rinvio pregiudiziale.</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IL RICORSO PER INADEMPIMENTO. Giurisdizione avente ad oggetto il comportamento degli Stati.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 Il ricorso per inadempimento viene esperito dinnanzi alla CGE sulla violazione degli obblighi degli Stati membri, derivanti da trattati e dagli atti vincolanti delle istituzioni. La procedura è promossa dalla Commissione , nell’esercizio del suo compito di vigilanza, o da uno Stato membro, PROCEDURA PROMOSSA DALLA COMMISSIONE.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La disposizione comprende 2 fasi: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1) la fase </w:t>
      </w:r>
      <w:proofErr w:type="spellStart"/>
      <w:r w:rsidRPr="003C092C">
        <w:rPr>
          <w:rFonts w:ascii="Arial" w:hAnsi="Arial" w:cs="Arial"/>
        </w:rPr>
        <w:t>precontenziosa</w:t>
      </w:r>
      <w:proofErr w:type="spellEnd"/>
      <w:r w:rsidRPr="003C092C">
        <w:rPr>
          <w:rFonts w:ascii="Arial" w:hAnsi="Arial" w:cs="Arial"/>
        </w:rPr>
        <w:t xml:space="preserve">, </w:t>
      </w:r>
      <w:r w:rsidRPr="003C092C">
        <w:rPr>
          <w:rFonts w:ascii="Arial" w:hAnsi="Arial" w:cs="Arial"/>
        </w:rPr>
        <w:sym w:font="Symbol" w:char="F0E8"/>
      </w:r>
      <w:r w:rsidRPr="003C092C">
        <w:rPr>
          <w:rFonts w:ascii="Arial" w:hAnsi="Arial" w:cs="Arial"/>
        </w:rPr>
        <w:t xml:space="preserve"> che si instaura dinnanzi alla commissione</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 2) la fase contenziosa </w:t>
      </w:r>
      <w:r w:rsidRPr="003C092C">
        <w:rPr>
          <w:rFonts w:ascii="Arial" w:hAnsi="Arial" w:cs="Arial"/>
        </w:rPr>
        <w:sym w:font="Symbol" w:char="F0E8"/>
      </w:r>
      <w:r w:rsidRPr="003C092C">
        <w:rPr>
          <w:rFonts w:ascii="Arial" w:hAnsi="Arial" w:cs="Arial"/>
        </w:rPr>
        <w:t xml:space="preserve"> innanzi alla CGE.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La fase </w:t>
      </w:r>
      <w:proofErr w:type="spellStart"/>
      <w:r w:rsidRPr="003C092C">
        <w:rPr>
          <w:rFonts w:ascii="Arial" w:hAnsi="Arial" w:cs="Arial"/>
        </w:rPr>
        <w:t>precontenziosa</w:t>
      </w:r>
      <w:proofErr w:type="spellEnd"/>
      <w:r w:rsidRPr="003C092C">
        <w:rPr>
          <w:rFonts w:ascii="Arial" w:hAnsi="Arial" w:cs="Arial"/>
        </w:rPr>
        <w:t xml:space="preserve"> è caratterizzata dalla lettera di messa in mora e dal parere motivato.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(1)Con la lettera di messa in mora, la Commissione mette in evidenza la violazione commessa dallo Stato e fissa per quest’ultimo una scadenza entro la quale deve presentare le sue osservazioni in proposito</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 (2) Dopo la lettera di messa in mora, ricevute le osservazioni, o in assenza di queste, la Commissione indirizza allo Stato un parere motivato (Previsto ex art. 258 TFUE) . </w:t>
      </w:r>
      <w:r w:rsidRPr="003C092C">
        <w:rPr>
          <w:rFonts w:ascii="Arial" w:hAnsi="Arial" w:cs="Arial"/>
        </w:rPr>
        <w:sym w:font="Symbol" w:char="F0B7"/>
      </w:r>
      <w:r w:rsidRPr="003C092C">
        <w:rPr>
          <w:rFonts w:ascii="Arial" w:hAnsi="Arial" w:cs="Arial"/>
        </w:rPr>
        <w:t xml:space="preserve"> la motivazione del parere è obbligatoria, per spiegare allo Stato, i motivi di fatto e di diritto che hanno spinto la Commissione ad avviare la procedura in esame. (3) Se lo Stato non si è conformato al parere motivato, può essere avviata la fase contenziosa. </w:t>
      </w:r>
      <w:r w:rsidRPr="003C092C">
        <w:rPr>
          <w:rFonts w:ascii="Arial" w:hAnsi="Arial" w:cs="Arial"/>
        </w:rPr>
        <w:sym w:font="Symbol" w:char="F0B7"/>
      </w:r>
      <w:r w:rsidRPr="003C092C">
        <w:rPr>
          <w:rFonts w:ascii="Arial" w:hAnsi="Arial" w:cs="Arial"/>
        </w:rPr>
        <w:t xml:space="preserve"> non è obbligatoria avviarla. </w:t>
      </w:r>
      <w:r w:rsidRPr="003C092C">
        <w:rPr>
          <w:rFonts w:ascii="Arial" w:hAnsi="Arial" w:cs="Arial"/>
        </w:rPr>
        <w:sym w:font="Symbol" w:char="F0B7"/>
      </w:r>
      <w:r w:rsidRPr="003C092C">
        <w:rPr>
          <w:rFonts w:ascii="Arial" w:hAnsi="Arial" w:cs="Arial"/>
        </w:rPr>
        <w:t xml:space="preserve"> Non si accetterebbe un ricorso in carenza se la Commissione non decidesse di procedere dinnanzi alla CGE</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(3) Se lo Stato non si è conformato al parere motivato, può essere avviata la fase contenziosa. </w:t>
      </w:r>
      <w:r w:rsidRPr="003C092C">
        <w:rPr>
          <w:rFonts w:ascii="Arial" w:hAnsi="Arial" w:cs="Arial"/>
        </w:rPr>
        <w:sym w:font="Symbol" w:char="F0B7"/>
      </w:r>
      <w:r w:rsidRPr="003C092C">
        <w:rPr>
          <w:rFonts w:ascii="Arial" w:hAnsi="Arial" w:cs="Arial"/>
        </w:rPr>
        <w:t xml:space="preserve"> non è obbligatoria avviarla. </w:t>
      </w:r>
      <w:r w:rsidRPr="003C092C">
        <w:rPr>
          <w:rFonts w:ascii="Arial" w:hAnsi="Arial" w:cs="Arial"/>
        </w:rPr>
        <w:sym w:font="Symbol" w:char="F0B7"/>
      </w:r>
      <w:r w:rsidRPr="003C092C">
        <w:rPr>
          <w:rFonts w:ascii="Arial" w:hAnsi="Arial" w:cs="Arial"/>
        </w:rPr>
        <w:t xml:space="preserve"> Non si accetterebbe un ricorso in carenza se la Commissione non decidesse di procedere dinnanzi alla CGE</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PROCEDURA PROMOSSA DA UNO STATO MEMBRO. Il ricorso per inadempimento può essere promosso anche da qualsiasi Stato membro, qualora reputi che un altro Stato abbia violato gli obblighi derivanti dal trattato. Lo Stato deve rivolgersi prima alla Commissione, esponendo a questa le motivazioni. La commissione ha il compito di far conciliare le posizioni contrastanti degli Stati, e di porre questi in condizione di presentare osservazioni scritte o orali. Al termine della fase di “conciliazione”, la commissione emette un parere, simile a quello previsto dal 258 TFUE. La commissione può assumere 3 diverse posizioni :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1) Può non reputare fondate le motivazioni dello Stato </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2) Può appoggiare la tesi dello Stato imputato di inadempimento In questi 2 casi, è sempre possibile il ricorso alla Corte. Il parere contiene solo un’opinione della Commissione.</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 3) può condividere la tesi dello Stato che ha presentato ricorso in tale caso, il giudizio della commissione avrà natura identica a quella del parere ex art. 258 TFUE, e il ricorso avrà luogo solo se lo Stato non si sia conformato (al parere).</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 4) la Commissione può non formulare alcun parere entro 3 mesi dalla domanda.</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EFFETTI DELLA SENTENZA DELLA CORTE. Se la Corte costata che lo Stato ha violato gli obblighi derivanti dai Trattati, emana sentenza di mero accertamento dell’esistenza o meno delle violazioni. Tale sentenza obbliga lo Stato a garantire l’effettiva riparazione dell’illecito, attraverso la libera scelta dei mezzi da adottare.</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 </w:t>
      </w:r>
      <w:r w:rsidRPr="003C092C">
        <w:rPr>
          <w:rFonts w:ascii="Arial" w:hAnsi="Arial" w:cs="Arial"/>
        </w:rPr>
        <w:sym w:font="Symbol" w:char="F0B7"/>
      </w:r>
      <w:r w:rsidRPr="003C092C">
        <w:rPr>
          <w:rFonts w:ascii="Arial" w:hAnsi="Arial" w:cs="Arial"/>
        </w:rPr>
        <w:t xml:space="preserve"> non può indicare pertanto, le misure necessarie a far cessare l’inadempimento. Qualora lo Stato non si conforma a tale obbligo, è possibile l’instaurazione di un nuovo giudizio per far constatare una nuova violazione del trattato. In tal caso, la Corte può comminare allo Stato il pagamento di una somma forfetaria</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IL RICORSO </w:t>
      </w:r>
      <w:proofErr w:type="spellStart"/>
      <w:r w:rsidRPr="003C092C">
        <w:rPr>
          <w:rFonts w:ascii="Arial" w:hAnsi="Arial" w:cs="Arial"/>
        </w:rPr>
        <w:t>DI</w:t>
      </w:r>
      <w:proofErr w:type="spellEnd"/>
      <w:r w:rsidRPr="003C092C">
        <w:rPr>
          <w:rFonts w:ascii="Arial" w:hAnsi="Arial" w:cs="Arial"/>
        </w:rPr>
        <w:t xml:space="preserve"> ANNULLAMENTO e IL RICORSO PER CARENZA. Giurisdizione avente ad oggetto il comportamento delle istituzioni Si tratta della giurisdizione contenziosa della Corte, sui comportamenti delle istituzioni dell’Unione, nella emanazione di atti vincolati. Tale comportamento rileva: sia sotto il profilo attivo, e quindi concretarsi nell’emanazione di atti illegittimi </w:t>
      </w:r>
      <w:r w:rsidRPr="003C092C">
        <w:rPr>
          <w:rFonts w:ascii="Arial" w:hAnsi="Arial" w:cs="Arial"/>
        </w:rPr>
        <w:sym w:font="Symbol" w:char="F0E8"/>
      </w:r>
      <w:r w:rsidRPr="003C092C">
        <w:rPr>
          <w:rFonts w:ascii="Arial" w:hAnsi="Arial" w:cs="Arial"/>
        </w:rPr>
        <w:t xml:space="preserve"> è possibile avviare un ricorso di annullamento. Sia sotto il profilo passivo, che si traduce nell’astensione di atti dovuti </w:t>
      </w:r>
      <w:r w:rsidRPr="003C092C">
        <w:rPr>
          <w:rFonts w:ascii="Arial" w:hAnsi="Arial" w:cs="Arial"/>
        </w:rPr>
        <w:sym w:font="Symbol" w:char="F0E8"/>
      </w:r>
      <w:r w:rsidRPr="003C092C">
        <w:rPr>
          <w:rFonts w:ascii="Arial" w:hAnsi="Arial" w:cs="Arial"/>
        </w:rPr>
        <w:t xml:space="preserve"> è possibile avviare un ricorso per carenza.</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RICORSO PER ANNULLAMENTO La Corte esercita il controllo di legittimità sugli atti legislativi delle istituzioni dell’Unione. Atti impugnabili </w:t>
      </w:r>
      <w:r w:rsidRPr="003C092C">
        <w:rPr>
          <w:rFonts w:ascii="Arial" w:hAnsi="Arial" w:cs="Arial"/>
        </w:rPr>
        <w:sym w:font="Symbol" w:char="F0E8"/>
      </w:r>
      <w:r w:rsidRPr="003C092C">
        <w:rPr>
          <w:rFonts w:ascii="Arial" w:hAnsi="Arial" w:cs="Arial"/>
        </w:rPr>
        <w:t xml:space="preserve"> solo quelli che hanno effetti vincolanti. Legittimati al ricorso per annullamento : 1) Istituzioni dell’UE 2) Gli stati membri , che sono definiti ricorrenti privilegiati, i quali non devono dimostrare che un atto illegittimo li tocchi direttamente per potere adire la Corte, ma possono agire in qualunque situazione 3) Le persone fisiche e giuridiche, definiti ricorrenti non privilegiati </w:t>
      </w:r>
      <w:r w:rsidRPr="003C092C">
        <w:rPr>
          <w:rFonts w:ascii="Arial" w:hAnsi="Arial" w:cs="Arial"/>
        </w:rPr>
        <w:sym w:font="Symbol" w:char="F0E8"/>
      </w:r>
      <w:r w:rsidRPr="003C092C">
        <w:rPr>
          <w:rFonts w:ascii="Arial" w:hAnsi="Arial" w:cs="Arial"/>
        </w:rPr>
        <w:t xml:space="preserve"> i quali devono dimostrare che l’illegittimità dell’atto riguardi la loro posizione. Il ricorso è sottoposto al termine di decadenza di 2 mesi dalla pubblicazione o dalla notificazione dell’atto. I Vizi degli atti dell’Unione sono espressamente previsti dal TFUE: 1) Incompetenza 2) Violazione delle forme sostanziali </w:t>
      </w:r>
      <w:r w:rsidRPr="003C092C">
        <w:rPr>
          <w:rFonts w:ascii="Arial" w:hAnsi="Arial" w:cs="Arial"/>
        </w:rPr>
        <w:sym w:font="Symbol" w:char="F0E8"/>
      </w:r>
      <w:r w:rsidRPr="003C092C">
        <w:rPr>
          <w:rFonts w:ascii="Arial" w:hAnsi="Arial" w:cs="Arial"/>
        </w:rPr>
        <w:t xml:space="preserve"> es. Il consiglio non chiede il parere del Parlamento che era obbligatorio 3) Sviamento di potere </w:t>
      </w:r>
      <w:r w:rsidRPr="003C092C">
        <w:rPr>
          <w:rFonts w:ascii="Arial" w:hAnsi="Arial" w:cs="Arial"/>
        </w:rPr>
        <w:sym w:font="Symbol" w:char="F0E8"/>
      </w:r>
      <w:r w:rsidRPr="003C092C">
        <w:rPr>
          <w:rFonts w:ascii="Arial" w:hAnsi="Arial" w:cs="Arial"/>
        </w:rPr>
        <w:t xml:space="preserve"> ossia l’esercizio di un potere per un fine diverso da quello per il quale tale facoltà era stato conferito. La Corte può sospendere in via cautelare l’atto impugnato. Dichiarata l’illegittimità </w:t>
      </w:r>
      <w:r w:rsidRPr="003C092C">
        <w:rPr>
          <w:rFonts w:ascii="Arial" w:hAnsi="Arial" w:cs="Arial"/>
        </w:rPr>
        <w:sym w:font="Symbol" w:char="F0E8"/>
      </w:r>
      <w:r w:rsidRPr="003C092C">
        <w:rPr>
          <w:rFonts w:ascii="Arial" w:hAnsi="Arial" w:cs="Arial"/>
        </w:rPr>
        <w:t xml:space="preserve"> la Corte può annullare l’atto con effetti erga </w:t>
      </w:r>
      <w:proofErr w:type="spellStart"/>
      <w:r w:rsidRPr="003C092C">
        <w:rPr>
          <w:rFonts w:ascii="Arial" w:hAnsi="Arial" w:cs="Arial"/>
        </w:rPr>
        <w:t>omnes</w:t>
      </w:r>
      <w:proofErr w:type="spellEnd"/>
      <w:r w:rsidRPr="003C092C">
        <w:rPr>
          <w:rFonts w:ascii="Arial" w:hAnsi="Arial" w:cs="Arial"/>
        </w:rPr>
        <w:t>.</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Anche in questo caso, si tratta di un giudizio di accertamento dell’illegittimità e non di condanna dell’istituzione, la quale è obbligata a prendere provvedimenti per l’esecuzione della sentenza. RICORSO PER CARENZA. Consiste nella constatazione della CGE della omissione di atti dovuti da parte delle istituzioni. Legittimati a ricorrere: 1) Stati membri 2) Istituzioni diverse da quella imputata di carenza (ricorrenti privilegiati) 3) Persone fisiche e giuridiche, se l’atto riguarda direttamente e se non si tratta di raccomandazioni o pareri. Prima di adire la Corte , occorre che l’istituzione venga messa in mora e che per 2 mesi non abbia preso posizione. Entro i 2 mesi successivi, il ricorrente può rivolgersi alla Corte. Se la Corte dichiara che l’astensione è contraria al Trattato, l’istituzione ha l’obbligo di adottare i provvedimenti necessari per l’esecuzione della sentenza. Contro l’inosservanza di questa sentenza, potrà esperirsi un nuovo ricorso.</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CONTROVERSIE IN MATERIA </w:t>
      </w:r>
      <w:proofErr w:type="spellStart"/>
      <w:r w:rsidRPr="003C092C">
        <w:rPr>
          <w:rFonts w:ascii="Arial" w:hAnsi="Arial" w:cs="Arial"/>
        </w:rPr>
        <w:t>DI</w:t>
      </w:r>
      <w:proofErr w:type="spellEnd"/>
      <w:r w:rsidRPr="003C092C">
        <w:rPr>
          <w:rFonts w:ascii="Arial" w:hAnsi="Arial" w:cs="Arial"/>
        </w:rPr>
        <w:t xml:space="preserve"> RESPONSABILITA’ EXTRACONTRATTUALE. La Corte è competente a conoscere delle controversie relative al risarcimento dei danni, cioè quelli causati dalle istituzioni o dagli agenti dell’Unione nell’esercizio delle loro funzioni. La CGE deve applicare la legislazione degli Stati membri. Il richiamo a tale legislazione non viene fatto nella sua interezza, ma solo in relazione ai principi comuni ai vari Stati in materia di responsabilità extracontrattuale. Il termine per proporre azione di responsabilità extracontrattuale è di 5 anni dal verificarsi del fatto dannoso, ex art. 43 Statuto CGE</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INTERPRETAZIONE IN VIA PREGIUDIZIALE. Alla CGE spetta la competenza esclusiva a titolo pregiudiziale sulla interpretazione dei trattati e sulla validità e l’interpretazione degli atti compiuti dalle istituzioni. Scopo </w:t>
      </w:r>
      <w:r w:rsidRPr="003C092C">
        <w:rPr>
          <w:rFonts w:ascii="Arial" w:hAnsi="Arial" w:cs="Arial"/>
        </w:rPr>
        <w:sym w:font="Symbol" w:char="F0E8"/>
      </w:r>
      <w:r w:rsidRPr="003C092C">
        <w:rPr>
          <w:rFonts w:ascii="Arial" w:hAnsi="Arial" w:cs="Arial"/>
        </w:rPr>
        <w:t xml:space="preserve"> assicurare l’uniforme interpretazione del diritto dell’Unione per una sua corretta ed uniforme applicazione. Il rinvio pregiudiziale può riguardare: 1) la corretta interpretazione da attribuire a disposizioni dei trattati o ad atti di diritto derivato 2) la validità di un atto derivato. Se viene sollevata dinnanzi al giudice di uno Stato membro, una questione di interpretazione e validità di atti comunitari, questi, può domandare alla CGE di pronunciarsi sulla questione. - valutazione del giudice è discrezionale - richiesta di adire la Corte fatta dal PM, dalle parti o ex officio . L’iniziativa del giudice è facoltativa se è giudice di primo o secondo grado. È obbligatoria se è giudice di ultima istanza (in Italia Corte di Cassazione). Tuttavia, alcune sentenze della CGE, hanno attribuito dei margini di discrezionalità al giudice di ultima istanza: 1) quando un’identica questione sia stata oggetto di pronuncia della CGE 2) quando le norme hanno un senso chiaro ed univoco (teoria dell’atto chiaro)</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EFFETTI DELLE SENTENZE. - la sentenza interpretativa vincola il giudice nazionale che dovrà disapplicare la norma nazionale </w:t>
      </w:r>
      <w:proofErr w:type="spellStart"/>
      <w:r w:rsidRPr="003C092C">
        <w:rPr>
          <w:rFonts w:ascii="Arial" w:hAnsi="Arial" w:cs="Arial"/>
        </w:rPr>
        <w:t>confliggente</w:t>
      </w:r>
      <w:proofErr w:type="spellEnd"/>
      <w:r w:rsidRPr="003C092C">
        <w:rPr>
          <w:rFonts w:ascii="Arial" w:hAnsi="Arial" w:cs="Arial"/>
        </w:rPr>
        <w:t xml:space="preserve"> con la norma dell’UE - tale valore vincolante si applica anche ai giudici di grado successivo - la sentenza interpretativa ha efficacia ex </w:t>
      </w:r>
      <w:proofErr w:type="spellStart"/>
      <w:r w:rsidRPr="003C092C">
        <w:rPr>
          <w:rFonts w:ascii="Arial" w:hAnsi="Arial" w:cs="Arial"/>
        </w:rPr>
        <w:t>tunc</w:t>
      </w:r>
      <w:proofErr w:type="spellEnd"/>
      <w:r w:rsidRPr="003C092C">
        <w:rPr>
          <w:rFonts w:ascii="Arial" w:hAnsi="Arial" w:cs="Arial"/>
        </w:rPr>
        <w:t>. - La sentenza avrà efficacia anche al di fuori del contesto che l’ha provocata. Sarà vincolante anche nei confronti di altri giudici. Una sentenza di invalidità della legge nazionale, non annulla l’atto. Solo l’ordinamento nazionale è competente a procedere al suo annullamento. La Corte esercita anche una funzione consultiva. ES. le istituzioni dell’Unione (</w:t>
      </w:r>
      <w:proofErr w:type="spellStart"/>
      <w:r w:rsidRPr="003C092C">
        <w:rPr>
          <w:rFonts w:ascii="Arial" w:hAnsi="Arial" w:cs="Arial"/>
        </w:rPr>
        <w:t>Parlamento-Commissione-Cosiglio</w:t>
      </w:r>
      <w:proofErr w:type="spellEnd"/>
      <w:r w:rsidRPr="003C092C">
        <w:rPr>
          <w:rFonts w:ascii="Arial" w:hAnsi="Arial" w:cs="Arial"/>
        </w:rPr>
        <w:t xml:space="preserve">) o uno Stato membro, possono chiedere il parere della Corte circa la compatibilità di un accordo con le disposizioni dei trattati. </w:t>
      </w:r>
      <w:r w:rsidRPr="003C092C">
        <w:rPr>
          <w:rFonts w:ascii="Arial" w:hAnsi="Arial" w:cs="Arial"/>
        </w:rPr>
        <w:sym w:font="Symbol" w:char="F0B7"/>
      </w:r>
      <w:r w:rsidRPr="003C092C">
        <w:rPr>
          <w:rFonts w:ascii="Arial" w:hAnsi="Arial" w:cs="Arial"/>
        </w:rPr>
        <w:t xml:space="preserve"> se la Corte esprime parere negativo </w:t>
      </w:r>
      <w:r w:rsidRPr="003C092C">
        <w:rPr>
          <w:rFonts w:ascii="Arial" w:hAnsi="Arial" w:cs="Arial"/>
        </w:rPr>
        <w:sym w:font="Symbol" w:char="F0E8"/>
      </w:r>
      <w:r w:rsidRPr="003C092C">
        <w:rPr>
          <w:rFonts w:ascii="Arial" w:hAnsi="Arial" w:cs="Arial"/>
        </w:rPr>
        <w:t xml:space="preserve"> l’accordo può entrare in vigore solo con modifica dello stesso o in caso di revisione dei trattati</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ADATTAMENTO TRATTATI ORDINAMENTO NAZIONALE</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L’adattamento ai Trattati istitutivi e modificativi delle Comunità europee. Le norme contenute nei Trattati istitutivi delle Comunità europee e in quelli che li hanno successivamente modificati sono state recepite dagli Stati membri con le procedure previste dalle rispettive carte costituzionali. L’Italia ha dato esecuzione ai Trattati comunitari seguendo le medesime procedure previste per la ratifica dei trattati internazionali, cioè attraverso il ricorso ad una legge ordinaria di autorizzazione alla ratifica del Trattato (da parte del Presidente della Repubblica), contenente l’ordine di esecuzione dello stesso</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Ex art. 11 l’ITALIA </w:t>
      </w:r>
      <w:r w:rsidRPr="003C092C">
        <w:rPr>
          <w:rFonts w:ascii="Arial" w:hAnsi="Arial" w:cs="Arial"/>
        </w:rPr>
        <w:sym w:font="Symbol" w:char="F0E8"/>
      </w:r>
      <w:r w:rsidRPr="003C092C">
        <w:rPr>
          <w:rFonts w:ascii="Arial" w:hAnsi="Arial" w:cs="Arial"/>
        </w:rPr>
        <w:t xml:space="preserve"> consente, in condizioni di parità con gli altri Stati, alle limitazioni di sovranità necessarie ad un ordinamento che assicuri la pace e la giustizia fra le Nazioni; promuove e favorisce le organizzazioni internazionali rivolte a tale scopo. Il riconoscimento della possibilità di dare esecuzione ai Trattati mediante legge ordinaria ha tuttavia comportato problemi di non poco conto. Sulla questione è intervenuta la modifica dell’art. 117 Cost., introdotta dalla legge costituzionale n. 3/2001, che sancisce la partecipazione dell’Italia all’ordinamento comunitario. Secondo la Corte Costituzionale, facendo espresso riferimento al diritto dell’Unione europea, ciò significa che laddove una norma interna violi il diritto dell’UE, questa costituisce una violazione dell’art. 117, per norma interposta. In sostanza </w:t>
      </w:r>
      <w:r w:rsidRPr="003C092C">
        <w:rPr>
          <w:rFonts w:ascii="Arial" w:hAnsi="Arial" w:cs="Arial"/>
        </w:rPr>
        <w:sym w:font="Symbol" w:char="F0E8"/>
      </w:r>
      <w:r w:rsidRPr="003C092C">
        <w:rPr>
          <w:rFonts w:ascii="Arial" w:hAnsi="Arial" w:cs="Arial"/>
        </w:rPr>
        <w:t xml:space="preserve"> la norma interna contrastante è costituzionalmente illegittima. La modifica dell’art. 117 così come interpretata dalla Suprema Corte, ha sancito il primato del diritto dell’UE sul diritto interno.</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Il problema dell’adattamento al diritto comunitario derivato riguarda essenzialmente gli atti che non sono direttamente applicabili negli Stati membri, cioè le direttive. I regolamenti e le decisioni, infatti, non necessitano di una norma interna di attuazione, salvo diversa previsione dell’atto stesso. In Italia l’attuazione delle direttive è stata spesso tardiva.</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 xml:space="preserve">Il loro recepimento, inizialmente, è avvenuto attraverso il ricorso ad una legge con cui il Parlamento delegava il Governo ad emanare dei decreti legislativi di attuazione delle norme comunitarie. </w:t>
      </w:r>
      <w:r w:rsidRPr="003C092C">
        <w:rPr>
          <w:rFonts w:ascii="Arial" w:hAnsi="Arial" w:cs="Arial"/>
        </w:rPr>
        <w:sym w:font="Symbol" w:char="F0B7"/>
      </w:r>
      <w:r w:rsidRPr="003C092C">
        <w:rPr>
          <w:rFonts w:ascii="Arial" w:hAnsi="Arial" w:cs="Arial"/>
        </w:rPr>
        <w:t xml:space="preserve"> Sia l’approvazione della legge delega che dei successivi decreti legislativi richiedevano tuttavia tempi eccessivamente lunghi. Con la legge “La Pergola”, è stata introdotta una specifica procedura per velocizzare i tempi di attuazione degli atti comunitari. E’ stata prevista infatti l’approvazione annuale, da parte del Parlamento, di un disegno di legge del Governo (c.d. “legge comunitaria”) contenente l’indicazione delle direttive e degli altri atti comunitari che devono essere recepiti nell’ordinamento nazionale.</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La legge comunitaria può dare attuazione agli obblighi comunitari: 1. dettando direttamente le norme di adattamento (procedura questa piuttosto dispendiosa e quindi poco seguita nella prassi); 2. conferendo al Governo una delega legislativa (è questa la soluzione più frequente); 3. dettando disposizioni che autorizzano il Governo ad emanare un regolamento di attuazione delle direttive comunitarie, purché esse riguardino materie di competenza statale esclusiva e non coperte da riserva assoluta di legge.</w:t>
      </w:r>
    </w:p>
    <w:p w:rsidR="003C092C" w:rsidRPr="003C092C" w:rsidRDefault="003C092C" w:rsidP="009B66D8">
      <w:pPr>
        <w:pStyle w:val="NormaleWeb"/>
        <w:shd w:val="clear" w:color="auto" w:fill="FFFFFF"/>
        <w:spacing w:before="0" w:beforeAutospacing="0" w:after="150" w:afterAutospacing="0"/>
        <w:rPr>
          <w:rFonts w:ascii="Arial" w:hAnsi="Arial" w:cs="Arial"/>
        </w:rPr>
      </w:pPr>
      <w:r w:rsidRPr="003C092C">
        <w:rPr>
          <w:rFonts w:ascii="Arial" w:hAnsi="Arial" w:cs="Arial"/>
        </w:rPr>
        <w:t>La legge “La Pergola” prevedeva che le Regioni, nelle materie di competenza concorrente, non potessero dare attuazione alle direttive comunitarie se non dopo l’entrata in vigore della prima legge comunitaria successiva alla notifica della direttiva. Questa disposizione è stata modificata dalla legge 128/1998 che ha previsto che le Regioni possano dare immediata attuazione alle direttive comunitarie nelle materie di competenza concorrente. Il ruolo delle Regioni nell’attuazione del diritto comunitario ha trovato riconoscimento, a livello costituzionale, con la riforma del Titolo V della Costituzione, adottata con legge costituzionale n. 3 del 2001.</w:t>
      </w:r>
    </w:p>
    <w:p w:rsidR="003C092C" w:rsidRPr="003C092C" w:rsidRDefault="003C092C" w:rsidP="009B66D8">
      <w:pPr>
        <w:pStyle w:val="NormaleWeb"/>
        <w:shd w:val="clear" w:color="auto" w:fill="FFFFFF"/>
        <w:spacing w:before="0" w:beforeAutospacing="0" w:after="150" w:afterAutospacing="0"/>
        <w:rPr>
          <w:rFonts w:ascii="Arial" w:hAnsi="Arial" w:cs="Arial"/>
          <w:b/>
          <w:color w:val="404040"/>
          <w:u w:val="single"/>
        </w:rPr>
      </w:pPr>
    </w:p>
    <w:sectPr w:rsidR="003C092C" w:rsidRPr="003C092C" w:rsidSect="002479A7">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092C" w:rsidRDefault="003C092C" w:rsidP="003C092C">
      <w:pPr>
        <w:spacing w:after="0" w:line="240" w:lineRule="auto"/>
      </w:pPr>
      <w:r>
        <w:separator/>
      </w:r>
    </w:p>
  </w:endnote>
  <w:endnote w:type="continuationSeparator" w:id="0">
    <w:p w:rsidR="003C092C" w:rsidRDefault="003C092C" w:rsidP="003C092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092C" w:rsidRDefault="003C092C" w:rsidP="003C092C">
      <w:pPr>
        <w:spacing w:after="0" w:line="240" w:lineRule="auto"/>
      </w:pPr>
      <w:r>
        <w:separator/>
      </w:r>
    </w:p>
  </w:footnote>
  <w:footnote w:type="continuationSeparator" w:id="0">
    <w:p w:rsidR="003C092C" w:rsidRDefault="003C092C" w:rsidP="003C092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000F75"/>
    <w:multiLevelType w:val="multilevel"/>
    <w:tmpl w:val="769A7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9F352E1"/>
    <w:multiLevelType w:val="multilevel"/>
    <w:tmpl w:val="830A9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B9C661B"/>
    <w:multiLevelType w:val="hybridMultilevel"/>
    <w:tmpl w:val="C5969D3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231F22D1"/>
    <w:multiLevelType w:val="multilevel"/>
    <w:tmpl w:val="B554C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6742E8A"/>
    <w:multiLevelType w:val="multilevel"/>
    <w:tmpl w:val="293679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1F9404F"/>
    <w:multiLevelType w:val="multilevel"/>
    <w:tmpl w:val="D4488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32A5A27"/>
    <w:multiLevelType w:val="multilevel"/>
    <w:tmpl w:val="9E746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6BD7D69"/>
    <w:multiLevelType w:val="multilevel"/>
    <w:tmpl w:val="06A2BEC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AFF536A"/>
    <w:multiLevelType w:val="multilevel"/>
    <w:tmpl w:val="C3C86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ECC1C79"/>
    <w:multiLevelType w:val="multilevel"/>
    <w:tmpl w:val="2B04A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0ED3623"/>
    <w:multiLevelType w:val="multilevel"/>
    <w:tmpl w:val="3864B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68EF78C3"/>
    <w:multiLevelType w:val="multilevel"/>
    <w:tmpl w:val="5986C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CE07C4F"/>
    <w:multiLevelType w:val="multilevel"/>
    <w:tmpl w:val="8E5CCC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CF50770"/>
    <w:multiLevelType w:val="hybridMultilevel"/>
    <w:tmpl w:val="20DE63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3"/>
  </w:num>
  <w:num w:numId="4">
    <w:abstractNumId w:val="10"/>
  </w:num>
  <w:num w:numId="5">
    <w:abstractNumId w:val="0"/>
  </w:num>
  <w:num w:numId="6">
    <w:abstractNumId w:val="11"/>
  </w:num>
  <w:num w:numId="7">
    <w:abstractNumId w:val="12"/>
  </w:num>
  <w:num w:numId="8">
    <w:abstractNumId w:val="6"/>
  </w:num>
  <w:num w:numId="9">
    <w:abstractNumId w:val="9"/>
  </w:num>
  <w:num w:numId="10">
    <w:abstractNumId w:val="1"/>
  </w:num>
  <w:num w:numId="11">
    <w:abstractNumId w:val="7"/>
  </w:num>
  <w:num w:numId="12">
    <w:abstractNumId w:val="8"/>
  </w:num>
  <w:num w:numId="13">
    <w:abstractNumId w:val="5"/>
  </w:num>
  <w:num w:numId="1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08"/>
  <w:hyphenationZone w:val="283"/>
  <w:characterSpacingControl w:val="doNotCompress"/>
  <w:footnotePr>
    <w:footnote w:id="-1"/>
    <w:footnote w:id="0"/>
  </w:footnotePr>
  <w:endnotePr>
    <w:endnote w:id="-1"/>
    <w:endnote w:id="0"/>
  </w:endnotePr>
  <w:compat/>
  <w:rsids>
    <w:rsidRoot w:val="006C2505"/>
    <w:rsid w:val="000632EA"/>
    <w:rsid w:val="0010072F"/>
    <w:rsid w:val="00131FCA"/>
    <w:rsid w:val="00163129"/>
    <w:rsid w:val="00223354"/>
    <w:rsid w:val="002479A7"/>
    <w:rsid w:val="002C74FB"/>
    <w:rsid w:val="00335BF9"/>
    <w:rsid w:val="003C092C"/>
    <w:rsid w:val="004C0A0D"/>
    <w:rsid w:val="006C2505"/>
    <w:rsid w:val="006C53A3"/>
    <w:rsid w:val="007604D9"/>
    <w:rsid w:val="0095024E"/>
    <w:rsid w:val="009B66D8"/>
    <w:rsid w:val="00AD1A0D"/>
    <w:rsid w:val="00B224A6"/>
    <w:rsid w:val="00CA2E12"/>
    <w:rsid w:val="00E813B0"/>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479A7"/>
  </w:style>
  <w:style w:type="paragraph" w:styleId="Titolo2">
    <w:name w:val="heading 2"/>
    <w:basedOn w:val="Normale"/>
    <w:link w:val="Titolo2Carattere"/>
    <w:uiPriority w:val="9"/>
    <w:qFormat/>
    <w:rsid w:val="006C2505"/>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paragraph" w:styleId="Titolo3">
    <w:name w:val="heading 3"/>
    <w:basedOn w:val="Normale"/>
    <w:link w:val="Titolo3Carattere"/>
    <w:uiPriority w:val="9"/>
    <w:qFormat/>
    <w:rsid w:val="006C2505"/>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paragraph" w:styleId="Titolo4">
    <w:name w:val="heading 4"/>
    <w:basedOn w:val="Normale"/>
    <w:next w:val="Normale"/>
    <w:link w:val="Titolo4Carattere"/>
    <w:uiPriority w:val="9"/>
    <w:semiHidden/>
    <w:unhideWhenUsed/>
    <w:qFormat/>
    <w:rsid w:val="006C250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6C2505"/>
    <w:rPr>
      <w:rFonts w:ascii="Times New Roman" w:eastAsia="Times New Roman" w:hAnsi="Times New Roman" w:cs="Times New Roman"/>
      <w:b/>
      <w:bCs/>
      <w:sz w:val="36"/>
      <w:szCs w:val="36"/>
      <w:lang w:eastAsia="it-IT"/>
    </w:rPr>
  </w:style>
  <w:style w:type="character" w:customStyle="1" w:styleId="Titolo3Carattere">
    <w:name w:val="Titolo 3 Carattere"/>
    <w:basedOn w:val="Carpredefinitoparagrafo"/>
    <w:link w:val="Titolo3"/>
    <w:uiPriority w:val="9"/>
    <w:rsid w:val="006C2505"/>
    <w:rPr>
      <w:rFonts w:ascii="Times New Roman" w:eastAsia="Times New Roman" w:hAnsi="Times New Roman" w:cs="Times New Roman"/>
      <w:b/>
      <w:bCs/>
      <w:sz w:val="27"/>
      <w:szCs w:val="27"/>
      <w:lang w:eastAsia="it-IT"/>
    </w:rPr>
  </w:style>
  <w:style w:type="paragraph" w:styleId="NormaleWeb">
    <w:name w:val="Normal (Web)"/>
    <w:basedOn w:val="Normale"/>
    <w:uiPriority w:val="99"/>
    <w:unhideWhenUsed/>
    <w:rsid w:val="006C2505"/>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semiHidden/>
    <w:unhideWhenUsed/>
    <w:rsid w:val="006C2505"/>
    <w:rPr>
      <w:color w:val="0000FF"/>
      <w:u w:val="single"/>
    </w:rPr>
  </w:style>
  <w:style w:type="character" w:customStyle="1" w:styleId="Titolo4Carattere">
    <w:name w:val="Titolo 4 Carattere"/>
    <w:basedOn w:val="Carpredefinitoparagrafo"/>
    <w:link w:val="Titolo4"/>
    <w:uiPriority w:val="9"/>
    <w:semiHidden/>
    <w:rsid w:val="006C2505"/>
    <w:rPr>
      <w:rFonts w:asciiTheme="majorHAnsi" w:eastAsiaTheme="majorEastAsia" w:hAnsiTheme="majorHAnsi" w:cstheme="majorBidi"/>
      <w:b/>
      <w:bCs/>
      <w:i/>
      <w:iCs/>
      <w:color w:val="4F81BD" w:themeColor="accent1"/>
    </w:rPr>
  </w:style>
  <w:style w:type="paragraph" w:customStyle="1" w:styleId="jqcsstitoloamargine">
    <w:name w:val="jq_css_titoloamargine"/>
    <w:basedOn w:val="Normale"/>
    <w:rsid w:val="006C2505"/>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6C2505"/>
    <w:rPr>
      <w:b/>
      <w:bCs/>
    </w:rPr>
  </w:style>
  <w:style w:type="character" w:styleId="Enfasicorsivo">
    <w:name w:val="Emphasis"/>
    <w:basedOn w:val="Carpredefinitoparagrafo"/>
    <w:uiPriority w:val="20"/>
    <w:qFormat/>
    <w:rsid w:val="006C2505"/>
    <w:rPr>
      <w:i/>
      <w:iCs/>
    </w:rPr>
  </w:style>
  <w:style w:type="character" w:customStyle="1" w:styleId="jqcssnota">
    <w:name w:val="jq_css_nota"/>
    <w:basedOn w:val="Carpredefinitoparagrafo"/>
    <w:rsid w:val="006C2505"/>
  </w:style>
  <w:style w:type="paragraph" w:styleId="Testofumetto">
    <w:name w:val="Balloon Text"/>
    <w:basedOn w:val="Normale"/>
    <w:link w:val="TestofumettoCarattere"/>
    <w:uiPriority w:val="99"/>
    <w:semiHidden/>
    <w:unhideWhenUsed/>
    <w:rsid w:val="006C250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C2505"/>
    <w:rPr>
      <w:rFonts w:ascii="Tahoma" w:hAnsi="Tahoma" w:cs="Tahoma"/>
      <w:sz w:val="16"/>
      <w:szCs w:val="16"/>
    </w:rPr>
  </w:style>
  <w:style w:type="paragraph" w:styleId="Paragrafoelenco">
    <w:name w:val="List Paragraph"/>
    <w:basedOn w:val="Normale"/>
    <w:uiPriority w:val="34"/>
    <w:qFormat/>
    <w:rsid w:val="00CA2E12"/>
    <w:pPr>
      <w:ind w:left="720"/>
      <w:contextualSpacing/>
    </w:pPr>
  </w:style>
  <w:style w:type="character" w:customStyle="1" w:styleId="mw-headline">
    <w:name w:val="mw-headline"/>
    <w:basedOn w:val="Carpredefinitoparagrafo"/>
    <w:rsid w:val="00335BF9"/>
  </w:style>
  <w:style w:type="character" w:customStyle="1" w:styleId="mw-editsection">
    <w:name w:val="mw-editsection"/>
    <w:basedOn w:val="Carpredefinitoparagrafo"/>
    <w:rsid w:val="00335BF9"/>
  </w:style>
  <w:style w:type="character" w:customStyle="1" w:styleId="mw-editsection-bracket">
    <w:name w:val="mw-editsection-bracket"/>
    <w:basedOn w:val="Carpredefinitoparagrafo"/>
    <w:rsid w:val="00335BF9"/>
  </w:style>
  <w:style w:type="character" w:customStyle="1" w:styleId="mw-editsection-divider">
    <w:name w:val="mw-editsection-divider"/>
    <w:basedOn w:val="Carpredefinitoparagrafo"/>
    <w:rsid w:val="00335BF9"/>
  </w:style>
  <w:style w:type="character" w:customStyle="1" w:styleId="offscreen">
    <w:name w:val="offscreen"/>
    <w:basedOn w:val="Carpredefinitoparagrafo"/>
    <w:rsid w:val="002C74FB"/>
  </w:style>
  <w:style w:type="paragraph" w:styleId="Intestazione">
    <w:name w:val="header"/>
    <w:basedOn w:val="Normale"/>
    <w:link w:val="IntestazioneCarattere"/>
    <w:uiPriority w:val="99"/>
    <w:semiHidden/>
    <w:unhideWhenUsed/>
    <w:rsid w:val="003C092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3C092C"/>
  </w:style>
  <w:style w:type="paragraph" w:styleId="Pidipagina">
    <w:name w:val="footer"/>
    <w:basedOn w:val="Normale"/>
    <w:link w:val="PidipaginaCarattere"/>
    <w:uiPriority w:val="99"/>
    <w:semiHidden/>
    <w:unhideWhenUsed/>
    <w:rsid w:val="003C092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3C092C"/>
  </w:style>
</w:styles>
</file>

<file path=word/webSettings.xml><?xml version="1.0" encoding="utf-8"?>
<w:webSettings xmlns:r="http://schemas.openxmlformats.org/officeDocument/2006/relationships" xmlns:w="http://schemas.openxmlformats.org/wordprocessingml/2006/main">
  <w:divs>
    <w:div w:id="291792007">
      <w:bodyDiv w:val="1"/>
      <w:marLeft w:val="0"/>
      <w:marRight w:val="0"/>
      <w:marTop w:val="0"/>
      <w:marBottom w:val="0"/>
      <w:divBdr>
        <w:top w:val="none" w:sz="0" w:space="0" w:color="auto"/>
        <w:left w:val="none" w:sz="0" w:space="0" w:color="auto"/>
        <w:bottom w:val="none" w:sz="0" w:space="0" w:color="auto"/>
        <w:right w:val="none" w:sz="0" w:space="0" w:color="auto"/>
      </w:divBdr>
    </w:div>
    <w:div w:id="596328908">
      <w:bodyDiv w:val="1"/>
      <w:marLeft w:val="0"/>
      <w:marRight w:val="0"/>
      <w:marTop w:val="0"/>
      <w:marBottom w:val="0"/>
      <w:divBdr>
        <w:top w:val="none" w:sz="0" w:space="0" w:color="auto"/>
        <w:left w:val="none" w:sz="0" w:space="0" w:color="auto"/>
        <w:bottom w:val="none" w:sz="0" w:space="0" w:color="auto"/>
        <w:right w:val="none" w:sz="0" w:space="0" w:color="auto"/>
      </w:divBdr>
    </w:div>
    <w:div w:id="933977907">
      <w:bodyDiv w:val="1"/>
      <w:marLeft w:val="0"/>
      <w:marRight w:val="0"/>
      <w:marTop w:val="0"/>
      <w:marBottom w:val="0"/>
      <w:divBdr>
        <w:top w:val="none" w:sz="0" w:space="0" w:color="auto"/>
        <w:left w:val="none" w:sz="0" w:space="0" w:color="auto"/>
        <w:bottom w:val="none" w:sz="0" w:space="0" w:color="auto"/>
        <w:right w:val="none" w:sz="0" w:space="0" w:color="auto"/>
      </w:divBdr>
    </w:div>
    <w:div w:id="1016426911">
      <w:bodyDiv w:val="1"/>
      <w:marLeft w:val="0"/>
      <w:marRight w:val="0"/>
      <w:marTop w:val="0"/>
      <w:marBottom w:val="0"/>
      <w:divBdr>
        <w:top w:val="none" w:sz="0" w:space="0" w:color="auto"/>
        <w:left w:val="none" w:sz="0" w:space="0" w:color="auto"/>
        <w:bottom w:val="none" w:sz="0" w:space="0" w:color="auto"/>
        <w:right w:val="none" w:sz="0" w:space="0" w:color="auto"/>
      </w:divBdr>
    </w:div>
    <w:div w:id="1462116223">
      <w:bodyDiv w:val="1"/>
      <w:marLeft w:val="0"/>
      <w:marRight w:val="0"/>
      <w:marTop w:val="0"/>
      <w:marBottom w:val="0"/>
      <w:divBdr>
        <w:top w:val="none" w:sz="0" w:space="0" w:color="auto"/>
        <w:left w:val="none" w:sz="0" w:space="0" w:color="auto"/>
        <w:bottom w:val="none" w:sz="0" w:space="0" w:color="auto"/>
        <w:right w:val="none" w:sz="0" w:space="0" w:color="auto"/>
      </w:divBdr>
    </w:div>
    <w:div w:id="1638024693">
      <w:bodyDiv w:val="1"/>
      <w:marLeft w:val="0"/>
      <w:marRight w:val="0"/>
      <w:marTop w:val="0"/>
      <w:marBottom w:val="0"/>
      <w:divBdr>
        <w:top w:val="none" w:sz="0" w:space="0" w:color="auto"/>
        <w:left w:val="none" w:sz="0" w:space="0" w:color="auto"/>
        <w:bottom w:val="none" w:sz="0" w:space="0" w:color="auto"/>
        <w:right w:val="none" w:sz="0" w:space="0" w:color="auto"/>
      </w:divBdr>
      <w:divsChild>
        <w:div w:id="251554489">
          <w:marLeft w:val="0"/>
          <w:marRight w:val="0"/>
          <w:marTop w:val="0"/>
          <w:marBottom w:val="0"/>
          <w:divBdr>
            <w:top w:val="none" w:sz="0" w:space="0" w:color="auto"/>
            <w:left w:val="none" w:sz="0" w:space="0" w:color="auto"/>
            <w:bottom w:val="none" w:sz="0" w:space="0" w:color="auto"/>
            <w:right w:val="none" w:sz="0" w:space="0" w:color="auto"/>
          </w:divBdr>
        </w:div>
        <w:div w:id="343828490">
          <w:marLeft w:val="0"/>
          <w:marRight w:val="0"/>
          <w:marTop w:val="0"/>
          <w:marBottom w:val="0"/>
          <w:divBdr>
            <w:top w:val="none" w:sz="0" w:space="0" w:color="auto"/>
            <w:left w:val="none" w:sz="0" w:space="0" w:color="auto"/>
            <w:bottom w:val="none" w:sz="0" w:space="0" w:color="auto"/>
            <w:right w:val="none" w:sz="0" w:space="0" w:color="auto"/>
          </w:divBdr>
        </w:div>
        <w:div w:id="534466004">
          <w:marLeft w:val="0"/>
          <w:marRight w:val="0"/>
          <w:marTop w:val="0"/>
          <w:marBottom w:val="0"/>
          <w:divBdr>
            <w:top w:val="none" w:sz="0" w:space="0" w:color="auto"/>
            <w:left w:val="none" w:sz="0" w:space="0" w:color="auto"/>
            <w:bottom w:val="none" w:sz="0" w:space="0" w:color="auto"/>
            <w:right w:val="none" w:sz="0" w:space="0" w:color="auto"/>
          </w:divBdr>
        </w:div>
        <w:div w:id="553127520">
          <w:marLeft w:val="0"/>
          <w:marRight w:val="0"/>
          <w:marTop w:val="0"/>
          <w:marBottom w:val="0"/>
          <w:divBdr>
            <w:top w:val="none" w:sz="0" w:space="0" w:color="auto"/>
            <w:left w:val="none" w:sz="0" w:space="0" w:color="auto"/>
            <w:bottom w:val="none" w:sz="0" w:space="0" w:color="auto"/>
            <w:right w:val="none" w:sz="0" w:space="0" w:color="auto"/>
          </w:divBdr>
        </w:div>
        <w:div w:id="925453640">
          <w:marLeft w:val="0"/>
          <w:marRight w:val="0"/>
          <w:marTop w:val="0"/>
          <w:marBottom w:val="0"/>
          <w:divBdr>
            <w:top w:val="none" w:sz="0" w:space="0" w:color="auto"/>
            <w:left w:val="none" w:sz="0" w:space="0" w:color="auto"/>
            <w:bottom w:val="none" w:sz="0" w:space="0" w:color="auto"/>
            <w:right w:val="none" w:sz="0" w:space="0" w:color="auto"/>
          </w:divBdr>
        </w:div>
        <w:div w:id="1334727181">
          <w:marLeft w:val="0"/>
          <w:marRight w:val="0"/>
          <w:marTop w:val="0"/>
          <w:marBottom w:val="0"/>
          <w:divBdr>
            <w:top w:val="none" w:sz="0" w:space="0" w:color="auto"/>
            <w:left w:val="none" w:sz="0" w:space="0" w:color="auto"/>
            <w:bottom w:val="none" w:sz="0" w:space="0" w:color="auto"/>
            <w:right w:val="none" w:sz="0" w:space="0" w:color="auto"/>
          </w:divBdr>
        </w:div>
        <w:div w:id="1403604794">
          <w:marLeft w:val="0"/>
          <w:marRight w:val="0"/>
          <w:marTop w:val="0"/>
          <w:marBottom w:val="0"/>
          <w:divBdr>
            <w:top w:val="none" w:sz="0" w:space="0" w:color="auto"/>
            <w:left w:val="none" w:sz="0" w:space="0" w:color="auto"/>
            <w:bottom w:val="none" w:sz="0" w:space="0" w:color="auto"/>
            <w:right w:val="none" w:sz="0" w:space="0" w:color="auto"/>
          </w:divBdr>
        </w:div>
        <w:div w:id="1475289914">
          <w:marLeft w:val="0"/>
          <w:marRight w:val="0"/>
          <w:marTop w:val="0"/>
          <w:marBottom w:val="0"/>
          <w:divBdr>
            <w:top w:val="none" w:sz="0" w:space="0" w:color="auto"/>
            <w:left w:val="none" w:sz="0" w:space="0" w:color="auto"/>
            <w:bottom w:val="none" w:sz="0" w:space="0" w:color="auto"/>
            <w:right w:val="none" w:sz="0" w:space="0" w:color="auto"/>
          </w:divBdr>
        </w:div>
        <w:div w:id="1699819057">
          <w:marLeft w:val="0"/>
          <w:marRight w:val="0"/>
          <w:marTop w:val="0"/>
          <w:marBottom w:val="0"/>
          <w:divBdr>
            <w:top w:val="none" w:sz="0" w:space="0" w:color="auto"/>
            <w:left w:val="none" w:sz="0" w:space="0" w:color="auto"/>
            <w:bottom w:val="none" w:sz="0" w:space="0" w:color="auto"/>
            <w:right w:val="none" w:sz="0" w:space="0" w:color="auto"/>
          </w:divBdr>
        </w:div>
        <w:div w:id="1798183391">
          <w:marLeft w:val="0"/>
          <w:marRight w:val="0"/>
          <w:marTop w:val="0"/>
          <w:marBottom w:val="0"/>
          <w:divBdr>
            <w:top w:val="none" w:sz="0" w:space="0" w:color="auto"/>
            <w:left w:val="none" w:sz="0" w:space="0" w:color="auto"/>
            <w:bottom w:val="none" w:sz="0" w:space="0" w:color="auto"/>
            <w:right w:val="none" w:sz="0" w:space="0" w:color="auto"/>
          </w:divBdr>
        </w:div>
        <w:div w:id="2004046211">
          <w:marLeft w:val="0"/>
          <w:marRight w:val="0"/>
          <w:marTop w:val="0"/>
          <w:marBottom w:val="0"/>
          <w:divBdr>
            <w:top w:val="none" w:sz="0" w:space="0" w:color="auto"/>
            <w:left w:val="none" w:sz="0" w:space="0" w:color="auto"/>
            <w:bottom w:val="none" w:sz="0" w:space="0" w:color="auto"/>
            <w:right w:val="none" w:sz="0" w:space="0" w:color="auto"/>
          </w:divBdr>
        </w:div>
      </w:divsChild>
    </w:div>
    <w:div w:id="1665739817">
      <w:bodyDiv w:val="1"/>
      <w:marLeft w:val="0"/>
      <w:marRight w:val="0"/>
      <w:marTop w:val="0"/>
      <w:marBottom w:val="0"/>
      <w:divBdr>
        <w:top w:val="none" w:sz="0" w:space="0" w:color="auto"/>
        <w:left w:val="none" w:sz="0" w:space="0" w:color="auto"/>
        <w:bottom w:val="none" w:sz="0" w:space="0" w:color="auto"/>
        <w:right w:val="none" w:sz="0" w:space="0" w:color="auto"/>
      </w:divBdr>
      <w:divsChild>
        <w:div w:id="2032140699">
          <w:marLeft w:val="336"/>
          <w:marRight w:val="0"/>
          <w:marTop w:val="120"/>
          <w:marBottom w:val="312"/>
          <w:divBdr>
            <w:top w:val="none" w:sz="0" w:space="0" w:color="auto"/>
            <w:left w:val="none" w:sz="0" w:space="0" w:color="auto"/>
            <w:bottom w:val="none" w:sz="0" w:space="0" w:color="auto"/>
            <w:right w:val="none" w:sz="0" w:space="0" w:color="auto"/>
          </w:divBdr>
          <w:divsChild>
            <w:div w:id="369650642">
              <w:marLeft w:val="0"/>
              <w:marRight w:val="0"/>
              <w:marTop w:val="0"/>
              <w:marBottom w:val="0"/>
              <w:divBdr>
                <w:top w:val="single" w:sz="4" w:space="2" w:color="C8CCD1"/>
                <w:left w:val="single" w:sz="4" w:space="2" w:color="C8CCD1"/>
                <w:bottom w:val="single" w:sz="4" w:space="2" w:color="C8CCD1"/>
                <w:right w:val="single" w:sz="4" w:space="2" w:color="C8CCD1"/>
              </w:divBdr>
            </w:div>
          </w:divsChild>
        </w:div>
      </w:divsChild>
    </w:div>
    <w:div w:id="1750811102">
      <w:bodyDiv w:val="1"/>
      <w:marLeft w:val="0"/>
      <w:marRight w:val="0"/>
      <w:marTop w:val="0"/>
      <w:marBottom w:val="0"/>
      <w:divBdr>
        <w:top w:val="none" w:sz="0" w:space="0" w:color="auto"/>
        <w:left w:val="none" w:sz="0" w:space="0" w:color="auto"/>
        <w:bottom w:val="none" w:sz="0" w:space="0" w:color="auto"/>
        <w:right w:val="none" w:sz="0" w:space="0" w:color="auto"/>
      </w:divBdr>
    </w:div>
    <w:div w:id="1845436521">
      <w:bodyDiv w:val="1"/>
      <w:marLeft w:val="0"/>
      <w:marRight w:val="0"/>
      <w:marTop w:val="0"/>
      <w:marBottom w:val="0"/>
      <w:divBdr>
        <w:top w:val="none" w:sz="0" w:space="0" w:color="auto"/>
        <w:left w:val="none" w:sz="0" w:space="0" w:color="auto"/>
        <w:bottom w:val="none" w:sz="0" w:space="0" w:color="auto"/>
        <w:right w:val="none" w:sz="0" w:space="0" w:color="auto"/>
      </w:divBdr>
    </w:div>
    <w:div w:id="1867677270">
      <w:bodyDiv w:val="1"/>
      <w:marLeft w:val="0"/>
      <w:marRight w:val="0"/>
      <w:marTop w:val="0"/>
      <w:marBottom w:val="0"/>
      <w:divBdr>
        <w:top w:val="none" w:sz="0" w:space="0" w:color="auto"/>
        <w:left w:val="none" w:sz="0" w:space="0" w:color="auto"/>
        <w:bottom w:val="none" w:sz="0" w:space="0" w:color="auto"/>
        <w:right w:val="none" w:sz="0" w:space="0" w:color="auto"/>
      </w:divBdr>
    </w:div>
    <w:div w:id="1961951646">
      <w:bodyDiv w:val="1"/>
      <w:marLeft w:val="0"/>
      <w:marRight w:val="0"/>
      <w:marTop w:val="0"/>
      <w:marBottom w:val="0"/>
      <w:divBdr>
        <w:top w:val="none" w:sz="0" w:space="0" w:color="auto"/>
        <w:left w:val="none" w:sz="0" w:space="0" w:color="auto"/>
        <w:bottom w:val="none" w:sz="0" w:space="0" w:color="auto"/>
        <w:right w:val="none" w:sz="0" w:space="0" w:color="auto"/>
      </w:divBdr>
      <w:divsChild>
        <w:div w:id="515117603">
          <w:marLeft w:val="0"/>
          <w:marRight w:val="0"/>
          <w:marTop w:val="0"/>
          <w:marBottom w:val="0"/>
          <w:divBdr>
            <w:top w:val="none" w:sz="0" w:space="0" w:color="auto"/>
            <w:left w:val="none" w:sz="0" w:space="0" w:color="auto"/>
            <w:bottom w:val="none" w:sz="0" w:space="0" w:color="auto"/>
            <w:right w:val="none" w:sz="0" w:space="0" w:color="auto"/>
          </w:divBdr>
        </w:div>
        <w:div w:id="1392270485">
          <w:marLeft w:val="0"/>
          <w:marRight w:val="0"/>
          <w:marTop w:val="0"/>
          <w:marBottom w:val="0"/>
          <w:divBdr>
            <w:top w:val="none" w:sz="0" w:space="0" w:color="auto"/>
            <w:left w:val="none" w:sz="0" w:space="0" w:color="auto"/>
            <w:bottom w:val="none" w:sz="0" w:space="0" w:color="auto"/>
            <w:right w:val="none" w:sz="0" w:space="0" w:color="auto"/>
          </w:divBdr>
        </w:div>
        <w:div w:id="1578713393">
          <w:marLeft w:val="0"/>
          <w:marRight w:val="0"/>
          <w:marTop w:val="0"/>
          <w:marBottom w:val="0"/>
          <w:divBdr>
            <w:top w:val="none" w:sz="0" w:space="0" w:color="auto"/>
            <w:left w:val="none" w:sz="0" w:space="0" w:color="auto"/>
            <w:bottom w:val="none" w:sz="0" w:space="0" w:color="auto"/>
            <w:right w:val="none" w:sz="0" w:space="0" w:color="auto"/>
          </w:divBdr>
        </w:div>
      </w:divsChild>
    </w:div>
    <w:div w:id="2053844386">
      <w:bodyDiv w:val="1"/>
      <w:marLeft w:val="0"/>
      <w:marRight w:val="0"/>
      <w:marTop w:val="0"/>
      <w:marBottom w:val="0"/>
      <w:divBdr>
        <w:top w:val="none" w:sz="0" w:space="0" w:color="auto"/>
        <w:left w:val="none" w:sz="0" w:space="0" w:color="auto"/>
        <w:bottom w:val="none" w:sz="0" w:space="0" w:color="auto"/>
        <w:right w:val="none" w:sz="0" w:space="0" w:color="auto"/>
      </w:divBdr>
    </w:div>
    <w:div w:id="2057194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t.wikipedia.org/wiki/1969" TargetMode="External"/><Relationship Id="rId3" Type="http://schemas.openxmlformats.org/officeDocument/2006/relationships/settings" Target="settings.xml"/><Relationship Id="rId7" Type="http://schemas.openxmlformats.org/officeDocument/2006/relationships/hyperlink" Target="https://www.studenti.it/topic/grecia.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662</TotalTime>
  <Pages>31</Pages>
  <Words>13778</Words>
  <Characters>78541</Characters>
  <Application>Microsoft Office Word</Application>
  <DocSecurity>0</DocSecurity>
  <Lines>654</Lines>
  <Paragraphs>184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92135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2018-10-06T19:42:00Z</dcterms:created>
  <dcterms:modified xsi:type="dcterms:W3CDTF">2018-10-07T17:53:00Z</dcterms:modified>
</cp:coreProperties>
</file>