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BD85B" w14:textId="77777777" w:rsidR="0066405B" w:rsidRPr="003A1703" w:rsidRDefault="0066405B" w:rsidP="0088307E">
      <w:pPr>
        <w:shd w:val="clear" w:color="auto" w:fill="FFFFFF"/>
        <w:spacing w:after="390" w:line="390" w:lineRule="atLeast"/>
        <w:rPr>
          <w:rFonts w:ascii="Arial" w:eastAsia="Times New Roman" w:hAnsi="Arial" w:cs="Arial"/>
          <w:b/>
          <w:bCs/>
          <w:kern w:val="0"/>
          <w:sz w:val="52"/>
          <w:szCs w:val="52"/>
          <w:lang w:eastAsia="it-IT"/>
          <w14:ligatures w14:val="none"/>
        </w:rPr>
      </w:pPr>
      <w:r w:rsidRPr="003A1703">
        <w:rPr>
          <w:rFonts w:ascii="Arial" w:eastAsia="Times New Roman" w:hAnsi="Arial" w:cs="Arial"/>
          <w:b/>
          <w:bCs/>
          <w:kern w:val="0"/>
          <w:sz w:val="52"/>
          <w:szCs w:val="52"/>
          <w:lang w:eastAsia="it-IT"/>
          <w14:ligatures w14:val="none"/>
        </w:rPr>
        <w:t>NUOVO CODICE APPALTI</w:t>
      </w:r>
    </w:p>
    <w:p w14:paraId="67280E62" w14:textId="10C6A312" w:rsidR="00B8638E" w:rsidRPr="007B3803" w:rsidRDefault="0066405B" w:rsidP="00C27333">
      <w:pPr>
        <w:pStyle w:val="NormaleWeb"/>
        <w:rPr>
          <w:rFonts w:ascii="Arial" w:hAnsi="Arial" w:cs="Arial"/>
        </w:rPr>
      </w:pPr>
      <w:r w:rsidRPr="007B3803">
        <w:rPr>
          <w:rFonts w:ascii="Arial" w:hAnsi="Arial" w:cs="Arial"/>
        </w:rPr>
        <w:t>FASI APPALTI</w:t>
      </w:r>
    </w:p>
    <w:p w14:paraId="1CB07169" w14:textId="77777777" w:rsidR="00B8638E" w:rsidRPr="007B3803" w:rsidRDefault="00B8638E" w:rsidP="00B8638E">
      <w:p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fasi fondamentali degli Appalti Pubblici sono 4:</w:t>
      </w:r>
    </w:p>
    <w:p w14:paraId="37FB7E1F" w14:textId="77777777" w:rsidR="00B8638E" w:rsidRPr="007B3803" w:rsidRDefault="00B8638E" w:rsidP="00B8638E">
      <w:pPr>
        <w:numPr>
          <w:ilvl w:val="0"/>
          <w:numId w:val="5"/>
        </w:num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hyperlink r:id="rId5" w:history="1">
        <w:r w:rsidRPr="007B3803">
          <w:rPr>
            <w:rFonts w:ascii="Arial" w:eastAsia="Times New Roman" w:hAnsi="Arial" w:cs="Arial"/>
            <w:kern w:val="0"/>
            <w:sz w:val="24"/>
            <w:szCs w:val="24"/>
            <w:u w:val="single"/>
            <w:lang w:eastAsia="it-IT"/>
            <w14:ligatures w14:val="none"/>
          </w:rPr>
          <w:t>programmazione</w:t>
        </w:r>
      </w:hyperlink>
    </w:p>
    <w:p w14:paraId="46222ED9" w14:textId="77777777" w:rsidR="00B8638E" w:rsidRPr="007B3803" w:rsidRDefault="00B8638E" w:rsidP="00B8638E">
      <w:pPr>
        <w:numPr>
          <w:ilvl w:val="0"/>
          <w:numId w:val="5"/>
        </w:num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hyperlink r:id="rId6" w:history="1">
        <w:r w:rsidRPr="007B3803">
          <w:rPr>
            <w:rFonts w:ascii="Arial" w:eastAsia="Times New Roman" w:hAnsi="Arial" w:cs="Arial"/>
            <w:kern w:val="0"/>
            <w:sz w:val="24"/>
            <w:szCs w:val="24"/>
            <w:u w:val="single"/>
            <w:lang w:eastAsia="it-IT"/>
            <w14:ligatures w14:val="none"/>
          </w:rPr>
          <w:t>progettazione</w:t>
        </w:r>
      </w:hyperlink>
    </w:p>
    <w:p w14:paraId="286C0E87" w14:textId="77777777" w:rsidR="00B8638E" w:rsidRPr="001867F0" w:rsidRDefault="00B8638E" w:rsidP="00B8638E">
      <w:pPr>
        <w:numPr>
          <w:ilvl w:val="0"/>
          <w:numId w:val="5"/>
        </w:numPr>
        <w:shd w:val="clear" w:color="auto" w:fill="FFFFFF"/>
        <w:spacing w:before="100" w:beforeAutospacing="1" w:after="100" w:afterAutospacing="1" w:line="240" w:lineRule="auto"/>
        <w:jc w:val="both"/>
        <w:rPr>
          <w:rFonts w:ascii="Arial" w:eastAsia="Times New Roman" w:hAnsi="Arial" w:cs="Arial"/>
          <w:kern w:val="0"/>
          <w:sz w:val="24"/>
          <w:szCs w:val="24"/>
          <w:u w:val="single"/>
          <w:lang w:eastAsia="it-IT"/>
          <w14:ligatures w14:val="none"/>
        </w:rPr>
      </w:pPr>
      <w:r w:rsidRPr="001867F0">
        <w:rPr>
          <w:rFonts w:ascii="Arial" w:eastAsia="Times New Roman" w:hAnsi="Arial" w:cs="Arial"/>
          <w:kern w:val="0"/>
          <w:sz w:val="24"/>
          <w:szCs w:val="24"/>
          <w:u w:val="single"/>
          <w:lang w:eastAsia="it-IT"/>
          <w14:ligatures w14:val="none"/>
        </w:rPr>
        <w:t>affidamento</w:t>
      </w:r>
    </w:p>
    <w:p w14:paraId="547626C3" w14:textId="77777777" w:rsidR="00B8638E" w:rsidRPr="007B3803" w:rsidRDefault="00B8638E" w:rsidP="00B8638E">
      <w:pPr>
        <w:numPr>
          <w:ilvl w:val="0"/>
          <w:numId w:val="5"/>
        </w:num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hyperlink r:id="rId7" w:history="1">
        <w:r w:rsidRPr="007B3803">
          <w:rPr>
            <w:rFonts w:ascii="Arial" w:eastAsia="Times New Roman" w:hAnsi="Arial" w:cs="Arial"/>
            <w:kern w:val="0"/>
            <w:sz w:val="24"/>
            <w:szCs w:val="24"/>
            <w:u w:val="single"/>
            <w:lang w:eastAsia="it-IT"/>
            <w14:ligatures w14:val="none"/>
          </w:rPr>
          <w:t>esecuzione</w:t>
        </w:r>
      </w:hyperlink>
    </w:p>
    <w:p w14:paraId="170B7016"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nuovo Codice dei contratti pubblici conferma la disciplina sulla programmazione degli appalti, ma introduce alcune modifiche rispetto all’attuale articolo 21 del decreto legislativo n. 50/2016. Le principali novità introdotte nel testo rinnovato sono le seguenti:</w:t>
      </w:r>
    </w:p>
    <w:p w14:paraId="2CD7AF9F" w14:textId="7BBB567C" w:rsidR="00485CCA" w:rsidRPr="007B3803" w:rsidRDefault="00485CCA" w:rsidP="00485CCA">
      <w:pPr>
        <w:numPr>
          <w:ilvl w:val="0"/>
          <w:numId w:val="10"/>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w:t>
      </w:r>
      <w:r w:rsidRPr="007B3803">
        <w:rPr>
          <w:rFonts w:ascii="Arial" w:eastAsia="Times New Roman" w:hAnsi="Arial" w:cs="Arial"/>
          <w:b/>
          <w:bCs/>
          <w:kern w:val="0"/>
          <w:sz w:val="24"/>
          <w:szCs w:val="24"/>
          <w:lang w:eastAsia="it-IT"/>
          <w14:ligatures w14:val="none"/>
        </w:rPr>
        <w:t> programmazione dei lavori e delle opere</w:t>
      </w:r>
      <w:r w:rsidRPr="007B3803">
        <w:rPr>
          <w:rFonts w:ascii="Arial" w:eastAsia="Times New Roman" w:hAnsi="Arial" w:cs="Arial"/>
          <w:kern w:val="0"/>
          <w:sz w:val="24"/>
          <w:szCs w:val="24"/>
          <w:lang w:eastAsia="it-IT"/>
          <w14:ligatures w14:val="none"/>
        </w:rPr>
        <w:t>, comprese le complesse realizzate attraverso concessioni o partenariati pubblico-privato, diventa </w:t>
      </w:r>
      <w:r w:rsidRPr="007B3803">
        <w:rPr>
          <w:rFonts w:ascii="Arial" w:eastAsia="Times New Roman" w:hAnsi="Arial" w:cs="Arial"/>
          <w:b/>
          <w:bCs/>
          <w:kern w:val="0"/>
          <w:sz w:val="24"/>
          <w:szCs w:val="24"/>
          <w:lang w:eastAsia="it-IT"/>
          <w14:ligatures w14:val="none"/>
        </w:rPr>
        <w:t xml:space="preserve">obbligatoria quando l’importo stimato raggiunge o supera i 150.000 </w:t>
      </w:r>
    </w:p>
    <w:p w14:paraId="69792001" w14:textId="5CF1DF63" w:rsidR="00485CCA" w:rsidRPr="007B3803" w:rsidRDefault="00485CCA" w:rsidP="00485CCA">
      <w:pPr>
        <w:numPr>
          <w:ilvl w:val="0"/>
          <w:numId w:val="10"/>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w:t>
      </w:r>
      <w:r w:rsidRPr="007B3803">
        <w:rPr>
          <w:rFonts w:ascii="Arial" w:eastAsia="Times New Roman" w:hAnsi="Arial" w:cs="Arial"/>
          <w:b/>
          <w:bCs/>
          <w:kern w:val="0"/>
          <w:sz w:val="24"/>
          <w:szCs w:val="24"/>
          <w:lang w:eastAsia="it-IT"/>
          <w14:ligatures w14:val="none"/>
        </w:rPr>
        <w:t>programmazione degli acquisti di beni e dei servizi diventa obbligatoria </w:t>
      </w:r>
      <w:r w:rsidRPr="007B3803">
        <w:rPr>
          <w:rFonts w:ascii="Arial" w:eastAsia="Times New Roman" w:hAnsi="Arial" w:cs="Arial"/>
          <w:kern w:val="0"/>
          <w:sz w:val="24"/>
          <w:szCs w:val="24"/>
          <w:lang w:eastAsia="it-IT"/>
          <w14:ligatures w14:val="none"/>
        </w:rPr>
        <w:t>quando il valore stimato raggiunge o supera i </w:t>
      </w:r>
      <w:r w:rsidRPr="007B3803">
        <w:rPr>
          <w:rFonts w:ascii="Arial" w:eastAsia="Times New Roman" w:hAnsi="Arial" w:cs="Arial"/>
          <w:b/>
          <w:bCs/>
          <w:kern w:val="0"/>
          <w:sz w:val="24"/>
          <w:szCs w:val="24"/>
          <w:lang w:eastAsia="it-IT"/>
          <w14:ligatures w14:val="none"/>
        </w:rPr>
        <w:t>140.000 euro</w:t>
      </w:r>
      <w:r w:rsidRPr="007B3803">
        <w:rPr>
          <w:rFonts w:ascii="Arial" w:eastAsia="Times New Roman" w:hAnsi="Arial" w:cs="Arial"/>
          <w:kern w:val="0"/>
          <w:sz w:val="24"/>
          <w:szCs w:val="24"/>
          <w:lang w:eastAsia="it-IT"/>
          <w14:ligatures w14:val="none"/>
        </w:rPr>
        <w:t> </w:t>
      </w:r>
    </w:p>
    <w:p w14:paraId="37013B6C" w14:textId="65403BA5" w:rsidR="00B8638E" w:rsidRPr="007B3803" w:rsidRDefault="00485CCA" w:rsidP="00484FA1">
      <w:pPr>
        <w:numPr>
          <w:ilvl w:val="0"/>
          <w:numId w:val="10"/>
        </w:numPr>
        <w:shd w:val="clear" w:color="auto" w:fill="FFFFFF"/>
        <w:spacing w:before="100" w:beforeAutospacing="1" w:after="100" w:afterAutospacing="1" w:line="240" w:lineRule="auto"/>
        <w:rPr>
          <w:rFonts w:ascii="Arial" w:hAnsi="Arial" w:cs="Arial"/>
        </w:rPr>
      </w:pPr>
      <w:r w:rsidRPr="007B3803">
        <w:rPr>
          <w:rFonts w:ascii="Arial" w:eastAsia="Times New Roman" w:hAnsi="Arial" w:cs="Arial"/>
          <w:b/>
          <w:bCs/>
          <w:kern w:val="0"/>
          <w:sz w:val="24"/>
          <w:szCs w:val="24"/>
          <w:lang w:eastAsia="it-IT"/>
          <w14:ligatures w14:val="none"/>
        </w:rPr>
        <w:t>L’orizzonte temporale della programmazione viene unificato a tre anni</w:t>
      </w:r>
      <w:r w:rsidRPr="007B3803">
        <w:rPr>
          <w:rFonts w:ascii="Arial" w:eastAsia="Times New Roman" w:hAnsi="Arial" w:cs="Arial"/>
          <w:kern w:val="0"/>
          <w:sz w:val="24"/>
          <w:szCs w:val="24"/>
          <w:lang w:eastAsia="it-IT"/>
          <w14:ligatures w14:val="none"/>
        </w:rPr>
        <w:t> con aggiornamenti annuali per tutte le tipologie merceologiche, lavori, beni e servizi (</w:t>
      </w:r>
      <w:r w:rsidR="00B8638E" w:rsidRPr="007B3803">
        <w:rPr>
          <w:rFonts w:ascii="Arial" w:hAnsi="Arial" w:cs="Arial"/>
        </w:rPr>
        <w:t>livelli di progettazione</w:t>
      </w:r>
      <w:r w:rsidR="00B8638E" w:rsidRPr="007B3803">
        <w:rPr>
          <w:rFonts w:ascii="Arial" w:hAnsi="Arial" w:cs="Arial"/>
        </w:rPr>
        <w:sym w:font="Wingdings" w:char="F0E0"/>
      </w:r>
      <w:r w:rsidR="00B8638E" w:rsidRPr="007B3803">
        <w:rPr>
          <w:rFonts w:ascii="Arial" w:hAnsi="Arial" w:cs="Arial"/>
        </w:rPr>
        <w:t xml:space="preserve">l </w:t>
      </w:r>
      <w:proofErr w:type="spellStart"/>
      <w:r w:rsidR="00B8638E" w:rsidRPr="007B3803">
        <w:rPr>
          <w:rFonts w:ascii="Arial" w:hAnsi="Arial" w:cs="Arial"/>
        </w:rPr>
        <w:t>dlgs</w:t>
      </w:r>
      <w:proofErr w:type="spellEnd"/>
      <w:r w:rsidR="00B8638E" w:rsidRPr="007B3803">
        <w:rPr>
          <w:rFonts w:ascii="Arial" w:hAnsi="Arial" w:cs="Arial"/>
        </w:rPr>
        <w:t xml:space="preserve"> 36/2023 (nuovo </w:t>
      </w:r>
      <w:hyperlink r:id="rId8" w:tgtFrame="_blank" w:history="1">
        <w:r w:rsidR="00B8638E" w:rsidRPr="007B3803">
          <w:rPr>
            <w:rFonts w:ascii="Arial" w:hAnsi="Arial" w:cs="Arial"/>
            <w:bdr w:val="none" w:sz="0" w:space="0" w:color="auto" w:frame="1"/>
          </w:rPr>
          <w:t>codice appalti</w:t>
        </w:r>
      </w:hyperlink>
      <w:r w:rsidR="00B8638E" w:rsidRPr="007B3803">
        <w:rPr>
          <w:rFonts w:ascii="Arial" w:hAnsi="Arial" w:cs="Arial"/>
        </w:rPr>
        <w:t>) contiene un’importante novità circa i livelli di progettazione: si passa da 3 a 2: scompare il</w:t>
      </w:r>
      <w:r w:rsidR="00B8638E" w:rsidRPr="007B3803">
        <w:rPr>
          <w:rFonts w:ascii="Arial" w:hAnsi="Arial" w:cs="Arial"/>
          <w:b/>
          <w:bCs/>
          <w:bdr w:val="none" w:sz="0" w:space="0" w:color="auto" w:frame="1"/>
        </w:rPr>
        <w:t> progetto definitivo</w:t>
      </w:r>
      <w:r w:rsidR="00B8638E" w:rsidRPr="007B3803">
        <w:rPr>
          <w:rFonts w:ascii="Arial" w:hAnsi="Arial" w:cs="Arial"/>
        </w:rPr>
        <w:t>.</w:t>
      </w:r>
    </w:p>
    <w:p w14:paraId="455161F8" w14:textId="77777777" w:rsidR="00B8638E" w:rsidRPr="007B3803" w:rsidRDefault="00B8638E"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Nell’art. 41 (</w:t>
      </w:r>
      <w:r w:rsidRPr="007B3803">
        <w:rPr>
          <w:rFonts w:ascii="Arial" w:eastAsia="Times New Roman" w:hAnsi="Arial" w:cs="Arial"/>
          <w:b/>
          <w:bCs/>
          <w:kern w:val="0"/>
          <w:sz w:val="24"/>
          <w:szCs w:val="24"/>
          <w:bdr w:val="none" w:sz="0" w:space="0" w:color="auto" w:frame="1"/>
          <w:lang w:eastAsia="it-IT"/>
          <w14:ligatures w14:val="none"/>
        </w:rPr>
        <w:t>livelli e contenuti di progettazione</w:t>
      </w:r>
      <w:r w:rsidRPr="007B3803">
        <w:rPr>
          <w:rFonts w:ascii="Arial" w:eastAsia="Times New Roman" w:hAnsi="Arial" w:cs="Arial"/>
          <w:kern w:val="0"/>
          <w:sz w:val="24"/>
          <w:szCs w:val="24"/>
          <w:lang w:eastAsia="it-IT"/>
          <w14:ligatures w14:val="none"/>
        </w:rPr>
        <w:t>), leggiamo che i livelli di progettazione sono 2:</w:t>
      </w:r>
    </w:p>
    <w:p w14:paraId="5E2848B9" w14:textId="77777777" w:rsidR="00B8638E" w:rsidRPr="007B3803" w:rsidRDefault="00B8638E" w:rsidP="00B8638E">
      <w:pPr>
        <w:numPr>
          <w:ilvl w:val="0"/>
          <w:numId w:val="6"/>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bdr w:val="none" w:sz="0" w:space="0" w:color="auto" w:frame="1"/>
          <w:lang w:eastAsia="it-IT"/>
          <w14:ligatures w14:val="none"/>
        </w:rPr>
        <w:t>progetto di fattibilità tecnico-economica</w:t>
      </w:r>
      <w:r w:rsidRPr="007B3803">
        <w:rPr>
          <w:rFonts w:ascii="Arial" w:eastAsia="Times New Roman" w:hAnsi="Arial" w:cs="Arial"/>
          <w:kern w:val="0"/>
          <w:sz w:val="24"/>
          <w:szCs w:val="24"/>
          <w:lang w:eastAsia="it-IT"/>
          <w14:ligatures w14:val="none"/>
        </w:rPr>
        <w:t>;</w:t>
      </w:r>
    </w:p>
    <w:p w14:paraId="4A7AD50C" w14:textId="77777777" w:rsidR="00B8638E" w:rsidRPr="007B3803" w:rsidRDefault="00B8638E" w:rsidP="00B8638E">
      <w:pPr>
        <w:numPr>
          <w:ilvl w:val="0"/>
          <w:numId w:val="6"/>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bdr w:val="none" w:sz="0" w:space="0" w:color="auto" w:frame="1"/>
          <w:lang w:eastAsia="it-IT"/>
          <w14:ligatures w14:val="none"/>
        </w:rPr>
        <w:t>progetto esecutivo</w:t>
      </w:r>
      <w:r w:rsidRPr="007B3803">
        <w:rPr>
          <w:rFonts w:ascii="Arial" w:eastAsia="Times New Roman" w:hAnsi="Arial" w:cs="Arial"/>
          <w:kern w:val="0"/>
          <w:sz w:val="24"/>
          <w:szCs w:val="24"/>
          <w:lang w:eastAsia="it-IT"/>
          <w14:ligatures w14:val="none"/>
        </w:rPr>
        <w:t>.</w:t>
      </w:r>
    </w:p>
    <w:p w14:paraId="654C0027"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stazione appaltante indica alcuni parametri da rispettare in ogni fase della progettazione:</w:t>
      </w:r>
    </w:p>
    <w:p w14:paraId="2FAECD5B" w14:textId="77777777" w:rsidR="00B8638E" w:rsidRPr="007B3803" w:rsidRDefault="00B8638E" w:rsidP="00B8638E">
      <w:pPr>
        <w:numPr>
          <w:ilvl w:val="0"/>
          <w:numId w:val="7"/>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caratteristiche;</w:t>
      </w:r>
    </w:p>
    <w:p w14:paraId="6008F931" w14:textId="77777777" w:rsidR="00B8638E" w:rsidRPr="007B3803" w:rsidRDefault="00B8638E" w:rsidP="00B8638E">
      <w:pPr>
        <w:numPr>
          <w:ilvl w:val="0"/>
          <w:numId w:val="7"/>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requisiti;</w:t>
      </w:r>
    </w:p>
    <w:p w14:paraId="534CC489" w14:textId="77777777" w:rsidR="00B8638E" w:rsidRPr="007B3803" w:rsidRDefault="00B8638E" w:rsidP="00B8638E">
      <w:pPr>
        <w:numPr>
          <w:ilvl w:val="0"/>
          <w:numId w:val="7"/>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elaborati progettuali.</w:t>
      </w:r>
    </w:p>
    <w:p w14:paraId="431C9FA6"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riguarda gli interventi di manutenzione ordinaria e straordinaria può essere omesso il primo livello di progettazione a condizione che l’esecutivo includa tutti gli elementi previsti dal livello omesso.</w:t>
      </w:r>
    </w:p>
    <w:p w14:paraId="60641C9F" w14:textId="77777777" w:rsidR="00484FA1" w:rsidRPr="00484FA1" w:rsidRDefault="00B8638E" w:rsidP="00484FA1">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Il progetto di fattibilità tecnico-economica ha la finalità di individuare la soluzione migliore in correlazione alle esigenze da soddisfare, che debba garantire un buon rapporto qualità-prezzo e di costi-benefici. </w:t>
      </w:r>
      <w:r w:rsidR="00484FA1" w:rsidRPr="00484FA1">
        <w:rPr>
          <w:rFonts w:ascii="Arial" w:eastAsia="Times New Roman" w:hAnsi="Arial" w:cs="Arial"/>
          <w:kern w:val="0"/>
          <w:sz w:val="24"/>
          <w:szCs w:val="24"/>
          <w:lang w:eastAsia="it-IT"/>
          <w14:ligatures w14:val="none"/>
        </w:rPr>
        <w:t xml:space="preserve">Il PFTE comprende diversi elaborati e analisi, tra cui: </w:t>
      </w:r>
    </w:p>
    <w:p w14:paraId="789219EC" w14:textId="77777777" w:rsidR="00484FA1" w:rsidRPr="00484FA1" w:rsidRDefault="00484FA1" w:rsidP="00484FA1">
      <w:pPr>
        <w:pStyle w:val="Paragrafoelenco"/>
        <w:numPr>
          <w:ilvl w:val="0"/>
          <w:numId w:val="47"/>
        </w:num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484FA1">
        <w:rPr>
          <w:rFonts w:ascii="Arial" w:eastAsia="Times New Roman" w:hAnsi="Arial" w:cs="Arial"/>
          <w:kern w:val="0"/>
          <w:sz w:val="24"/>
          <w:szCs w:val="24"/>
          <w:lang w:eastAsia="it-IT"/>
          <w14:ligatures w14:val="none"/>
        </w:rPr>
        <w:t>Relazione generale con descrizione sintetica dell’opera e motivazioni delle scelte progettuali.</w:t>
      </w:r>
    </w:p>
    <w:p w14:paraId="17F96ED2" w14:textId="77777777" w:rsidR="00484FA1" w:rsidRPr="00484FA1" w:rsidRDefault="00484FA1" w:rsidP="00484FA1">
      <w:pPr>
        <w:pStyle w:val="Paragrafoelenco"/>
        <w:numPr>
          <w:ilvl w:val="0"/>
          <w:numId w:val="47"/>
        </w:num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484FA1">
        <w:rPr>
          <w:rFonts w:ascii="Arial" w:eastAsia="Times New Roman" w:hAnsi="Arial" w:cs="Arial"/>
          <w:kern w:val="0"/>
          <w:sz w:val="24"/>
          <w:szCs w:val="24"/>
          <w:lang w:eastAsia="it-IT"/>
          <w14:ligatures w14:val="none"/>
        </w:rPr>
        <w:t>Analisi delle alternative progettuali (DOCFAP), selezionando la soluzione ottimale.</w:t>
      </w:r>
    </w:p>
    <w:p w14:paraId="571D19F9" w14:textId="77777777" w:rsidR="00484FA1" w:rsidRPr="00484FA1" w:rsidRDefault="00484FA1" w:rsidP="00484FA1">
      <w:pPr>
        <w:pStyle w:val="Paragrafoelenco"/>
        <w:numPr>
          <w:ilvl w:val="0"/>
          <w:numId w:val="47"/>
        </w:num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484FA1">
        <w:rPr>
          <w:rFonts w:ascii="Arial" w:eastAsia="Times New Roman" w:hAnsi="Arial" w:cs="Arial"/>
          <w:kern w:val="0"/>
          <w:sz w:val="24"/>
          <w:szCs w:val="24"/>
          <w:lang w:eastAsia="it-IT"/>
          <w14:ligatures w14:val="none"/>
        </w:rPr>
        <w:t>Elaborati grafici per individuare caratteristiche dimensionali, volumetriche, tipologiche, funzionali e tecnologiche.</w:t>
      </w:r>
    </w:p>
    <w:p w14:paraId="127A3B54" w14:textId="77777777" w:rsidR="00484FA1" w:rsidRPr="00484FA1" w:rsidRDefault="00484FA1" w:rsidP="00484FA1">
      <w:pPr>
        <w:pStyle w:val="Paragrafoelenco"/>
        <w:numPr>
          <w:ilvl w:val="0"/>
          <w:numId w:val="47"/>
        </w:num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484FA1">
        <w:rPr>
          <w:rFonts w:ascii="Arial" w:eastAsia="Times New Roman" w:hAnsi="Arial" w:cs="Arial"/>
          <w:kern w:val="0"/>
          <w:sz w:val="24"/>
          <w:szCs w:val="24"/>
          <w:lang w:eastAsia="it-IT"/>
          <w14:ligatures w14:val="none"/>
        </w:rPr>
        <w:t>Stime economiche dettagliate, comprese le coperture finanziarie e la stima dei costi della sicurezza.</w:t>
      </w:r>
    </w:p>
    <w:p w14:paraId="7642BF22" w14:textId="77777777" w:rsidR="00484FA1" w:rsidRPr="00484FA1" w:rsidRDefault="00484FA1" w:rsidP="00484FA1">
      <w:pPr>
        <w:pStyle w:val="Paragrafoelenco"/>
        <w:numPr>
          <w:ilvl w:val="0"/>
          <w:numId w:val="47"/>
        </w:num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484FA1">
        <w:rPr>
          <w:rFonts w:ascii="Arial" w:eastAsia="Times New Roman" w:hAnsi="Arial" w:cs="Arial"/>
          <w:kern w:val="0"/>
          <w:sz w:val="24"/>
          <w:szCs w:val="24"/>
          <w:lang w:eastAsia="it-IT"/>
          <w14:ligatures w14:val="none"/>
        </w:rPr>
        <w:t>Piano preliminare di manutenzione dell’opera e delle sue parti.</w:t>
      </w:r>
    </w:p>
    <w:p w14:paraId="79AB6F56" w14:textId="77777777" w:rsidR="00484FA1" w:rsidRPr="00484FA1" w:rsidRDefault="00484FA1" w:rsidP="00484FA1">
      <w:pPr>
        <w:pStyle w:val="Paragrafoelenco"/>
        <w:numPr>
          <w:ilvl w:val="0"/>
          <w:numId w:val="47"/>
        </w:num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484FA1">
        <w:rPr>
          <w:rFonts w:ascii="Arial" w:eastAsia="Times New Roman" w:hAnsi="Arial" w:cs="Arial"/>
          <w:kern w:val="0"/>
          <w:sz w:val="24"/>
          <w:szCs w:val="24"/>
          <w:lang w:eastAsia="it-IT"/>
          <w14:ligatures w14:val="none"/>
        </w:rPr>
        <w:lastRenderedPageBreak/>
        <w:t>Valutazioni ambientali e di sostenibilità, inclusi impatti su biodiversità, prevenzione dell’inquinamento e riuso dei materiali.</w:t>
      </w:r>
    </w:p>
    <w:p w14:paraId="40DB3D57" w14:textId="77777777" w:rsidR="00484FA1" w:rsidRPr="00484FA1" w:rsidRDefault="00484FA1" w:rsidP="00484FA1">
      <w:pPr>
        <w:pStyle w:val="Paragrafoelenco"/>
        <w:numPr>
          <w:ilvl w:val="0"/>
          <w:numId w:val="47"/>
        </w:num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484FA1">
        <w:rPr>
          <w:rFonts w:ascii="Arial" w:eastAsia="Times New Roman" w:hAnsi="Arial" w:cs="Arial"/>
          <w:kern w:val="0"/>
          <w:sz w:val="24"/>
          <w:szCs w:val="24"/>
          <w:lang w:eastAsia="it-IT"/>
          <w14:ligatures w14:val="none"/>
        </w:rPr>
        <w:t>Elenco delle autorizzazioni e pareri necessari per la realizzazione e l’esercizio dell’intervento.</w:t>
      </w:r>
    </w:p>
    <w:p w14:paraId="35CCF944" w14:textId="77777777" w:rsidR="00484FA1" w:rsidRPr="00484FA1" w:rsidRDefault="00484FA1" w:rsidP="00484FA1">
      <w:pPr>
        <w:pStyle w:val="Paragrafoelenco"/>
        <w:numPr>
          <w:ilvl w:val="0"/>
          <w:numId w:val="47"/>
        </w:num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484FA1">
        <w:rPr>
          <w:rFonts w:ascii="Arial" w:eastAsia="Times New Roman" w:hAnsi="Arial" w:cs="Arial"/>
          <w:kern w:val="0"/>
          <w:sz w:val="24"/>
          <w:szCs w:val="24"/>
          <w:lang w:eastAsia="it-IT"/>
          <w14:ligatures w14:val="none"/>
        </w:rPr>
        <w:t>Strategie di gestione del rischio per eventi naturali o antropici che possano influire sull’incolumità pubblica.</w:t>
      </w:r>
    </w:p>
    <w:p w14:paraId="1002FE5A" w14:textId="416FB7D6" w:rsidR="00B8638E" w:rsidRPr="007B3803" w:rsidRDefault="00484FA1" w:rsidP="00484FA1">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484FA1">
        <w:rPr>
          <w:rFonts w:ascii="Arial" w:eastAsia="Times New Roman" w:hAnsi="Arial" w:cs="Arial"/>
          <w:kern w:val="0"/>
          <w:sz w:val="24"/>
          <w:szCs w:val="24"/>
          <w:lang w:eastAsia="it-IT"/>
          <w14:ligatures w14:val="none"/>
        </w:rPr>
        <w:t xml:space="preserve">L’assenza o l’incompletezza del PFTE può compromettere la trasparenza e la concorrenza nelle gare d’appalto, impedendo di definire con certezza l’oggetto delle prestazioni e le modalità di esecuzione dei lavori. Inoltre, costituisce la base per la verifica dei requisiti di partecipazione e per la determinazione dei corrispettivi, evitando squilibri tra i </w:t>
      </w:r>
      <w:proofErr w:type="spellStart"/>
      <w:r w:rsidRPr="00484FA1">
        <w:rPr>
          <w:rFonts w:ascii="Arial" w:eastAsia="Times New Roman" w:hAnsi="Arial" w:cs="Arial"/>
          <w:kern w:val="0"/>
          <w:sz w:val="24"/>
          <w:szCs w:val="24"/>
          <w:lang w:eastAsia="it-IT"/>
          <w14:ligatures w14:val="none"/>
        </w:rPr>
        <w:t>concorrent</w:t>
      </w:r>
      <w:proofErr w:type="spellEnd"/>
    </w:p>
    <w:p w14:paraId="77593E51" w14:textId="072ACCE4"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progetto esecutivo, il secondo ed ultimo livello di progettazione, è sempre coerente al progetto d fattibilità tecnico-economica. Ha determinate caratteristiche, quali:</w:t>
      </w:r>
    </w:p>
    <w:p w14:paraId="35B8AE33" w14:textId="77777777" w:rsidR="00B8638E" w:rsidRPr="007B3803" w:rsidRDefault="00B8638E" w:rsidP="00B8638E">
      <w:pPr>
        <w:numPr>
          <w:ilvl w:val="0"/>
          <w:numId w:val="9"/>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sviluppa un livello di definizione degli elementi tale da individuarne compiutamente la funzione, i requisiti, la qualità e il prezzo di elenco;</w:t>
      </w:r>
    </w:p>
    <w:p w14:paraId="08FFAF46" w14:textId="77777777" w:rsidR="00B8638E" w:rsidRPr="007B3803" w:rsidRDefault="00B8638E" w:rsidP="00B8638E">
      <w:pPr>
        <w:numPr>
          <w:ilvl w:val="0"/>
          <w:numId w:val="9"/>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è corredato dal </w:t>
      </w:r>
      <w:r w:rsidRPr="007B3803">
        <w:rPr>
          <w:rFonts w:ascii="Arial" w:eastAsia="Times New Roman" w:hAnsi="Arial" w:cs="Arial"/>
          <w:b/>
          <w:bCs/>
          <w:kern w:val="0"/>
          <w:sz w:val="24"/>
          <w:szCs w:val="24"/>
          <w:bdr w:val="none" w:sz="0" w:space="0" w:color="auto" w:frame="1"/>
          <w:lang w:eastAsia="it-IT"/>
          <w14:ligatures w14:val="none"/>
        </w:rPr>
        <w:t>piano di manutenzione dell’opera</w:t>
      </w:r>
      <w:r w:rsidRPr="007B3803">
        <w:rPr>
          <w:rFonts w:ascii="Arial" w:eastAsia="Times New Roman" w:hAnsi="Arial" w:cs="Arial"/>
          <w:kern w:val="0"/>
          <w:sz w:val="24"/>
          <w:szCs w:val="24"/>
          <w:lang w:eastAsia="it-IT"/>
          <w14:ligatures w14:val="none"/>
        </w:rPr>
        <w:t> per l’intero ciclo di vita e determina in dettaglio i lavori da realizzare, il loro costo e i loro tempi di realizzazione;</w:t>
      </w:r>
    </w:p>
    <w:p w14:paraId="53F3D49D" w14:textId="77777777" w:rsidR="00B8638E" w:rsidRPr="007B3803" w:rsidRDefault="00B8638E" w:rsidP="00B8638E">
      <w:pPr>
        <w:numPr>
          <w:ilvl w:val="0"/>
          <w:numId w:val="9"/>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se sono utilizzati metodi e strumenti di gestione informativa digitale delle costruzioni, sviluppa un livello di definizione degli oggetti rispondente a quanto specificato nel capitolato informativo a corredo del progetto;</w:t>
      </w:r>
    </w:p>
    <w:p w14:paraId="4C30701D" w14:textId="77777777" w:rsidR="00B8638E" w:rsidRPr="007B3803" w:rsidRDefault="00B8638E" w:rsidP="00B8638E">
      <w:pPr>
        <w:numPr>
          <w:ilvl w:val="0"/>
          <w:numId w:val="9"/>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di regola, è redatto dallo stesso soggetto che ha predisposto il progetto di fattibilità tecnico-economica. Nel caso in cui motivate ragioni giustifichino l’affidamento disgiunto, il nuovo progettista accetta senza riserve l’attività progettuale svolta in precedenza.</w:t>
      </w:r>
    </w:p>
    <w:p w14:paraId="22AF2C5A" w14:textId="77777777" w:rsidR="00B8638E" w:rsidRDefault="00B8638E"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dettaglio dei contenuti dei 2 livelli di progettazione è contenuto nell’</w:t>
      </w:r>
      <w:r w:rsidRPr="007B3803">
        <w:rPr>
          <w:rFonts w:ascii="Arial" w:eastAsia="Times New Roman" w:hAnsi="Arial" w:cs="Arial"/>
          <w:b/>
          <w:bCs/>
          <w:kern w:val="0"/>
          <w:sz w:val="24"/>
          <w:szCs w:val="24"/>
          <w:bdr w:val="none" w:sz="0" w:space="0" w:color="auto" w:frame="1"/>
          <w:lang w:eastAsia="it-IT"/>
          <w14:ligatures w14:val="none"/>
        </w:rPr>
        <w:t>allegato I.7</w:t>
      </w:r>
      <w:r w:rsidRPr="007B3803">
        <w:rPr>
          <w:rFonts w:ascii="Arial" w:eastAsia="Times New Roman" w:hAnsi="Arial" w:cs="Arial"/>
          <w:kern w:val="0"/>
          <w:sz w:val="24"/>
          <w:szCs w:val="24"/>
          <w:lang w:eastAsia="it-IT"/>
          <w14:ligatures w14:val="none"/>
        </w:rPr>
        <w:t>.</w:t>
      </w:r>
    </w:p>
    <w:p w14:paraId="04D8B807" w14:textId="77777777" w:rsidR="008C4AF4" w:rsidRDefault="008C4AF4"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12166C44" w14:textId="47B08F2D" w:rsidR="008C4AF4" w:rsidRDefault="008C4AF4"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RUP</w:t>
      </w:r>
    </w:p>
    <w:p w14:paraId="2B61CFC1" w14:textId="77777777" w:rsidR="008C4AF4" w:rsidRDefault="008C4AF4"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7786C65D" w14:textId="39E5647B"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Il Codice attribuisce un ruolo centrale al RUP, la cui figura viene profondamente valorizzata sin dalla modifica della denominazione che da responsabile unico del</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procedimento diviene responsabile unico del progetto. Questa innovazione è tesa </w:t>
      </w:r>
      <w:proofErr w:type="gramStart"/>
      <w:r w:rsidRPr="008C4AF4">
        <w:rPr>
          <w:rFonts w:ascii="Arial" w:eastAsia="Times New Roman" w:hAnsi="Arial" w:cs="Arial"/>
          <w:kern w:val="0"/>
          <w:sz w:val="24"/>
          <w:szCs w:val="24"/>
          <w:lang w:eastAsia="it-IT"/>
          <w14:ligatures w14:val="none"/>
        </w:rPr>
        <w:t xml:space="preserve">a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sottolineare</w:t>
      </w:r>
      <w:proofErr w:type="gramEnd"/>
      <w:r w:rsidRPr="008C4AF4">
        <w:rPr>
          <w:rFonts w:ascii="Arial" w:eastAsia="Times New Roman" w:hAnsi="Arial" w:cs="Arial"/>
          <w:kern w:val="0"/>
          <w:sz w:val="24"/>
          <w:szCs w:val="24"/>
          <w:lang w:eastAsia="it-IT"/>
          <w14:ligatures w14:val="none"/>
        </w:rPr>
        <w:t xml:space="preserve"> che la responsabilità assunta dal RUP non riguarda uno o più procedimenti,</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ma l’intero progetto, sin dalla sua fase di programmazione. Il principio di unicità </w:t>
      </w:r>
      <w:proofErr w:type="gramStart"/>
      <w:r w:rsidRPr="008C4AF4">
        <w:rPr>
          <w:rFonts w:ascii="Arial" w:eastAsia="Times New Roman" w:hAnsi="Arial" w:cs="Arial"/>
          <w:kern w:val="0"/>
          <w:sz w:val="24"/>
          <w:szCs w:val="24"/>
          <w:lang w:eastAsia="it-IT"/>
          <w14:ligatures w14:val="none"/>
        </w:rPr>
        <w:t xml:space="preserve">della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responsabilità</w:t>
      </w:r>
      <w:proofErr w:type="gramEnd"/>
      <w:r w:rsidRPr="008C4AF4">
        <w:rPr>
          <w:rFonts w:ascii="Arial" w:eastAsia="Times New Roman" w:hAnsi="Arial" w:cs="Arial"/>
          <w:kern w:val="0"/>
          <w:sz w:val="24"/>
          <w:szCs w:val="24"/>
          <w:lang w:eastAsia="it-IT"/>
          <w14:ligatures w14:val="none"/>
        </w:rPr>
        <w:t xml:space="preserve"> va quindi riferito all’insieme dei procedimenti, diversi e autonomi, volti alla</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realizzazione dell’intervento pubblico. </w:t>
      </w:r>
    </w:p>
    <w:p w14:paraId="08D37AAC" w14:textId="3F076968"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Il RUP è nominato dal responsabile dell’unità organizzativa titolare del potere di </w:t>
      </w:r>
      <w:proofErr w:type="gramStart"/>
      <w:r w:rsidRPr="008C4AF4">
        <w:rPr>
          <w:rFonts w:ascii="Arial" w:eastAsia="Times New Roman" w:hAnsi="Arial" w:cs="Arial"/>
          <w:kern w:val="0"/>
          <w:sz w:val="24"/>
          <w:szCs w:val="24"/>
          <w:lang w:eastAsia="it-IT"/>
          <w14:ligatures w14:val="none"/>
        </w:rPr>
        <w:t xml:space="preserve">spesa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presso</w:t>
      </w:r>
      <w:proofErr w:type="gramEnd"/>
      <w:r w:rsidRPr="008C4AF4">
        <w:rPr>
          <w:rFonts w:ascii="Arial" w:eastAsia="Times New Roman" w:hAnsi="Arial" w:cs="Arial"/>
          <w:kern w:val="0"/>
          <w:sz w:val="24"/>
          <w:szCs w:val="24"/>
          <w:lang w:eastAsia="it-IT"/>
          <w14:ligatures w14:val="none"/>
        </w:rPr>
        <w:t xml:space="preserve"> la stazione appaltante o l’ente concedente. Esso è individuato tra i dipendenti, anche non aventi la qualifica </w:t>
      </w:r>
      <w:proofErr w:type="gramStart"/>
      <w:r w:rsidRPr="008C4AF4">
        <w:rPr>
          <w:rFonts w:ascii="Arial" w:eastAsia="Times New Roman" w:hAnsi="Arial" w:cs="Arial"/>
          <w:kern w:val="0"/>
          <w:sz w:val="24"/>
          <w:szCs w:val="24"/>
          <w:lang w:eastAsia="it-IT"/>
          <w14:ligatures w14:val="none"/>
        </w:rPr>
        <w:t>dirigenziale</w:t>
      </w:r>
      <w:r w:rsidR="00484FA1">
        <w:rPr>
          <w:rFonts w:ascii="Arial" w:eastAsia="Times New Roman" w:hAnsi="Arial" w:cs="Arial"/>
          <w:kern w:val="0"/>
          <w:sz w:val="24"/>
          <w:szCs w:val="24"/>
          <w:lang w:eastAsia="it-IT"/>
          <w14:ligatures w14:val="none"/>
        </w:rPr>
        <w:t xml:space="preserve">(anche  </w:t>
      </w:r>
      <w:proofErr w:type="spellStart"/>
      <w:r w:rsidR="00484FA1">
        <w:rPr>
          <w:rFonts w:ascii="Arial" w:eastAsia="Times New Roman" w:hAnsi="Arial" w:cs="Arial"/>
          <w:kern w:val="0"/>
          <w:sz w:val="24"/>
          <w:szCs w:val="24"/>
          <w:lang w:eastAsia="it-IT"/>
          <w14:ligatures w14:val="none"/>
        </w:rPr>
        <w:t>atempo</w:t>
      </w:r>
      <w:proofErr w:type="spellEnd"/>
      <w:proofErr w:type="gramEnd"/>
      <w:r w:rsidR="00484FA1">
        <w:rPr>
          <w:rFonts w:ascii="Arial" w:eastAsia="Times New Roman" w:hAnsi="Arial" w:cs="Arial"/>
          <w:kern w:val="0"/>
          <w:sz w:val="24"/>
          <w:szCs w:val="24"/>
          <w:lang w:eastAsia="it-IT"/>
          <w14:ligatures w14:val="none"/>
        </w:rPr>
        <w:t xml:space="preserve"> determinato)</w:t>
      </w:r>
      <w:r w:rsidRPr="008C4AF4">
        <w:rPr>
          <w:rFonts w:ascii="Arial" w:eastAsia="Times New Roman" w:hAnsi="Arial" w:cs="Arial"/>
          <w:kern w:val="0"/>
          <w:sz w:val="24"/>
          <w:szCs w:val="24"/>
          <w:lang w:eastAsia="it-IT"/>
          <w14:ligatures w14:val="none"/>
        </w:rPr>
        <w:t xml:space="preserve"> purché in possesso dei requisiti e </w:t>
      </w:r>
      <w:proofErr w:type="gramStart"/>
      <w:r w:rsidRPr="008C4AF4">
        <w:rPr>
          <w:rFonts w:ascii="Arial" w:eastAsia="Times New Roman" w:hAnsi="Arial" w:cs="Arial"/>
          <w:kern w:val="0"/>
          <w:sz w:val="24"/>
          <w:szCs w:val="24"/>
          <w:lang w:eastAsia="it-IT"/>
          <w14:ligatures w14:val="none"/>
        </w:rPr>
        <w:t xml:space="preserve">competenze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adeguate</w:t>
      </w:r>
      <w:proofErr w:type="gramEnd"/>
      <w:r w:rsidRPr="008C4AF4">
        <w:rPr>
          <w:rFonts w:ascii="Arial" w:eastAsia="Times New Roman" w:hAnsi="Arial" w:cs="Arial"/>
          <w:kern w:val="0"/>
          <w:sz w:val="24"/>
          <w:szCs w:val="24"/>
          <w:lang w:eastAsia="it-IT"/>
          <w14:ligatures w14:val="none"/>
        </w:rPr>
        <w:t xml:space="preserve"> all’incarico affidato (articolo 15). In particolare, l’allegato I.2 prevede che </w:t>
      </w:r>
      <w:proofErr w:type="gramStart"/>
      <w:r w:rsidRPr="008C4AF4">
        <w:rPr>
          <w:rFonts w:ascii="Arial" w:eastAsia="Times New Roman" w:hAnsi="Arial" w:cs="Arial"/>
          <w:kern w:val="0"/>
          <w:sz w:val="24"/>
          <w:szCs w:val="24"/>
          <w:lang w:eastAsia="it-IT"/>
          <w14:ligatures w14:val="none"/>
        </w:rPr>
        <w:t xml:space="preserve">le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funzioni</w:t>
      </w:r>
      <w:proofErr w:type="gramEnd"/>
      <w:r w:rsidRPr="008C4AF4">
        <w:rPr>
          <w:rFonts w:ascii="Arial" w:eastAsia="Times New Roman" w:hAnsi="Arial" w:cs="Arial"/>
          <w:kern w:val="0"/>
          <w:sz w:val="24"/>
          <w:szCs w:val="24"/>
          <w:lang w:eastAsia="it-IT"/>
          <w14:ligatures w14:val="none"/>
        </w:rPr>
        <w:t xml:space="preserve"> di RUP non possono essere assunte da soggetti condannati, anche </w:t>
      </w:r>
      <w:proofErr w:type="gramStart"/>
      <w:r w:rsidRPr="008C4AF4">
        <w:rPr>
          <w:rFonts w:ascii="Arial" w:eastAsia="Times New Roman" w:hAnsi="Arial" w:cs="Arial"/>
          <w:kern w:val="0"/>
          <w:sz w:val="24"/>
          <w:szCs w:val="24"/>
          <w:lang w:eastAsia="it-IT"/>
          <w14:ligatures w14:val="none"/>
        </w:rPr>
        <w:t xml:space="preserve">con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sentenza</w:t>
      </w:r>
      <w:proofErr w:type="gramEnd"/>
      <w:r w:rsidRPr="008C4AF4">
        <w:rPr>
          <w:rFonts w:ascii="Arial" w:eastAsia="Times New Roman" w:hAnsi="Arial" w:cs="Arial"/>
          <w:kern w:val="0"/>
          <w:sz w:val="24"/>
          <w:szCs w:val="24"/>
          <w:lang w:eastAsia="it-IT"/>
          <w14:ligatures w14:val="none"/>
        </w:rPr>
        <w:t xml:space="preserve"> non passata in giudicato, per i reati contro la pubblica amministrazione di cui</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al Capo I, titolo II del Libro II del </w:t>
      </w:r>
      <w:proofErr w:type="gramStart"/>
      <w:r w:rsidRPr="008C4AF4">
        <w:rPr>
          <w:rFonts w:ascii="Arial" w:eastAsia="Times New Roman" w:hAnsi="Arial" w:cs="Arial"/>
          <w:kern w:val="0"/>
          <w:sz w:val="24"/>
          <w:szCs w:val="24"/>
          <w:lang w:eastAsia="it-IT"/>
          <w14:ligatures w14:val="none"/>
        </w:rPr>
        <w:t>codice penale</w:t>
      </w:r>
      <w:proofErr w:type="gramEnd"/>
      <w:r w:rsidRPr="008C4AF4">
        <w:rPr>
          <w:rFonts w:ascii="Arial" w:eastAsia="Times New Roman" w:hAnsi="Arial" w:cs="Arial"/>
          <w:kern w:val="0"/>
          <w:sz w:val="24"/>
          <w:szCs w:val="24"/>
          <w:lang w:eastAsia="it-IT"/>
          <w14:ligatures w14:val="none"/>
        </w:rPr>
        <w:t xml:space="preserve">, quali ad esempio peculato, malversazione, concussione, corruzione, abuso d’ufficio, rifiuto di atti d’ufficio. </w:t>
      </w:r>
    </w:p>
    <w:p w14:paraId="06C2DC28" w14:textId="34366CB2"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Inoltre, l’allegato indica i requisiti di professionalità di cui il RUP deve essere in </w:t>
      </w:r>
      <w:proofErr w:type="gramStart"/>
      <w:r w:rsidRPr="008C4AF4">
        <w:rPr>
          <w:rFonts w:ascii="Arial" w:eastAsia="Times New Roman" w:hAnsi="Arial" w:cs="Arial"/>
          <w:kern w:val="0"/>
          <w:sz w:val="24"/>
          <w:szCs w:val="24"/>
          <w:lang w:eastAsia="it-IT"/>
          <w14:ligatures w14:val="none"/>
        </w:rPr>
        <w:t xml:space="preserve">possesso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a</w:t>
      </w:r>
      <w:proofErr w:type="gramEnd"/>
      <w:r w:rsidRPr="008C4AF4">
        <w:rPr>
          <w:rFonts w:ascii="Arial" w:eastAsia="Times New Roman" w:hAnsi="Arial" w:cs="Arial"/>
          <w:kern w:val="0"/>
          <w:sz w:val="24"/>
          <w:szCs w:val="24"/>
          <w:lang w:eastAsia="it-IT"/>
          <w14:ligatures w14:val="none"/>
        </w:rPr>
        <w:t xml:space="preserve"> seconda della tipologia e della complessità della procedura, distinguendo tra </w:t>
      </w:r>
      <w:proofErr w:type="spellStart"/>
      <w:proofErr w:type="gramStart"/>
      <w:r w:rsidRPr="008C4AF4">
        <w:rPr>
          <w:rFonts w:ascii="Arial" w:eastAsia="Times New Roman" w:hAnsi="Arial" w:cs="Arial"/>
          <w:kern w:val="0"/>
          <w:sz w:val="24"/>
          <w:szCs w:val="24"/>
          <w:lang w:eastAsia="it-IT"/>
          <w14:ligatures w14:val="none"/>
        </w:rPr>
        <w:t>appalti,concessioni</w:t>
      </w:r>
      <w:proofErr w:type="spellEnd"/>
      <w:proofErr w:type="gramEnd"/>
      <w:r w:rsidRPr="008C4AF4">
        <w:rPr>
          <w:rFonts w:ascii="Arial" w:eastAsia="Times New Roman" w:hAnsi="Arial" w:cs="Arial"/>
          <w:kern w:val="0"/>
          <w:sz w:val="24"/>
          <w:szCs w:val="24"/>
          <w:lang w:eastAsia="it-IT"/>
          <w14:ligatures w14:val="none"/>
        </w:rPr>
        <w:t xml:space="preserve"> e servizi attinenti all’ingegneria e all’architettura, e contratti di servizi forniture. In caso di mancata nomina, l’incarico è svolto dal responsabile </w:t>
      </w:r>
      <w:proofErr w:type="gramStart"/>
      <w:r w:rsidRPr="008C4AF4">
        <w:rPr>
          <w:rFonts w:ascii="Arial" w:eastAsia="Times New Roman" w:hAnsi="Arial" w:cs="Arial"/>
          <w:kern w:val="0"/>
          <w:sz w:val="24"/>
          <w:szCs w:val="24"/>
          <w:lang w:eastAsia="it-IT"/>
          <w14:ligatures w14:val="none"/>
        </w:rPr>
        <w:t xml:space="preserve">dell’unità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organizzativa</w:t>
      </w:r>
      <w:proofErr w:type="gramEnd"/>
      <w:r w:rsidRPr="008C4AF4">
        <w:rPr>
          <w:rFonts w:ascii="Arial" w:eastAsia="Times New Roman" w:hAnsi="Arial" w:cs="Arial"/>
          <w:kern w:val="0"/>
          <w:sz w:val="24"/>
          <w:szCs w:val="24"/>
          <w:lang w:eastAsia="it-IT"/>
          <w14:ligatures w14:val="none"/>
        </w:rPr>
        <w:t xml:space="preserve"> titolare del potere di spesa. </w:t>
      </w:r>
    </w:p>
    <w:p w14:paraId="086370BF" w14:textId="1549F263"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lastRenderedPageBreak/>
        <w:t xml:space="preserve">Il nominativo del RUP deve essere indicato nei documenti di gara (bando o avviso </w:t>
      </w:r>
      <w:proofErr w:type="gramStart"/>
      <w:r w:rsidRPr="008C4AF4">
        <w:rPr>
          <w:rFonts w:ascii="Arial" w:eastAsia="Times New Roman" w:hAnsi="Arial" w:cs="Arial"/>
          <w:kern w:val="0"/>
          <w:sz w:val="24"/>
          <w:szCs w:val="24"/>
          <w:lang w:eastAsia="it-IT"/>
          <w14:ligatures w14:val="none"/>
        </w:rPr>
        <w:t xml:space="preserve">di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indizione</w:t>
      </w:r>
      <w:proofErr w:type="gramEnd"/>
      <w:r w:rsidRPr="008C4AF4">
        <w:rPr>
          <w:rFonts w:ascii="Arial" w:eastAsia="Times New Roman" w:hAnsi="Arial" w:cs="Arial"/>
          <w:kern w:val="0"/>
          <w:sz w:val="24"/>
          <w:szCs w:val="24"/>
          <w:lang w:eastAsia="it-IT"/>
          <w14:ligatures w14:val="none"/>
        </w:rPr>
        <w:t xml:space="preserve"> della gara, invito a presentare un’offerta e provvedimento di aggiudicazione). </w:t>
      </w:r>
    </w:p>
    <w:p w14:paraId="29314034" w14:textId="66199423"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Ferma restando l’unicità della responsabilità, la stazione appaltante o ente </w:t>
      </w:r>
      <w:proofErr w:type="gramStart"/>
      <w:r w:rsidRPr="008C4AF4">
        <w:rPr>
          <w:rFonts w:ascii="Arial" w:eastAsia="Times New Roman" w:hAnsi="Arial" w:cs="Arial"/>
          <w:kern w:val="0"/>
          <w:sz w:val="24"/>
          <w:szCs w:val="24"/>
          <w:lang w:eastAsia="it-IT"/>
          <w14:ligatures w14:val="none"/>
        </w:rPr>
        <w:t xml:space="preserve">concedente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può</w:t>
      </w:r>
      <w:proofErr w:type="gramEnd"/>
      <w:r w:rsidRPr="008C4AF4">
        <w:rPr>
          <w:rFonts w:ascii="Arial" w:eastAsia="Times New Roman" w:hAnsi="Arial" w:cs="Arial"/>
          <w:kern w:val="0"/>
          <w:sz w:val="24"/>
          <w:szCs w:val="24"/>
          <w:lang w:eastAsia="it-IT"/>
          <w14:ligatures w14:val="none"/>
        </w:rPr>
        <w:t xml:space="preserve"> scegliere di nominare un responsabile per la fase di programmazione e di </w:t>
      </w:r>
    </w:p>
    <w:p w14:paraId="452DD7CD" w14:textId="13641D3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progettazione, e un responsabile per la fase di affidamento. Questa soluzione offre </w:t>
      </w:r>
      <w:proofErr w:type="gramStart"/>
      <w:r w:rsidRPr="008C4AF4">
        <w:rPr>
          <w:rFonts w:ascii="Arial" w:eastAsia="Times New Roman" w:hAnsi="Arial" w:cs="Arial"/>
          <w:kern w:val="0"/>
          <w:sz w:val="24"/>
          <w:szCs w:val="24"/>
          <w:lang w:eastAsia="it-IT"/>
          <w14:ligatures w14:val="none"/>
        </w:rPr>
        <w:t xml:space="preserve">il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vantaggio</w:t>
      </w:r>
      <w:proofErr w:type="gramEnd"/>
      <w:r w:rsidRPr="008C4AF4">
        <w:rPr>
          <w:rFonts w:ascii="Arial" w:eastAsia="Times New Roman" w:hAnsi="Arial" w:cs="Arial"/>
          <w:kern w:val="0"/>
          <w:sz w:val="24"/>
          <w:szCs w:val="24"/>
          <w:lang w:eastAsia="it-IT"/>
          <w14:ligatures w14:val="none"/>
        </w:rPr>
        <w:t xml:space="preserve"> di evitare un’eccessiva concentrazione di funzioni in capo al RUP, </w:t>
      </w:r>
      <w:proofErr w:type="gramStart"/>
      <w:r w:rsidRPr="008C4AF4">
        <w:rPr>
          <w:rFonts w:ascii="Arial" w:eastAsia="Times New Roman" w:hAnsi="Arial" w:cs="Arial"/>
          <w:kern w:val="0"/>
          <w:sz w:val="24"/>
          <w:szCs w:val="24"/>
          <w:lang w:eastAsia="it-IT"/>
          <w14:ligatures w14:val="none"/>
        </w:rPr>
        <w:t xml:space="preserve">delegando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ad</w:t>
      </w:r>
      <w:proofErr w:type="gramEnd"/>
      <w:r w:rsidRPr="008C4AF4">
        <w:rPr>
          <w:rFonts w:ascii="Arial" w:eastAsia="Times New Roman" w:hAnsi="Arial" w:cs="Arial"/>
          <w:kern w:val="0"/>
          <w:sz w:val="24"/>
          <w:szCs w:val="24"/>
          <w:lang w:eastAsia="it-IT"/>
          <w14:ligatures w14:val="none"/>
        </w:rPr>
        <w:t xml:space="preserve"> altri lo svolgimento dei compiti che hanno natura più operativa. Ai fini del riparto </w:t>
      </w:r>
      <w:proofErr w:type="gramStart"/>
      <w:r w:rsidRPr="008C4AF4">
        <w:rPr>
          <w:rFonts w:ascii="Arial" w:eastAsia="Times New Roman" w:hAnsi="Arial" w:cs="Arial"/>
          <w:kern w:val="0"/>
          <w:sz w:val="24"/>
          <w:szCs w:val="24"/>
          <w:lang w:eastAsia="it-IT"/>
          <w14:ligatures w14:val="none"/>
        </w:rPr>
        <w:t xml:space="preserve">delle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responsabilità</w:t>
      </w:r>
      <w:proofErr w:type="gramEnd"/>
      <w:r w:rsidRPr="008C4AF4">
        <w:rPr>
          <w:rFonts w:ascii="Arial" w:eastAsia="Times New Roman" w:hAnsi="Arial" w:cs="Arial"/>
          <w:kern w:val="0"/>
          <w:sz w:val="24"/>
          <w:szCs w:val="24"/>
          <w:lang w:eastAsia="it-IT"/>
          <w14:ligatures w14:val="none"/>
        </w:rPr>
        <w:t xml:space="preserve">, i responsabili di fase rispondono dei compiti loro affidati, mentre al RUP sono attribuite le responsabilità derivanti dagli obblighi di supervisione, coordinamento, indirizzo e controllo. </w:t>
      </w:r>
    </w:p>
    <w:p w14:paraId="04573BF8" w14:textId="4600160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Il RUP ha l’obbligo di assicurare la realizzazione dell’intervento pubblico nei tempi</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previsti e nel rispetto degli obiettivi connessi al suo incarico. </w:t>
      </w:r>
    </w:p>
    <w:p w14:paraId="690B5D3A" w14:textId="56A5D504"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L’allegato I.2 individua nel dettaglio sia i compiti comuni a tutti i contratti e le fasi </w:t>
      </w:r>
      <w:proofErr w:type="gramStart"/>
      <w:r w:rsidRPr="008C4AF4">
        <w:rPr>
          <w:rFonts w:ascii="Arial" w:eastAsia="Times New Roman" w:hAnsi="Arial" w:cs="Arial"/>
          <w:kern w:val="0"/>
          <w:sz w:val="24"/>
          <w:szCs w:val="24"/>
          <w:lang w:eastAsia="it-IT"/>
          <w14:ligatures w14:val="none"/>
        </w:rPr>
        <w:t xml:space="preserve">della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procedura</w:t>
      </w:r>
      <w:proofErr w:type="gramEnd"/>
      <w:r w:rsidRPr="008C4AF4">
        <w:rPr>
          <w:rFonts w:ascii="Arial" w:eastAsia="Times New Roman" w:hAnsi="Arial" w:cs="Arial"/>
          <w:kern w:val="0"/>
          <w:sz w:val="24"/>
          <w:szCs w:val="24"/>
          <w:lang w:eastAsia="it-IT"/>
          <w14:ligatures w14:val="none"/>
        </w:rPr>
        <w:t xml:space="preserve"> sia i compiti specifici svolti per la fase di affidamento e per la fase </w:t>
      </w:r>
      <w:proofErr w:type="gramStart"/>
      <w:r w:rsidRPr="008C4AF4">
        <w:rPr>
          <w:rFonts w:ascii="Arial" w:eastAsia="Times New Roman" w:hAnsi="Arial" w:cs="Arial"/>
          <w:kern w:val="0"/>
          <w:sz w:val="24"/>
          <w:szCs w:val="24"/>
          <w:lang w:eastAsia="it-IT"/>
          <w14:ligatures w14:val="none"/>
        </w:rPr>
        <w:t xml:space="preserve">di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esecuzione</w:t>
      </w:r>
      <w:proofErr w:type="gramEnd"/>
      <w:r w:rsidRPr="008C4AF4">
        <w:rPr>
          <w:rFonts w:ascii="Arial" w:eastAsia="Times New Roman" w:hAnsi="Arial" w:cs="Arial"/>
          <w:kern w:val="0"/>
          <w:sz w:val="24"/>
          <w:szCs w:val="24"/>
          <w:lang w:eastAsia="it-IT"/>
          <w14:ligatures w14:val="none"/>
        </w:rPr>
        <w:t xml:space="preserve">. In particolare, il RUP: </w:t>
      </w:r>
    </w:p>
    <w:p w14:paraId="69EACB93" w14:textId="32E9E7B3"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formula proposte al fine della predisposizione del programma triennale dei lavori pubblici e degli acquisti di beni e servizi; </w:t>
      </w:r>
    </w:p>
    <w:p w14:paraId="6F90BAC3"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propone alla stazione </w:t>
      </w:r>
      <w:proofErr w:type="spellStart"/>
      <w:r w:rsidRPr="008C4AF4">
        <w:rPr>
          <w:rFonts w:ascii="Arial" w:eastAsia="Times New Roman" w:hAnsi="Arial" w:cs="Arial"/>
          <w:kern w:val="0"/>
          <w:sz w:val="24"/>
          <w:szCs w:val="24"/>
          <w:lang w:eastAsia="it-IT"/>
          <w14:ligatures w14:val="none"/>
        </w:rPr>
        <w:t>appaltatante</w:t>
      </w:r>
      <w:proofErr w:type="spellEnd"/>
      <w:r w:rsidRPr="008C4AF4">
        <w:rPr>
          <w:rFonts w:ascii="Arial" w:eastAsia="Times New Roman" w:hAnsi="Arial" w:cs="Arial"/>
          <w:kern w:val="0"/>
          <w:sz w:val="24"/>
          <w:szCs w:val="24"/>
          <w:lang w:eastAsia="it-IT"/>
          <w14:ligatures w14:val="none"/>
        </w:rPr>
        <w:t xml:space="preserve"> la conclusione di accordi di programma; </w:t>
      </w:r>
    </w:p>
    <w:p w14:paraId="1E59CE6B"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indice la conferenza di servizi; </w:t>
      </w:r>
    </w:p>
    <w:p w14:paraId="765090D8"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decide i sistemi di affidamento, la tipologia del contratto da stipulare e il criterio </w:t>
      </w:r>
    </w:p>
    <w:p w14:paraId="0BD1B498"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di aggiudicazione. </w:t>
      </w:r>
    </w:p>
    <w:p w14:paraId="0709E418"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Nella fase di affidamento, il RUP tra l’altro: </w:t>
      </w:r>
    </w:p>
    <w:p w14:paraId="21801B07"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svolge la verifica di congruità delle offerte in caso di aggiudicazione con il </w:t>
      </w:r>
    </w:p>
    <w:p w14:paraId="4A9998C2"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criterio del prezzo più basso; </w:t>
      </w:r>
    </w:p>
    <w:p w14:paraId="018633AE"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dispone le esclusioni dalle gare; </w:t>
      </w:r>
    </w:p>
    <w:p w14:paraId="14794E97"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può adottare il provvedimento finale della procedura. </w:t>
      </w:r>
    </w:p>
    <w:p w14:paraId="0CC8A910"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Nel caso di esecuzione dei contratti di lavori, il RUP ad esempio: </w:t>
      </w:r>
    </w:p>
    <w:p w14:paraId="090A7E41"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impartisce al direttore dei lavori le istruzioni occorrenti a garantire la regolarità </w:t>
      </w:r>
    </w:p>
    <w:p w14:paraId="729A3E9E"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dell’esecuzione; </w:t>
      </w:r>
    </w:p>
    <w:p w14:paraId="22612208"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vigila, insieme al direttore dei lavori, sul rispetto degli oneri della sicurezza </w:t>
      </w:r>
    </w:p>
    <w:p w14:paraId="03635B0F"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relativi alle prestazioni affidate in subappalti; </w:t>
      </w:r>
    </w:p>
    <w:p w14:paraId="15A9133C"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autorizza le modifiche dei contratti di appalto in corso di esecuzione anche su </w:t>
      </w:r>
    </w:p>
    <w:p w14:paraId="1253B4E6"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proposta del direttore dei lavori; </w:t>
      </w:r>
    </w:p>
    <w:p w14:paraId="304F95B3"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approva i prezzi relativi a nuove lavorazioni originariamente non previste; </w:t>
      </w:r>
    </w:p>
    <w:p w14:paraId="782ECC11"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irroga le penali per il ritardato adempimento degli obblighi contrattuali; </w:t>
      </w:r>
    </w:p>
    <w:p w14:paraId="3657926D"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propone la risoluzione del contratto nei casi previsti; </w:t>
      </w:r>
    </w:p>
    <w:p w14:paraId="589928F4"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rilascia il certificato di esecuzione dei lavori.</w:t>
      </w:r>
    </w:p>
    <w:p w14:paraId="4B9755DD" w14:textId="5F64E4E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Nei casi di appalti di particolare complessità che richiedono competenze </w:t>
      </w:r>
      <w:proofErr w:type="gramStart"/>
      <w:r w:rsidRPr="008C4AF4">
        <w:rPr>
          <w:rFonts w:ascii="Arial" w:eastAsia="Times New Roman" w:hAnsi="Arial" w:cs="Arial"/>
          <w:kern w:val="0"/>
          <w:sz w:val="24"/>
          <w:szCs w:val="24"/>
          <w:lang w:eastAsia="it-IT"/>
          <w14:ligatures w14:val="none"/>
        </w:rPr>
        <w:t xml:space="preserve">altamente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specialistiche</w:t>
      </w:r>
      <w:proofErr w:type="gramEnd"/>
      <w:r w:rsidRPr="008C4AF4">
        <w:rPr>
          <w:rFonts w:ascii="Arial" w:eastAsia="Times New Roman" w:hAnsi="Arial" w:cs="Arial"/>
          <w:kern w:val="0"/>
          <w:sz w:val="24"/>
          <w:szCs w:val="24"/>
          <w:lang w:eastAsia="it-IT"/>
          <w14:ligatures w14:val="none"/>
        </w:rPr>
        <w:t xml:space="preserve">, la stazione appaltante o l’ente concedente può istituire una struttura </w:t>
      </w:r>
    </w:p>
    <w:p w14:paraId="60A5580E" w14:textId="097FB668" w:rsid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stabile a supporto del RUP </w:t>
      </w:r>
    </w:p>
    <w:p w14:paraId="1275FC91" w14:textId="77777777" w:rsidR="00880308" w:rsidRDefault="00880308"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2FFC42D3" w14:textId="5EDC442F" w:rsidR="00880308" w:rsidRDefault="00880308"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SOGLIE COMUNITARIE</w:t>
      </w:r>
    </w:p>
    <w:p w14:paraId="1A81E8FB" w14:textId="5EE00205" w:rsidR="00880308" w:rsidRPr="00880308" w:rsidRDefault="00880308" w:rsidP="00880308">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xml:space="preserve">L’art. 14 del </w:t>
      </w:r>
      <w:proofErr w:type="spellStart"/>
      <w:r w:rsidRPr="00880308">
        <w:rPr>
          <w:rFonts w:ascii="Arial" w:eastAsia="Times New Roman" w:hAnsi="Arial" w:cs="Arial"/>
          <w:kern w:val="0"/>
          <w:sz w:val="24"/>
          <w:szCs w:val="24"/>
          <w:lang w:eastAsia="it-IT"/>
          <w14:ligatures w14:val="none"/>
        </w:rPr>
        <w:t>D.Lgs.</w:t>
      </w:r>
      <w:proofErr w:type="spellEnd"/>
      <w:r w:rsidRPr="00880308">
        <w:rPr>
          <w:rFonts w:ascii="Arial" w:eastAsia="Times New Roman" w:hAnsi="Arial" w:cs="Arial"/>
          <w:kern w:val="0"/>
          <w:sz w:val="24"/>
          <w:szCs w:val="24"/>
          <w:lang w:eastAsia="it-IT"/>
          <w14:ligatures w14:val="none"/>
        </w:rPr>
        <w:t xml:space="preserve"> n. 36/2023 prevede, ai fini dell’applicazione del Codice dei Contratti </w:t>
      </w:r>
      <w:proofErr w:type="gramStart"/>
      <w:r w:rsidRPr="00880308">
        <w:rPr>
          <w:rFonts w:ascii="Arial" w:eastAsia="Times New Roman" w:hAnsi="Arial" w:cs="Arial"/>
          <w:kern w:val="0"/>
          <w:sz w:val="24"/>
          <w:szCs w:val="24"/>
          <w:lang w:eastAsia="it-IT"/>
          <w14:ligatures w14:val="none"/>
        </w:rPr>
        <w:t xml:space="preserve">pubblici, </w:t>
      </w:r>
      <w:r>
        <w:rPr>
          <w:rFonts w:ascii="Arial" w:eastAsia="Times New Roman" w:hAnsi="Arial" w:cs="Arial"/>
          <w:kern w:val="0"/>
          <w:sz w:val="24"/>
          <w:szCs w:val="24"/>
          <w:lang w:eastAsia="it-IT"/>
          <w14:ligatures w14:val="none"/>
        </w:rPr>
        <w:t xml:space="preserve"> </w:t>
      </w:r>
      <w:r w:rsidRPr="00880308">
        <w:rPr>
          <w:rFonts w:ascii="Arial" w:eastAsia="Times New Roman" w:hAnsi="Arial" w:cs="Arial"/>
          <w:kern w:val="0"/>
          <w:sz w:val="24"/>
          <w:szCs w:val="24"/>
          <w:lang w:eastAsia="it-IT"/>
          <w14:ligatures w14:val="none"/>
        </w:rPr>
        <w:t>le</w:t>
      </w:r>
      <w:proofErr w:type="gramEnd"/>
      <w:r w:rsidRPr="00880308">
        <w:rPr>
          <w:rFonts w:ascii="Arial" w:eastAsia="Times New Roman" w:hAnsi="Arial" w:cs="Arial"/>
          <w:kern w:val="0"/>
          <w:sz w:val="24"/>
          <w:szCs w:val="24"/>
          <w:lang w:eastAsia="it-IT"/>
          <w14:ligatures w14:val="none"/>
        </w:rPr>
        <w:t xml:space="preserve"> soglie di rilevanza comunitaria, che sono soggette ad aggiornamento periodico ed automatico con appositi provvedimenti adottati dalla Commissione Europea, pubblicati </w:t>
      </w:r>
      <w:proofErr w:type="gramStart"/>
      <w:r w:rsidRPr="00880308">
        <w:rPr>
          <w:rFonts w:ascii="Arial" w:eastAsia="Times New Roman" w:hAnsi="Arial" w:cs="Arial"/>
          <w:kern w:val="0"/>
          <w:sz w:val="24"/>
          <w:szCs w:val="24"/>
          <w:lang w:eastAsia="it-IT"/>
          <w14:ligatures w14:val="none"/>
        </w:rPr>
        <w:t xml:space="preserve">nella </w:t>
      </w:r>
      <w:r>
        <w:rPr>
          <w:rFonts w:ascii="Arial" w:eastAsia="Times New Roman" w:hAnsi="Arial" w:cs="Arial"/>
          <w:kern w:val="0"/>
          <w:sz w:val="24"/>
          <w:szCs w:val="24"/>
          <w:lang w:eastAsia="it-IT"/>
          <w14:ligatures w14:val="none"/>
        </w:rPr>
        <w:t xml:space="preserve"> </w:t>
      </w:r>
      <w:r w:rsidRPr="00880308">
        <w:rPr>
          <w:rFonts w:ascii="Arial" w:eastAsia="Times New Roman" w:hAnsi="Arial" w:cs="Arial"/>
          <w:kern w:val="0"/>
          <w:sz w:val="24"/>
          <w:szCs w:val="24"/>
          <w:lang w:eastAsia="it-IT"/>
          <w14:ligatures w14:val="none"/>
        </w:rPr>
        <w:t>Gazzetta</w:t>
      </w:r>
      <w:proofErr w:type="gramEnd"/>
      <w:r w:rsidRPr="00880308">
        <w:rPr>
          <w:rFonts w:ascii="Arial" w:eastAsia="Times New Roman" w:hAnsi="Arial" w:cs="Arial"/>
          <w:kern w:val="0"/>
          <w:sz w:val="24"/>
          <w:szCs w:val="24"/>
          <w:lang w:eastAsia="it-IT"/>
          <w14:ligatures w14:val="none"/>
        </w:rPr>
        <w:t xml:space="preserve"> Ufficiale dell’Unione Europea.</w:t>
      </w:r>
    </w:p>
    <w:p w14:paraId="4FC53F18" w14:textId="4E9274A4" w:rsidR="009A5311" w:rsidRDefault="00880308"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xml:space="preserve">Le soglie previste dall’art. 14, comma 1, del Codice, in adeguamento rispetto a quanto </w:t>
      </w:r>
      <w:proofErr w:type="gramStart"/>
      <w:r w:rsidRPr="00880308">
        <w:rPr>
          <w:rFonts w:ascii="Arial" w:eastAsia="Times New Roman" w:hAnsi="Arial" w:cs="Arial"/>
          <w:kern w:val="0"/>
          <w:sz w:val="24"/>
          <w:szCs w:val="24"/>
          <w:lang w:eastAsia="it-IT"/>
          <w14:ligatures w14:val="none"/>
        </w:rPr>
        <w:t xml:space="preserve">previsto </w:t>
      </w:r>
      <w:r>
        <w:rPr>
          <w:rFonts w:ascii="Arial" w:eastAsia="Times New Roman" w:hAnsi="Arial" w:cs="Arial"/>
          <w:kern w:val="0"/>
          <w:sz w:val="24"/>
          <w:szCs w:val="24"/>
          <w:lang w:eastAsia="it-IT"/>
          <w14:ligatures w14:val="none"/>
        </w:rPr>
        <w:t xml:space="preserve"> </w:t>
      </w:r>
      <w:r w:rsidRPr="00880308">
        <w:rPr>
          <w:rFonts w:ascii="Arial" w:eastAsia="Times New Roman" w:hAnsi="Arial" w:cs="Arial"/>
          <w:kern w:val="0"/>
          <w:sz w:val="24"/>
          <w:szCs w:val="24"/>
          <w:lang w:eastAsia="it-IT"/>
          <w14:ligatures w14:val="none"/>
        </w:rPr>
        <w:t>dai</w:t>
      </w:r>
      <w:proofErr w:type="gramEnd"/>
      <w:r w:rsidRPr="00880308">
        <w:rPr>
          <w:rFonts w:ascii="Arial" w:eastAsia="Times New Roman" w:hAnsi="Arial" w:cs="Arial"/>
          <w:kern w:val="0"/>
          <w:sz w:val="24"/>
          <w:szCs w:val="24"/>
          <w:lang w:eastAsia="it-IT"/>
          <w14:ligatures w14:val="none"/>
        </w:rPr>
        <w:t xml:space="preserve"> Regolamenti UE n. (UE) </w:t>
      </w:r>
    </w:p>
    <w:p w14:paraId="3BD984D2" w14:textId="77777777"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t>SETTORI ORDINARI</w:t>
      </w:r>
    </w:p>
    <w:p w14:paraId="1F23EB32" w14:textId="77777777"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t>140.000 euro per gli appalti pubblici di forniture e di servizi aggiudicati dalle autorità governative centrali e per i concorsi di progettazione organizzati da tali autorità;</w:t>
      </w:r>
    </w:p>
    <w:p w14:paraId="4002A851" w14:textId="77777777"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lastRenderedPageBreak/>
        <w:t>216.000 euro per gli appalti pubblici di forniture e di servizi aggiudicati da amministrazioni aggiudicatrici sub-centrali e concorsi di progettazione organizzati da tali amministrazioni;</w:t>
      </w:r>
    </w:p>
    <w:p w14:paraId="41000C62" w14:textId="77777777"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t>5.404.000 euro per gli appalti di lavori pubblici.</w:t>
      </w:r>
    </w:p>
    <w:p w14:paraId="0DBE280C" w14:textId="77777777" w:rsid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39E7E717" w14:textId="6E9CBAFB"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t>SETTORI SPECIALI</w:t>
      </w:r>
    </w:p>
    <w:p w14:paraId="10992EE1" w14:textId="77777777"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5FA83931" w14:textId="77777777"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t>432.000 euro per gli appalti di forniture e di servizi nonché per i concorsi di progettazione;</w:t>
      </w:r>
    </w:p>
    <w:p w14:paraId="53A6E344" w14:textId="77777777"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t>5.404.000 euro per gli appalti di lavori.</w:t>
      </w:r>
    </w:p>
    <w:p w14:paraId="1C0F2F31" w14:textId="77777777" w:rsid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44699912" w14:textId="53130762"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t>CONCESSIONI</w:t>
      </w:r>
    </w:p>
    <w:p w14:paraId="22221A90" w14:textId="77777777"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61429607" w14:textId="1161C3AF" w:rsidR="001867F0" w:rsidRPr="007B3803"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t>5.404.000 euro.</w:t>
      </w:r>
    </w:p>
    <w:p w14:paraId="3D43B190" w14:textId="77777777" w:rsidR="001867F0" w:rsidRDefault="001867F0" w:rsidP="009A5311">
      <w:pPr>
        <w:spacing w:line="240" w:lineRule="auto"/>
        <w:rPr>
          <w:rFonts w:ascii="Arial" w:hAnsi="Arial" w:cs="Arial"/>
          <w:sz w:val="24"/>
          <w:szCs w:val="24"/>
        </w:rPr>
      </w:pPr>
    </w:p>
    <w:p w14:paraId="662125F7" w14:textId="0D92368F" w:rsidR="009A5311" w:rsidRPr="007B3803" w:rsidRDefault="009A5311" w:rsidP="009A5311">
      <w:pPr>
        <w:spacing w:line="240" w:lineRule="auto"/>
        <w:rPr>
          <w:rFonts w:ascii="Arial" w:hAnsi="Arial" w:cs="Arial"/>
          <w:sz w:val="24"/>
          <w:szCs w:val="24"/>
        </w:rPr>
      </w:pPr>
      <w:r w:rsidRPr="007B3803">
        <w:rPr>
          <w:rFonts w:ascii="Arial" w:hAnsi="Arial" w:cs="Arial"/>
          <w:sz w:val="24"/>
          <w:szCs w:val="24"/>
        </w:rPr>
        <w:t>PROCEDURE SCELTA CONTRAENTE</w:t>
      </w:r>
    </w:p>
    <w:p w14:paraId="20BA6187" w14:textId="5FE50D9B" w:rsidR="009A5311" w:rsidRPr="007B3803" w:rsidRDefault="007B3803" w:rsidP="009A5311">
      <w:pPr>
        <w:spacing w:line="240" w:lineRule="auto"/>
        <w:rPr>
          <w:rFonts w:ascii="Arial" w:hAnsi="Arial" w:cs="Arial"/>
          <w:sz w:val="24"/>
          <w:szCs w:val="24"/>
        </w:rPr>
      </w:pPr>
      <w:r w:rsidRPr="007B3803">
        <w:rPr>
          <w:rFonts w:ascii="Arial" w:hAnsi="Arial" w:cs="Arial"/>
          <w:sz w:val="24"/>
          <w:szCs w:val="24"/>
        </w:rPr>
        <w:t>Il codice</w:t>
      </w:r>
      <w:r w:rsidR="009A5311" w:rsidRPr="007B3803">
        <w:rPr>
          <w:rFonts w:ascii="Arial" w:hAnsi="Arial" w:cs="Arial"/>
          <w:sz w:val="24"/>
          <w:szCs w:val="24"/>
        </w:rPr>
        <w:t xml:space="preserve"> individua le procedure utilizzabili per la scelta del contraente prevedendo la regola generale secondo cui nell’aggiudicazione le stazioni appaltanti utilizzano le procedure aperte o ristrette, previa pubblicazione di un bando o avviso di indizione di gara. La scelta tra una procedura e l’altra è discrezionale della PA. Diversamente il ricorso alle altre procedure di affidamento dei lavori pubblici è consentito nei soli casi e alle sole condizioni previste dalla legge. In chiusura si ricorda il divieto al ricorso dell’affidamento </w:t>
      </w:r>
      <w:proofErr w:type="spellStart"/>
      <w:r w:rsidR="009A5311" w:rsidRPr="007B3803">
        <w:rPr>
          <w:rFonts w:ascii="Arial" w:hAnsi="Arial" w:cs="Arial"/>
          <w:sz w:val="24"/>
          <w:szCs w:val="24"/>
        </w:rPr>
        <w:t>congiungot</w:t>
      </w:r>
      <w:proofErr w:type="spellEnd"/>
      <w:r w:rsidR="009A5311" w:rsidRPr="007B3803">
        <w:rPr>
          <w:rFonts w:ascii="Arial" w:hAnsi="Arial" w:cs="Arial"/>
          <w:sz w:val="24"/>
          <w:szCs w:val="24"/>
        </w:rPr>
        <w:t xml:space="preserve"> della progettazione e dell’esecuzione dei lavori ad esclusione dei casi di affidamento a contraente </w:t>
      </w:r>
      <w:proofErr w:type="gramStart"/>
      <w:r w:rsidR="009A5311" w:rsidRPr="007B3803">
        <w:rPr>
          <w:rFonts w:ascii="Arial" w:hAnsi="Arial" w:cs="Arial"/>
          <w:sz w:val="24"/>
          <w:szCs w:val="24"/>
        </w:rPr>
        <w:t>generale  ,</w:t>
      </w:r>
      <w:proofErr w:type="gramEnd"/>
      <w:r w:rsidR="009A5311" w:rsidRPr="007B3803">
        <w:rPr>
          <w:rFonts w:ascii="Arial" w:hAnsi="Arial" w:cs="Arial"/>
          <w:sz w:val="24"/>
          <w:szCs w:val="24"/>
        </w:rPr>
        <w:t xml:space="preserve"> finanza di </w:t>
      </w:r>
      <w:proofErr w:type="gramStart"/>
      <w:r w:rsidR="009A5311" w:rsidRPr="007B3803">
        <w:rPr>
          <w:rFonts w:ascii="Arial" w:hAnsi="Arial" w:cs="Arial"/>
          <w:sz w:val="24"/>
          <w:szCs w:val="24"/>
        </w:rPr>
        <w:t>progetto ,</w:t>
      </w:r>
      <w:proofErr w:type="gramEnd"/>
      <w:r w:rsidR="009A5311" w:rsidRPr="007B3803">
        <w:rPr>
          <w:rFonts w:ascii="Arial" w:hAnsi="Arial" w:cs="Arial"/>
          <w:sz w:val="24"/>
          <w:szCs w:val="24"/>
        </w:rPr>
        <w:t xml:space="preserve"> affidamento in </w:t>
      </w:r>
      <w:proofErr w:type="gramStart"/>
      <w:r w:rsidR="009A5311" w:rsidRPr="007B3803">
        <w:rPr>
          <w:rFonts w:ascii="Arial" w:hAnsi="Arial" w:cs="Arial"/>
          <w:sz w:val="24"/>
          <w:szCs w:val="24"/>
        </w:rPr>
        <w:t>concessione ,</w:t>
      </w:r>
      <w:proofErr w:type="gramEnd"/>
      <w:r w:rsidR="009A5311" w:rsidRPr="007B3803">
        <w:rPr>
          <w:rFonts w:ascii="Arial" w:hAnsi="Arial" w:cs="Arial"/>
          <w:sz w:val="24"/>
          <w:szCs w:val="24"/>
        </w:rPr>
        <w:t xml:space="preserve"> partenariato pubblico e privato.  </w:t>
      </w:r>
    </w:p>
    <w:p w14:paraId="1A73E234" w14:textId="4DD73F0D" w:rsidR="00366599" w:rsidRPr="00366599" w:rsidRDefault="009A5311" w:rsidP="00366599">
      <w:pPr>
        <w:spacing w:line="240" w:lineRule="auto"/>
        <w:rPr>
          <w:rFonts w:ascii="Arial" w:hAnsi="Arial" w:cs="Arial"/>
          <w:sz w:val="24"/>
          <w:szCs w:val="24"/>
        </w:rPr>
      </w:pPr>
      <w:r w:rsidRPr="007B3803">
        <w:rPr>
          <w:rFonts w:ascii="Arial" w:hAnsi="Arial" w:cs="Arial"/>
          <w:sz w:val="24"/>
          <w:szCs w:val="24"/>
        </w:rPr>
        <w:t>Procedura aperta</w:t>
      </w:r>
      <w:r w:rsidRPr="007B3803">
        <w:rPr>
          <w:rFonts w:ascii="Arial" w:hAnsi="Arial" w:cs="Arial"/>
          <w:sz w:val="24"/>
          <w:szCs w:val="24"/>
        </w:rPr>
        <w:sym w:font="Wingdings" w:char="F0E0"/>
      </w:r>
      <w:r w:rsidRPr="007B3803">
        <w:rPr>
          <w:rFonts w:ascii="Arial" w:hAnsi="Arial" w:cs="Arial"/>
          <w:sz w:val="24"/>
          <w:szCs w:val="24"/>
        </w:rPr>
        <w:t xml:space="preserve"> Qualsiasi operatore economico presenta </w:t>
      </w:r>
      <w:proofErr w:type="gramStart"/>
      <w:r w:rsidRPr="007B3803">
        <w:rPr>
          <w:rFonts w:ascii="Arial" w:hAnsi="Arial" w:cs="Arial"/>
          <w:sz w:val="24"/>
          <w:szCs w:val="24"/>
        </w:rPr>
        <w:t xml:space="preserve">un'offerta  </w:t>
      </w:r>
      <w:r w:rsidR="002C5369">
        <w:rPr>
          <w:rFonts w:ascii="Arial" w:hAnsi="Arial" w:cs="Arial"/>
          <w:sz w:val="24"/>
          <w:szCs w:val="24"/>
        </w:rPr>
        <w:t>.</w:t>
      </w:r>
      <w:proofErr w:type="gramEnd"/>
      <w:r w:rsidR="002C5369">
        <w:rPr>
          <w:rFonts w:ascii="Arial" w:hAnsi="Arial" w:cs="Arial"/>
          <w:sz w:val="24"/>
          <w:szCs w:val="24"/>
        </w:rPr>
        <w:t xml:space="preserve"> </w:t>
      </w:r>
      <w:r w:rsidR="002C5369" w:rsidRPr="002C5369">
        <w:rPr>
          <w:rFonts w:ascii="Arial" w:hAnsi="Arial" w:cs="Arial"/>
          <w:sz w:val="24"/>
          <w:szCs w:val="24"/>
        </w:rPr>
        <w:t xml:space="preserve">Trattasi di una procedura nella quale qualsiasi operatore economico interessato può presentare un’offerta in risposta a un avviso di indizione di </w:t>
      </w:r>
      <w:proofErr w:type="spellStart"/>
      <w:r w:rsidR="002C5369" w:rsidRPr="002C5369">
        <w:rPr>
          <w:rFonts w:ascii="Arial" w:hAnsi="Arial" w:cs="Arial"/>
          <w:sz w:val="24"/>
          <w:szCs w:val="24"/>
        </w:rPr>
        <w:t>gara.</w:t>
      </w:r>
      <w:r w:rsidR="00366599" w:rsidRPr="00366599">
        <w:rPr>
          <w:rFonts w:ascii="Arial" w:hAnsi="Arial" w:cs="Arial"/>
          <w:sz w:val="24"/>
          <w:szCs w:val="24"/>
        </w:rPr>
        <w:t>La</w:t>
      </w:r>
      <w:proofErr w:type="spellEnd"/>
      <w:r w:rsidR="00366599" w:rsidRPr="00366599">
        <w:rPr>
          <w:rFonts w:ascii="Arial" w:hAnsi="Arial" w:cs="Arial"/>
          <w:sz w:val="24"/>
          <w:szCs w:val="24"/>
        </w:rPr>
        <w:t xml:space="preserve"> procedura aperta è una modalità di gara pubblica in cui qualsiasi operatore economico può presentare un'offerta in risposta a un avviso di indizione di </w:t>
      </w:r>
      <w:proofErr w:type="spellStart"/>
      <w:r w:rsidR="00366599" w:rsidRPr="00366599">
        <w:rPr>
          <w:rFonts w:ascii="Arial" w:hAnsi="Arial" w:cs="Arial"/>
          <w:sz w:val="24"/>
          <w:szCs w:val="24"/>
        </w:rPr>
        <w:t>gara.È</w:t>
      </w:r>
      <w:proofErr w:type="spellEnd"/>
      <w:r w:rsidR="00366599" w:rsidRPr="00366599">
        <w:rPr>
          <w:rFonts w:ascii="Arial" w:hAnsi="Arial" w:cs="Arial"/>
          <w:sz w:val="24"/>
          <w:szCs w:val="24"/>
        </w:rPr>
        <w:t xml:space="preserve"> caratterizzata da massima trasparenza e concorrenza, poiché tutti gli operatori economici possono presentare offerte senza limiti. </w:t>
      </w:r>
    </w:p>
    <w:p w14:paraId="56440ADC" w14:textId="32EF9F88" w:rsidR="00366599" w:rsidRPr="002C5369" w:rsidRDefault="00366599" w:rsidP="00366599">
      <w:pPr>
        <w:spacing w:line="240" w:lineRule="auto"/>
        <w:rPr>
          <w:rFonts w:ascii="Arial" w:hAnsi="Arial" w:cs="Arial"/>
          <w:sz w:val="24"/>
          <w:szCs w:val="24"/>
        </w:rPr>
      </w:pPr>
      <w:r w:rsidRPr="00366599">
        <w:rPr>
          <w:rFonts w:ascii="Arial" w:hAnsi="Arial" w:cs="Arial"/>
          <w:sz w:val="24"/>
          <w:szCs w:val="24"/>
        </w:rPr>
        <w:t>Il termine minimo per la ricezione delle offerte è di 30 giorni dalla pubblicazione del bando, ma può essere ridotto a 15 giorni in caso di urgenza</w:t>
      </w:r>
      <w:r>
        <w:rPr>
          <w:rFonts w:ascii="Arial" w:hAnsi="Arial" w:cs="Arial"/>
          <w:sz w:val="24"/>
          <w:szCs w:val="24"/>
        </w:rPr>
        <w:t xml:space="preserve"> o in caso di pubblicazione avviso di preinformazione</w:t>
      </w:r>
    </w:p>
    <w:p w14:paraId="00346692"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 xml:space="preserve">I principali step che caratterizzano la procedura aperta sono i seguenti: </w:t>
      </w:r>
    </w:p>
    <w:p w14:paraId="754FA01D"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1. Indizione della procedura</w:t>
      </w:r>
    </w:p>
    <w:p w14:paraId="0ABE77C5"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2. Pubblicazione della documentazione di gara</w:t>
      </w:r>
    </w:p>
    <w:p w14:paraId="48056C66"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3. Presentazione delle offerte</w:t>
      </w:r>
    </w:p>
    <w:p w14:paraId="131C68DD"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4. Svolgimento delle sedute di gara</w:t>
      </w:r>
    </w:p>
    <w:p w14:paraId="43EF97AA"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5. Verifica dei requisiti</w:t>
      </w:r>
    </w:p>
    <w:p w14:paraId="599A2322" w14:textId="77777777" w:rsidR="002C5369" w:rsidRDefault="002C5369" w:rsidP="002C5369">
      <w:pPr>
        <w:spacing w:line="240" w:lineRule="auto"/>
        <w:rPr>
          <w:rFonts w:ascii="Arial" w:hAnsi="Arial" w:cs="Arial"/>
          <w:sz w:val="24"/>
          <w:szCs w:val="24"/>
        </w:rPr>
      </w:pPr>
      <w:r w:rsidRPr="002C5369">
        <w:rPr>
          <w:rFonts w:ascii="Arial" w:hAnsi="Arial" w:cs="Arial"/>
          <w:sz w:val="24"/>
          <w:szCs w:val="24"/>
        </w:rPr>
        <w:t>6. Stipula del contratto</w:t>
      </w:r>
    </w:p>
    <w:p w14:paraId="6D36AC39" w14:textId="1877288F" w:rsidR="0027039F" w:rsidRPr="002C5369" w:rsidRDefault="0027039F" w:rsidP="002C5369">
      <w:pPr>
        <w:spacing w:line="240" w:lineRule="auto"/>
        <w:rPr>
          <w:rFonts w:ascii="Arial" w:hAnsi="Arial" w:cs="Arial"/>
          <w:sz w:val="24"/>
          <w:szCs w:val="24"/>
        </w:rPr>
      </w:pPr>
      <w:r>
        <w:rPr>
          <w:rFonts w:ascii="Arial" w:hAnsi="Arial" w:cs="Arial"/>
          <w:sz w:val="24"/>
          <w:szCs w:val="24"/>
        </w:rPr>
        <w:t>Ma quali sono queste modalità di scelta del contraente?</w:t>
      </w:r>
    </w:p>
    <w:p w14:paraId="08A2ADD9" w14:textId="5AA7ED0A" w:rsidR="009A5311" w:rsidRDefault="009A5311" w:rsidP="009A5311">
      <w:pPr>
        <w:spacing w:line="240" w:lineRule="auto"/>
        <w:rPr>
          <w:rFonts w:ascii="Arial" w:hAnsi="Arial" w:cs="Arial"/>
          <w:sz w:val="24"/>
          <w:szCs w:val="24"/>
        </w:rPr>
      </w:pPr>
      <w:r w:rsidRPr="002C5369">
        <w:rPr>
          <w:rFonts w:ascii="Arial" w:hAnsi="Arial" w:cs="Arial"/>
          <w:b/>
          <w:bCs/>
          <w:sz w:val="24"/>
          <w:szCs w:val="24"/>
        </w:rPr>
        <w:t>Procedura ristretta</w:t>
      </w:r>
      <w:r w:rsidRPr="007B3803">
        <w:rPr>
          <w:rFonts w:ascii="Arial" w:hAnsi="Arial" w:cs="Arial"/>
          <w:sz w:val="24"/>
          <w:szCs w:val="24"/>
        </w:rPr>
        <w:sym w:font="Wingdings" w:char="F0E0"/>
      </w:r>
      <w:r w:rsidRPr="007B3803">
        <w:rPr>
          <w:rFonts w:ascii="Arial" w:hAnsi="Arial" w:cs="Arial"/>
          <w:sz w:val="24"/>
          <w:szCs w:val="24"/>
        </w:rPr>
        <w:t>Qualsiasi operatore economico può presentare una domanda di partecipazione in risposta a un avviso di indizione di gara. P</w:t>
      </w:r>
      <w:r w:rsidR="002C5369">
        <w:rPr>
          <w:rFonts w:ascii="Arial" w:hAnsi="Arial" w:cs="Arial"/>
          <w:sz w:val="24"/>
          <w:szCs w:val="24"/>
        </w:rPr>
        <w:t>rocedura&gt;Av</w:t>
      </w:r>
      <w:r w:rsidRPr="007B3803">
        <w:rPr>
          <w:rFonts w:ascii="Arial" w:hAnsi="Arial" w:cs="Arial"/>
          <w:sz w:val="24"/>
          <w:szCs w:val="24"/>
        </w:rPr>
        <w:t xml:space="preserve">viso di indizione di gara contenente le informazioni richieste dall’amministrazione aggiudicatrice ai fini della </w:t>
      </w:r>
      <w:r w:rsidRPr="007B3803">
        <w:rPr>
          <w:rFonts w:ascii="Arial" w:hAnsi="Arial" w:cs="Arial"/>
          <w:sz w:val="24"/>
          <w:szCs w:val="24"/>
        </w:rPr>
        <w:lastRenderedPageBreak/>
        <w:t xml:space="preserve">selezione qualitativa Domande di partecipazione (trenta giorni) Individuazione degli operatori da invitare, sulla base della selezione qualitativa 61 </w:t>
      </w:r>
    </w:p>
    <w:p w14:paraId="1B132371" w14:textId="77777777" w:rsidR="00863602" w:rsidRPr="00863602" w:rsidRDefault="00863602" w:rsidP="00863602">
      <w:pPr>
        <w:spacing w:line="240" w:lineRule="auto"/>
        <w:rPr>
          <w:rFonts w:ascii="Arial" w:hAnsi="Arial" w:cs="Arial"/>
          <w:sz w:val="24"/>
          <w:szCs w:val="24"/>
        </w:rPr>
      </w:pPr>
      <w:r w:rsidRPr="00863602">
        <w:rPr>
          <w:rFonts w:ascii="Arial" w:hAnsi="Arial" w:cs="Arial"/>
          <w:sz w:val="24"/>
          <w:szCs w:val="24"/>
        </w:rPr>
        <w:t>La procedura ristretta è una gara in due fasi:</w:t>
      </w:r>
    </w:p>
    <w:p w14:paraId="5EB6B4B5" w14:textId="77777777" w:rsidR="00863602" w:rsidRPr="00863602" w:rsidRDefault="00863602" w:rsidP="00863602">
      <w:pPr>
        <w:spacing w:line="240" w:lineRule="auto"/>
        <w:rPr>
          <w:rFonts w:ascii="Arial" w:hAnsi="Arial" w:cs="Arial"/>
          <w:sz w:val="24"/>
          <w:szCs w:val="24"/>
        </w:rPr>
      </w:pPr>
      <w:r w:rsidRPr="00863602">
        <w:rPr>
          <w:rFonts w:ascii="Arial" w:hAnsi="Arial" w:cs="Arial"/>
          <w:sz w:val="24"/>
          <w:szCs w:val="24"/>
        </w:rPr>
        <w:t>Selezione degli operatori economici</w:t>
      </w:r>
    </w:p>
    <w:p w14:paraId="777179CC" w14:textId="77777777" w:rsidR="00863602" w:rsidRPr="00863602" w:rsidRDefault="00863602" w:rsidP="00863602">
      <w:pPr>
        <w:spacing w:line="240" w:lineRule="auto"/>
        <w:rPr>
          <w:rFonts w:ascii="Arial" w:hAnsi="Arial" w:cs="Arial"/>
          <w:sz w:val="24"/>
          <w:szCs w:val="24"/>
        </w:rPr>
      </w:pPr>
      <w:r w:rsidRPr="00863602">
        <w:rPr>
          <w:rFonts w:ascii="Arial" w:hAnsi="Arial" w:cs="Arial"/>
          <w:sz w:val="24"/>
          <w:szCs w:val="24"/>
        </w:rPr>
        <w:t>Tutti gli interessati possono presentare domanda di partecipazione.</w:t>
      </w:r>
    </w:p>
    <w:p w14:paraId="4539EE80" w14:textId="77777777" w:rsidR="00863602" w:rsidRPr="00863602" w:rsidRDefault="00863602" w:rsidP="00863602">
      <w:pPr>
        <w:spacing w:line="240" w:lineRule="auto"/>
        <w:rPr>
          <w:rFonts w:ascii="Arial" w:hAnsi="Arial" w:cs="Arial"/>
          <w:sz w:val="24"/>
          <w:szCs w:val="24"/>
        </w:rPr>
      </w:pPr>
      <w:r w:rsidRPr="00863602">
        <w:rPr>
          <w:rFonts w:ascii="Arial" w:hAnsi="Arial" w:cs="Arial"/>
          <w:sz w:val="24"/>
          <w:szCs w:val="24"/>
        </w:rPr>
        <w:t>La stazione appaltante valuta i requisiti generali e speciali (idoneità tecnica, capacità economica e finanziaria, esperienza).</w:t>
      </w:r>
    </w:p>
    <w:p w14:paraId="6A2CA99C" w14:textId="77777777" w:rsidR="00863602" w:rsidRPr="00863602" w:rsidRDefault="00863602" w:rsidP="00863602">
      <w:pPr>
        <w:spacing w:line="240" w:lineRule="auto"/>
        <w:rPr>
          <w:rFonts w:ascii="Arial" w:hAnsi="Arial" w:cs="Arial"/>
          <w:sz w:val="24"/>
          <w:szCs w:val="24"/>
        </w:rPr>
      </w:pPr>
      <w:r w:rsidRPr="00863602">
        <w:rPr>
          <w:rFonts w:ascii="Arial" w:hAnsi="Arial" w:cs="Arial"/>
          <w:sz w:val="24"/>
          <w:szCs w:val="24"/>
        </w:rPr>
        <w:t>Viene stilata una short list dei candidati ammessi.</w:t>
      </w:r>
    </w:p>
    <w:p w14:paraId="46A10068" w14:textId="77777777" w:rsidR="00863602" w:rsidRPr="00863602" w:rsidRDefault="00863602" w:rsidP="00863602">
      <w:pPr>
        <w:spacing w:line="240" w:lineRule="auto"/>
        <w:rPr>
          <w:rFonts w:ascii="Arial" w:hAnsi="Arial" w:cs="Arial"/>
          <w:sz w:val="24"/>
          <w:szCs w:val="24"/>
        </w:rPr>
      </w:pPr>
      <w:r w:rsidRPr="00863602">
        <w:rPr>
          <w:rFonts w:ascii="Arial" w:hAnsi="Arial" w:cs="Arial"/>
          <w:sz w:val="24"/>
          <w:szCs w:val="24"/>
        </w:rPr>
        <w:t>Invito alla gara vera e propria</w:t>
      </w:r>
    </w:p>
    <w:p w14:paraId="7D67A36C" w14:textId="77777777" w:rsidR="00863602" w:rsidRPr="00863602" w:rsidRDefault="00863602" w:rsidP="00863602">
      <w:pPr>
        <w:spacing w:line="240" w:lineRule="auto"/>
        <w:rPr>
          <w:rFonts w:ascii="Arial" w:hAnsi="Arial" w:cs="Arial"/>
          <w:sz w:val="24"/>
          <w:szCs w:val="24"/>
        </w:rPr>
      </w:pPr>
      <w:r w:rsidRPr="00863602">
        <w:rPr>
          <w:rFonts w:ascii="Arial" w:hAnsi="Arial" w:cs="Arial"/>
          <w:sz w:val="24"/>
          <w:szCs w:val="24"/>
        </w:rPr>
        <w:t>Solo gli operatori selezionati ricevono l’invito a presentare le offerte.</w:t>
      </w:r>
    </w:p>
    <w:p w14:paraId="640DD51C" w14:textId="61170078" w:rsidR="00863602" w:rsidRPr="007B3803" w:rsidRDefault="00863602" w:rsidP="00863602">
      <w:pPr>
        <w:spacing w:line="240" w:lineRule="auto"/>
        <w:rPr>
          <w:rFonts w:ascii="Arial" w:hAnsi="Arial" w:cs="Arial"/>
          <w:sz w:val="24"/>
          <w:szCs w:val="24"/>
        </w:rPr>
      </w:pPr>
      <w:r w:rsidRPr="00863602">
        <w:rPr>
          <w:rFonts w:ascii="Arial" w:hAnsi="Arial" w:cs="Arial"/>
          <w:sz w:val="24"/>
          <w:szCs w:val="24"/>
        </w:rPr>
        <w:t>Viene valutata solo l’offerta economica o tecnica, in base ai criteri di aggiudicazione.</w:t>
      </w:r>
    </w:p>
    <w:p w14:paraId="63F417C0" w14:textId="77777777" w:rsidR="009A5311" w:rsidRPr="007B3803" w:rsidRDefault="009A5311" w:rsidP="009A5311">
      <w:pPr>
        <w:spacing w:line="240" w:lineRule="auto"/>
        <w:rPr>
          <w:rFonts w:ascii="Arial" w:hAnsi="Arial" w:cs="Arial"/>
          <w:sz w:val="24"/>
          <w:szCs w:val="24"/>
        </w:rPr>
      </w:pPr>
      <w:r w:rsidRPr="007B3803">
        <w:rPr>
          <w:rFonts w:ascii="Arial" w:hAnsi="Arial" w:cs="Arial"/>
          <w:sz w:val="24"/>
          <w:szCs w:val="24"/>
        </w:rPr>
        <w:t xml:space="preserve">Invito e ricezione offerte (trenta giorni) </w:t>
      </w:r>
    </w:p>
    <w:p w14:paraId="26400A40" w14:textId="77777777" w:rsidR="009A5311" w:rsidRPr="007B3803" w:rsidRDefault="009A5311" w:rsidP="009A5311">
      <w:pPr>
        <w:spacing w:line="240" w:lineRule="auto"/>
        <w:rPr>
          <w:rFonts w:ascii="Arial" w:hAnsi="Arial" w:cs="Arial"/>
          <w:sz w:val="24"/>
          <w:szCs w:val="24"/>
        </w:rPr>
      </w:pPr>
      <w:r w:rsidRPr="002C5369">
        <w:rPr>
          <w:rFonts w:ascii="Arial" w:hAnsi="Arial" w:cs="Arial"/>
          <w:b/>
          <w:bCs/>
          <w:sz w:val="24"/>
          <w:szCs w:val="24"/>
        </w:rPr>
        <w:t>Procedura competitiva con negoziazione</w:t>
      </w:r>
      <w:r w:rsidRPr="007B3803">
        <w:rPr>
          <w:rFonts w:ascii="Arial" w:hAnsi="Arial" w:cs="Arial"/>
          <w:sz w:val="24"/>
          <w:szCs w:val="24"/>
        </w:rPr>
        <w:t xml:space="preserve"> </w:t>
      </w:r>
      <w:r w:rsidRPr="007B3803">
        <w:rPr>
          <w:rFonts w:ascii="Arial" w:hAnsi="Arial" w:cs="Arial"/>
          <w:sz w:val="24"/>
          <w:szCs w:val="24"/>
        </w:rPr>
        <w:sym w:font="Wingdings" w:char="F0E0"/>
      </w:r>
      <w:r w:rsidRPr="007B3803">
        <w:rPr>
          <w:rFonts w:ascii="Arial" w:hAnsi="Arial" w:cs="Arial"/>
          <w:sz w:val="24"/>
          <w:szCs w:val="24"/>
        </w:rPr>
        <w:t>Nelle procedure competitive con negoziazione qualsiasi operatore economico può presentare una domanda di partecipazione in risposta a un avviso di indizione di gara, fornendo le informazioni richieste dall'amministrazione aggiudicatrice per la selezione qualitativa. Solo gli operatori economici invitati dall'amministrazione aggiudicatrice, in seguito alla valutazione delle informazioni fornite, possono presentare un'offerta iniziale che costituisce la base per la successiva negoziazione. Le amministrazioni aggiudicatrici possono limitare il numero di candidati idonei da invitare a partecipare alla procedura quando lo richieda la difficoltà o la complessità dell’opera, della fornitura o del servizio</w:t>
      </w:r>
    </w:p>
    <w:p w14:paraId="01D60981" w14:textId="77777777" w:rsidR="009A5311" w:rsidRPr="007B3803" w:rsidRDefault="009A5311" w:rsidP="009A5311">
      <w:pPr>
        <w:spacing w:line="240" w:lineRule="auto"/>
        <w:rPr>
          <w:rFonts w:ascii="Arial" w:hAnsi="Arial" w:cs="Arial"/>
          <w:sz w:val="24"/>
          <w:szCs w:val="24"/>
        </w:rPr>
      </w:pPr>
      <w:r w:rsidRPr="007B3803">
        <w:rPr>
          <w:rFonts w:ascii="Arial" w:hAnsi="Arial" w:cs="Arial"/>
          <w:sz w:val="24"/>
          <w:szCs w:val="24"/>
        </w:rPr>
        <w:t xml:space="preserve">Avviso di indizione di gara contenente le informazioni richieste dall’amministrazione aggiudicatrice ai fini della selezione qualitativa </w:t>
      </w:r>
      <w:r w:rsidRPr="007B3803">
        <w:rPr>
          <w:rFonts w:ascii="Arial" w:hAnsi="Arial" w:cs="Arial"/>
          <w:sz w:val="24"/>
          <w:szCs w:val="24"/>
        </w:rPr>
        <w:sym w:font="Wingdings" w:char="F0E0"/>
      </w:r>
      <w:r w:rsidRPr="007B3803">
        <w:rPr>
          <w:rFonts w:ascii="Arial" w:hAnsi="Arial" w:cs="Arial"/>
          <w:sz w:val="24"/>
          <w:szCs w:val="24"/>
        </w:rPr>
        <w:t>Domande di partecipazione (trenta giorni)</w:t>
      </w:r>
      <w:r w:rsidRPr="007B3803">
        <w:rPr>
          <w:rFonts w:ascii="Arial" w:hAnsi="Arial" w:cs="Arial"/>
          <w:sz w:val="24"/>
          <w:szCs w:val="24"/>
        </w:rPr>
        <w:sym w:font="Wingdings" w:char="F0E0"/>
      </w:r>
      <w:r w:rsidRPr="007B3803">
        <w:rPr>
          <w:rFonts w:ascii="Arial" w:hAnsi="Arial" w:cs="Arial"/>
          <w:sz w:val="24"/>
          <w:szCs w:val="24"/>
        </w:rPr>
        <w:t xml:space="preserve"> Individuazione degli operatori da invitare, sulla base della selezione qualitativa</w:t>
      </w:r>
      <w:r w:rsidRPr="007B3803">
        <w:rPr>
          <w:rFonts w:ascii="Arial" w:hAnsi="Arial" w:cs="Arial"/>
          <w:sz w:val="24"/>
          <w:szCs w:val="24"/>
        </w:rPr>
        <w:sym w:font="Wingdings" w:char="F0E0"/>
      </w:r>
      <w:r w:rsidRPr="007B3803">
        <w:rPr>
          <w:rFonts w:ascii="Arial" w:hAnsi="Arial" w:cs="Arial"/>
          <w:sz w:val="24"/>
          <w:szCs w:val="24"/>
        </w:rPr>
        <w:t xml:space="preserve"> Invito e ricezione offerte (trenta giorni)</w:t>
      </w:r>
      <w:r w:rsidRPr="007B3803">
        <w:rPr>
          <w:rFonts w:ascii="Arial" w:hAnsi="Arial" w:cs="Arial"/>
          <w:sz w:val="24"/>
          <w:szCs w:val="24"/>
        </w:rPr>
        <w:sym w:font="Wingdings" w:char="F0E0"/>
      </w:r>
      <w:r w:rsidRPr="007B3803">
        <w:rPr>
          <w:rFonts w:ascii="Arial" w:hAnsi="Arial" w:cs="Arial"/>
          <w:sz w:val="24"/>
          <w:szCs w:val="24"/>
        </w:rPr>
        <w:t xml:space="preserve"> Le amministrazioni negoziano con gli operatori le loro offerte iniziali e le successive, tranne le finali, sulla base dei requisiti minimi e del criterio di aggiudicazione. Nel corso delle negoziazioni, le amministrazioni garantiscono parità di trattamento e non forniscono informazioni avvantaggianti ai singoli operatori. </w:t>
      </w:r>
      <w:r w:rsidRPr="007B3803">
        <w:rPr>
          <w:rFonts w:ascii="Arial" w:hAnsi="Arial" w:cs="Arial"/>
          <w:sz w:val="24"/>
          <w:szCs w:val="24"/>
        </w:rPr>
        <w:sym w:font="Wingdings" w:char="F0E0"/>
      </w:r>
      <w:r w:rsidRPr="007B3803">
        <w:rPr>
          <w:rFonts w:ascii="Arial" w:hAnsi="Arial" w:cs="Arial"/>
          <w:sz w:val="24"/>
          <w:szCs w:val="24"/>
        </w:rPr>
        <w:t xml:space="preserve">Informazione della volontà di conclusione delle negoziazioni, con fissazione di termine per offerte finali. </w:t>
      </w:r>
    </w:p>
    <w:p w14:paraId="0B373B96" w14:textId="77777777" w:rsidR="009A5311" w:rsidRPr="007B3803" w:rsidRDefault="009A5311" w:rsidP="009A5311">
      <w:pPr>
        <w:spacing w:line="240" w:lineRule="auto"/>
        <w:rPr>
          <w:rFonts w:ascii="Arial" w:hAnsi="Arial" w:cs="Arial"/>
          <w:sz w:val="24"/>
          <w:szCs w:val="24"/>
        </w:rPr>
      </w:pPr>
    </w:p>
    <w:p w14:paraId="60F592EE" w14:textId="2133E997" w:rsidR="009A5311" w:rsidRPr="002C5369" w:rsidRDefault="009A5311" w:rsidP="009A5311">
      <w:pPr>
        <w:pStyle w:val="has-text-align-justify"/>
        <w:shd w:val="clear" w:color="auto" w:fill="FFFFFF"/>
        <w:spacing w:before="0" w:beforeAutospacing="0"/>
        <w:jc w:val="both"/>
        <w:rPr>
          <w:rFonts w:ascii="Arial" w:hAnsi="Arial" w:cs="Arial"/>
          <w:b/>
          <w:bCs/>
        </w:rPr>
      </w:pPr>
      <w:r w:rsidRPr="002C5369">
        <w:rPr>
          <w:rFonts w:ascii="Arial" w:hAnsi="Arial" w:cs="Arial"/>
          <w:b/>
          <w:bCs/>
        </w:rPr>
        <w:t>Procedura negoziata senza bando di gara</w:t>
      </w:r>
    </w:p>
    <w:p w14:paraId="48129017"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Nel caso di appalti di lavori, forniture e servizi, la procedura in esame può essere utilizzata in presenza delle seguenti circostanze:</w:t>
      </w:r>
    </w:p>
    <w:p w14:paraId="0B2E9288" w14:textId="77777777" w:rsidR="009A5311" w:rsidRPr="00880308" w:rsidRDefault="009A5311" w:rsidP="009A5311">
      <w:pPr>
        <w:numPr>
          <w:ilvl w:val="0"/>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qualora non sia stata presentata alcuna offerta o alcuna offerta appropriata, né alcuna domanda di partecipazione o alcuna domanda di partecipazione appropriata, in esito all’esperimento di una procedura aperta o ristretta, purché le condizioni iniziali dell’appalto non siano sostanzialmente modificate e purché sia trasmessa una relazione alla Commissione europea, su sua richiesta;</w:t>
      </w:r>
    </w:p>
    <w:p w14:paraId="14B82C86" w14:textId="77777777" w:rsidR="009A5311" w:rsidRPr="00880308" w:rsidRDefault="009A5311" w:rsidP="009A5311">
      <w:pPr>
        <w:numPr>
          <w:ilvl w:val="0"/>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quando i lavori, le forniture o i servizi possono essere forniti unicamente da un determinato operatore economico per una delle seguenti ragioni:</w:t>
      </w:r>
    </w:p>
    <w:p w14:paraId="7890BE3C" w14:textId="77777777" w:rsidR="009A5311" w:rsidRPr="00880308" w:rsidRDefault="009A5311" w:rsidP="009A5311">
      <w:pPr>
        <w:numPr>
          <w:ilvl w:val="1"/>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lastRenderedPageBreak/>
        <w:t>lo scopo dell’appalto consiste nella creazione o nell’acquisizione di un’opera d’arte o rappresentazione artistica unica;</w:t>
      </w:r>
    </w:p>
    <w:p w14:paraId="63DEEE6B" w14:textId="77777777" w:rsidR="009A5311" w:rsidRPr="00880308" w:rsidRDefault="009A5311" w:rsidP="009A5311">
      <w:pPr>
        <w:numPr>
          <w:ilvl w:val="1"/>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la concorrenza è assente per motivi tecnici;</w:t>
      </w:r>
    </w:p>
    <w:p w14:paraId="7A6D6AFD" w14:textId="77777777" w:rsidR="009A5311" w:rsidRPr="00880308" w:rsidRDefault="009A5311" w:rsidP="009A5311">
      <w:pPr>
        <w:numPr>
          <w:ilvl w:val="1"/>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la tutela di diritti esclusivi, inclusi i diritti di proprietà intellettuale.</w:t>
      </w:r>
    </w:p>
    <w:p w14:paraId="52AE703C"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Le eccezioni di cui ai punti 2) e 3) si applicano solo allorquando non esistano altri operatori economici o soluzioni alternative ragionevoli e l’assenza di concorrenza non sia il risultato di una limitazione artificiale dei parametri dell’appalto</w:t>
      </w:r>
    </w:p>
    <w:p w14:paraId="09147F3F"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Altresì, può essere utilizzata nella misura strettamente necessaria quando, per ragioni di estrema urgenza derivante da eventi imprevedibili dall’amministrazione aggiudicatrice, i termini previsti dalle ulteriori procedure (ovverosia quelle aperte, ristrette o competitive con negoziazione) non possono essere rispettati.</w:t>
      </w:r>
    </w:p>
    <w:p w14:paraId="7262585E"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Le circostanze invocate a giustificazione del ricorso alla procedura in parola, tuttavia, non devono essere in alcun caso imputabili alle amministrazioni aggiudicatrici.</w:t>
      </w:r>
    </w:p>
    <w:p w14:paraId="41E50F1A"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Unitamente alle circostanze di cui al paragrafo che precede, nel caso di appalti pubblici aventi ad oggetto la fornitura di lavori o servizi, la procedura negoziata senza previa pubblicazione del bando è altresì consentita nelle seguenti ipotesi:</w:t>
      </w:r>
    </w:p>
    <w:p w14:paraId="0B812327" w14:textId="77777777" w:rsidR="009A5311" w:rsidRPr="00880308" w:rsidRDefault="009A5311" w:rsidP="009A5311">
      <w:pPr>
        <w:numPr>
          <w:ilvl w:val="0"/>
          <w:numId w:val="28"/>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qualora i prodotti oggetto dell’appalto siano fabbricati esclusivamente a scopo di ricerca, di sperimentazione, di studio o di sviluppo, salvo che si tratti di produzione in quantità volta ad accertare la redditività commerciale del prodotto o ad ammortizzare i costi di ricerca e di sviluppo;</w:t>
      </w:r>
    </w:p>
    <w:p w14:paraId="742E4650" w14:textId="77777777" w:rsidR="009A5311" w:rsidRPr="00880308" w:rsidRDefault="009A5311" w:rsidP="009A5311">
      <w:pPr>
        <w:numPr>
          <w:ilvl w:val="0"/>
          <w:numId w:val="28"/>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nel caso di consegne complementari effettuate dal fornitore originario e destinate al rinnovo parziale di forniture o di impianti o all’ampliamento di forniture o impianti esistenti, qualora il cambiamento di fornitore obblighi l’amministrazione aggiudicatrice ad acquistare forniture con caratteristiche tecniche differenti, il cui impiego o la cui manutenzione comporterebbero incompatibilità o difficoltà tecniche sproporzionate (la durata di tali contratti e dei contratti rinnovabili non può comunque di regola superare i tre anni);</w:t>
      </w:r>
    </w:p>
    <w:p w14:paraId="2E4C5F47" w14:textId="77777777" w:rsidR="009A5311" w:rsidRPr="00880308" w:rsidRDefault="009A5311" w:rsidP="009A5311">
      <w:pPr>
        <w:numPr>
          <w:ilvl w:val="0"/>
          <w:numId w:val="28"/>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per forniture quotate e acquistate sul mercato delle materie prime;</w:t>
      </w:r>
    </w:p>
    <w:p w14:paraId="42EFF624" w14:textId="77777777" w:rsidR="009A5311" w:rsidRPr="00880308" w:rsidRDefault="009A5311" w:rsidP="009A5311">
      <w:pPr>
        <w:numPr>
          <w:ilvl w:val="0"/>
          <w:numId w:val="28"/>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per l’acquisto di forniture o servizi a condizioni particolarmente vantaggiose, da un fornitore che cessa definitivamente l’attività commerciale oppure dagli organi delle procedure concorsuali.</w:t>
      </w:r>
    </w:p>
    <w:p w14:paraId="0AC2AAA2"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Altresì, ai sensi del medesimo dettato codicistico, tale procedura è</w:t>
      </w:r>
      <w:r w:rsidRPr="00880308">
        <w:rPr>
          <w:rFonts w:ascii="Arial" w:eastAsia="Times New Roman" w:hAnsi="Arial" w:cs="Arial"/>
          <w:i/>
          <w:iCs/>
          <w:sz w:val="24"/>
          <w:szCs w:val="24"/>
          <w:lang w:eastAsia="it-IT"/>
        </w:rPr>
        <w:t> “consentita negli appalti pubblici relativi ai servizi qualora l’appalto faccia seguito ad un concorso di progettazione e debba, in base alle norme applicabili, essere aggiudicato al vincitore o ad uno dei vincitori del concorso. In quest’ultimo caso, tutti i vincitori devono essere invitati a partecipare ai negoziati</w:t>
      </w:r>
      <w:r w:rsidRPr="00880308">
        <w:rPr>
          <w:rFonts w:ascii="Arial" w:eastAsia="Times New Roman" w:hAnsi="Arial" w:cs="Arial"/>
          <w:sz w:val="24"/>
          <w:szCs w:val="24"/>
          <w:lang w:eastAsia="it-IT"/>
        </w:rPr>
        <w:t>”.</w:t>
      </w:r>
    </w:p>
    <w:p w14:paraId="6918BD60"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Ed ancora, tale procedura può essere utilizzata per nuovi lavori o servizi consistenti nella ripetizione di lavori o servizi analoghi, già affidati all’operatore economico aggiudicatario dell’appalto iniziale dalle medesime amministrazioni aggiudicatrici, a condizione che tali lavori o servizi siano conformi al progetto a base di gara, il quale deve aver indicato eventuali lavori o servizi complementari, nonché le condizioni alle quali essi verranno aggiudicati.</w:t>
      </w:r>
    </w:p>
    <w:p w14:paraId="7525F260"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 xml:space="preserve">Le amministrazioni aggiudicatrici, pertanto, individuano gli operatori economici da consultare sulla base di informazioni afferenti alle caratteristiche economico/finanziarie, tecniche e professionali desunte dal mercato, selezionando almeno cinque operatori </w:t>
      </w:r>
      <w:r w:rsidRPr="00880308">
        <w:rPr>
          <w:rFonts w:ascii="Arial" w:eastAsia="Times New Roman" w:hAnsi="Arial" w:cs="Arial"/>
          <w:sz w:val="24"/>
          <w:szCs w:val="24"/>
          <w:lang w:eastAsia="it-IT"/>
        </w:rPr>
        <w:lastRenderedPageBreak/>
        <w:t>economici, se esistenti (pur sempre nel rispetto dei principi di trasparenza, concorrenza e rotazione).</w:t>
      </w:r>
    </w:p>
    <w:p w14:paraId="4BD0394C"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Sarà selezionato, dunque, l’operatore economico che avrà offerto le condizioni più vantaggiose, previa verifica del possesso dei relativi requisiti di partecipazione previsti per l’affidamento di contratti di uguale importo.</w:t>
      </w:r>
    </w:p>
    <w:p w14:paraId="0E32EC28"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La Stazione Appaltante, dopo aver adottato delibera o determina a contrarre – all’interno della quale viene motivata la sussistenza dei presupposti per l’utilizzo di tale procedura – individua, consulta e seleziona gli operatori economici sulla base delle relative caratteristiche economico/finanziarie e tecnico/organizzative.</w:t>
      </w:r>
    </w:p>
    <w:p w14:paraId="529A8250"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Dunque, con apposita comunicazione nella quale sono indicati gli elementi essenziali della prestazione richiesta, la Stazione Appaltante invita gli operatori economici selezionati a presentare le offerte che saranno oggetto della medesima negoziazione.</w:t>
      </w:r>
    </w:p>
    <w:p w14:paraId="0C86115B"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Infine, l’offerta migliore sarà selezionata secondo i criteri del minor prezzo e dell’offerta economicamente più vantaggiosa.</w:t>
      </w:r>
    </w:p>
    <w:p w14:paraId="0E547ED1" w14:textId="77777777" w:rsidR="009A5311" w:rsidRPr="007B3803" w:rsidRDefault="00000000" w:rsidP="009A5311">
      <w:pPr>
        <w:spacing w:after="0" w:line="240" w:lineRule="auto"/>
        <w:rPr>
          <w:rFonts w:ascii="Arial" w:eastAsia="Times New Roman" w:hAnsi="Arial" w:cs="Arial"/>
          <w:b/>
          <w:bCs/>
          <w:sz w:val="24"/>
          <w:szCs w:val="24"/>
          <w:lang w:eastAsia="it-IT"/>
        </w:rPr>
      </w:pPr>
      <w:r>
        <w:rPr>
          <w:rFonts w:ascii="Arial" w:eastAsia="Times New Roman" w:hAnsi="Arial" w:cs="Arial"/>
          <w:b/>
          <w:bCs/>
          <w:sz w:val="24"/>
          <w:szCs w:val="24"/>
          <w:lang w:eastAsia="it-IT"/>
        </w:rPr>
        <w:pict w14:anchorId="7A2B135F">
          <v:rect id="_x0000_i1025" style="width:0;height:0" o:hrstd="t" o:hrnoshade="t" o:hr="t" fillcolor="#333" stroked="f"/>
        </w:pict>
      </w:r>
    </w:p>
    <w:p w14:paraId="7504E6E4" w14:textId="77777777" w:rsidR="009A5311" w:rsidRPr="007B3803" w:rsidRDefault="009A5311" w:rsidP="009A5311">
      <w:pPr>
        <w:spacing w:line="240" w:lineRule="auto"/>
        <w:rPr>
          <w:rFonts w:ascii="Arial" w:hAnsi="Arial" w:cs="Arial"/>
          <w:sz w:val="24"/>
          <w:szCs w:val="24"/>
        </w:rPr>
      </w:pPr>
    </w:p>
    <w:p w14:paraId="581AB07D" w14:textId="77777777" w:rsidR="009A5311" w:rsidRPr="007B3803" w:rsidRDefault="009A5311" w:rsidP="009A5311">
      <w:pPr>
        <w:spacing w:line="240" w:lineRule="auto"/>
        <w:rPr>
          <w:rFonts w:ascii="Arial" w:hAnsi="Arial" w:cs="Arial"/>
          <w:sz w:val="24"/>
          <w:szCs w:val="24"/>
        </w:rPr>
      </w:pPr>
      <w:r w:rsidRPr="007B3803">
        <w:rPr>
          <w:rFonts w:ascii="Arial" w:hAnsi="Arial" w:cs="Arial"/>
          <w:b/>
          <w:sz w:val="24"/>
          <w:szCs w:val="24"/>
        </w:rPr>
        <w:t>Dialogo competitivo</w:t>
      </w:r>
      <w:r w:rsidRPr="007B3803">
        <w:rPr>
          <w:rFonts w:ascii="Arial" w:hAnsi="Arial" w:cs="Arial"/>
          <w:sz w:val="24"/>
          <w:szCs w:val="24"/>
        </w:rPr>
        <w:sym w:font="Wingdings" w:char="F0E0"/>
      </w:r>
      <w:r w:rsidRPr="007B3803">
        <w:rPr>
          <w:rFonts w:ascii="Arial" w:hAnsi="Arial" w:cs="Arial"/>
          <w:sz w:val="24"/>
          <w:szCs w:val="24"/>
        </w:rPr>
        <w:t xml:space="preserve"> Medesimi presupposti applicativi della procedura competitiva con negoziazione. PROCEDURA: Necessità di specifica motivazione in merito alla sussistenza dei presupposti applicativi </w:t>
      </w:r>
      <w:r w:rsidRPr="007B3803">
        <w:rPr>
          <w:rFonts w:ascii="Arial" w:hAnsi="Arial" w:cs="Arial"/>
          <w:sz w:val="24"/>
          <w:szCs w:val="24"/>
        </w:rPr>
        <w:sym w:font="Wingdings" w:char="F0E0"/>
      </w:r>
      <w:r w:rsidRPr="007B3803">
        <w:rPr>
          <w:rFonts w:ascii="Arial" w:hAnsi="Arial" w:cs="Arial"/>
          <w:sz w:val="24"/>
          <w:szCs w:val="24"/>
        </w:rPr>
        <w:t>Le stazioni appaltanti indicano le esigenze e definiscono i requisiti Le stazioni appaltanti avviano con i partecipanti selezionati un dialogo, finalizzato a definire i mezzi idonei a soddisfare le loro esigenze</w:t>
      </w:r>
      <w:r w:rsidRPr="007B3803">
        <w:rPr>
          <w:rFonts w:ascii="Arial" w:hAnsi="Arial" w:cs="Arial"/>
          <w:sz w:val="24"/>
          <w:szCs w:val="24"/>
        </w:rPr>
        <w:sym w:font="Wingdings" w:char="F0E0"/>
      </w:r>
      <w:r w:rsidRPr="007B3803">
        <w:rPr>
          <w:rFonts w:ascii="Arial" w:hAnsi="Arial" w:cs="Arial"/>
          <w:sz w:val="24"/>
          <w:szCs w:val="24"/>
        </w:rPr>
        <w:t>Durante il dialogo, deve essere garantita parità di trattamento e non devono essere fornite informazioni avvantaggianti solo taluni partecipanti</w:t>
      </w:r>
      <w:r w:rsidRPr="007B3803">
        <w:rPr>
          <w:rFonts w:ascii="Arial" w:hAnsi="Arial" w:cs="Arial"/>
          <w:sz w:val="24"/>
          <w:szCs w:val="24"/>
        </w:rPr>
        <w:sym w:font="Wingdings" w:char="F0E0"/>
      </w:r>
      <w:r w:rsidRPr="007B3803">
        <w:rPr>
          <w:rFonts w:ascii="Arial" w:hAnsi="Arial" w:cs="Arial"/>
          <w:sz w:val="24"/>
          <w:szCs w:val="24"/>
        </w:rPr>
        <w:t xml:space="preserve"> Concluso il dialogo, gli operatori presentano le offerte finali</w:t>
      </w:r>
      <w:r w:rsidRPr="007B3803">
        <w:rPr>
          <w:rFonts w:ascii="Arial" w:hAnsi="Arial" w:cs="Arial"/>
          <w:sz w:val="24"/>
          <w:szCs w:val="24"/>
        </w:rPr>
        <w:sym w:font="Wingdings" w:char="F0E0"/>
      </w:r>
      <w:r w:rsidRPr="007B3803">
        <w:rPr>
          <w:rFonts w:ascii="Arial" w:hAnsi="Arial" w:cs="Arial"/>
          <w:sz w:val="24"/>
          <w:szCs w:val="24"/>
        </w:rPr>
        <w:t xml:space="preserve"> Le stazioni appaltanti valutano le offerte ricevute sulla base dei criteri prefissati. Il dialogo competitivo, così come tutte le procedure ad evidenza pubblica, deve sottostare ai principi degli appalti: • trasparenza: bando contiene tutti gli elementi noti, immodificabili. Le informazioni emerse durante il dialogo sono fornite a tutti i partecipanti in modo non discriminatorio, fermo restando l’obbligo di riservatezza; • riservatezza: sulle soluzioni proposte da ciascun concorrente; • parità di trattamento: criteri di valutazione espressi inizialmente, offerte immodificabili dopo la chiusura del dialogo. Il dialogo competitivo è una procedura di carattere eccezionale e onerosa, soprattutto per gli operatori economici che vi prendono parte. Il Codice prevede la possibilità di concedere premi o incentivi ai partecipanti al dialogo, anche se vieta forme di indennizzo nel caso nessuna proposta sia giudicata idonea. Un secondo problema è dovuto alla previsione di indicare fino dal bando/avviso iniziale i criteri di valutazione delle offerte, sebbene l’oggetto del bando di fatto sia ancora indefinito in quello stadio.</w:t>
      </w:r>
    </w:p>
    <w:p w14:paraId="12F18866" w14:textId="77777777" w:rsidR="009A5311" w:rsidRDefault="009A5311" w:rsidP="009A5311">
      <w:pPr>
        <w:spacing w:line="240" w:lineRule="auto"/>
        <w:rPr>
          <w:rFonts w:ascii="Arial" w:hAnsi="Arial" w:cs="Arial"/>
          <w:sz w:val="24"/>
          <w:szCs w:val="24"/>
          <w:shd w:val="clear" w:color="auto" w:fill="FFFFFF"/>
        </w:rPr>
      </w:pPr>
      <w:r w:rsidRPr="007B3803">
        <w:rPr>
          <w:rFonts w:ascii="Arial" w:hAnsi="Arial" w:cs="Arial"/>
          <w:b/>
          <w:sz w:val="24"/>
          <w:szCs w:val="24"/>
        </w:rPr>
        <w:t>Partenariato per l'innovazione</w:t>
      </w:r>
      <w:r w:rsidRPr="007B3803">
        <w:rPr>
          <w:rFonts w:ascii="Arial" w:hAnsi="Arial" w:cs="Arial"/>
          <w:sz w:val="24"/>
          <w:szCs w:val="24"/>
        </w:rPr>
        <w:t xml:space="preserve"> </w:t>
      </w:r>
      <w:r w:rsidRPr="007B3803">
        <w:rPr>
          <w:rFonts w:ascii="Arial" w:hAnsi="Arial" w:cs="Arial"/>
          <w:sz w:val="24"/>
          <w:szCs w:val="24"/>
        </w:rPr>
        <w:sym w:font="Wingdings" w:char="F0E0"/>
      </w:r>
      <w:r w:rsidRPr="007B3803">
        <w:rPr>
          <w:rFonts w:ascii="Arial" w:hAnsi="Arial" w:cs="Arial"/>
          <w:sz w:val="24"/>
          <w:szCs w:val="24"/>
        </w:rPr>
        <w:t xml:space="preserve">Le amministrazioni aggiudicatrici e gli enti aggiudicatori possono ricorrere ai partenariati per l’innovazione nelle ipotesi in cui l’esigenza di sviluppare prodotti, servizi o lavori innovativi e di acquistare successivamente le forniture, i servizi o i lavori che ne risultano non può, in base a una motivata determinazione, essere soddisfatta ricorrendo a soluzioni già disponibili sul mercato, a condizione che le forniture, servizi o lavori che ne risultano, corrispondano ai livelli di prestazioni e ai costi massimi concordati tra le stazioni appaltanti e i partecipanti. </w:t>
      </w:r>
      <w:r w:rsidRPr="007B3803">
        <w:rPr>
          <w:rFonts w:ascii="Arial" w:hAnsi="Arial" w:cs="Arial"/>
          <w:sz w:val="24"/>
          <w:szCs w:val="24"/>
          <w:shd w:val="clear" w:color="auto" w:fill="FFFFFF"/>
        </w:rPr>
        <w:t xml:space="preserve">Attraverso una prima selezione dei candidati e una serie di negoziazioni parallele con i soggetti che hanno manifestato il proprio interesse a partecipare alla procedura, le stazioni appaltanti potranno sia </w:t>
      </w:r>
      <w:r w:rsidRPr="007B3803">
        <w:rPr>
          <w:rFonts w:ascii="Arial" w:hAnsi="Arial" w:cs="Arial"/>
          <w:sz w:val="24"/>
          <w:szCs w:val="24"/>
          <w:shd w:val="clear" w:color="auto" w:fill="FFFFFF"/>
        </w:rPr>
        <w:lastRenderedPageBreak/>
        <w:t>manifestare i propri fabbisogni fissando i requisiti minimi e i costi massimi delle soluzioni richieste, senza impegnarsi in un’ardua descrizione a priori delle stesse, sia strutturare la commessa in fasi successive, secondo la sequenza tipica dei progetti di ricerca, fissando obiettivi intermedi che i partecipanti dovranno raggiungere per ottenere il pagamento della remunerazione corrispondente.</w:t>
      </w:r>
    </w:p>
    <w:p w14:paraId="0B51DE26" w14:textId="77777777" w:rsidR="002C5369" w:rsidRDefault="002C5369" w:rsidP="009A5311">
      <w:pPr>
        <w:spacing w:line="240" w:lineRule="auto"/>
        <w:rPr>
          <w:rFonts w:ascii="Arial" w:hAnsi="Arial" w:cs="Arial"/>
          <w:sz w:val="24"/>
          <w:szCs w:val="24"/>
          <w:shd w:val="clear" w:color="auto" w:fill="FFFFFF"/>
        </w:rPr>
      </w:pPr>
    </w:p>
    <w:p w14:paraId="245E7EE5" w14:textId="110E7EC2" w:rsidR="002C5369" w:rsidRDefault="002C5369" w:rsidP="009A5311">
      <w:pPr>
        <w:spacing w:line="240" w:lineRule="auto"/>
        <w:rPr>
          <w:rFonts w:ascii="Arial" w:hAnsi="Arial" w:cs="Arial"/>
          <w:sz w:val="24"/>
          <w:szCs w:val="24"/>
          <w:shd w:val="clear" w:color="auto" w:fill="FFFFFF"/>
        </w:rPr>
      </w:pPr>
      <w:r>
        <w:rPr>
          <w:rFonts w:ascii="Arial" w:hAnsi="Arial" w:cs="Arial"/>
          <w:sz w:val="24"/>
          <w:szCs w:val="24"/>
          <w:shd w:val="clear" w:color="auto" w:fill="FFFFFF"/>
        </w:rPr>
        <w:t>xxxxxxxxxxxxxxxxxxxxxxxxxxxxxxxxxxxxxxxxxxxxxxxxxxxxxxxxxxxxxxxxxxxxxxxxxxxxxxxxxxxxxxxxxxxxxxxxxxxxxxxxxxxxxxxxxxxxxxxxxxxxxxxxxxxxx</w:t>
      </w:r>
    </w:p>
    <w:p w14:paraId="4D8D5FCE" w14:textId="77777777" w:rsidR="002C5369" w:rsidRPr="007B3803" w:rsidRDefault="002C5369" w:rsidP="009A5311">
      <w:pPr>
        <w:spacing w:line="240" w:lineRule="auto"/>
        <w:rPr>
          <w:rFonts w:ascii="Arial" w:hAnsi="Arial" w:cs="Arial"/>
          <w:sz w:val="24"/>
          <w:szCs w:val="24"/>
        </w:rPr>
      </w:pPr>
    </w:p>
    <w:p w14:paraId="570A747D" w14:textId="77777777" w:rsidR="009A5311" w:rsidRPr="007B3803" w:rsidRDefault="009A5311" w:rsidP="009A5311">
      <w:pPr>
        <w:pStyle w:val="NormaleWeb"/>
        <w:shd w:val="clear" w:color="auto" w:fill="FFFFFF"/>
        <w:spacing w:before="0" w:beforeAutospacing="0" w:after="101" w:afterAutospacing="0"/>
        <w:rPr>
          <w:rFonts w:ascii="Arial" w:hAnsi="Arial" w:cs="Arial"/>
        </w:rPr>
      </w:pPr>
      <w:r w:rsidRPr="007B3803">
        <w:rPr>
          <w:rFonts w:ascii="Arial" w:hAnsi="Arial" w:cs="Arial"/>
          <w:b/>
        </w:rPr>
        <w:t>Accordi quadro</w:t>
      </w:r>
      <w:r w:rsidRPr="007B3803">
        <w:rPr>
          <w:rFonts w:ascii="Arial" w:hAnsi="Arial" w:cs="Arial"/>
          <w:b/>
        </w:rPr>
        <w:sym w:font="Wingdings" w:char="F0E0"/>
      </w:r>
      <w:r w:rsidRPr="007B3803">
        <w:rPr>
          <w:rFonts w:ascii="Arial" w:hAnsi="Arial" w:cs="Arial"/>
        </w:rPr>
        <w:t>L'accordo quadro è uno strumento preparatorio all'affidamento di uno o più appalti, concluso tra le parti sotto forma di accordo, mediante il quale una o più stazioni appaltanti e uno o più operatori economici definiscono le clausole fondamentali relative agli appalti da aggiudicare durante un dato periodo «in particolare per quanto riguarda i prezzi e, se del caso, le quantità previste. L'Istituto trae le sue origini dal cosiddetto contratto normativo, vale a dire da uno strumento di natura negoziale che obbliga le parti ad inserire - nei futuri ed eventuali contratti riguardanti una determinata materia - quanto pattuito nel contratto normativo. Le parti di tale accordo definiscono in anticipo determinate clausole che si obbligano a "... inserire nei futuri contratti, se e quando saranno conclusi</w:t>
      </w:r>
      <w:proofErr w:type="gramStart"/>
      <w:r w:rsidRPr="007B3803">
        <w:rPr>
          <w:rFonts w:ascii="Arial" w:hAnsi="Arial" w:cs="Arial"/>
        </w:rPr>
        <w:t>"  ,</w:t>
      </w:r>
      <w:proofErr w:type="gramEnd"/>
      <w:r w:rsidRPr="007B3803">
        <w:rPr>
          <w:rFonts w:ascii="Arial" w:hAnsi="Arial" w:cs="Arial"/>
        </w:rPr>
        <w:t xml:space="preserve"> dettando dunque "le regole che saranno vincolanti per i loro eventuali futuri rapporti, senza che ne sorgano immediatamente legami di diritto-obbligo. Hanno durata massima di 4 anni eccetto particolari settori (8)</w:t>
      </w:r>
    </w:p>
    <w:p w14:paraId="4723CB88" w14:textId="77777777" w:rsidR="009A5311" w:rsidRPr="007B3803"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b/>
        </w:rPr>
        <w:t>Sistema dinamico di acquisizione</w:t>
      </w:r>
      <w:r w:rsidRPr="007B3803">
        <w:rPr>
          <w:rFonts w:ascii="Arial" w:hAnsi="Arial" w:cs="Arial"/>
          <w:b/>
        </w:rPr>
        <w:sym w:font="Wingdings" w:char="F0E0"/>
      </w:r>
      <w:r w:rsidRPr="007B3803">
        <w:rPr>
          <w:rFonts w:ascii="Arial" w:hAnsi="Arial" w:cs="Arial"/>
          <w:b/>
        </w:rPr>
        <w:t xml:space="preserve"> </w:t>
      </w:r>
      <w:proofErr w:type="spellStart"/>
      <w:r w:rsidRPr="007B3803">
        <w:rPr>
          <w:rStyle w:val="Enfasigrassetto"/>
          <w:rFonts w:ascii="Arial" w:eastAsiaTheme="majorEastAsia" w:hAnsi="Arial" w:cs="Arial"/>
        </w:rPr>
        <w:t>Acquisizione</w:t>
      </w:r>
      <w:proofErr w:type="spellEnd"/>
      <w:r w:rsidRPr="007B3803">
        <w:rPr>
          <w:rStyle w:val="Enfasigrassetto"/>
          <w:rFonts w:ascii="Arial" w:eastAsiaTheme="majorEastAsia" w:hAnsi="Arial" w:cs="Arial"/>
        </w:rPr>
        <w:t xml:space="preserve"> della P.A.</w:t>
      </w:r>
      <w:r w:rsidRPr="007B3803">
        <w:rPr>
          <w:rFonts w:ascii="Arial" w:hAnsi="Arial" w:cs="Arial"/>
        </w:rPr>
        <w:t> (SDAPA) è un processo di acquisizione interamente elettronico, aperto per tutto il periodo di validità dello stesso a qualsivoglia operatore economico che soddisfi i criteri di selezione.</w:t>
      </w:r>
    </w:p>
    <w:p w14:paraId="4343FE5E" w14:textId="77777777" w:rsidR="009A5311" w:rsidRPr="007B3803"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rPr>
        <w:t>Per l’aggiudicazione nell’ambito di un Sistema dinamico di acquisizione, le amministrazioni aggiudicatrici seguono le norme della procedura ristretta. Tutti i candidati che soddisfano i criteri di selezione sono ammessi al sistema e tutti i partecipanti ammessi sono invitati a presentare un’offerta per ogni specifico appalto nell’ambito del sistema dinamico di acquisizione.</w:t>
      </w:r>
    </w:p>
    <w:p w14:paraId="22822D73" w14:textId="77777777" w:rsidR="009A5311" w:rsidRPr="007B3803"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rPr>
        <w:t>Il Sistema dinamico è caratterizzato da una procedura bifasica:</w:t>
      </w:r>
    </w:p>
    <w:p w14:paraId="77164B52" w14:textId="77777777" w:rsidR="009A5311" w:rsidRPr="007B3803"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rPr>
        <w:t>Fase 1 - pubblicazione da parte di Consip di un bando istitutivo per una o più categorie merceologiche a cui i fornitori possono abilitarsi.</w:t>
      </w:r>
    </w:p>
    <w:p w14:paraId="2D5491FC" w14:textId="77777777" w:rsidR="009A5311"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rPr>
        <w:t>Fase 2 – indizione e aggiudicazione di appalti specifici in cui le Amministrazioni, definendo i quantitativi, il valore e le caratteristiche specifiche dell’appalto, invitano tutti i partecipanti ammessi a presentare un’offerta</w:t>
      </w:r>
    </w:p>
    <w:p w14:paraId="0F4897B6" w14:textId="654048E8" w:rsidR="0027039F" w:rsidRDefault="0027039F" w:rsidP="009A5311">
      <w:pPr>
        <w:pStyle w:val="NormaleWeb"/>
        <w:shd w:val="clear" w:color="auto" w:fill="FFFFFF"/>
        <w:spacing w:before="0" w:beforeAutospacing="0" w:after="101" w:afterAutospacing="0"/>
        <w:jc w:val="both"/>
        <w:rPr>
          <w:rFonts w:ascii="Arial" w:hAnsi="Arial" w:cs="Arial"/>
          <w:b/>
          <w:bCs/>
        </w:rPr>
      </w:pPr>
      <w:r w:rsidRPr="0027039F">
        <w:rPr>
          <w:rFonts w:ascii="Arial" w:hAnsi="Arial" w:cs="Arial"/>
          <w:b/>
          <w:bCs/>
        </w:rPr>
        <w:t>MEPA</w:t>
      </w:r>
    </w:p>
    <w:p w14:paraId="69D20965" w14:textId="62E77923" w:rsidR="0027039F" w:rsidRDefault="0027039F" w:rsidP="009A5311">
      <w:pPr>
        <w:pStyle w:val="NormaleWeb"/>
        <w:shd w:val="clear" w:color="auto" w:fill="FFFFFF"/>
        <w:spacing w:before="0" w:beforeAutospacing="0" w:after="101" w:afterAutospacing="0"/>
        <w:jc w:val="both"/>
        <w:rPr>
          <w:rFonts w:ascii="Arial" w:hAnsi="Arial" w:cs="Arial"/>
        </w:rPr>
      </w:pPr>
      <w:r w:rsidRPr="0027039F">
        <w:rPr>
          <w:rFonts w:ascii="Arial" w:hAnsi="Arial" w:cs="Arial"/>
        </w:rPr>
        <w:t xml:space="preserve">Il </w:t>
      </w:r>
      <w:proofErr w:type="spellStart"/>
      <w:r w:rsidRPr="0027039F">
        <w:rPr>
          <w:rFonts w:ascii="Arial" w:hAnsi="Arial" w:cs="Arial"/>
        </w:rPr>
        <w:t>MePA</w:t>
      </w:r>
      <w:proofErr w:type="spellEnd"/>
      <w:r w:rsidRPr="0027039F">
        <w:rPr>
          <w:rFonts w:ascii="Arial" w:hAnsi="Arial" w:cs="Arial"/>
        </w:rPr>
        <w:t xml:space="preserve"> è il Mercato elettronico della Pubblica amministrazione gestito da Consip per conto del Ministero dell’Economia e delle Finanze, è un mercato digitale dove si incontrano la domanda della PA e l’offerta di fornitori abilitati per l’acquisto di beni, servizi e lavori, con importi inferiori alla soglia comunitaria.</w:t>
      </w:r>
    </w:p>
    <w:p w14:paraId="4B7C46C8" w14:textId="3AD7A838" w:rsidR="0027039F" w:rsidRPr="0027039F" w:rsidRDefault="0027039F" w:rsidP="0027039F">
      <w:pPr>
        <w:pStyle w:val="NormaleWeb"/>
        <w:shd w:val="clear" w:color="auto" w:fill="FFFFFF"/>
        <w:spacing w:after="101"/>
        <w:jc w:val="both"/>
        <w:rPr>
          <w:rFonts w:ascii="Arial" w:hAnsi="Arial" w:cs="Arial"/>
        </w:rPr>
      </w:pPr>
      <w:r w:rsidRPr="0027039F">
        <w:rPr>
          <w:rFonts w:ascii="Arial" w:hAnsi="Arial" w:cs="Arial"/>
        </w:rPr>
        <w:t xml:space="preserve">Il mercato elettronico offre alle Amministrazioni registrate la possibilità di concludere contratti attraverso </w:t>
      </w:r>
      <w:proofErr w:type="gramStart"/>
      <w:r>
        <w:rPr>
          <w:rFonts w:ascii="Arial" w:hAnsi="Arial" w:cs="Arial"/>
        </w:rPr>
        <w:t>3</w:t>
      </w:r>
      <w:proofErr w:type="gramEnd"/>
      <w:r w:rsidRPr="0027039F">
        <w:rPr>
          <w:rFonts w:ascii="Arial" w:hAnsi="Arial" w:cs="Arial"/>
        </w:rPr>
        <w:t xml:space="preserve"> diverse procedure di acquisto:</w:t>
      </w:r>
    </w:p>
    <w:p w14:paraId="13FE2F98" w14:textId="77777777" w:rsidR="0027039F" w:rsidRPr="0027039F" w:rsidRDefault="0027039F" w:rsidP="0027039F">
      <w:pPr>
        <w:pStyle w:val="NormaleWeb"/>
        <w:numPr>
          <w:ilvl w:val="0"/>
          <w:numId w:val="42"/>
        </w:numPr>
        <w:shd w:val="clear" w:color="auto" w:fill="FFFFFF"/>
        <w:spacing w:after="101"/>
        <w:jc w:val="both"/>
        <w:rPr>
          <w:rFonts w:ascii="Arial" w:hAnsi="Arial" w:cs="Arial"/>
        </w:rPr>
      </w:pPr>
      <w:r w:rsidRPr="0027039F">
        <w:rPr>
          <w:rFonts w:ascii="Arial" w:hAnsi="Arial" w:cs="Arial"/>
        </w:rPr>
        <w:t>l'ordine d'acquisto: (</w:t>
      </w:r>
      <w:proofErr w:type="spellStart"/>
      <w:r w:rsidRPr="0027039F">
        <w:rPr>
          <w:rFonts w:ascii="Arial" w:hAnsi="Arial" w:cs="Arial"/>
        </w:rPr>
        <w:t>OdA</w:t>
      </w:r>
      <w:proofErr w:type="spellEnd"/>
      <w:r w:rsidRPr="0027039F">
        <w:rPr>
          <w:rFonts w:ascii="Arial" w:hAnsi="Arial" w:cs="Arial"/>
        </w:rPr>
        <w:t xml:space="preserve">) l'amministrazione può acquistare beni e servizi direttamente dai cataloghi dei fornitori abilitati al Mercato elettronico. La </w:t>
      </w:r>
      <w:r w:rsidRPr="0027039F">
        <w:rPr>
          <w:rFonts w:ascii="Arial" w:hAnsi="Arial" w:cs="Arial"/>
        </w:rPr>
        <w:lastRenderedPageBreak/>
        <w:t>pubblicazione del catalogo dei prodotti da parte del fornitore costituisce infatti una vera e propria offerta al pubblico riservata alle amministrazioni registrate al Mercato elettronico;</w:t>
      </w:r>
    </w:p>
    <w:p w14:paraId="44109839" w14:textId="1974A107" w:rsidR="0027039F" w:rsidRDefault="0027039F" w:rsidP="0027039F">
      <w:pPr>
        <w:pStyle w:val="NormaleWeb"/>
        <w:numPr>
          <w:ilvl w:val="0"/>
          <w:numId w:val="42"/>
        </w:numPr>
        <w:shd w:val="clear" w:color="auto" w:fill="FFFFFF"/>
        <w:spacing w:before="0" w:beforeAutospacing="0" w:after="101" w:afterAutospacing="0"/>
        <w:jc w:val="both"/>
        <w:rPr>
          <w:rFonts w:ascii="Arial" w:hAnsi="Arial" w:cs="Arial"/>
        </w:rPr>
      </w:pPr>
      <w:r w:rsidRPr="0027039F">
        <w:rPr>
          <w:rFonts w:ascii="Arial" w:hAnsi="Arial" w:cs="Arial"/>
        </w:rPr>
        <w:t>la richiesta d'offerta (</w:t>
      </w:r>
      <w:proofErr w:type="spellStart"/>
      <w:r w:rsidRPr="0027039F">
        <w:rPr>
          <w:rFonts w:ascii="Arial" w:hAnsi="Arial" w:cs="Arial"/>
        </w:rPr>
        <w:t>RdO</w:t>
      </w:r>
      <w:proofErr w:type="spellEnd"/>
      <w:r w:rsidRPr="0027039F">
        <w:rPr>
          <w:rFonts w:ascii="Arial" w:hAnsi="Arial" w:cs="Arial"/>
        </w:rPr>
        <w:t>): consente all'amministrazione di richiedere ai fornitori abilitati diverse e ulteriori offerte aventi ad oggetto tutti i prodotti ed i servizi abilitabili sul Mercato elettronico, permette quindi di soddisfare specifiche esigenze. Più semplicemente, tale procedura può essere utilizzata per richiedere più preventivi sullo stesso prodotto/servizio a diversi fornitori, mettendoli in concorrenza tra loro per ottenere migliori caratteristiche tecniche e prezzi più vantaggiosi rispetto a quelli presenti a catalogo.</w:t>
      </w:r>
    </w:p>
    <w:p w14:paraId="788D963F" w14:textId="3AE08E15" w:rsidR="0027039F" w:rsidRPr="0027039F" w:rsidRDefault="0027039F" w:rsidP="0027039F">
      <w:pPr>
        <w:pStyle w:val="NormaleWeb"/>
        <w:numPr>
          <w:ilvl w:val="0"/>
          <w:numId w:val="42"/>
        </w:numPr>
        <w:shd w:val="clear" w:color="auto" w:fill="FFFFFF"/>
        <w:spacing w:before="0" w:beforeAutospacing="0" w:after="101" w:afterAutospacing="0"/>
        <w:jc w:val="both"/>
        <w:rPr>
          <w:rFonts w:ascii="Arial" w:hAnsi="Arial" w:cs="Arial"/>
        </w:rPr>
      </w:pPr>
      <w:r w:rsidRPr="0027039F">
        <w:rPr>
          <w:rFonts w:ascii="Arial" w:hAnsi="Arial" w:cs="Arial"/>
        </w:rPr>
        <w:t xml:space="preserve">La Trattativa Diretta è una modalità di acquisto del Mercato Elettronico </w:t>
      </w:r>
      <w:proofErr w:type="spellStart"/>
      <w:r w:rsidRPr="0027039F">
        <w:rPr>
          <w:rFonts w:ascii="Arial" w:hAnsi="Arial" w:cs="Arial"/>
        </w:rPr>
        <w:t>MePa</w:t>
      </w:r>
      <w:proofErr w:type="spellEnd"/>
      <w:r w:rsidRPr="0027039F">
        <w:rPr>
          <w:rFonts w:ascii="Arial" w:hAnsi="Arial" w:cs="Arial"/>
        </w:rPr>
        <w:t xml:space="preserve"> che ti consente di avviare Negoziazioni dirette con un unico Operatore Economico (OE).</w:t>
      </w:r>
    </w:p>
    <w:p w14:paraId="3E466D53" w14:textId="77777777" w:rsidR="0027039F" w:rsidRPr="007B3803" w:rsidRDefault="0027039F" w:rsidP="009A5311">
      <w:pPr>
        <w:pStyle w:val="NormaleWeb"/>
        <w:shd w:val="clear" w:color="auto" w:fill="FFFFFF"/>
        <w:spacing w:before="0" w:beforeAutospacing="0" w:after="101" w:afterAutospacing="0"/>
        <w:jc w:val="both"/>
        <w:rPr>
          <w:rFonts w:ascii="Arial" w:hAnsi="Arial" w:cs="Arial"/>
        </w:rPr>
      </w:pPr>
    </w:p>
    <w:p w14:paraId="20713A81" w14:textId="77777777" w:rsidR="009A5311" w:rsidRPr="007B3803" w:rsidRDefault="009A5311" w:rsidP="009A5311">
      <w:pPr>
        <w:pStyle w:val="NormaleWeb"/>
        <w:shd w:val="clear" w:color="auto" w:fill="FFFFFF"/>
        <w:spacing w:before="0" w:beforeAutospacing="0" w:after="101" w:afterAutospacing="0"/>
        <w:rPr>
          <w:rFonts w:ascii="Arial" w:hAnsi="Arial" w:cs="Arial"/>
          <w:shd w:val="clear" w:color="auto" w:fill="F2EFE7"/>
        </w:rPr>
      </w:pPr>
      <w:r w:rsidRPr="007B3803">
        <w:rPr>
          <w:rFonts w:ascii="Arial" w:hAnsi="Arial" w:cs="Arial"/>
          <w:shd w:val="clear" w:color="auto" w:fill="F2EFE7"/>
        </w:rPr>
        <w:t>lo </w:t>
      </w:r>
      <w:r w:rsidRPr="007B3803">
        <w:rPr>
          <w:rStyle w:val="Enfasigrassetto"/>
          <w:rFonts w:ascii="Arial" w:eastAsiaTheme="majorEastAsia" w:hAnsi="Arial" w:cs="Arial"/>
          <w:shd w:val="clear" w:color="auto" w:fill="F2EFE7"/>
        </w:rPr>
        <w:t>SDAPA</w:t>
      </w:r>
      <w:r w:rsidRPr="007B3803">
        <w:rPr>
          <w:rFonts w:ascii="Arial" w:hAnsi="Arial" w:cs="Arial"/>
          <w:shd w:val="clear" w:color="auto" w:fill="F2EFE7"/>
        </w:rPr>
        <w:t> rappresenta uno strumento d’acquisto che ha subito nell’ultimo periodo un sempre più frequente utilizzo da parte delle amministrazioni pubbliche, principalmente per il fatto che </w:t>
      </w:r>
      <w:r w:rsidRPr="007B3803">
        <w:rPr>
          <w:rFonts w:ascii="Arial" w:hAnsi="Arial" w:cs="Arial"/>
          <w:u w:val="single"/>
          <w:shd w:val="clear" w:color="auto" w:fill="F2EFE7"/>
        </w:rPr>
        <w:t>consente di gestire mediante procedura informatica anche appalti di valore superiore alla soglia comunitaria</w:t>
      </w:r>
      <w:r w:rsidRPr="007B3803">
        <w:rPr>
          <w:rFonts w:ascii="Arial" w:hAnsi="Arial" w:cs="Arial"/>
          <w:shd w:val="clear" w:color="auto" w:fill="F2EFE7"/>
        </w:rPr>
        <w:t>.</w:t>
      </w:r>
    </w:p>
    <w:p w14:paraId="32DE250E" w14:textId="77777777" w:rsidR="009A5311" w:rsidRPr="007B3803" w:rsidRDefault="009A5311" w:rsidP="009A5311">
      <w:pPr>
        <w:pStyle w:val="NormaleWeb"/>
        <w:shd w:val="clear" w:color="auto" w:fill="FFFFFF"/>
        <w:spacing w:before="0" w:beforeAutospacing="0" w:after="101" w:afterAutospacing="0"/>
        <w:rPr>
          <w:rFonts w:ascii="Arial" w:hAnsi="Arial" w:cs="Arial"/>
          <w:shd w:val="clear" w:color="auto" w:fill="F2EFE7"/>
        </w:rPr>
      </w:pPr>
    </w:p>
    <w:p w14:paraId="0F405AC9" w14:textId="46926F25" w:rsidR="009A5311" w:rsidRPr="007B3803" w:rsidRDefault="009A5311" w:rsidP="009A5311">
      <w:pPr>
        <w:pStyle w:val="NormaleWeb"/>
        <w:shd w:val="clear" w:color="auto" w:fill="FFFFFF"/>
        <w:spacing w:before="0" w:beforeAutospacing="0" w:after="0" w:afterAutospacing="0"/>
        <w:jc w:val="both"/>
        <w:textAlignment w:val="baseline"/>
        <w:rPr>
          <w:rFonts w:ascii="Arial" w:hAnsi="Arial" w:cs="Arial"/>
        </w:rPr>
      </w:pPr>
      <w:r w:rsidRPr="007B3803">
        <w:rPr>
          <w:rFonts w:ascii="Arial" w:hAnsi="Arial" w:cs="Arial"/>
          <w:b/>
        </w:rPr>
        <w:t>Asta elettronica</w:t>
      </w:r>
      <w:r w:rsidRPr="007B3803">
        <w:rPr>
          <w:rFonts w:ascii="Arial" w:hAnsi="Arial" w:cs="Arial"/>
          <w:b/>
        </w:rPr>
        <w:sym w:font="Wingdings" w:char="F0E0"/>
      </w:r>
      <w:r w:rsidRPr="007B3803">
        <w:rPr>
          <w:rFonts w:ascii="Arial" w:hAnsi="Arial" w:cs="Arial"/>
          <w:shd w:val="clear" w:color="auto" w:fill="FFFFFF"/>
        </w:rPr>
        <w:t xml:space="preserve">L’asta elettronica è una procedura che viene utilizzata dalla pubblica amministrazione con un dispositivo elettronico programmato per ricevere la presentazione di nuovi prezzi da parte dei concorrenti ad una gara di appalto. I prezzi inseriti nell’asta elettronica seguono il criterio del massimo ribasso in merito a dei valori che riguardano solo alcuni elementi del capitolato di gara.). </w:t>
      </w:r>
      <w:r w:rsidRPr="007B3803">
        <w:rPr>
          <w:rFonts w:ascii="Arial" w:hAnsi="Arial" w:cs="Arial"/>
          <w:bdr w:val="none" w:sz="0" w:space="0" w:color="auto" w:frame="1"/>
        </w:rPr>
        <w:t xml:space="preserve">L’asta elettronica è una modalità utilizzabile dalla stazione appaltante a sua discrezione nelle procedure aperte, ristrette e negoziate con bando di gara oppure, altro possibile utilizzo, nella fase del rilancio competitivo tra le parti con riferimento ad un preciso accordo quadro descritto nel bando di gara. L’asta elettronica può </w:t>
      </w:r>
      <w:proofErr w:type="gramStart"/>
      <w:r w:rsidRPr="007B3803">
        <w:rPr>
          <w:rFonts w:ascii="Arial" w:hAnsi="Arial" w:cs="Arial"/>
          <w:bdr w:val="none" w:sz="0" w:space="0" w:color="auto" w:frame="1"/>
        </w:rPr>
        <w:t>riguardare :</w:t>
      </w:r>
      <w:proofErr w:type="gramEnd"/>
      <w:r w:rsidRPr="007B3803">
        <w:rPr>
          <w:rFonts w:ascii="Arial" w:hAnsi="Arial" w:cs="Arial"/>
          <w:bdr w:val="none" w:sz="0" w:space="0" w:color="auto" w:frame="1"/>
        </w:rPr>
        <w:br/>
        <w:t>1) solo i prezzi, quando la gara di appalto prevede che per l’aggiudicazione verrà utilizzato il criterio del prezzo più basso;</w:t>
      </w:r>
    </w:p>
    <w:p w14:paraId="32E79C8C" w14:textId="77777777" w:rsidR="009A5311" w:rsidRPr="007B3803" w:rsidRDefault="009A5311" w:rsidP="009A5311">
      <w:pPr>
        <w:pStyle w:val="NormaleWeb"/>
        <w:shd w:val="clear" w:color="auto" w:fill="FFFFFF"/>
        <w:spacing w:before="0" w:beforeAutospacing="0" w:after="0" w:afterAutospacing="0"/>
        <w:jc w:val="both"/>
        <w:textAlignment w:val="baseline"/>
        <w:rPr>
          <w:rFonts w:ascii="Arial" w:hAnsi="Arial" w:cs="Arial"/>
        </w:rPr>
      </w:pPr>
      <w:r w:rsidRPr="007B3803">
        <w:rPr>
          <w:rFonts w:ascii="Arial" w:hAnsi="Arial" w:cs="Arial"/>
          <w:bdr w:val="none" w:sz="0" w:space="0" w:color="auto" w:frame="1"/>
        </w:rPr>
        <w:t>2) il rapporto che esiste fra prezzi/valori, se il criterio di aggiudicazione del contratto di appalto si basa sul metodo dell’offerta economicamente più vantaggiosa.</w:t>
      </w:r>
    </w:p>
    <w:p w14:paraId="7A6D844B" w14:textId="77777777" w:rsidR="009A5311" w:rsidRPr="007B3803" w:rsidRDefault="009A5311" w:rsidP="009A5311">
      <w:pPr>
        <w:pStyle w:val="NormaleWeb"/>
        <w:shd w:val="clear" w:color="auto" w:fill="FFFFFF"/>
        <w:spacing w:before="0" w:beforeAutospacing="0" w:after="101" w:afterAutospacing="0"/>
        <w:rPr>
          <w:rFonts w:ascii="Arial" w:hAnsi="Arial" w:cs="Arial"/>
          <w:b/>
        </w:rPr>
      </w:pPr>
    </w:p>
    <w:p w14:paraId="71C4A830" w14:textId="09E72E4F" w:rsidR="009A5311" w:rsidRDefault="009A5311" w:rsidP="002C5369">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 xml:space="preserve">Affidamento </w:t>
      </w:r>
      <w:proofErr w:type="gramStart"/>
      <w:r w:rsidRPr="007B3803">
        <w:rPr>
          <w:rFonts w:ascii="Arial" w:eastAsia="Times New Roman" w:hAnsi="Arial" w:cs="Arial"/>
          <w:b/>
          <w:bCs/>
          <w:sz w:val="24"/>
          <w:szCs w:val="24"/>
          <w:lang w:eastAsia="it-IT"/>
        </w:rPr>
        <w:t>sotto soglia</w:t>
      </w:r>
      <w:proofErr w:type="gramEnd"/>
      <w:r w:rsidRPr="007B3803">
        <w:rPr>
          <w:rFonts w:ascii="Arial" w:eastAsia="Times New Roman" w:hAnsi="Arial" w:cs="Arial"/>
          <w:b/>
          <w:bCs/>
          <w:sz w:val="24"/>
          <w:szCs w:val="24"/>
          <w:lang w:eastAsia="it-IT"/>
        </w:rPr>
        <w:t xml:space="preserve"> comunitaria</w:t>
      </w:r>
    </w:p>
    <w:p w14:paraId="40B3948C" w14:textId="52D3BDA8" w:rsidR="00A01866" w:rsidRDefault="00A01866" w:rsidP="002C5369">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A01866">
        <w:rPr>
          <w:rFonts w:ascii="Arial" w:eastAsia="Times New Roman" w:hAnsi="Arial" w:cs="Arial"/>
          <w:b/>
          <w:bCs/>
          <w:sz w:val="24"/>
          <w:szCs w:val="24"/>
          <w:lang w:eastAsia="it-IT"/>
        </w:rPr>
        <w:t>Salvo quanto previsto dagli articoli 62 e 63, le stazioni appaltanti procedono all'affidamento dei contratti di lavori, servizi e forniture di importo inferiore alle soglie con le seguenti modalità:</w:t>
      </w:r>
    </w:p>
    <w:p w14:paraId="5CE42DF1" w14:textId="77777777" w:rsidR="00E126D7" w:rsidRPr="007B3803" w:rsidRDefault="00E126D7" w:rsidP="00E126D7">
      <w:pPr>
        <w:shd w:val="clear" w:color="auto" w:fill="FFFFFF"/>
        <w:spacing w:beforeAutospacing="1" w:after="0" w:afterAutospacing="1" w:line="240" w:lineRule="auto"/>
        <w:ind w:left="360"/>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Per i lavori, alla lett. c) del comma 1 dell’art. 50, si prevedono due differenti soglie (con diverso numero di inviti):</w:t>
      </w:r>
    </w:p>
    <w:p w14:paraId="3CA167F1" w14:textId="77777777" w:rsidR="00E126D7" w:rsidRPr="007B3803" w:rsidRDefault="00E126D7" w:rsidP="00E126D7">
      <w:pPr>
        <w:numPr>
          <w:ilvl w:val="0"/>
          <w:numId w:val="25"/>
        </w:num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 xml:space="preserve">la prima compresa tra 150.000 € e 1.000.000 € </w:t>
      </w:r>
      <w:r w:rsidRPr="007B3803">
        <w:rPr>
          <w:rFonts w:ascii="Arial" w:eastAsia="Times New Roman" w:hAnsi="Arial" w:cs="Arial"/>
          <w:b/>
          <w:bCs/>
          <w:sz w:val="24"/>
          <w:szCs w:val="24"/>
          <w:lang w:eastAsia="it-IT"/>
        </w:rPr>
        <w:t> in questo caso il RUP, attraverso indagini di mercato o attraverso un elenco/albo interno, dovrà invitare alla procedura almeno 5 operatori.</w:t>
      </w:r>
    </w:p>
    <w:p w14:paraId="08D12ECC" w14:textId="77777777" w:rsidR="00E126D7" w:rsidRPr="007B3803" w:rsidRDefault="00E126D7" w:rsidP="00E126D7">
      <w:pPr>
        <w:numPr>
          <w:ilvl w:val="0"/>
          <w:numId w:val="25"/>
        </w:num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p>
    <w:p w14:paraId="171D65B1" w14:textId="68BD8355" w:rsidR="00E126D7" w:rsidRPr="007B3803" w:rsidRDefault="00E126D7" w:rsidP="00E126D7">
      <w:pPr>
        <w:numPr>
          <w:ilvl w:val="0"/>
          <w:numId w:val="25"/>
        </w:num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la seconda compresa tra 1.000.000 € e 5.</w:t>
      </w:r>
      <w:r w:rsidR="00366599">
        <w:rPr>
          <w:rFonts w:ascii="Arial" w:eastAsia="Times New Roman" w:hAnsi="Arial" w:cs="Arial"/>
          <w:b/>
          <w:bCs/>
          <w:sz w:val="24"/>
          <w:szCs w:val="24"/>
          <w:lang w:eastAsia="it-IT"/>
        </w:rPr>
        <w:t>404</w:t>
      </w:r>
      <w:r w:rsidRPr="007B3803">
        <w:rPr>
          <w:rFonts w:ascii="Arial" w:eastAsia="Times New Roman" w:hAnsi="Arial" w:cs="Arial"/>
          <w:b/>
          <w:bCs/>
          <w:sz w:val="24"/>
          <w:szCs w:val="24"/>
          <w:lang w:eastAsia="it-IT"/>
        </w:rPr>
        <w:t xml:space="preserve">.000 € </w:t>
      </w:r>
      <w:r w:rsidRPr="007B3803">
        <w:rPr>
          <w:rFonts w:ascii="Arial" w:eastAsia="Times New Roman" w:hAnsi="Arial" w:cs="Arial"/>
          <w:b/>
          <w:bCs/>
          <w:sz w:val="24"/>
          <w:szCs w:val="24"/>
          <w:lang w:eastAsia="it-IT"/>
        </w:rPr>
        <w:t xml:space="preserve"> in questo caso gli inviti devono essere estesi ad almeno 10 operatori (sempre che siano oggettivamente reperibili). </w:t>
      </w:r>
    </w:p>
    <w:p w14:paraId="5DD2E24F" w14:textId="6E9B5F53" w:rsidR="00E126D7" w:rsidRPr="007B3803" w:rsidRDefault="00E126D7" w:rsidP="00E126D7">
      <w:pPr>
        <w:shd w:val="clear" w:color="auto" w:fill="FFFFFF"/>
        <w:spacing w:beforeAutospacing="1" w:after="0" w:afterAutospacing="1" w:line="240" w:lineRule="auto"/>
        <w:ind w:left="360"/>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lastRenderedPageBreak/>
        <w:t>Per i beni/servizi, invece, la lett. e) dello stesso comma 1 stabilisce che:</w:t>
      </w:r>
    </w:p>
    <w:p w14:paraId="562E5F7C" w14:textId="3BFD7CAD" w:rsidR="00E126D7" w:rsidRDefault="00E126D7" w:rsidP="00E126D7">
      <w:pPr>
        <w:numPr>
          <w:ilvl w:val="0"/>
          <w:numId w:val="25"/>
        </w:num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per importi pari o superiori a 140.000 € e fino a 2</w:t>
      </w:r>
      <w:r w:rsidR="00366599">
        <w:rPr>
          <w:rFonts w:ascii="Arial" w:eastAsia="Times New Roman" w:hAnsi="Arial" w:cs="Arial"/>
          <w:b/>
          <w:bCs/>
          <w:sz w:val="24"/>
          <w:szCs w:val="24"/>
          <w:lang w:eastAsia="it-IT"/>
        </w:rPr>
        <w:t>16</w:t>
      </w:r>
      <w:r w:rsidRPr="007B3803">
        <w:rPr>
          <w:rFonts w:ascii="Arial" w:eastAsia="Times New Roman" w:hAnsi="Arial" w:cs="Arial"/>
          <w:b/>
          <w:bCs/>
          <w:sz w:val="24"/>
          <w:szCs w:val="24"/>
          <w:lang w:eastAsia="it-IT"/>
        </w:rPr>
        <w:t xml:space="preserve">.000 € (ovvero 750.000 € per servizi sociali) </w:t>
      </w:r>
      <w:r w:rsidRPr="007B3803">
        <w:rPr>
          <w:rFonts w:ascii="Arial" w:eastAsia="Times New Roman" w:hAnsi="Arial" w:cs="Arial"/>
          <w:b/>
          <w:bCs/>
          <w:sz w:val="24"/>
          <w:szCs w:val="24"/>
          <w:lang w:eastAsia="it-IT"/>
        </w:rPr>
        <w:t> è previsto l’invito ad almeno 5 operatori, individuati sempre secondo indagini di mercato o attraverso elenco/albo interno.</w:t>
      </w:r>
    </w:p>
    <w:p w14:paraId="7B06175B" w14:textId="77777777" w:rsidR="00366599" w:rsidRDefault="00366599" w:rsidP="00366599">
      <w:pPr>
        <w:shd w:val="clear" w:color="auto" w:fill="FFFFFF"/>
        <w:spacing w:beforeAutospacing="1" w:after="0" w:afterAutospacing="1" w:line="240" w:lineRule="auto"/>
        <w:ind w:left="360"/>
        <w:textAlignment w:val="baseline"/>
        <w:rPr>
          <w:rFonts w:ascii="Arial" w:eastAsia="Times New Roman" w:hAnsi="Arial" w:cs="Arial"/>
          <w:b/>
          <w:bCs/>
          <w:sz w:val="24"/>
          <w:szCs w:val="24"/>
          <w:lang w:eastAsia="it-IT"/>
        </w:rPr>
      </w:pPr>
    </w:p>
    <w:p w14:paraId="169E49E7" w14:textId="33BB02FC" w:rsidR="00E126D7" w:rsidRPr="007B3803" w:rsidRDefault="00E126D7" w:rsidP="00366599">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IN TUTTI GLI ALTRI CASI (LAVORI INFERIORI A 150000 E SERVIZI E FORNITURE INFERIORI A 140000 SI PARLA DI AFFIDAMENTO DIRETTO</w:t>
      </w:r>
    </w:p>
    <w:p w14:paraId="6E32D58E" w14:textId="66596C18"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La rotazione rimane infatti obbligatoria salvo le limitatissime ipotesi di micro-acquisti (infra 5mila euro), in cui si potrà derogare al principio nel caso in cui l’ente si doti di apposito regolamento o il RUP avvii una procedura ad inviti sostanzialmente “aperta” a tutti; in tutti gli altri casi l’affidatario del pregresso appalto, che abbia ad “oggetto una commessa rientrante nello stesso settore merceologico, oppure nella stessa categoria di opere, oppure nello stesso settore di servizi”, non può partecipare alla gara; la novità rispetto alle Linee Guida ANAC n. 4, quindi, è che il principio di rotazione non coinvolge più l’operatore che sia stato solo invitato alla precedente procedura, bensì solo l’aggiudicatario.4</w:t>
      </w:r>
    </w:p>
    <w:p w14:paraId="58E4D3FF" w14:textId="5C4E3EB4"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Una novità interessante è che, in relazione alla procedura negoziata per lavori tra il milione e la soglia comunitaria, la norma fa “salva la possibilità di ricorrere alle procedure di scelta del contraente di cui alla Parte IV del presente Libro”; si tratta di un’importante modifica tenuto conto che la norma pregressa prevedeva che, in caso d’utilizzo di procedura aperta, il RUP ne desse adeguata motivazione; l’inciso è scomparso ma si ritiene che la motivazione d’adottare una gara ad evidenza pubblica in luogo di una semplificata (salvo che insista, ovviamente, un interesse transfrontaliero) debba comunque essere presente, in modo da specificare le ragioni che hanno indotto alla scelta di una procedura aggravata.</w:t>
      </w:r>
    </w:p>
    <w:p w14:paraId="55F18F64" w14:textId="77777777"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 xml:space="preserve">La novità di maggior rilievo è però indicata nel comma 2 dell’articolo 50, secondo periodo, ove risulta esplicitata l’impossibilità d’utilizzare ordinariamente il sorteggio o metodi di estrazione casuale per la scelta degli operatori da invitare; più nel dettaglio il comma citato prevede che “Per la selezione degli operatori da invitare alle procedure negoziate, le stazioni appaltanti non possono utilizzare il sorteggio o altro metodo di estrazione casuale dei nominativi, se non in presenza di situazioni particolari e specificamente motivate, nei casi in cui non risulti praticabile nessun altro metodo di selezione degli operatori”. </w:t>
      </w:r>
    </w:p>
    <w:p w14:paraId="1B3B4540" w14:textId="77777777"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Ciò induce a ritenere la necessità di stabilire dei criteri di sbarramento fin dall’Avviso pubblico per scremare la partecipazione; la norma, infatti, sembra veicolare la scelta sugli operatori in senso “qualitativo” ovvero imponendo un vaglio propedeutico sugli operatori poi da far competere.</w:t>
      </w:r>
    </w:p>
    <w:p w14:paraId="62952CC6" w14:textId="5F02A863"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 xml:space="preserve">L’art. 50 prosegue poi chiarendo al comma 4 come, </w:t>
      </w:r>
      <w:proofErr w:type="gramStart"/>
      <w:r w:rsidRPr="007B3803">
        <w:rPr>
          <w:rFonts w:ascii="Arial" w:eastAsia="Times New Roman" w:hAnsi="Arial" w:cs="Arial"/>
          <w:b/>
          <w:bCs/>
          <w:sz w:val="24"/>
          <w:szCs w:val="24"/>
          <w:lang w:eastAsia="it-IT"/>
        </w:rPr>
        <w:t>nei sottosoglia</w:t>
      </w:r>
      <w:proofErr w:type="gramEnd"/>
      <w:r w:rsidRPr="007B3803">
        <w:rPr>
          <w:rFonts w:ascii="Arial" w:eastAsia="Times New Roman" w:hAnsi="Arial" w:cs="Arial"/>
          <w:b/>
          <w:bCs/>
          <w:sz w:val="24"/>
          <w:szCs w:val="24"/>
          <w:lang w:eastAsia="it-IT"/>
        </w:rPr>
        <w:t>, il RUP possa scegliere i criteri d’aggiudicazione (fermi restando i limiti di cui all’art. 108 comma 2 per il criterio del prezzo più basso); da notare anche che, nel caso d‘utilizzo del criterio dell’offerta economicamente più vantaggiosa, l’articolo 51 preveda, in modo assolutamente inedito, che la Commissione di gara possa essere presieduta anche dal RUP (pur non essendo dirigente/responsabile del servizio).</w:t>
      </w:r>
    </w:p>
    <w:p w14:paraId="2276D639" w14:textId="77777777"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lastRenderedPageBreak/>
        <w:t>L’articolo 52 prevede invece che, per appalti d’importo inferiore ai 40.000 euro, il possesso dei requisiti possa essere certificato con semplice dichiarazione oggetto di controllo a campione; se in seguito a verifica non venisse confermato il possesso di detti requisiti “la stazione appaltante procede alla risoluzione del contratto, all’escussione della eventuale garanzia definitiva, alla comunicazione all’ANAC e alla sospensione dell’operatore economico dalla partecipazione alle procedure di affidamento indette dalla medesima stazione appaltante per un periodo da uno a dodici mesi decorrenti dall’adozione del provvedimento”.</w:t>
      </w:r>
    </w:p>
    <w:p w14:paraId="7BAA9975" w14:textId="10D22BA7"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Degno di menzione anche l’articolo 53 in base al quale la cauzione provvisoria diventa facoltativa e, se richiesta, non può superare l’1% dell’importo di gara, mentre relativamente alla cauzione definitiva il RUP, in situazioni motivate, può non richiederla ma, quando lo fa, detta è al massimo pari al 5% dell’importo di gara.</w:t>
      </w:r>
    </w:p>
    <w:p w14:paraId="4ABCBB46" w14:textId="0F18AE03" w:rsidR="0066405B" w:rsidRPr="007B3803" w:rsidRDefault="0066405B" w:rsidP="009A5311">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CONCLUSIONE DEL PROCEDIMENTO DI SELEZIONE DEL CONTRAENTE</w:t>
      </w:r>
    </w:p>
    <w:p w14:paraId="03188AA2" w14:textId="28EC714B" w:rsidR="0066405B" w:rsidRPr="007B3803" w:rsidRDefault="0066405B"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Le procedure di gara devono concludersi entro un determinato periodo di tempo. L’allegato 1.3 specifica i termini massimi ove venga utilizzato il criterio dell’offerta economicamente più vantaggiosa:</w:t>
      </w:r>
    </w:p>
    <w:p w14:paraId="74A80A5A"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aperta: 9 mesi</w:t>
      </w:r>
    </w:p>
    <w:p w14:paraId="091894E5"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ristretta: 10 mesi</w:t>
      </w:r>
    </w:p>
    <w:p w14:paraId="1CE2B586"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competitiva con negoziazione: 7 mesi</w:t>
      </w:r>
    </w:p>
    <w:p w14:paraId="5CA3D083"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negoziata senza previa pubblicazione di un bando di gara: 4 mesi</w:t>
      </w:r>
    </w:p>
    <w:p w14:paraId="06058D1B"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dialogo competitivo: 7 mesi</w:t>
      </w:r>
    </w:p>
    <w:p w14:paraId="493295E8"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 xml:space="preserve">partenariato per </w:t>
      </w:r>
      <w:proofErr w:type="gramStart"/>
      <w:r w:rsidRPr="007B3803">
        <w:rPr>
          <w:rFonts w:ascii="Arial" w:eastAsia="Times New Roman" w:hAnsi="Arial" w:cs="Arial"/>
          <w:sz w:val="24"/>
          <w:szCs w:val="24"/>
          <w:lang w:eastAsia="it-IT"/>
        </w:rPr>
        <w:t>l’innovazione :</w:t>
      </w:r>
      <w:proofErr w:type="gramEnd"/>
      <w:r w:rsidRPr="007B3803">
        <w:rPr>
          <w:rFonts w:ascii="Arial" w:eastAsia="Times New Roman" w:hAnsi="Arial" w:cs="Arial"/>
          <w:sz w:val="24"/>
          <w:szCs w:val="24"/>
          <w:lang w:eastAsia="it-IT"/>
        </w:rPr>
        <w:t xml:space="preserve"> 9 mesi</w:t>
      </w:r>
    </w:p>
    <w:p w14:paraId="5B9CB720" w14:textId="77777777" w:rsidR="0066405B" w:rsidRPr="007B3803" w:rsidRDefault="0066405B"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On caso di gare concluse con il prezzo più basso i termini sono i seguenti:</w:t>
      </w:r>
    </w:p>
    <w:p w14:paraId="53579E15" w14:textId="19739A90" w:rsidR="0066405B" w:rsidRPr="007B3803" w:rsidRDefault="00D67433" w:rsidP="0066405B">
      <w:pPr>
        <w:pStyle w:val="Paragrafoelenco"/>
        <w:numPr>
          <w:ilvl w:val="0"/>
          <w:numId w:val="36"/>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aperta: 5 mesi</w:t>
      </w:r>
    </w:p>
    <w:p w14:paraId="48FA9C68" w14:textId="57B08C11" w:rsidR="00D67433" w:rsidRPr="007B3803" w:rsidRDefault="00D67433" w:rsidP="0066405B">
      <w:pPr>
        <w:pStyle w:val="Paragrafoelenco"/>
        <w:numPr>
          <w:ilvl w:val="0"/>
          <w:numId w:val="36"/>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ristretta: 6 mesi</w:t>
      </w:r>
    </w:p>
    <w:p w14:paraId="5D088D88" w14:textId="1FB9FC7A" w:rsidR="00D67433" w:rsidRPr="007B3803" w:rsidRDefault="00D67433" w:rsidP="0066405B">
      <w:pPr>
        <w:pStyle w:val="Paragrafoelenco"/>
        <w:numPr>
          <w:ilvl w:val="0"/>
          <w:numId w:val="36"/>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competitiva con negoziazione: 4 mesi</w:t>
      </w:r>
    </w:p>
    <w:p w14:paraId="4E36C6F3" w14:textId="5EEAF196" w:rsidR="00D67433" w:rsidRPr="007B3803" w:rsidRDefault="00D67433" w:rsidP="0066405B">
      <w:pPr>
        <w:pStyle w:val="Paragrafoelenco"/>
        <w:numPr>
          <w:ilvl w:val="0"/>
          <w:numId w:val="36"/>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negoziata senza previa pubblicazione del bando di gara: 3 mesi</w:t>
      </w:r>
    </w:p>
    <w:p w14:paraId="43FA3230" w14:textId="77777777" w:rsidR="00D67433" w:rsidRPr="007B3803" w:rsidRDefault="00D67433"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 xml:space="preserve">I termini decorrono dalla pubblicazione del bando di gara o dall’invio degli inviti </w:t>
      </w:r>
      <w:proofErr w:type="gramStart"/>
      <w:r w:rsidRPr="007B3803">
        <w:rPr>
          <w:rFonts w:ascii="Arial" w:eastAsia="Times New Roman" w:hAnsi="Arial" w:cs="Arial"/>
          <w:sz w:val="24"/>
          <w:szCs w:val="24"/>
          <w:lang w:eastAsia="it-IT"/>
        </w:rPr>
        <w:t>a  offrire</w:t>
      </w:r>
      <w:proofErr w:type="gramEnd"/>
      <w:r w:rsidRPr="007B3803">
        <w:rPr>
          <w:rFonts w:ascii="Arial" w:eastAsia="Times New Roman" w:hAnsi="Arial" w:cs="Arial"/>
          <w:sz w:val="24"/>
          <w:szCs w:val="24"/>
          <w:lang w:eastAsia="it-IT"/>
        </w:rPr>
        <w:t xml:space="preserve"> fino all’aggiudicazione e non possono esser sospesi se non a seguito di provvedimento cautelare del giudice amministrativo. </w:t>
      </w:r>
    </w:p>
    <w:p w14:paraId="2C83B553" w14:textId="77777777" w:rsidR="00D67433" w:rsidRPr="007B3803" w:rsidRDefault="00D67433"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 xml:space="preserve">Ogni concorrente può presentare una sola </w:t>
      </w:r>
      <w:proofErr w:type="gramStart"/>
      <w:r w:rsidRPr="007B3803">
        <w:rPr>
          <w:rFonts w:ascii="Arial" w:eastAsia="Times New Roman" w:hAnsi="Arial" w:cs="Arial"/>
          <w:sz w:val="24"/>
          <w:szCs w:val="24"/>
          <w:lang w:eastAsia="it-IT"/>
        </w:rPr>
        <w:t>offerta ,</w:t>
      </w:r>
      <w:proofErr w:type="gramEnd"/>
      <w:r w:rsidRPr="007B3803">
        <w:rPr>
          <w:rFonts w:ascii="Arial" w:eastAsia="Times New Roman" w:hAnsi="Arial" w:cs="Arial"/>
          <w:sz w:val="24"/>
          <w:szCs w:val="24"/>
          <w:lang w:eastAsia="it-IT"/>
        </w:rPr>
        <w:t xml:space="preserve"> vincolante per il periodo indicato dal bando o nell’invito, e </w:t>
      </w:r>
      <w:proofErr w:type="spellStart"/>
      <w:r w:rsidRPr="007B3803">
        <w:rPr>
          <w:rFonts w:ascii="Arial" w:eastAsia="Times New Roman" w:hAnsi="Arial" w:cs="Arial"/>
          <w:sz w:val="24"/>
          <w:szCs w:val="24"/>
          <w:lang w:eastAsia="it-IT"/>
        </w:rPr>
        <w:t>incaso</w:t>
      </w:r>
      <w:proofErr w:type="spellEnd"/>
      <w:r w:rsidRPr="007B3803">
        <w:rPr>
          <w:rFonts w:ascii="Arial" w:eastAsia="Times New Roman" w:hAnsi="Arial" w:cs="Arial"/>
          <w:sz w:val="24"/>
          <w:szCs w:val="24"/>
          <w:lang w:eastAsia="it-IT"/>
        </w:rPr>
        <w:t xml:space="preserve"> di mancata indicazione per 180 g dalla scadenza del termine per la sua presentazione</w:t>
      </w:r>
      <w:r w:rsidR="0066405B" w:rsidRPr="007B3803">
        <w:rPr>
          <w:rFonts w:ascii="Arial" w:eastAsia="Times New Roman" w:hAnsi="Arial" w:cs="Arial"/>
          <w:sz w:val="24"/>
          <w:szCs w:val="24"/>
          <w:lang w:eastAsia="it-IT"/>
        </w:rPr>
        <w:t xml:space="preserve"> </w:t>
      </w:r>
    </w:p>
    <w:p w14:paraId="202B41E9" w14:textId="3EA6A902" w:rsidR="00E26289" w:rsidRPr="007B3803" w:rsidRDefault="00E26289"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 xml:space="preserve">L’ente </w:t>
      </w:r>
      <w:proofErr w:type="spellStart"/>
      <w:r w:rsidRPr="007B3803">
        <w:rPr>
          <w:rFonts w:ascii="Arial" w:eastAsia="Times New Roman" w:hAnsi="Arial" w:cs="Arial"/>
          <w:sz w:val="24"/>
          <w:szCs w:val="24"/>
          <w:lang w:eastAsia="it-IT"/>
        </w:rPr>
        <w:t>comptente</w:t>
      </w:r>
      <w:proofErr w:type="spellEnd"/>
      <w:r w:rsidRPr="007B3803">
        <w:rPr>
          <w:rFonts w:ascii="Arial" w:eastAsia="Times New Roman" w:hAnsi="Arial" w:cs="Arial"/>
          <w:sz w:val="24"/>
          <w:szCs w:val="24"/>
          <w:lang w:eastAsia="it-IT"/>
        </w:rPr>
        <w:t xml:space="preserve"> a fare l’aggiudicazione, ritenuta legittima la stessa e dopo aver verificato il possesso dei requisiti </w:t>
      </w:r>
      <w:proofErr w:type="gramStart"/>
      <w:r w:rsidRPr="007B3803">
        <w:rPr>
          <w:rFonts w:ascii="Arial" w:eastAsia="Times New Roman" w:hAnsi="Arial" w:cs="Arial"/>
          <w:sz w:val="24"/>
          <w:szCs w:val="24"/>
          <w:lang w:eastAsia="it-IT"/>
        </w:rPr>
        <w:t>dell’offerente ,</w:t>
      </w:r>
      <w:proofErr w:type="gramEnd"/>
      <w:r w:rsidRPr="007B3803">
        <w:rPr>
          <w:rFonts w:ascii="Arial" w:eastAsia="Times New Roman" w:hAnsi="Arial" w:cs="Arial"/>
          <w:sz w:val="24"/>
          <w:szCs w:val="24"/>
          <w:lang w:eastAsia="it-IT"/>
        </w:rPr>
        <w:t xml:space="preserve"> dispone </w:t>
      </w:r>
      <w:proofErr w:type="spellStart"/>
      <w:r w:rsidRPr="007B3803">
        <w:rPr>
          <w:rFonts w:ascii="Arial" w:eastAsia="Times New Roman" w:hAnsi="Arial" w:cs="Arial"/>
          <w:sz w:val="24"/>
          <w:szCs w:val="24"/>
          <w:lang w:eastAsia="it-IT"/>
        </w:rPr>
        <w:t>lìaggiudicazione</w:t>
      </w:r>
      <w:proofErr w:type="spellEnd"/>
      <w:r w:rsidRPr="007B3803">
        <w:rPr>
          <w:rFonts w:ascii="Arial" w:eastAsia="Times New Roman" w:hAnsi="Arial" w:cs="Arial"/>
          <w:sz w:val="24"/>
          <w:szCs w:val="24"/>
          <w:lang w:eastAsia="it-IT"/>
        </w:rPr>
        <w:t xml:space="preserve"> che è immediatamente efficace </w:t>
      </w:r>
    </w:p>
    <w:p w14:paraId="0D20AC3C" w14:textId="6A56A17D" w:rsidR="00E26289" w:rsidRPr="007B3803" w:rsidRDefault="00E26289"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 xml:space="preserve">L’aggiudicazione non equivale ad accettazione dell’offerta; l’offerta   </w:t>
      </w:r>
      <w:proofErr w:type="gramStart"/>
      <w:r w:rsidRPr="007B3803">
        <w:rPr>
          <w:rFonts w:ascii="Arial" w:eastAsia="Times New Roman" w:hAnsi="Arial" w:cs="Arial"/>
          <w:sz w:val="24"/>
          <w:szCs w:val="24"/>
          <w:lang w:eastAsia="it-IT"/>
        </w:rPr>
        <w:t>è</w:t>
      </w:r>
      <w:proofErr w:type="gramEnd"/>
      <w:r w:rsidRPr="007B3803">
        <w:rPr>
          <w:rFonts w:ascii="Arial" w:eastAsia="Times New Roman" w:hAnsi="Arial" w:cs="Arial"/>
          <w:sz w:val="24"/>
          <w:szCs w:val="24"/>
          <w:lang w:eastAsia="it-IT"/>
        </w:rPr>
        <w:t xml:space="preserve"> abbiamo detto, irrevocabile fino al termine stabilito per la stipulazione del contratto</w:t>
      </w:r>
    </w:p>
    <w:p w14:paraId="47A63763" w14:textId="09A317F0" w:rsidR="00B10465" w:rsidRPr="007B3803" w:rsidRDefault="0066405B" w:rsidP="0066405B">
      <w:pPr>
        <w:shd w:val="clear" w:color="auto" w:fill="FFFFFF"/>
        <w:spacing w:after="100" w:afterAutospacing="1" w:line="240" w:lineRule="auto"/>
        <w:rPr>
          <w:rFonts w:ascii="Arial" w:eastAsia="Times New Roman" w:hAnsi="Arial" w:cs="Arial"/>
          <w:b/>
          <w:bCs/>
          <w:kern w:val="36"/>
          <w:sz w:val="24"/>
          <w:szCs w:val="24"/>
          <w:lang w:eastAsia="it-IT"/>
          <w14:ligatures w14:val="none"/>
        </w:rPr>
      </w:pPr>
      <w:r w:rsidRPr="007B3803">
        <w:rPr>
          <w:rFonts w:ascii="Arial" w:eastAsia="Times New Roman" w:hAnsi="Arial" w:cs="Arial"/>
          <w:b/>
          <w:bCs/>
          <w:kern w:val="36"/>
          <w:sz w:val="24"/>
          <w:szCs w:val="24"/>
          <w:lang w:eastAsia="it-IT"/>
          <w14:ligatures w14:val="none"/>
        </w:rPr>
        <w:t>I</w:t>
      </w:r>
      <w:r w:rsidR="00B10465" w:rsidRPr="007B3803">
        <w:rPr>
          <w:rFonts w:ascii="Arial" w:eastAsia="Times New Roman" w:hAnsi="Arial" w:cs="Arial"/>
          <w:b/>
          <w:bCs/>
          <w:kern w:val="36"/>
          <w:sz w:val="24"/>
          <w:szCs w:val="24"/>
          <w:lang w:eastAsia="it-IT"/>
          <w14:ligatures w14:val="none"/>
        </w:rPr>
        <w:t xml:space="preserve"> criteri di aggiudicazione</w:t>
      </w:r>
    </w:p>
    <w:p w14:paraId="774E8F88" w14:textId="100944AA" w:rsidR="00B10465" w:rsidRPr="007B3803" w:rsidRDefault="00B10465" w:rsidP="00E26289">
      <w:pPr>
        <w:shd w:val="clear" w:color="auto" w:fill="FFFFFF"/>
        <w:spacing w:after="0" w:line="420" w:lineRule="atLeast"/>
        <w:textAlignment w:val="baseline"/>
        <w:rPr>
          <w:rFonts w:ascii="Arial" w:eastAsia="Times New Roman" w:hAnsi="Arial" w:cs="Arial"/>
          <w:b/>
          <w:bCs/>
          <w:kern w:val="0"/>
          <w:sz w:val="24"/>
          <w:szCs w:val="24"/>
          <w:lang w:eastAsia="it-IT"/>
          <w14:ligatures w14:val="none"/>
        </w:rPr>
      </w:pPr>
      <w:r w:rsidRPr="007B3803">
        <w:rPr>
          <w:rFonts w:ascii="Arial" w:eastAsia="Times New Roman" w:hAnsi="Arial" w:cs="Arial"/>
          <w:kern w:val="0"/>
          <w:sz w:val="24"/>
          <w:szCs w:val="24"/>
          <w:lang w:eastAsia="it-IT"/>
          <w14:ligatures w14:val="none"/>
        </w:rPr>
        <w:lastRenderedPageBreak/>
        <w:t>L’</w:t>
      </w:r>
      <w:r w:rsidRPr="007B3803">
        <w:rPr>
          <w:rFonts w:ascii="Arial" w:eastAsia="Times New Roman" w:hAnsi="Arial" w:cs="Arial"/>
          <w:b/>
          <w:bCs/>
          <w:kern w:val="0"/>
          <w:sz w:val="24"/>
          <w:szCs w:val="24"/>
          <w:bdr w:val="none" w:sz="0" w:space="0" w:color="auto" w:frame="1"/>
          <w:lang w:eastAsia="it-IT"/>
          <w14:ligatures w14:val="none"/>
        </w:rPr>
        <w:t>art. 108</w:t>
      </w:r>
      <w:r w:rsidRPr="007B3803">
        <w:rPr>
          <w:rFonts w:ascii="Arial" w:eastAsia="Times New Roman" w:hAnsi="Arial" w:cs="Arial"/>
          <w:kern w:val="0"/>
          <w:sz w:val="24"/>
          <w:szCs w:val="24"/>
          <w:lang w:eastAsia="it-IT"/>
          <w14:ligatures w14:val="none"/>
        </w:rPr>
        <w:t> del nuovo codice appalti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36/2023) norma i </w:t>
      </w:r>
      <w:r w:rsidRPr="007B3803">
        <w:rPr>
          <w:rFonts w:ascii="Arial" w:eastAsia="Times New Roman" w:hAnsi="Arial" w:cs="Arial"/>
          <w:b/>
          <w:bCs/>
          <w:kern w:val="0"/>
          <w:sz w:val="24"/>
          <w:szCs w:val="24"/>
          <w:bdr w:val="none" w:sz="0" w:space="0" w:color="auto" w:frame="1"/>
          <w:lang w:eastAsia="it-IT"/>
          <w14:ligatures w14:val="none"/>
        </w:rPr>
        <w:t>criteri di aggiudicazione</w:t>
      </w:r>
      <w:r w:rsidR="00E26289" w:rsidRPr="007B3803">
        <w:rPr>
          <w:rFonts w:ascii="Arial" w:eastAsia="Times New Roman" w:hAnsi="Arial" w:cs="Arial"/>
          <w:b/>
          <w:bCs/>
          <w:kern w:val="0"/>
          <w:sz w:val="24"/>
          <w:szCs w:val="24"/>
          <w:bdr w:val="none" w:sz="0" w:space="0" w:color="auto" w:frame="1"/>
          <w:lang w:eastAsia="it-IT"/>
          <w14:ligatures w14:val="none"/>
        </w:rPr>
        <w:t>:</w:t>
      </w:r>
      <w:r w:rsidRPr="007B3803">
        <w:rPr>
          <w:rFonts w:ascii="Arial" w:eastAsia="Times New Roman" w:hAnsi="Arial" w:cs="Arial"/>
          <w:kern w:val="0"/>
          <w:sz w:val="24"/>
          <w:szCs w:val="24"/>
          <w:lang w:eastAsia="it-IT"/>
          <w14:ligatures w14:val="none"/>
        </w:rPr>
        <w:t xml:space="preserve"> sono l’offerta economicamente più vantaggiosa, basata sul miglior rapporto qualità prezzo delle offerte ricevute, e il minor prezzo. </w:t>
      </w:r>
    </w:p>
    <w:p w14:paraId="1BE54134"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stazioni appaltanti procedono all’aggiudicazione degli appalti sulla base del criterio dell’offerta economicamente più vantaggiosa (OEPV) che si basa sul miglior rapporto qualità/costi o sulla base del minore prezzo, seguendo un criterio di comparazione costo/efficacia quale il </w:t>
      </w:r>
      <w:r w:rsidRPr="007B3803">
        <w:rPr>
          <w:rFonts w:ascii="Arial" w:eastAsia="Times New Roman" w:hAnsi="Arial" w:cs="Arial"/>
          <w:b/>
          <w:bCs/>
          <w:kern w:val="0"/>
          <w:sz w:val="24"/>
          <w:szCs w:val="24"/>
          <w:bdr w:val="none" w:sz="0" w:space="0" w:color="auto" w:frame="1"/>
          <w:lang w:eastAsia="it-IT"/>
          <w14:ligatures w14:val="none"/>
        </w:rPr>
        <w:t>costo del ciclo di vita</w:t>
      </w:r>
      <w:r w:rsidRPr="007B3803">
        <w:rPr>
          <w:rFonts w:ascii="Arial" w:eastAsia="Times New Roman" w:hAnsi="Arial" w:cs="Arial"/>
          <w:kern w:val="0"/>
          <w:sz w:val="24"/>
          <w:szCs w:val="24"/>
          <w:lang w:eastAsia="it-IT"/>
          <w14:ligatures w14:val="none"/>
        </w:rPr>
        <w:t>, conformemente a quanto previsto dall’</w:t>
      </w:r>
      <w:r w:rsidRPr="007B3803">
        <w:rPr>
          <w:rFonts w:ascii="Arial" w:eastAsia="Times New Roman" w:hAnsi="Arial" w:cs="Arial"/>
          <w:b/>
          <w:bCs/>
          <w:kern w:val="0"/>
          <w:sz w:val="24"/>
          <w:szCs w:val="24"/>
          <w:bdr w:val="none" w:sz="0" w:space="0" w:color="auto" w:frame="1"/>
          <w:lang w:eastAsia="it-IT"/>
          <w14:ligatures w14:val="none"/>
        </w:rPr>
        <w:t>allegato II.8</w:t>
      </w:r>
      <w:r w:rsidRPr="007B3803">
        <w:rPr>
          <w:rFonts w:ascii="Arial" w:eastAsia="Times New Roman" w:hAnsi="Arial" w:cs="Arial"/>
          <w:kern w:val="0"/>
          <w:sz w:val="24"/>
          <w:szCs w:val="24"/>
          <w:lang w:eastAsia="it-IT"/>
          <w14:ligatures w14:val="none"/>
        </w:rPr>
        <w:t>, con riguardo al costo del ciclo di vita.</w:t>
      </w:r>
    </w:p>
    <w:p w14:paraId="278205AE" w14:textId="77777777" w:rsidR="00B10465" w:rsidRPr="007B3803" w:rsidRDefault="00B10465" w:rsidP="00B10465">
      <w:pPr>
        <w:shd w:val="clear" w:color="auto" w:fill="FFFFFF"/>
        <w:spacing w:after="15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Nel comma 2 dell’art. 108 del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36/2023 possiamo rilevare alcune novità sul criterio OEPV e in particolare sui contratti che devono essere aggiudicati per forza con esso.</w:t>
      </w:r>
    </w:p>
    <w:p w14:paraId="42209E21" w14:textId="77777777" w:rsidR="00B10465" w:rsidRPr="007B3803" w:rsidRDefault="00B10465" w:rsidP="00B10465">
      <w:pPr>
        <w:shd w:val="clear" w:color="auto" w:fill="FFFFFF"/>
        <w:spacing w:after="15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Nello specifico, sono aggiudicati esclusivamente sulla base del criterio dell’offerta economicamente più vantaggiosa:</w:t>
      </w:r>
    </w:p>
    <w:p w14:paraId="785F417C"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contratti relativi ai </w:t>
      </w:r>
      <w:r w:rsidRPr="007B3803">
        <w:rPr>
          <w:rFonts w:ascii="Arial" w:eastAsia="Times New Roman" w:hAnsi="Arial" w:cs="Arial"/>
          <w:b/>
          <w:bCs/>
          <w:kern w:val="0"/>
          <w:sz w:val="24"/>
          <w:szCs w:val="24"/>
          <w:bdr w:val="none" w:sz="0" w:space="0" w:color="auto" w:frame="1"/>
          <w:lang w:eastAsia="it-IT"/>
          <w14:ligatures w14:val="none"/>
        </w:rPr>
        <w:t>servizi sociali</w:t>
      </w:r>
      <w:r w:rsidRPr="007B3803">
        <w:rPr>
          <w:rFonts w:ascii="Arial" w:eastAsia="Times New Roman" w:hAnsi="Arial" w:cs="Arial"/>
          <w:kern w:val="0"/>
          <w:sz w:val="24"/>
          <w:szCs w:val="24"/>
          <w:lang w:eastAsia="it-IT"/>
          <w14:ligatures w14:val="none"/>
        </w:rPr>
        <w:t> e di ristorazione ospedaliera, assistenziale e scolastica, nonché ai servizi ad alta intensità di manodopera. </w:t>
      </w:r>
      <w:r w:rsidRPr="007B3803">
        <w:rPr>
          <w:rFonts w:ascii="Arial" w:eastAsia="Times New Roman" w:hAnsi="Arial" w:cs="Arial"/>
          <w:b/>
          <w:bCs/>
          <w:kern w:val="0"/>
          <w:sz w:val="24"/>
          <w:szCs w:val="24"/>
          <w:bdr w:val="none" w:sz="0" w:space="0" w:color="auto" w:frame="1"/>
          <w:lang w:eastAsia="it-IT"/>
          <w14:ligatures w14:val="none"/>
        </w:rPr>
        <w:t>Nessuna novità rispetto al vecchio codice</w:t>
      </w:r>
      <w:r w:rsidRPr="007B3803">
        <w:rPr>
          <w:rFonts w:ascii="Arial" w:eastAsia="Times New Roman" w:hAnsi="Arial" w:cs="Arial"/>
          <w:kern w:val="0"/>
          <w:sz w:val="24"/>
          <w:szCs w:val="24"/>
          <w:lang w:eastAsia="it-IT"/>
          <w14:ligatures w14:val="none"/>
        </w:rPr>
        <w:t>;</w:t>
      </w:r>
    </w:p>
    <w:p w14:paraId="796028A8"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contratti relativi all’affidamento dei servizi di </w:t>
      </w:r>
      <w:r w:rsidRPr="007B3803">
        <w:rPr>
          <w:rFonts w:ascii="Arial" w:eastAsia="Times New Roman" w:hAnsi="Arial" w:cs="Arial"/>
          <w:b/>
          <w:bCs/>
          <w:kern w:val="0"/>
          <w:sz w:val="24"/>
          <w:szCs w:val="24"/>
          <w:bdr w:val="none" w:sz="0" w:space="0" w:color="auto" w:frame="1"/>
          <w:lang w:eastAsia="it-IT"/>
          <w14:ligatures w14:val="none"/>
        </w:rPr>
        <w:t>ingegneria e architettura</w:t>
      </w:r>
      <w:r w:rsidRPr="007B3803">
        <w:rPr>
          <w:rFonts w:ascii="Arial" w:eastAsia="Times New Roman" w:hAnsi="Arial" w:cs="Arial"/>
          <w:kern w:val="0"/>
          <w:sz w:val="24"/>
          <w:szCs w:val="24"/>
          <w:lang w:eastAsia="it-IT"/>
          <w14:ligatures w14:val="none"/>
        </w:rPr>
        <w:t> e degli altri servizi di natura tecnica e intellettuale di importo pari o superiore a </w:t>
      </w:r>
      <w:r w:rsidRPr="007B3803">
        <w:rPr>
          <w:rFonts w:ascii="Arial" w:eastAsia="Times New Roman" w:hAnsi="Arial" w:cs="Arial"/>
          <w:b/>
          <w:bCs/>
          <w:kern w:val="0"/>
          <w:sz w:val="24"/>
          <w:szCs w:val="24"/>
          <w:bdr w:val="none" w:sz="0" w:space="0" w:color="auto" w:frame="1"/>
          <w:lang w:eastAsia="it-IT"/>
          <w14:ligatures w14:val="none"/>
        </w:rPr>
        <w:t>140.000 €</w:t>
      </w:r>
      <w:r w:rsidRPr="007B3803">
        <w:rPr>
          <w:rFonts w:ascii="Arial" w:eastAsia="Times New Roman" w:hAnsi="Arial" w:cs="Arial"/>
          <w:kern w:val="0"/>
          <w:sz w:val="24"/>
          <w:szCs w:val="24"/>
          <w:lang w:eastAsia="it-IT"/>
          <w14:ligatures w14:val="none"/>
        </w:rPr>
        <w:t>.</w:t>
      </w:r>
      <w:r w:rsidRPr="007B3803">
        <w:rPr>
          <w:rFonts w:ascii="Arial" w:eastAsia="Times New Roman" w:hAnsi="Arial" w:cs="Arial"/>
          <w:b/>
          <w:bCs/>
          <w:kern w:val="0"/>
          <w:sz w:val="24"/>
          <w:szCs w:val="24"/>
          <w:bdr w:val="none" w:sz="0" w:space="0" w:color="auto" w:frame="1"/>
          <w:lang w:eastAsia="it-IT"/>
          <w14:ligatures w14:val="none"/>
        </w:rPr>
        <w:t> In questo caso notiamo un innalzamento della soglia prima fissata a 40.000 €</w:t>
      </w:r>
      <w:r w:rsidRPr="007B3803">
        <w:rPr>
          <w:rFonts w:ascii="Arial" w:eastAsia="Times New Roman" w:hAnsi="Arial" w:cs="Arial"/>
          <w:kern w:val="0"/>
          <w:sz w:val="24"/>
          <w:szCs w:val="24"/>
          <w:lang w:eastAsia="it-IT"/>
          <w14:ligatures w14:val="none"/>
        </w:rPr>
        <w:t>;</w:t>
      </w:r>
    </w:p>
    <w:p w14:paraId="7904A38C"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contratti di </w:t>
      </w:r>
      <w:r w:rsidRPr="007B3803">
        <w:rPr>
          <w:rFonts w:ascii="Arial" w:eastAsia="Times New Roman" w:hAnsi="Arial" w:cs="Arial"/>
          <w:b/>
          <w:bCs/>
          <w:kern w:val="0"/>
          <w:sz w:val="24"/>
          <w:szCs w:val="24"/>
          <w:bdr w:val="none" w:sz="0" w:space="0" w:color="auto" w:frame="1"/>
          <w:lang w:eastAsia="it-IT"/>
          <w14:ligatures w14:val="none"/>
        </w:rPr>
        <w:t>servizi e forniture</w:t>
      </w:r>
      <w:r w:rsidRPr="007B3803">
        <w:rPr>
          <w:rFonts w:ascii="Arial" w:eastAsia="Times New Roman" w:hAnsi="Arial" w:cs="Arial"/>
          <w:kern w:val="0"/>
          <w:sz w:val="24"/>
          <w:szCs w:val="24"/>
          <w:lang w:eastAsia="it-IT"/>
          <w14:ligatures w14:val="none"/>
        </w:rPr>
        <w:t> di importo pari o superiore a 140.000 € caratterizzati da </w:t>
      </w:r>
      <w:r w:rsidRPr="007B3803">
        <w:rPr>
          <w:rFonts w:ascii="Arial" w:eastAsia="Times New Roman" w:hAnsi="Arial" w:cs="Arial"/>
          <w:b/>
          <w:bCs/>
          <w:kern w:val="0"/>
          <w:sz w:val="24"/>
          <w:szCs w:val="24"/>
          <w:bdr w:val="none" w:sz="0" w:space="0" w:color="auto" w:frame="1"/>
          <w:lang w:eastAsia="it-IT"/>
          <w14:ligatures w14:val="none"/>
        </w:rPr>
        <w:t>notevole contenuto tecnologico</w:t>
      </w:r>
      <w:r w:rsidRPr="007B3803">
        <w:rPr>
          <w:rFonts w:ascii="Arial" w:eastAsia="Times New Roman" w:hAnsi="Arial" w:cs="Arial"/>
          <w:kern w:val="0"/>
          <w:sz w:val="24"/>
          <w:szCs w:val="24"/>
          <w:lang w:eastAsia="it-IT"/>
          <w14:ligatures w14:val="none"/>
        </w:rPr>
        <w:t> o che hanno un carattere innovativo. </w:t>
      </w:r>
      <w:r w:rsidRPr="007B3803">
        <w:rPr>
          <w:rFonts w:ascii="Arial" w:eastAsia="Times New Roman" w:hAnsi="Arial" w:cs="Arial"/>
          <w:b/>
          <w:bCs/>
          <w:kern w:val="0"/>
          <w:sz w:val="24"/>
          <w:szCs w:val="24"/>
          <w:bdr w:val="none" w:sz="0" w:space="0" w:color="auto" w:frame="1"/>
          <w:lang w:eastAsia="it-IT"/>
          <w14:ligatures w14:val="none"/>
        </w:rPr>
        <w:t>Anche in questo caso registriamo un innalzamento della soglia che prima era fissata a 40.000</w:t>
      </w:r>
      <w:r w:rsidRPr="007B3803">
        <w:rPr>
          <w:rFonts w:ascii="Arial" w:eastAsia="Times New Roman" w:hAnsi="Arial" w:cs="Arial"/>
          <w:kern w:val="0"/>
          <w:sz w:val="24"/>
          <w:szCs w:val="24"/>
          <w:u w:val="single"/>
          <w:bdr w:val="none" w:sz="0" w:space="0" w:color="auto" w:frame="1"/>
          <w:lang w:eastAsia="it-IT"/>
          <w14:ligatures w14:val="none"/>
        </w:rPr>
        <w:t> </w:t>
      </w:r>
      <w:r w:rsidRPr="007B3803">
        <w:rPr>
          <w:rFonts w:ascii="Arial" w:eastAsia="Times New Roman" w:hAnsi="Arial" w:cs="Arial"/>
          <w:kern w:val="0"/>
          <w:sz w:val="24"/>
          <w:szCs w:val="24"/>
          <w:lang w:eastAsia="it-IT"/>
          <w14:ligatures w14:val="none"/>
        </w:rPr>
        <w:t>€;</w:t>
      </w:r>
    </w:p>
    <w:p w14:paraId="42032F11"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gli affidamenti in caso di </w:t>
      </w:r>
      <w:r w:rsidRPr="007B3803">
        <w:rPr>
          <w:rFonts w:ascii="Arial" w:eastAsia="Times New Roman" w:hAnsi="Arial" w:cs="Arial"/>
          <w:b/>
          <w:bCs/>
          <w:kern w:val="0"/>
          <w:sz w:val="24"/>
          <w:szCs w:val="24"/>
          <w:bdr w:val="none" w:sz="0" w:space="0" w:color="auto" w:frame="1"/>
          <w:lang w:eastAsia="it-IT"/>
          <w14:ligatures w14:val="none"/>
        </w:rPr>
        <w:t>dialogo competitivo</w:t>
      </w:r>
      <w:r w:rsidRPr="007B3803">
        <w:rPr>
          <w:rFonts w:ascii="Arial" w:eastAsia="Times New Roman" w:hAnsi="Arial" w:cs="Arial"/>
          <w:kern w:val="0"/>
          <w:sz w:val="24"/>
          <w:szCs w:val="24"/>
          <w:lang w:eastAsia="it-IT"/>
          <w14:ligatures w14:val="none"/>
        </w:rPr>
        <w:t> e di </w:t>
      </w:r>
      <w:r w:rsidRPr="007B3803">
        <w:rPr>
          <w:rFonts w:ascii="Arial" w:eastAsia="Times New Roman" w:hAnsi="Arial" w:cs="Arial"/>
          <w:b/>
          <w:bCs/>
          <w:kern w:val="0"/>
          <w:sz w:val="24"/>
          <w:szCs w:val="24"/>
          <w:bdr w:val="none" w:sz="0" w:space="0" w:color="auto" w:frame="1"/>
          <w:lang w:eastAsia="it-IT"/>
          <w14:ligatures w14:val="none"/>
        </w:rPr>
        <w:t>partenariato per l’innovazione. Il vecchio codice non prevedeva questo punto</w:t>
      </w:r>
      <w:r w:rsidRPr="007B3803">
        <w:rPr>
          <w:rFonts w:ascii="Arial" w:eastAsia="Times New Roman" w:hAnsi="Arial" w:cs="Arial"/>
          <w:kern w:val="0"/>
          <w:sz w:val="24"/>
          <w:szCs w:val="24"/>
          <w:lang w:eastAsia="it-IT"/>
          <w14:ligatures w14:val="none"/>
        </w:rPr>
        <w:t>;</w:t>
      </w:r>
    </w:p>
    <w:p w14:paraId="0F3166BC"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gli affidamenti di </w:t>
      </w:r>
      <w:hyperlink r:id="rId9" w:history="1">
        <w:r w:rsidRPr="007B3803">
          <w:rPr>
            <w:rFonts w:ascii="Arial" w:eastAsia="Times New Roman" w:hAnsi="Arial" w:cs="Arial"/>
            <w:b/>
            <w:bCs/>
            <w:kern w:val="0"/>
            <w:sz w:val="24"/>
            <w:szCs w:val="24"/>
            <w:bdr w:val="none" w:sz="0" w:space="0" w:color="auto" w:frame="1"/>
            <w:lang w:eastAsia="it-IT"/>
            <w14:ligatures w14:val="none"/>
          </w:rPr>
          <w:t>appalto integrato</w:t>
        </w:r>
      </w:hyperlink>
      <w:r w:rsidRPr="007B3803">
        <w:rPr>
          <w:rFonts w:ascii="Arial" w:eastAsia="Times New Roman" w:hAnsi="Arial" w:cs="Arial"/>
          <w:kern w:val="0"/>
          <w:sz w:val="24"/>
          <w:szCs w:val="24"/>
          <w:lang w:eastAsia="it-IT"/>
          <w14:ligatures w14:val="none"/>
        </w:rPr>
        <w:t>. </w:t>
      </w:r>
      <w:r w:rsidRPr="007B3803">
        <w:rPr>
          <w:rFonts w:ascii="Arial" w:eastAsia="Times New Roman" w:hAnsi="Arial" w:cs="Arial"/>
          <w:b/>
          <w:bCs/>
          <w:kern w:val="0"/>
          <w:sz w:val="24"/>
          <w:szCs w:val="24"/>
          <w:bdr w:val="none" w:sz="0" w:space="0" w:color="auto" w:frame="1"/>
          <w:lang w:eastAsia="it-IT"/>
          <w14:ligatures w14:val="none"/>
        </w:rPr>
        <w:t>Il vecchio codice non prevedeva questo punto.</w:t>
      </w:r>
    </w:p>
    <w:p w14:paraId="753EFFAD"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Come era già stato precisato nella relazione illustrativa del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36/2023, le suddette soglie sono state alzate da 40.000 € a 140.000 € per </w:t>
      </w:r>
      <w:r w:rsidRPr="007B3803">
        <w:rPr>
          <w:rFonts w:ascii="Arial" w:eastAsia="Times New Roman" w:hAnsi="Arial" w:cs="Arial"/>
          <w:b/>
          <w:bCs/>
          <w:kern w:val="0"/>
          <w:sz w:val="24"/>
          <w:szCs w:val="24"/>
          <w:bdr w:val="none" w:sz="0" w:space="0" w:color="auto" w:frame="1"/>
          <w:lang w:eastAsia="it-IT"/>
          <w14:ligatures w14:val="none"/>
        </w:rPr>
        <w:t>3 motivi</w:t>
      </w:r>
      <w:r w:rsidRPr="007B3803">
        <w:rPr>
          <w:rFonts w:ascii="Arial" w:eastAsia="Times New Roman" w:hAnsi="Arial" w:cs="Arial"/>
          <w:kern w:val="0"/>
          <w:sz w:val="24"/>
          <w:szCs w:val="24"/>
          <w:lang w:eastAsia="it-IT"/>
          <w14:ligatures w14:val="none"/>
        </w:rPr>
        <w:t>:</w:t>
      </w:r>
    </w:p>
    <w:p w14:paraId="0CE397B2" w14:textId="77777777" w:rsidR="00B10465" w:rsidRPr="007B3803" w:rsidRDefault="00B10465" w:rsidP="00B10465">
      <w:pPr>
        <w:numPr>
          <w:ilvl w:val="0"/>
          <w:numId w:val="30"/>
        </w:numPr>
        <w:shd w:val="clear" w:color="auto" w:fill="FFFFFF"/>
        <w:spacing w:after="0" w:line="420" w:lineRule="atLeast"/>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esigenze di carattere sistematico;</w:t>
      </w:r>
    </w:p>
    <w:p w14:paraId="123F4748" w14:textId="77777777" w:rsidR="00B10465" w:rsidRPr="007B3803" w:rsidRDefault="00B10465" w:rsidP="00B10465">
      <w:pPr>
        <w:numPr>
          <w:ilvl w:val="0"/>
          <w:numId w:val="30"/>
        </w:numPr>
        <w:shd w:val="clear" w:color="auto" w:fill="FFFFFF"/>
        <w:spacing w:after="0" w:line="420" w:lineRule="atLeast"/>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mutamento del quadro economico e sociale;</w:t>
      </w:r>
    </w:p>
    <w:p w14:paraId="209E50CD" w14:textId="77777777" w:rsidR="00B10465" w:rsidRPr="007B3803" w:rsidRDefault="00B10465" w:rsidP="00B10465">
      <w:pPr>
        <w:numPr>
          <w:ilvl w:val="0"/>
          <w:numId w:val="30"/>
        </w:numPr>
        <w:shd w:val="clear" w:color="auto" w:fill="FFFFFF"/>
        <w:spacing w:after="0" w:line="420" w:lineRule="atLeast"/>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limitato ambito applicativo residuo per le procedure diverse dall’affidamento diretto in tali ipotesi.</w:t>
      </w:r>
    </w:p>
    <w:p w14:paraId="748E926D"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lastRenderedPageBreak/>
        <w:t>Le lettere</w:t>
      </w:r>
      <w:r w:rsidRPr="007B3803">
        <w:rPr>
          <w:rFonts w:ascii="Arial" w:eastAsia="Times New Roman" w:hAnsi="Arial" w:cs="Arial"/>
          <w:i/>
          <w:iCs/>
          <w:kern w:val="0"/>
          <w:sz w:val="24"/>
          <w:szCs w:val="24"/>
          <w:bdr w:val="none" w:sz="0" w:space="0" w:color="auto" w:frame="1"/>
          <w:lang w:eastAsia="it-IT"/>
          <w14:ligatures w14:val="none"/>
        </w:rPr>
        <w:t> d.</w:t>
      </w:r>
      <w:r w:rsidRPr="007B3803">
        <w:rPr>
          <w:rFonts w:ascii="Arial" w:eastAsia="Times New Roman" w:hAnsi="Arial" w:cs="Arial"/>
          <w:kern w:val="0"/>
          <w:sz w:val="24"/>
          <w:szCs w:val="24"/>
          <w:lang w:eastAsia="it-IT"/>
          <w14:ligatures w14:val="none"/>
        </w:rPr>
        <w:t> ed </w:t>
      </w:r>
      <w:r w:rsidRPr="007B3803">
        <w:rPr>
          <w:rFonts w:ascii="Arial" w:eastAsia="Times New Roman" w:hAnsi="Arial" w:cs="Arial"/>
          <w:i/>
          <w:iCs/>
          <w:kern w:val="0"/>
          <w:sz w:val="24"/>
          <w:szCs w:val="24"/>
          <w:bdr w:val="none" w:sz="0" w:space="0" w:color="auto" w:frame="1"/>
          <w:lang w:eastAsia="it-IT"/>
          <w14:ligatures w14:val="none"/>
        </w:rPr>
        <w:t>e.</w:t>
      </w:r>
      <w:r w:rsidRPr="007B3803">
        <w:rPr>
          <w:rFonts w:ascii="Arial" w:eastAsia="Times New Roman" w:hAnsi="Arial" w:cs="Arial"/>
          <w:kern w:val="0"/>
          <w:sz w:val="24"/>
          <w:szCs w:val="24"/>
          <w:lang w:eastAsia="it-IT"/>
          <w14:ligatures w14:val="none"/>
        </w:rPr>
        <w:t> sono state aggiunte dal nuovo codice.</w:t>
      </w:r>
    </w:p>
    <w:p w14:paraId="38E9F10D" w14:textId="77777777" w:rsidR="00B10465" w:rsidRPr="007B3803" w:rsidRDefault="00B10465" w:rsidP="00B10465">
      <w:pPr>
        <w:shd w:val="clear" w:color="auto" w:fill="FFFFFF"/>
        <w:spacing w:before="300" w:after="150" w:line="360" w:lineRule="atLeast"/>
        <w:textAlignment w:val="baseline"/>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Art. 108 nuovo codice appalti: minor prezzo</w:t>
      </w:r>
    </w:p>
    <w:p w14:paraId="01D143FD"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riguarda il criterio di aggiudicazione del </w:t>
      </w:r>
      <w:r w:rsidRPr="007B3803">
        <w:rPr>
          <w:rFonts w:ascii="Arial" w:eastAsia="Times New Roman" w:hAnsi="Arial" w:cs="Arial"/>
          <w:b/>
          <w:bCs/>
          <w:kern w:val="0"/>
          <w:sz w:val="24"/>
          <w:szCs w:val="24"/>
          <w:bdr w:val="none" w:sz="0" w:space="0" w:color="auto" w:frame="1"/>
          <w:lang w:eastAsia="it-IT"/>
          <w14:ligatures w14:val="none"/>
        </w:rPr>
        <w:t>minor prezzo</w:t>
      </w:r>
      <w:r w:rsidRPr="007B3803">
        <w:rPr>
          <w:rFonts w:ascii="Arial" w:eastAsia="Times New Roman" w:hAnsi="Arial" w:cs="Arial"/>
          <w:kern w:val="0"/>
          <w:sz w:val="24"/>
          <w:szCs w:val="24"/>
          <w:lang w:eastAsia="it-IT"/>
          <w14:ligatures w14:val="none"/>
        </w:rPr>
        <w:t xml:space="preserve">, non si registrano differenze rispetto al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50/2016.  Secondo il comma 3 dell’art. 108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36/2023, il criterio del minor prezzo può essere utilizzato per i servizi e le forniture con </w:t>
      </w:r>
      <w:r w:rsidRPr="007B3803">
        <w:rPr>
          <w:rFonts w:ascii="Arial" w:eastAsia="Times New Roman" w:hAnsi="Arial" w:cs="Arial"/>
          <w:b/>
          <w:bCs/>
          <w:kern w:val="0"/>
          <w:sz w:val="24"/>
          <w:szCs w:val="24"/>
          <w:bdr w:val="none" w:sz="0" w:space="0" w:color="auto" w:frame="1"/>
          <w:lang w:eastAsia="it-IT"/>
          <w14:ligatures w14:val="none"/>
        </w:rPr>
        <w:t>caratteristiche standardizzate</w:t>
      </w:r>
      <w:r w:rsidRPr="007B3803">
        <w:rPr>
          <w:rFonts w:ascii="Arial" w:eastAsia="Times New Roman" w:hAnsi="Arial" w:cs="Arial"/>
          <w:kern w:val="0"/>
          <w:sz w:val="24"/>
          <w:szCs w:val="24"/>
          <w:lang w:eastAsia="it-IT"/>
          <w14:ligatures w14:val="none"/>
        </w:rPr>
        <w:t> o le cui condizioni sono </w:t>
      </w:r>
      <w:r w:rsidRPr="007B3803">
        <w:rPr>
          <w:rFonts w:ascii="Arial" w:eastAsia="Times New Roman" w:hAnsi="Arial" w:cs="Arial"/>
          <w:b/>
          <w:bCs/>
          <w:kern w:val="0"/>
          <w:sz w:val="24"/>
          <w:szCs w:val="24"/>
          <w:bdr w:val="none" w:sz="0" w:space="0" w:color="auto" w:frame="1"/>
          <w:lang w:eastAsia="it-IT"/>
          <w14:ligatures w14:val="none"/>
        </w:rPr>
        <w:t>definite dal mercato</w:t>
      </w:r>
      <w:r w:rsidRPr="007B3803">
        <w:rPr>
          <w:rFonts w:ascii="Arial" w:eastAsia="Times New Roman" w:hAnsi="Arial" w:cs="Arial"/>
          <w:kern w:val="0"/>
          <w:sz w:val="24"/>
          <w:szCs w:val="24"/>
          <w:lang w:eastAsia="it-IT"/>
          <w14:ligatures w14:val="none"/>
        </w:rPr>
        <w:t>, fatta eccezione per i servizi ad alta intensità di manodopera.</w:t>
      </w:r>
    </w:p>
    <w:p w14:paraId="5429E03B" w14:textId="77777777" w:rsidR="00B10465" w:rsidRPr="007B3803" w:rsidRDefault="00B10465" w:rsidP="00B10465">
      <w:pPr>
        <w:shd w:val="clear" w:color="auto" w:fill="FFFFFF"/>
        <w:spacing w:after="15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criterio del minor prezzo, come lascia intendere il termine stesso, confronta le varie offerte presentate dagli operatori economici, con la selezione di quella con l’importo più basso.</w:t>
      </w:r>
    </w:p>
    <w:p w14:paraId="658C0E6D" w14:textId="77777777" w:rsidR="00B10465" w:rsidRPr="007B3803" w:rsidRDefault="00B10465" w:rsidP="00B10465">
      <w:pPr>
        <w:shd w:val="clear" w:color="auto" w:fill="FFFFFF"/>
        <w:spacing w:before="360" w:after="150" w:line="360" w:lineRule="atLeast"/>
        <w:textAlignment w:val="baseline"/>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I documenti di gara</w:t>
      </w:r>
    </w:p>
    <w:p w14:paraId="49125805"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documenti di gara stabiliscono i </w:t>
      </w:r>
      <w:r w:rsidRPr="007B3803">
        <w:rPr>
          <w:rFonts w:ascii="Arial" w:eastAsia="Times New Roman" w:hAnsi="Arial" w:cs="Arial"/>
          <w:b/>
          <w:bCs/>
          <w:kern w:val="0"/>
          <w:sz w:val="24"/>
          <w:szCs w:val="24"/>
          <w:bdr w:val="none" w:sz="0" w:space="0" w:color="auto" w:frame="1"/>
          <w:lang w:eastAsia="it-IT"/>
          <w14:ligatures w14:val="none"/>
        </w:rPr>
        <w:t>criteri di aggiudicazione dell’offerta</w:t>
      </w:r>
      <w:r w:rsidRPr="007B3803">
        <w:rPr>
          <w:rFonts w:ascii="Arial" w:eastAsia="Times New Roman" w:hAnsi="Arial" w:cs="Arial"/>
          <w:kern w:val="0"/>
          <w:sz w:val="24"/>
          <w:szCs w:val="24"/>
          <w:lang w:eastAsia="it-IT"/>
          <w14:ligatures w14:val="none"/>
        </w:rPr>
        <w:t>, pertinenti alla natura, all’oggetto e alle caratteristiche del contratto. In particolare, l’offerta economicamente più vantaggiosa viene valutata sulla base di </w:t>
      </w:r>
      <w:r w:rsidRPr="007B3803">
        <w:rPr>
          <w:rFonts w:ascii="Arial" w:eastAsia="Times New Roman" w:hAnsi="Arial" w:cs="Arial"/>
          <w:b/>
          <w:bCs/>
          <w:kern w:val="0"/>
          <w:sz w:val="24"/>
          <w:szCs w:val="24"/>
          <w:bdr w:val="none" w:sz="0" w:space="0" w:color="auto" w:frame="1"/>
          <w:lang w:eastAsia="it-IT"/>
          <w14:ligatures w14:val="none"/>
        </w:rPr>
        <w:t>criteri oggettivi</w:t>
      </w:r>
      <w:r w:rsidRPr="007B3803">
        <w:rPr>
          <w:rFonts w:ascii="Arial" w:eastAsia="Times New Roman" w:hAnsi="Arial" w:cs="Arial"/>
          <w:kern w:val="0"/>
          <w:sz w:val="24"/>
          <w:szCs w:val="24"/>
          <w:lang w:eastAsia="it-IT"/>
          <w14:ligatures w14:val="none"/>
        </w:rPr>
        <w:t>, quali gli aspetti qualitativi, ambientali o sociali, connessi all’oggetto dell’appalto.</w:t>
      </w:r>
    </w:p>
    <w:p w14:paraId="5FC78B49" w14:textId="77777777" w:rsidR="00B10465" w:rsidRPr="007B3803" w:rsidRDefault="00B10465" w:rsidP="00B10465">
      <w:pPr>
        <w:shd w:val="clear" w:color="auto" w:fill="FFFFFF"/>
        <w:spacing w:after="15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A differenza della formulazione del comma 6 dell’art. 95 del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50/2016, è stata eliminata l’elencazione esemplificativa dei criteri utilizzati, che potrebbero trovare spazio in norme attuative di carattere secondario.</w:t>
      </w:r>
    </w:p>
    <w:p w14:paraId="053756B3"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È previsto che l’elemento relativo al costo possa assumere la forma di un</w:t>
      </w:r>
      <w:r w:rsidRPr="007B3803">
        <w:rPr>
          <w:rFonts w:ascii="Arial" w:eastAsia="Times New Roman" w:hAnsi="Arial" w:cs="Arial"/>
          <w:b/>
          <w:bCs/>
          <w:kern w:val="0"/>
          <w:sz w:val="24"/>
          <w:szCs w:val="24"/>
          <w:bdr w:val="none" w:sz="0" w:space="0" w:color="auto" w:frame="1"/>
          <w:lang w:eastAsia="it-IT"/>
          <w14:ligatures w14:val="none"/>
        </w:rPr>
        <w:t> prezzo o costo fisso</w:t>
      </w:r>
      <w:r w:rsidRPr="007B3803">
        <w:rPr>
          <w:rFonts w:ascii="Arial" w:eastAsia="Times New Roman" w:hAnsi="Arial" w:cs="Arial"/>
          <w:kern w:val="0"/>
          <w:sz w:val="24"/>
          <w:szCs w:val="24"/>
          <w:lang w:eastAsia="it-IT"/>
          <w14:ligatures w14:val="none"/>
        </w:rPr>
        <w:t> sulla base del quale gli operatori economici competeranno solo in base a </w:t>
      </w:r>
      <w:r w:rsidRPr="007B3803">
        <w:rPr>
          <w:rFonts w:ascii="Arial" w:eastAsia="Times New Roman" w:hAnsi="Arial" w:cs="Arial"/>
          <w:b/>
          <w:bCs/>
          <w:kern w:val="0"/>
          <w:sz w:val="24"/>
          <w:szCs w:val="24"/>
          <w:bdr w:val="none" w:sz="0" w:space="0" w:color="auto" w:frame="1"/>
          <w:lang w:eastAsia="it-IT"/>
          <w14:ligatures w14:val="none"/>
        </w:rPr>
        <w:t>criteri qualitativi</w:t>
      </w:r>
      <w:r w:rsidRPr="007B3803">
        <w:rPr>
          <w:rFonts w:ascii="Arial" w:eastAsia="Times New Roman" w:hAnsi="Arial" w:cs="Arial"/>
          <w:kern w:val="0"/>
          <w:sz w:val="24"/>
          <w:szCs w:val="24"/>
          <w:lang w:eastAsia="it-IT"/>
          <w14:ligatures w14:val="none"/>
        </w:rPr>
        <w:t>.</w:t>
      </w:r>
    </w:p>
    <w:p w14:paraId="4F67E309" w14:textId="4728B2E0" w:rsidR="00B10465" w:rsidRPr="007B3803" w:rsidRDefault="00B10465" w:rsidP="00366599">
      <w:pPr>
        <w:shd w:val="clear" w:color="auto" w:fill="FFFFFF"/>
        <w:spacing w:after="0" w:line="420" w:lineRule="atLeast"/>
        <w:textAlignment w:val="baseline"/>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Approvvigionamento di servizi informatici e cybersicurezza</w:t>
      </w:r>
    </w:p>
    <w:p w14:paraId="5F7DC2C2"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Il comma 4 del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36/2023 contiene una precisazione circa l’approvvigionamento di</w:t>
      </w:r>
      <w:r w:rsidRPr="007B3803">
        <w:rPr>
          <w:rFonts w:ascii="Arial" w:eastAsia="Times New Roman" w:hAnsi="Arial" w:cs="Arial"/>
          <w:b/>
          <w:bCs/>
          <w:kern w:val="0"/>
          <w:sz w:val="24"/>
          <w:szCs w:val="24"/>
          <w:bdr w:val="none" w:sz="0" w:space="0" w:color="auto" w:frame="1"/>
          <w:lang w:eastAsia="it-IT"/>
          <w14:ligatures w14:val="none"/>
        </w:rPr>
        <w:t> beni e servizi informatici</w:t>
      </w:r>
      <w:r w:rsidRPr="007B3803">
        <w:rPr>
          <w:rFonts w:ascii="Arial" w:eastAsia="Times New Roman" w:hAnsi="Arial" w:cs="Arial"/>
          <w:kern w:val="0"/>
          <w:sz w:val="24"/>
          <w:szCs w:val="24"/>
          <w:lang w:eastAsia="it-IT"/>
          <w14:ligatures w14:val="none"/>
        </w:rPr>
        <w:t>. In queste attività, le stazioni appaltanti devono tenere in considerazione gli elementi di </w:t>
      </w:r>
      <w:r w:rsidRPr="007B3803">
        <w:rPr>
          <w:rFonts w:ascii="Arial" w:eastAsia="Times New Roman" w:hAnsi="Arial" w:cs="Arial"/>
          <w:b/>
          <w:bCs/>
          <w:kern w:val="0"/>
          <w:sz w:val="24"/>
          <w:szCs w:val="24"/>
          <w:bdr w:val="none" w:sz="0" w:space="0" w:color="auto" w:frame="1"/>
          <w:lang w:eastAsia="it-IT"/>
          <w14:ligatures w14:val="none"/>
        </w:rPr>
        <w:t>cybersicurezza</w:t>
      </w:r>
      <w:r w:rsidRPr="007B3803">
        <w:rPr>
          <w:rFonts w:ascii="Arial" w:eastAsia="Times New Roman" w:hAnsi="Arial" w:cs="Arial"/>
          <w:kern w:val="0"/>
          <w:sz w:val="24"/>
          <w:szCs w:val="24"/>
          <w:lang w:eastAsia="it-IT"/>
          <w14:ligatures w14:val="none"/>
        </w:rPr>
        <w:t>, sempre circa la valutazione dell’elemento qualitativo ai fini dell’individuazione del miglior rapporto qualità prezzo. Devono attribuire ad esso </w:t>
      </w:r>
      <w:r w:rsidRPr="007B3803">
        <w:rPr>
          <w:rFonts w:ascii="Arial" w:eastAsia="Times New Roman" w:hAnsi="Arial" w:cs="Arial"/>
          <w:b/>
          <w:bCs/>
          <w:kern w:val="0"/>
          <w:sz w:val="24"/>
          <w:szCs w:val="24"/>
          <w:bdr w:val="none" w:sz="0" w:space="0" w:color="auto" w:frame="1"/>
          <w:lang w:eastAsia="it-IT"/>
          <w14:ligatures w14:val="none"/>
        </w:rPr>
        <w:t>grande rilievo</w:t>
      </w:r>
      <w:r w:rsidRPr="007B3803">
        <w:rPr>
          <w:rFonts w:ascii="Arial" w:eastAsia="Times New Roman" w:hAnsi="Arial" w:cs="Arial"/>
          <w:kern w:val="0"/>
          <w:sz w:val="24"/>
          <w:szCs w:val="24"/>
          <w:lang w:eastAsia="it-IT"/>
          <w14:ligatures w14:val="none"/>
        </w:rPr>
        <w:t> nei casi in cui il contesto di impiego è connesso alla tutela degli interessi nazionali strategici.</w:t>
      </w:r>
    </w:p>
    <w:p w14:paraId="76A57B4B"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Nei casi in cui i </w:t>
      </w:r>
      <w:r w:rsidRPr="007B3803">
        <w:rPr>
          <w:rFonts w:ascii="Arial" w:eastAsia="Times New Roman" w:hAnsi="Arial" w:cs="Arial"/>
          <w:b/>
          <w:bCs/>
          <w:kern w:val="0"/>
          <w:sz w:val="24"/>
          <w:szCs w:val="24"/>
          <w:bdr w:val="none" w:sz="0" w:space="0" w:color="auto" w:frame="1"/>
          <w:lang w:eastAsia="it-IT"/>
          <w14:ligatures w14:val="none"/>
        </w:rPr>
        <w:t>beni e servizi informatici</w:t>
      </w:r>
      <w:r w:rsidRPr="007B3803">
        <w:rPr>
          <w:rFonts w:ascii="Arial" w:eastAsia="Times New Roman" w:hAnsi="Arial" w:cs="Arial"/>
          <w:kern w:val="0"/>
          <w:sz w:val="24"/>
          <w:szCs w:val="24"/>
          <w:lang w:eastAsia="it-IT"/>
          <w14:ligatures w14:val="none"/>
        </w:rPr>
        <w:t> oggetto di appalto siano impiegati in un contesto connesso alla tutela degli interessi nazionali strategici, la stazione appaltante stabilisce un tetto massimo per il </w:t>
      </w:r>
      <w:r w:rsidRPr="007B3803">
        <w:rPr>
          <w:rFonts w:ascii="Arial" w:eastAsia="Times New Roman" w:hAnsi="Arial" w:cs="Arial"/>
          <w:b/>
          <w:bCs/>
          <w:kern w:val="0"/>
          <w:sz w:val="24"/>
          <w:szCs w:val="24"/>
          <w:bdr w:val="none" w:sz="0" w:space="0" w:color="auto" w:frame="1"/>
          <w:lang w:eastAsia="it-IT"/>
          <w14:ligatures w14:val="none"/>
        </w:rPr>
        <w:t>punteggio economico (max al 10%)</w:t>
      </w:r>
      <w:r w:rsidRPr="007B3803">
        <w:rPr>
          <w:rFonts w:ascii="Arial" w:eastAsia="Times New Roman" w:hAnsi="Arial" w:cs="Arial"/>
          <w:kern w:val="0"/>
          <w:sz w:val="24"/>
          <w:szCs w:val="24"/>
          <w:lang w:eastAsia="it-IT"/>
          <w14:ligatures w14:val="none"/>
        </w:rPr>
        <w:t>.</w:t>
      </w:r>
    </w:p>
    <w:p w14:paraId="4577DEE3"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lastRenderedPageBreak/>
        <w:t>Per i </w:t>
      </w:r>
      <w:r w:rsidRPr="007B3803">
        <w:rPr>
          <w:rFonts w:ascii="Arial" w:eastAsia="Times New Roman" w:hAnsi="Arial" w:cs="Arial"/>
          <w:b/>
          <w:bCs/>
          <w:kern w:val="0"/>
          <w:sz w:val="24"/>
          <w:szCs w:val="24"/>
          <w:bdr w:val="none" w:sz="0" w:space="0" w:color="auto" w:frame="1"/>
          <w:lang w:eastAsia="it-IT"/>
          <w14:ligatures w14:val="none"/>
        </w:rPr>
        <w:t>contratti ad alta intensità di manodopera</w:t>
      </w:r>
      <w:r w:rsidRPr="007B3803">
        <w:rPr>
          <w:rFonts w:ascii="Arial" w:eastAsia="Times New Roman" w:hAnsi="Arial" w:cs="Arial"/>
          <w:kern w:val="0"/>
          <w:sz w:val="24"/>
          <w:szCs w:val="24"/>
          <w:lang w:eastAsia="it-IT"/>
          <w14:ligatures w14:val="none"/>
        </w:rPr>
        <w:t>, la stazione appaltante stabilisce un tetto massimo per il </w:t>
      </w:r>
      <w:r w:rsidRPr="007B3803">
        <w:rPr>
          <w:rFonts w:ascii="Arial" w:eastAsia="Times New Roman" w:hAnsi="Arial" w:cs="Arial"/>
          <w:b/>
          <w:bCs/>
          <w:kern w:val="0"/>
          <w:sz w:val="24"/>
          <w:szCs w:val="24"/>
          <w:bdr w:val="none" w:sz="0" w:space="0" w:color="auto" w:frame="1"/>
          <w:lang w:eastAsia="it-IT"/>
          <w14:ligatures w14:val="none"/>
        </w:rPr>
        <w:t>punteggio economico entro il limite del 30%</w:t>
      </w:r>
      <w:r w:rsidRPr="007B3803">
        <w:rPr>
          <w:rFonts w:ascii="Arial" w:eastAsia="Times New Roman" w:hAnsi="Arial" w:cs="Arial"/>
          <w:kern w:val="0"/>
          <w:sz w:val="24"/>
          <w:szCs w:val="24"/>
          <w:lang w:eastAsia="it-IT"/>
          <w14:ligatures w14:val="none"/>
        </w:rPr>
        <w:t>.</w:t>
      </w:r>
    </w:p>
    <w:p w14:paraId="3CB59BAF"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Alle Stazioni Appaltanti spetta il compito di </w:t>
      </w:r>
      <w:r w:rsidRPr="007B3803">
        <w:rPr>
          <w:rFonts w:ascii="Arial" w:eastAsia="Times New Roman" w:hAnsi="Arial" w:cs="Arial"/>
          <w:b/>
          <w:bCs/>
          <w:kern w:val="0"/>
          <w:sz w:val="24"/>
          <w:szCs w:val="24"/>
          <w:lang w:eastAsia="it-IT"/>
          <w14:ligatures w14:val="none"/>
        </w:rPr>
        <w:t>individuare le offerte che sollevano dubbi di congruità</w:t>
      </w:r>
      <w:r w:rsidRPr="007B3803">
        <w:rPr>
          <w:rFonts w:ascii="Arial" w:eastAsia="Times New Roman" w:hAnsi="Arial" w:cs="Arial"/>
          <w:kern w:val="0"/>
          <w:sz w:val="24"/>
          <w:szCs w:val="24"/>
          <w:lang w:eastAsia="it-IT"/>
          <w14:ligatures w14:val="none"/>
        </w:rPr>
        <w:t>, tenendo in considerazione non soltanto il prezzo, ma il contesto complessivo (mercato di riferimento, risultati di gara, ecc.).</w:t>
      </w:r>
    </w:p>
    <w:p w14:paraId="1E22530E"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Questa verifica preliminare delle offerte anomale concede un largo margine di discrezionalità alla S.A., che tuttavia ha il dovere di </w:t>
      </w:r>
      <w:r w:rsidRPr="007B3803">
        <w:rPr>
          <w:rFonts w:ascii="Arial" w:eastAsia="Times New Roman" w:hAnsi="Arial" w:cs="Arial"/>
          <w:b/>
          <w:bCs/>
          <w:kern w:val="0"/>
          <w:sz w:val="24"/>
          <w:szCs w:val="24"/>
          <w:lang w:eastAsia="it-IT"/>
          <w14:ligatures w14:val="none"/>
        </w:rPr>
        <w:t>richiedere spiegazioni “per iscritto” all’operatore economico sul prezzo o sui costi proposti</w:t>
      </w:r>
      <w:r w:rsidRPr="007B3803">
        <w:rPr>
          <w:rFonts w:ascii="Arial" w:eastAsia="Times New Roman" w:hAnsi="Arial" w:cs="Arial"/>
          <w:kern w:val="0"/>
          <w:sz w:val="24"/>
          <w:szCs w:val="24"/>
          <w:lang w:eastAsia="it-IT"/>
          <w14:ligatures w14:val="none"/>
        </w:rPr>
        <w:t>. L’OE avrà 15 giorni per rispondere.</w:t>
      </w:r>
    </w:p>
    <w:p w14:paraId="25D908B2"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Una volta ricevute le spiegazioni, la S.A. potrà escludere l’offerta se non </w:t>
      </w:r>
      <w:proofErr w:type="spellStart"/>
      <w:r w:rsidRPr="007B3803">
        <w:rPr>
          <w:rFonts w:ascii="Arial" w:eastAsia="Times New Roman" w:hAnsi="Arial" w:cs="Arial"/>
          <w:kern w:val="0"/>
          <w:sz w:val="24"/>
          <w:szCs w:val="24"/>
          <w:lang w:eastAsia="it-IT"/>
          <w14:ligatures w14:val="none"/>
        </w:rPr>
        <w:t>riscontra</w:t>
      </w:r>
      <w:proofErr w:type="spellEnd"/>
      <w:r w:rsidRPr="007B3803">
        <w:rPr>
          <w:rFonts w:ascii="Arial" w:eastAsia="Times New Roman" w:hAnsi="Arial" w:cs="Arial"/>
          <w:kern w:val="0"/>
          <w:sz w:val="24"/>
          <w:szCs w:val="24"/>
          <w:lang w:eastAsia="it-IT"/>
          <w14:ligatures w14:val="none"/>
        </w:rPr>
        <w:t xml:space="preserve"> coerenza tra motivazioni addotte e offerta anormalmente bassa.</w:t>
      </w:r>
    </w:p>
    <w:p w14:paraId="122F4884" w14:textId="77777777" w:rsidR="005D119D" w:rsidRPr="007B3803" w:rsidRDefault="005D119D" w:rsidP="005D119D">
      <w:pPr>
        <w:shd w:val="clear" w:color="auto" w:fill="FFFFFF"/>
        <w:spacing w:after="100" w:afterAutospacing="1" w:line="348" w:lineRule="atLeast"/>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 xml:space="preserve">Esclusione automatica delle offerte anomale (art. 54 </w:t>
      </w:r>
      <w:proofErr w:type="spellStart"/>
      <w:r w:rsidRPr="007B3803">
        <w:rPr>
          <w:rFonts w:ascii="Arial" w:eastAsia="Times New Roman" w:hAnsi="Arial" w:cs="Arial"/>
          <w:b/>
          <w:bCs/>
          <w:kern w:val="0"/>
          <w:sz w:val="24"/>
          <w:szCs w:val="24"/>
          <w:lang w:eastAsia="it-IT"/>
          <w14:ligatures w14:val="none"/>
        </w:rPr>
        <w:t>D.Lgs.</w:t>
      </w:r>
      <w:proofErr w:type="spellEnd"/>
      <w:r w:rsidRPr="007B3803">
        <w:rPr>
          <w:rFonts w:ascii="Arial" w:eastAsia="Times New Roman" w:hAnsi="Arial" w:cs="Arial"/>
          <w:b/>
          <w:bCs/>
          <w:kern w:val="0"/>
          <w:sz w:val="24"/>
          <w:szCs w:val="24"/>
          <w:lang w:eastAsia="it-IT"/>
          <w14:ligatures w14:val="none"/>
        </w:rPr>
        <w:t xml:space="preserve"> 36/2023)</w:t>
      </w:r>
    </w:p>
    <w:p w14:paraId="3AFDBE1B"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L’applicazione dell’art. 54 riguarda unicamente le procedure di affidamento che:</w:t>
      </w:r>
    </w:p>
    <w:p w14:paraId="3372D698" w14:textId="77777777" w:rsidR="005D119D" w:rsidRPr="007B3803" w:rsidRDefault="005D119D" w:rsidP="005D119D">
      <w:pPr>
        <w:numPr>
          <w:ilvl w:val="0"/>
          <w:numId w:val="31"/>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Vengono aggiudicate con il criterio del </w:t>
      </w:r>
      <w:r w:rsidRPr="007B3803">
        <w:rPr>
          <w:rFonts w:ascii="Arial" w:eastAsia="Times New Roman" w:hAnsi="Arial" w:cs="Arial"/>
          <w:b/>
          <w:bCs/>
          <w:kern w:val="0"/>
          <w:sz w:val="24"/>
          <w:szCs w:val="24"/>
          <w:lang w:eastAsia="it-IT"/>
          <w14:ligatures w14:val="none"/>
        </w:rPr>
        <w:t>prezzo più basso</w:t>
      </w:r>
    </w:p>
    <w:p w14:paraId="579F5551" w14:textId="77777777" w:rsidR="005D119D" w:rsidRPr="007B3803" w:rsidRDefault="005D119D" w:rsidP="005D119D">
      <w:pPr>
        <w:numPr>
          <w:ilvl w:val="0"/>
          <w:numId w:val="31"/>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Hanno un </w:t>
      </w:r>
      <w:r w:rsidRPr="007B3803">
        <w:rPr>
          <w:rFonts w:ascii="Arial" w:eastAsia="Times New Roman" w:hAnsi="Arial" w:cs="Arial"/>
          <w:b/>
          <w:bCs/>
          <w:kern w:val="0"/>
          <w:sz w:val="24"/>
          <w:szCs w:val="24"/>
          <w:lang w:eastAsia="it-IT"/>
          <w14:ligatures w14:val="none"/>
        </w:rPr>
        <w:t>importo inferiore alle soglie di rilevanza europea</w:t>
      </w:r>
    </w:p>
    <w:p w14:paraId="1698E4F0" w14:textId="77777777" w:rsidR="005D119D" w:rsidRPr="007B3803" w:rsidRDefault="005D119D" w:rsidP="005D119D">
      <w:pPr>
        <w:numPr>
          <w:ilvl w:val="0"/>
          <w:numId w:val="31"/>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lang w:eastAsia="it-IT"/>
          <w14:ligatures w14:val="none"/>
        </w:rPr>
        <w:t>Non presentano un interesse transfrontaliero certo</w:t>
      </w:r>
    </w:p>
    <w:p w14:paraId="02937CDE"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Se la procedura risponde a </w:t>
      </w:r>
      <w:r w:rsidRPr="007B3803">
        <w:rPr>
          <w:rFonts w:ascii="Arial" w:eastAsia="Times New Roman" w:hAnsi="Arial" w:cs="Arial"/>
          <w:b/>
          <w:bCs/>
          <w:kern w:val="0"/>
          <w:sz w:val="24"/>
          <w:szCs w:val="24"/>
          <w:lang w:eastAsia="it-IT"/>
          <w14:ligatures w14:val="none"/>
        </w:rPr>
        <w:t>tutti e tre i criteri,</w:t>
      </w:r>
      <w:r w:rsidRPr="007B3803">
        <w:rPr>
          <w:rFonts w:ascii="Arial" w:eastAsia="Times New Roman" w:hAnsi="Arial" w:cs="Arial"/>
          <w:kern w:val="0"/>
          <w:sz w:val="24"/>
          <w:szCs w:val="24"/>
          <w:lang w:eastAsia="it-IT"/>
          <w14:ligatures w14:val="none"/>
        </w:rPr>
        <w:t> la Stazione Appaltante deve inserire negli atti di gara le modalità di esclusione delle offerte anomale, nel caso le offerte ammesse siano cinque o più di cinque.</w:t>
      </w:r>
    </w:p>
    <w:p w14:paraId="6F2A1488"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Gli atti di gara dovranno inoltre </w:t>
      </w:r>
      <w:r w:rsidRPr="007B3803">
        <w:rPr>
          <w:rFonts w:ascii="Arial" w:eastAsia="Times New Roman" w:hAnsi="Arial" w:cs="Arial"/>
          <w:b/>
          <w:bCs/>
          <w:kern w:val="0"/>
          <w:sz w:val="24"/>
          <w:szCs w:val="24"/>
          <w:lang w:eastAsia="it-IT"/>
          <w14:ligatures w14:val="none"/>
        </w:rPr>
        <w:t>dichiarare il metodo di calcolo della soglia di anomalia che verrà impiegato per escludere in automatico le offerte anormalmente basse</w:t>
      </w:r>
      <w:r w:rsidRPr="007B3803">
        <w:rPr>
          <w:rFonts w:ascii="Arial" w:eastAsia="Times New Roman" w:hAnsi="Arial" w:cs="Arial"/>
          <w:kern w:val="0"/>
          <w:sz w:val="24"/>
          <w:szCs w:val="24"/>
          <w:lang w:eastAsia="it-IT"/>
          <w14:ligatures w14:val="none"/>
        </w:rPr>
        <w:t>, selezionando uno dei tre metodi contenuti nell’allegato II.2 del Codice.</w:t>
      </w:r>
    </w:p>
    <w:p w14:paraId="3C6294FA"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Lo stesso articolo 54, in via residuale, consente alle Stazioni Appaltanti la facoltà </w:t>
      </w:r>
      <w:r w:rsidRPr="007B3803">
        <w:rPr>
          <w:rFonts w:ascii="Arial" w:eastAsia="Times New Roman" w:hAnsi="Arial" w:cs="Arial"/>
          <w:b/>
          <w:bCs/>
          <w:kern w:val="0"/>
          <w:sz w:val="24"/>
          <w:szCs w:val="24"/>
          <w:lang w:eastAsia="it-IT"/>
          <w14:ligatures w14:val="none"/>
        </w:rPr>
        <w:t>di non indicare il metodo di calcolo negli atti di gara sorteggiandolo</w:t>
      </w:r>
      <w:r w:rsidRPr="007B3803">
        <w:rPr>
          <w:rFonts w:ascii="Arial" w:eastAsia="Times New Roman" w:hAnsi="Arial" w:cs="Arial"/>
          <w:kern w:val="0"/>
          <w:sz w:val="24"/>
          <w:szCs w:val="24"/>
          <w:lang w:eastAsia="it-IT"/>
          <w14:ligatures w14:val="none"/>
        </w:rPr>
        <w:t>, tra quelli compatibili, in sede di valutazione delle offerte.</w:t>
      </w:r>
    </w:p>
    <w:p w14:paraId="36C9CCAF" w14:textId="12DE0EBF" w:rsidR="001867F0" w:rsidRPr="001867F0" w:rsidRDefault="001867F0" w:rsidP="005D119D">
      <w:pPr>
        <w:shd w:val="clear" w:color="auto" w:fill="FFFFFF"/>
        <w:spacing w:after="100" w:afterAutospacing="1" w:line="240" w:lineRule="auto"/>
        <w:rPr>
          <w:rFonts w:ascii="Arial" w:eastAsia="Times New Roman" w:hAnsi="Arial" w:cs="Arial"/>
          <w:b/>
          <w:bCs/>
          <w:kern w:val="0"/>
          <w:sz w:val="24"/>
          <w:szCs w:val="24"/>
          <w:lang w:eastAsia="it-IT"/>
          <w14:ligatures w14:val="none"/>
        </w:rPr>
      </w:pPr>
      <w:r w:rsidRPr="001867F0">
        <w:rPr>
          <w:rFonts w:ascii="Arial" w:eastAsia="Times New Roman" w:hAnsi="Arial" w:cs="Arial"/>
          <w:b/>
          <w:bCs/>
          <w:kern w:val="0"/>
          <w:sz w:val="24"/>
          <w:szCs w:val="24"/>
          <w:lang w:eastAsia="it-IT"/>
          <w14:ligatures w14:val="none"/>
        </w:rPr>
        <w:t xml:space="preserve">Stand </w:t>
      </w:r>
      <w:proofErr w:type="spellStart"/>
      <w:r w:rsidRPr="001867F0">
        <w:rPr>
          <w:rFonts w:ascii="Arial" w:eastAsia="Times New Roman" w:hAnsi="Arial" w:cs="Arial"/>
          <w:b/>
          <w:bCs/>
          <w:kern w:val="0"/>
          <w:sz w:val="24"/>
          <w:szCs w:val="24"/>
          <w:lang w:eastAsia="it-IT"/>
          <w14:ligatures w14:val="none"/>
        </w:rPr>
        <w:t>still</w:t>
      </w:r>
      <w:proofErr w:type="spellEnd"/>
    </w:p>
    <w:p w14:paraId="4FC3842B" w14:textId="57418703" w:rsidR="001867F0" w:rsidRPr="007B3803" w:rsidRDefault="001867F0"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t xml:space="preserve">Il principio di stand </w:t>
      </w:r>
      <w:proofErr w:type="spellStart"/>
      <w:r w:rsidRPr="001867F0">
        <w:rPr>
          <w:rFonts w:ascii="Arial" w:eastAsia="Times New Roman" w:hAnsi="Arial" w:cs="Arial"/>
          <w:kern w:val="0"/>
          <w:sz w:val="24"/>
          <w:szCs w:val="24"/>
          <w:lang w:eastAsia="it-IT"/>
          <w14:ligatures w14:val="none"/>
        </w:rPr>
        <w:t>still</w:t>
      </w:r>
      <w:proofErr w:type="spellEnd"/>
      <w:r w:rsidRPr="001867F0">
        <w:rPr>
          <w:rFonts w:ascii="Arial" w:eastAsia="Times New Roman" w:hAnsi="Arial" w:cs="Arial"/>
          <w:kern w:val="0"/>
          <w:sz w:val="24"/>
          <w:szCs w:val="24"/>
          <w:lang w:eastAsia="it-IT"/>
          <w14:ligatures w14:val="none"/>
        </w:rPr>
        <w:t>, recepito dall’art. 18 del D.lgs. 36/2023, impone un intervallo minimo (32 giorni) tra l’aggiudicazione e la stipula del contratto. Questo periodo consente agli operatori economici non vincitori di accedere agli atti e, se necessario, proporre ricorso. È uno strumento volto a garantire trasparenza, imparzialità e parità di trattamento nella fase più delicata della procedura.</w:t>
      </w:r>
    </w:p>
    <w:p w14:paraId="4E316BF7" w14:textId="4B180A9B" w:rsidR="00E26289" w:rsidRPr="007B3803" w:rsidRDefault="00C31FB7"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SUBAPPALTO</w:t>
      </w:r>
    </w:p>
    <w:p w14:paraId="4F5916A7" w14:textId="77777777" w:rsidR="00C31FB7" w:rsidRPr="007B3803" w:rsidRDefault="00C31FB7" w:rsidP="00C31FB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L’art. 119 del Dlgs 36/2023 definisce subappalto “il contratto con il quale l’appaltatore affida a terzi l’esecuzione di parte delle prestazioni o lavorazioni oggetto del contratto di appalto, con organizzazione di mezzi e rischi a carico del subappaltatore. Costituisce, comunque, subappalto di lavori qualsiasi contratto stipulato dall’appaltatore con terzi avente ad oggetto attività ovunque espletate che richiedono l’impiego di manodopera, quali le forniture con posa in opera e i noli a caldo, se singolarmente di importo superiore </w:t>
      </w:r>
      <w:r w:rsidRPr="007B3803">
        <w:rPr>
          <w:rFonts w:ascii="Arial" w:eastAsia="Times New Roman" w:hAnsi="Arial" w:cs="Arial"/>
          <w:kern w:val="0"/>
          <w:sz w:val="24"/>
          <w:szCs w:val="24"/>
          <w:lang w:eastAsia="it-IT"/>
          <w14:ligatures w14:val="none"/>
        </w:rPr>
        <w:lastRenderedPageBreak/>
        <w:t xml:space="preserve">al 2 per cento dell’importo delle prestazioni affidate o di importo superiore a 100.000 euro e qualora l’incidenza del costo della manodopera e del personale sia superiore al 50 per cento dell’importo del contratto da affidare…” Si tratta, dunque, di un contratto “derivato” che – rientrando nella più ampia categoria del “subcontratto” –  ha ad oggetto una parte delle prestazioni del contratto principale, ovvero del contratto di appalto. Da notare, inoltre, che al comma 2 del </w:t>
      </w:r>
      <w:proofErr w:type="gramStart"/>
      <w:r w:rsidRPr="007B3803">
        <w:rPr>
          <w:rFonts w:ascii="Arial" w:eastAsia="Times New Roman" w:hAnsi="Arial" w:cs="Arial"/>
          <w:kern w:val="0"/>
          <w:sz w:val="24"/>
          <w:szCs w:val="24"/>
          <w:lang w:eastAsia="it-IT"/>
          <w14:ligatures w14:val="none"/>
        </w:rPr>
        <w:t>summenzionato</w:t>
      </w:r>
      <w:proofErr w:type="gramEnd"/>
      <w:r w:rsidRPr="007B3803">
        <w:rPr>
          <w:rFonts w:ascii="Arial" w:eastAsia="Times New Roman" w:hAnsi="Arial" w:cs="Arial"/>
          <w:kern w:val="0"/>
          <w:sz w:val="24"/>
          <w:szCs w:val="24"/>
          <w:lang w:eastAsia="it-IT"/>
          <w14:ligatures w14:val="none"/>
        </w:rPr>
        <w:t xml:space="preserve"> articolo è stato inserito un inciso volto proprio a differenziale il subappalto dalle oltre tipologie contrattuali, laddove si ribadisce che l’organizzazione di mezzi e di rischi a è carico del subappaltatore. </w:t>
      </w:r>
    </w:p>
    <w:p w14:paraId="4D1C2A77" w14:textId="77777777" w:rsidR="00C31FB7" w:rsidRPr="007B3803" w:rsidRDefault="00C31FB7" w:rsidP="00C31FB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Il primo comma dell’art. 119 precisa che la cessione del contratto è nulla. La disposizione normativa in parola specifica, altresì, che è nullo l’accordo con cui viene affidata a terzi l’integrale esecuzione delle prestazioni/lavorazioni oggetto di appalto (non si può subappaltare il 100% del contratto, sia che si tratti di lavori, forniture o servizi) nonché la prevalente esecuzione delle lavorazioni (riferito agli appalti di lavori) relative alla categoria prevalente e dei contratti ad alta intensità di manodopera. Vediamo come permangano, comunque, alcune limitazioni per la categoria prevalente nel caso di lavori e per i servizi se caratterizzati dalla presenza di manodopera superiore al 50%. </w:t>
      </w:r>
    </w:p>
    <w:p w14:paraId="42BDF109" w14:textId="25A885A7" w:rsidR="00C31FB7" w:rsidRPr="007B3803" w:rsidRDefault="00C31FB7" w:rsidP="00C31FB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 riferimento a contratti per l’acquisto di beni e di servizi, il comma 3 dell’art. 119 stabilisce che non configurano subappalto:</w:t>
      </w:r>
    </w:p>
    <w:p w14:paraId="7DB50E80" w14:textId="77777777" w:rsidR="00C31FB7" w:rsidRPr="007B3803" w:rsidRDefault="00C31FB7" w:rsidP="00D05ABB">
      <w:pPr>
        <w:pStyle w:val="Paragrafoelenco"/>
        <w:numPr>
          <w:ilvl w:val="0"/>
          <w:numId w:val="37"/>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L’affidamento di attività secondarie, accessorie o sussidiarie a lavoratori autonomi;</w:t>
      </w:r>
    </w:p>
    <w:p w14:paraId="25FA4ED2" w14:textId="77777777" w:rsidR="00C31FB7" w:rsidRPr="007B3803" w:rsidRDefault="00C31FB7" w:rsidP="00D05ABB">
      <w:pPr>
        <w:pStyle w:val="Paragrafoelenco"/>
        <w:numPr>
          <w:ilvl w:val="0"/>
          <w:numId w:val="37"/>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Subfornitura a catalogo di prodotti informatici; </w:t>
      </w:r>
    </w:p>
    <w:p w14:paraId="0EAE8DC2" w14:textId="77777777" w:rsidR="00C31FB7" w:rsidRPr="007B3803" w:rsidRDefault="00C31FB7" w:rsidP="00D05ABB">
      <w:pPr>
        <w:pStyle w:val="Paragrafoelenco"/>
        <w:numPr>
          <w:ilvl w:val="0"/>
          <w:numId w:val="37"/>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l’affidamento di servizi di importo inferiore a 20.000 euro annui a imprenditori agricoli nei comuni classificati totalmente montani di cui all’elenco dei comuni italiani predisposto dall’ISTAT, oppure ricompresi nella circolare del Ministero delle finanze n. 9 del 14 giugno 1993, nonché nei comuni delle isole minori di cui all’allegato A annesso alla legge 28 dicembre 2001, n. 448;</w:t>
      </w:r>
    </w:p>
    <w:p w14:paraId="5980F92E" w14:textId="77777777" w:rsidR="00C31FB7" w:rsidRPr="007B3803" w:rsidRDefault="00C31FB7" w:rsidP="00D05ABB">
      <w:pPr>
        <w:pStyle w:val="Paragrafoelenco"/>
        <w:numPr>
          <w:ilvl w:val="0"/>
          <w:numId w:val="37"/>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le prestazioni secondarie, accessorie o sussidiarie rese in favore dei soggetti affidatari in forza di contratti continuativi di cooperazione, servizio o fornitura sottoscritti in epoca precedente alla indizione della procedura di gara. </w:t>
      </w:r>
    </w:p>
    <w:p w14:paraId="7F6EC3C7" w14:textId="52C36554" w:rsidR="00D05ABB" w:rsidRPr="007B3803" w:rsidRDefault="00D05ABB" w:rsidP="00D05AB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Al subappaltatore è richiesto che sia qualificato per le lavorazioni da svolgere, o le </w:t>
      </w:r>
      <w:proofErr w:type="gramStart"/>
      <w:r w:rsidRPr="007B3803">
        <w:rPr>
          <w:rFonts w:ascii="Arial" w:eastAsia="Times New Roman" w:hAnsi="Arial" w:cs="Arial"/>
          <w:kern w:val="0"/>
          <w:sz w:val="24"/>
          <w:szCs w:val="24"/>
          <w:lang w:eastAsia="it-IT"/>
          <w14:ligatures w14:val="none"/>
        </w:rPr>
        <w:t>prestazioni ,</w:t>
      </w:r>
      <w:proofErr w:type="gramEnd"/>
      <w:r w:rsidRPr="007B3803">
        <w:rPr>
          <w:rFonts w:ascii="Arial" w:eastAsia="Times New Roman" w:hAnsi="Arial" w:cs="Arial"/>
          <w:kern w:val="0"/>
          <w:sz w:val="24"/>
          <w:szCs w:val="24"/>
          <w:lang w:eastAsia="it-IT"/>
          <w14:ligatures w14:val="none"/>
        </w:rPr>
        <w:t xml:space="preserve"> che non sia soggetto a cause di esclusione e che all’atto di offerta sia ben indicati i lavori, i servizi, o le forniture che si intendono appaltare </w:t>
      </w:r>
    </w:p>
    <w:p w14:paraId="6BDCF2FD" w14:textId="699098F0" w:rsidR="00EA3A5E" w:rsidRPr="007B3803" w:rsidRDefault="00D95483"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GARANZIA</w:t>
      </w:r>
    </w:p>
    <w:p w14:paraId="142A762B" w14:textId="77777777" w:rsidR="00D95483" w:rsidRPr="007B3803" w:rsidRDefault="00D95483" w:rsidP="00D95483">
      <w:pPr>
        <w:pStyle w:val="NormaleWeb"/>
        <w:spacing w:before="0" w:beforeAutospacing="0" w:after="0" w:afterAutospacing="0"/>
        <w:rPr>
          <w:rFonts w:ascii="Arial" w:hAnsi="Arial" w:cs="Arial"/>
        </w:rPr>
      </w:pPr>
      <w:r w:rsidRPr="007B3803">
        <w:rPr>
          <w:rFonts w:ascii="Arial" w:hAnsi="Arial" w:cs="Arial"/>
        </w:rPr>
        <w:t>Con riguardo a questi ultimi, di seguito si riportano le caratteristiche principali della disciplina dettata dal </w:t>
      </w:r>
      <w:r w:rsidRPr="007B3803">
        <w:rPr>
          <w:rFonts w:ascii="Arial" w:hAnsi="Arial" w:cs="Arial"/>
          <w:b/>
          <w:bCs/>
        </w:rPr>
        <w:t>nuovo art. 106</w:t>
      </w:r>
      <w:r w:rsidRPr="007B3803">
        <w:rPr>
          <w:rFonts w:ascii="Arial" w:hAnsi="Arial" w:cs="Arial"/>
        </w:rPr>
        <w:t>.</w:t>
      </w:r>
    </w:p>
    <w:p w14:paraId="3C040F9C" w14:textId="356D1434" w:rsidR="00D95483" w:rsidRPr="007B3803" w:rsidRDefault="00D95483" w:rsidP="00D95483">
      <w:pPr>
        <w:pStyle w:val="NormaleWeb"/>
        <w:spacing w:before="240" w:beforeAutospacing="0" w:after="0" w:afterAutospacing="0"/>
        <w:rPr>
          <w:rFonts w:ascii="Arial" w:hAnsi="Arial" w:cs="Arial"/>
        </w:rPr>
      </w:pPr>
      <w:r w:rsidRPr="007B3803">
        <w:rPr>
          <w:rFonts w:ascii="Arial" w:hAnsi="Arial" w:cs="Arial"/>
        </w:rPr>
        <w:t>La garanzia provvisoria (serve a garantire la stipulazione del contratto), calcolata in relazione al valore complessivo della procedura, può essere costituita sotto forma di cauzione oppure di fideiussione. Ai sensi dell’art. 106 c. 2, la </w:t>
      </w:r>
      <w:r w:rsidRPr="007B3803">
        <w:rPr>
          <w:rFonts w:ascii="Arial" w:hAnsi="Arial" w:cs="Arial"/>
          <w:b/>
          <w:bCs/>
        </w:rPr>
        <w:t>cauzione</w:t>
      </w:r>
      <w:r w:rsidRPr="007B3803">
        <w:rPr>
          <w:rFonts w:ascii="Arial" w:hAnsi="Arial" w:cs="Arial"/>
        </w:rPr>
        <w:t> è costituita, presso l’istituto incaricato del servizio di tesoreria o presso le aziende autorizzate, a titolo di pegno a favore della stazione appaltante, </w:t>
      </w:r>
      <w:r w:rsidRPr="007B3803">
        <w:rPr>
          <w:rFonts w:ascii="Arial" w:hAnsi="Arial" w:cs="Arial"/>
          <w:b/>
          <w:bCs/>
        </w:rPr>
        <w:t>esclusivamente con bonifico o con altri strumenti e canali di pagamento elettronici</w:t>
      </w:r>
      <w:r w:rsidRPr="007B3803">
        <w:rPr>
          <w:rFonts w:ascii="Arial" w:hAnsi="Arial" w:cs="Arial"/>
        </w:rPr>
        <w:t> previsti dall’ordinamento vigente. Si recepisce quindi quanto già previsto dalla legge 122/2022.</w:t>
      </w:r>
    </w:p>
    <w:p w14:paraId="02D7B229" w14:textId="77777777" w:rsidR="00D95483" w:rsidRPr="007B3803" w:rsidRDefault="00D95483" w:rsidP="00D95483">
      <w:pPr>
        <w:pStyle w:val="NormaleWeb"/>
        <w:spacing w:before="240" w:beforeAutospacing="0" w:after="0" w:afterAutospacing="0"/>
        <w:rPr>
          <w:rFonts w:ascii="Arial" w:hAnsi="Arial" w:cs="Arial"/>
        </w:rPr>
      </w:pPr>
      <w:r w:rsidRPr="007B3803">
        <w:rPr>
          <w:rFonts w:ascii="Arial" w:hAnsi="Arial" w:cs="Arial"/>
        </w:rPr>
        <w:lastRenderedPageBreak/>
        <w:t>Se costituita sotto forma di </w:t>
      </w:r>
      <w:r w:rsidRPr="007B3803">
        <w:rPr>
          <w:rFonts w:ascii="Arial" w:hAnsi="Arial" w:cs="Arial"/>
          <w:b/>
          <w:bCs/>
        </w:rPr>
        <w:t>fideiussione</w:t>
      </w:r>
      <w:r w:rsidRPr="007B3803">
        <w:rPr>
          <w:rFonts w:ascii="Arial" w:hAnsi="Arial" w:cs="Arial"/>
        </w:rPr>
        <w:t>, tale garanzia deve obbligatoriamente essere </w:t>
      </w:r>
      <w:r w:rsidRPr="007B3803">
        <w:rPr>
          <w:rFonts w:ascii="Arial" w:hAnsi="Arial" w:cs="Arial"/>
          <w:b/>
          <w:bCs/>
        </w:rPr>
        <w:t>emessa e firmata digitalmente</w:t>
      </w:r>
      <w:r w:rsidRPr="007B3803">
        <w:rPr>
          <w:rFonts w:ascii="Arial" w:hAnsi="Arial" w:cs="Arial"/>
        </w:rPr>
        <w:t>, nonché verificabile telematicamente presso l’emittente, ovvero gestita mediante ricorso alle piattaforme di cui all’art.106 c.3 del codice.</w:t>
      </w:r>
    </w:p>
    <w:p w14:paraId="27DA843F" w14:textId="77777777" w:rsidR="00D95483" w:rsidRPr="007B3803" w:rsidRDefault="00D95483" w:rsidP="00D95483">
      <w:pPr>
        <w:pStyle w:val="NormaleWeb"/>
        <w:spacing w:before="0" w:beforeAutospacing="0" w:after="0" w:afterAutospacing="0"/>
        <w:rPr>
          <w:rFonts w:ascii="Arial" w:hAnsi="Arial" w:cs="Arial"/>
        </w:rPr>
      </w:pPr>
      <w:r w:rsidRPr="007B3803">
        <w:rPr>
          <w:rFonts w:ascii="Arial" w:hAnsi="Arial" w:cs="Arial"/>
        </w:rPr>
        <w:t>La garanzia provvisoria dell’aggiudicatario è svincolata automaticamente al momento della stipula del contratto, mentre quella degli altri concorrenti è svincolata con il provvedimento di aggiudicazione e perde in ogni caso efficacia alla scadenza del termine di 30 (trenta) giorni dall’aggiudicazione stessa.</w:t>
      </w:r>
    </w:p>
    <w:p w14:paraId="55EF086C" w14:textId="6C1149D6" w:rsidR="00D95483" w:rsidRPr="007B3803" w:rsidRDefault="00D95483" w:rsidP="00D95483">
      <w:pPr>
        <w:shd w:val="clear" w:color="auto" w:fill="F4F4F4"/>
        <w:spacing w:after="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L’art. 53 del nuovo codice prevede che nelle procedure di </w:t>
      </w:r>
      <w:r w:rsidRPr="007B3803">
        <w:rPr>
          <w:rFonts w:ascii="Arial" w:eastAsia="Times New Roman" w:hAnsi="Arial" w:cs="Arial"/>
          <w:b/>
          <w:bCs/>
          <w:kern w:val="0"/>
          <w:sz w:val="24"/>
          <w:szCs w:val="24"/>
          <w:lang w:eastAsia="it-IT"/>
          <w14:ligatures w14:val="none"/>
        </w:rPr>
        <w:t xml:space="preserve">affidamento </w:t>
      </w:r>
      <w:proofErr w:type="gramStart"/>
      <w:r w:rsidRPr="007B3803">
        <w:rPr>
          <w:rFonts w:ascii="Arial" w:eastAsia="Times New Roman" w:hAnsi="Arial" w:cs="Arial"/>
          <w:b/>
          <w:bCs/>
          <w:kern w:val="0"/>
          <w:sz w:val="24"/>
          <w:szCs w:val="24"/>
          <w:lang w:eastAsia="it-IT"/>
          <w14:ligatures w14:val="none"/>
        </w:rPr>
        <w:t>sotto-soglia</w:t>
      </w:r>
      <w:proofErr w:type="gramEnd"/>
      <w:r w:rsidRPr="007B3803">
        <w:rPr>
          <w:rFonts w:ascii="Arial" w:eastAsia="Times New Roman" w:hAnsi="Arial" w:cs="Arial"/>
          <w:kern w:val="0"/>
          <w:sz w:val="24"/>
          <w:szCs w:val="24"/>
          <w:lang w:eastAsia="it-IT"/>
          <w14:ligatures w14:val="none"/>
        </w:rPr>
        <w:t> </w:t>
      </w:r>
      <w:r w:rsidRPr="007B3803">
        <w:rPr>
          <w:rFonts w:ascii="Arial" w:eastAsia="Times New Roman" w:hAnsi="Arial" w:cs="Arial"/>
          <w:b/>
          <w:bCs/>
          <w:kern w:val="0"/>
          <w:sz w:val="24"/>
          <w:szCs w:val="24"/>
          <w:lang w:eastAsia="it-IT"/>
          <w14:ligatures w14:val="none"/>
        </w:rPr>
        <w:t>di cui all’art. 50 c.1</w:t>
      </w:r>
      <w:r w:rsidRPr="007B3803">
        <w:rPr>
          <w:rFonts w:ascii="Arial" w:eastAsia="Times New Roman" w:hAnsi="Arial" w:cs="Arial"/>
          <w:kern w:val="0"/>
          <w:sz w:val="24"/>
          <w:szCs w:val="24"/>
          <w:lang w:eastAsia="it-IT"/>
          <w14:ligatures w14:val="none"/>
        </w:rPr>
        <w:t>, la stazione appaltante non richiede al concorrente la garanzia a corredo dell’offerta (c.d. </w:t>
      </w:r>
      <w:r w:rsidRPr="007B3803">
        <w:rPr>
          <w:rFonts w:ascii="Arial" w:eastAsia="Times New Roman" w:hAnsi="Arial" w:cs="Arial"/>
          <w:b/>
          <w:bCs/>
          <w:kern w:val="0"/>
          <w:sz w:val="24"/>
          <w:szCs w:val="24"/>
          <w:lang w:eastAsia="it-IT"/>
          <w14:ligatures w14:val="none"/>
        </w:rPr>
        <w:t>garanzia provvisoria</w:t>
      </w:r>
      <w:r w:rsidRPr="007B3803">
        <w:rPr>
          <w:rFonts w:ascii="Arial" w:eastAsia="Times New Roman" w:hAnsi="Arial" w:cs="Arial"/>
          <w:kern w:val="0"/>
          <w:sz w:val="24"/>
          <w:szCs w:val="24"/>
          <w:lang w:eastAsia="it-IT"/>
          <w14:ligatures w14:val="none"/>
        </w:rPr>
        <w:t>). In deroga a quanto previsto, lo stesso art. 53 c.1 fa salva la possibilità, in caso di procedure negoziate, di richiedere la garanzia provvisoria alle seguenti condizioni:</w:t>
      </w:r>
    </w:p>
    <w:p w14:paraId="4E22E89B" w14:textId="77777777" w:rsidR="00D95483" w:rsidRPr="007B3803" w:rsidRDefault="00D95483" w:rsidP="00D95483">
      <w:pPr>
        <w:numPr>
          <w:ilvl w:val="0"/>
          <w:numId w:val="32"/>
        </w:numPr>
        <w:shd w:val="clear" w:color="auto" w:fill="F4F4F4"/>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richiesta deve essere giustificata dalla tipologia e specificità della singola procedura;</w:t>
      </w:r>
    </w:p>
    <w:p w14:paraId="2C426631" w14:textId="77777777" w:rsidR="00D95483" w:rsidRPr="007B3803" w:rsidRDefault="00D95483" w:rsidP="00D95483">
      <w:pPr>
        <w:numPr>
          <w:ilvl w:val="0"/>
          <w:numId w:val="32"/>
        </w:numPr>
        <w:shd w:val="clear" w:color="auto" w:fill="F4F4F4"/>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particolari esigenze devono essere indicate nella decisione a contrarre, nell’avviso di indizione della procedura oppure in altro atto equivalente;</w:t>
      </w:r>
    </w:p>
    <w:p w14:paraId="0A571E27" w14:textId="77777777" w:rsidR="00D95483" w:rsidRPr="007B3803" w:rsidRDefault="00D95483" w:rsidP="00D95483">
      <w:pPr>
        <w:numPr>
          <w:ilvl w:val="0"/>
          <w:numId w:val="32"/>
        </w:numPr>
        <w:shd w:val="clear" w:color="auto" w:fill="F4F4F4"/>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relativo ammontare deve essere al massimo pari all’1% dell’importo previsto nell’avviso o nell’invito per il contratto oggetto di affidamento. In questi casi, la garanzia provvisoria è costituita nelle medesime modalità che l’art. 106 prescrive per gli affidamenti sopra-soglia.</w:t>
      </w:r>
    </w:p>
    <w:p w14:paraId="2AFB5719" w14:textId="54532E42" w:rsidR="00D95483" w:rsidRPr="007B3803" w:rsidRDefault="00D95483" w:rsidP="00D95483">
      <w:pPr>
        <w:shd w:val="clear" w:color="auto" w:fill="FFFFFF"/>
        <w:spacing w:after="0" w:line="720" w:lineRule="atLeast"/>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Anche per quanto attiene la </w:t>
      </w:r>
      <w:r w:rsidRPr="007B3803">
        <w:rPr>
          <w:rFonts w:ascii="Arial" w:eastAsia="Times New Roman" w:hAnsi="Arial" w:cs="Arial"/>
          <w:b/>
          <w:bCs/>
          <w:kern w:val="0"/>
          <w:sz w:val="24"/>
          <w:szCs w:val="24"/>
          <w:lang w:eastAsia="it-IT"/>
          <w14:ligatures w14:val="none"/>
        </w:rPr>
        <w:t xml:space="preserve">garanzia </w:t>
      </w:r>
      <w:proofErr w:type="gramStart"/>
      <w:r w:rsidRPr="007B3803">
        <w:rPr>
          <w:rFonts w:ascii="Arial" w:eastAsia="Times New Roman" w:hAnsi="Arial" w:cs="Arial"/>
          <w:b/>
          <w:bCs/>
          <w:kern w:val="0"/>
          <w:sz w:val="24"/>
          <w:szCs w:val="24"/>
          <w:lang w:eastAsia="it-IT"/>
          <w14:ligatures w14:val="none"/>
        </w:rPr>
        <w:t>definitiva</w:t>
      </w:r>
      <w:r w:rsidRPr="007B3803">
        <w:rPr>
          <w:rFonts w:ascii="Arial" w:eastAsia="Times New Roman" w:hAnsi="Arial" w:cs="Arial"/>
          <w:kern w:val="0"/>
          <w:sz w:val="24"/>
          <w:szCs w:val="24"/>
          <w:lang w:eastAsia="it-IT"/>
          <w14:ligatures w14:val="none"/>
        </w:rPr>
        <w:t>  (</w:t>
      </w:r>
      <w:proofErr w:type="gramEnd"/>
      <w:r w:rsidRPr="007B3803">
        <w:rPr>
          <w:rFonts w:ascii="Arial" w:eastAsia="Times New Roman" w:hAnsi="Arial" w:cs="Arial"/>
          <w:kern w:val="0"/>
          <w:sz w:val="24"/>
          <w:szCs w:val="24"/>
          <w:lang w:eastAsia="it-IT"/>
          <w14:ligatures w14:val="none"/>
        </w:rPr>
        <w:t xml:space="preserve">serve a garantire </w:t>
      </w:r>
      <w:proofErr w:type="gramStart"/>
      <w:r w:rsidRPr="007B3803">
        <w:rPr>
          <w:rFonts w:ascii="Arial" w:eastAsia="Times New Roman" w:hAnsi="Arial" w:cs="Arial"/>
          <w:kern w:val="0"/>
          <w:sz w:val="24"/>
          <w:szCs w:val="24"/>
          <w:lang w:eastAsia="it-IT"/>
          <w14:ligatures w14:val="none"/>
        </w:rPr>
        <w:t>l’esecuzione)il</w:t>
      </w:r>
      <w:proofErr w:type="gramEnd"/>
      <w:r w:rsidRPr="007B3803">
        <w:rPr>
          <w:rFonts w:ascii="Arial" w:eastAsia="Times New Roman" w:hAnsi="Arial" w:cs="Arial"/>
          <w:kern w:val="0"/>
          <w:sz w:val="24"/>
          <w:szCs w:val="24"/>
          <w:lang w:eastAsia="it-IT"/>
          <w14:ligatures w14:val="none"/>
        </w:rPr>
        <w:t xml:space="preserve"> nuovo codice prevede due discipline diverse a seconda del tipo di procedura.</w:t>
      </w:r>
    </w:p>
    <w:p w14:paraId="07492251" w14:textId="77777777" w:rsidR="00D95483" w:rsidRPr="007B3803" w:rsidRDefault="00D95483" w:rsidP="00D95483">
      <w:pPr>
        <w:shd w:val="clear" w:color="auto" w:fill="FFFFFF"/>
        <w:spacing w:after="0" w:line="0" w:lineRule="auto"/>
        <w:jc w:val="right"/>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w:t>
      </w:r>
    </w:p>
    <w:p w14:paraId="1BB634CD" w14:textId="77777777" w:rsidR="00D95483" w:rsidRPr="007B3803" w:rsidRDefault="00D95483" w:rsidP="00D95483">
      <w:pPr>
        <w:spacing w:after="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 particolare, per gli </w:t>
      </w:r>
      <w:r w:rsidRPr="007B3803">
        <w:rPr>
          <w:rFonts w:ascii="Arial" w:eastAsia="Times New Roman" w:hAnsi="Arial" w:cs="Arial"/>
          <w:b/>
          <w:bCs/>
          <w:kern w:val="0"/>
          <w:sz w:val="24"/>
          <w:szCs w:val="24"/>
          <w:lang w:eastAsia="it-IT"/>
          <w14:ligatures w14:val="none"/>
        </w:rPr>
        <w:t xml:space="preserve">appalti </w:t>
      </w:r>
      <w:proofErr w:type="gramStart"/>
      <w:r w:rsidRPr="007B3803">
        <w:rPr>
          <w:rFonts w:ascii="Arial" w:eastAsia="Times New Roman" w:hAnsi="Arial" w:cs="Arial"/>
          <w:b/>
          <w:bCs/>
          <w:kern w:val="0"/>
          <w:sz w:val="24"/>
          <w:szCs w:val="24"/>
          <w:lang w:eastAsia="it-IT"/>
          <w14:ligatures w14:val="none"/>
        </w:rPr>
        <w:t>sotto-soglia</w:t>
      </w:r>
      <w:proofErr w:type="gramEnd"/>
      <w:r w:rsidRPr="007B3803">
        <w:rPr>
          <w:rFonts w:ascii="Arial" w:eastAsia="Times New Roman" w:hAnsi="Arial" w:cs="Arial"/>
          <w:kern w:val="0"/>
          <w:sz w:val="24"/>
          <w:szCs w:val="24"/>
          <w:lang w:eastAsia="it-IT"/>
          <w14:ligatures w14:val="none"/>
        </w:rPr>
        <w:t>, l’art. 53 c.4 prevede che:</w:t>
      </w:r>
    </w:p>
    <w:p w14:paraId="381458DE" w14:textId="77777777" w:rsidR="00D95483" w:rsidRPr="007B3803" w:rsidRDefault="00D95483" w:rsidP="00D95483">
      <w:pPr>
        <w:numPr>
          <w:ilvl w:val="0"/>
          <w:numId w:val="33"/>
        </w:numPr>
        <w:spacing w:before="100" w:beforeAutospacing="1" w:after="100" w:afterAutospacing="1" w:line="240" w:lineRule="auto"/>
        <w:ind w:left="360"/>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garanzia definitiva è pari al 5% dell’importo contrattuale;</w:t>
      </w:r>
    </w:p>
    <w:p w14:paraId="7FA1FF8E" w14:textId="77777777" w:rsidR="00D95483" w:rsidRPr="007B3803" w:rsidRDefault="00D95483" w:rsidP="00D95483">
      <w:pPr>
        <w:numPr>
          <w:ilvl w:val="0"/>
          <w:numId w:val="33"/>
        </w:numPr>
        <w:spacing w:before="100" w:beforeAutospacing="1" w:after="100" w:afterAutospacing="1" w:line="240" w:lineRule="auto"/>
        <w:ind w:left="360"/>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la stazione appaltante può non richiedere la garanzia definitiva, anche in caso di affidamenti </w:t>
      </w:r>
      <w:proofErr w:type="gramStart"/>
      <w:r w:rsidRPr="007B3803">
        <w:rPr>
          <w:rFonts w:ascii="Arial" w:eastAsia="Times New Roman" w:hAnsi="Arial" w:cs="Arial"/>
          <w:kern w:val="0"/>
          <w:sz w:val="24"/>
          <w:szCs w:val="24"/>
          <w:lang w:eastAsia="it-IT"/>
          <w14:ligatures w14:val="none"/>
        </w:rPr>
        <w:t>sotto-soglia</w:t>
      </w:r>
      <w:proofErr w:type="gramEnd"/>
      <w:r w:rsidRPr="007B3803">
        <w:rPr>
          <w:rFonts w:ascii="Arial" w:eastAsia="Times New Roman" w:hAnsi="Arial" w:cs="Arial"/>
          <w:kern w:val="0"/>
          <w:sz w:val="24"/>
          <w:szCs w:val="24"/>
          <w:lang w:eastAsia="it-IT"/>
          <w14:ligatures w14:val="none"/>
        </w:rPr>
        <w:t xml:space="preserve"> in Accordo Quadro, previa debita motivazione.</w:t>
      </w:r>
    </w:p>
    <w:p w14:paraId="04D5F2A9" w14:textId="77777777" w:rsidR="00D95483" w:rsidRPr="007B3803" w:rsidRDefault="00D95483" w:rsidP="00D95483">
      <w:pPr>
        <w:spacing w:after="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attiene invece agli appalti </w:t>
      </w:r>
      <w:r w:rsidRPr="007B3803">
        <w:rPr>
          <w:rFonts w:ascii="Arial" w:eastAsia="Times New Roman" w:hAnsi="Arial" w:cs="Arial"/>
          <w:b/>
          <w:bCs/>
          <w:kern w:val="0"/>
          <w:sz w:val="24"/>
          <w:szCs w:val="24"/>
          <w:lang w:eastAsia="it-IT"/>
          <w14:ligatures w14:val="none"/>
        </w:rPr>
        <w:t>sopra-soglia</w:t>
      </w:r>
      <w:r w:rsidRPr="007B3803">
        <w:rPr>
          <w:rFonts w:ascii="Arial" w:eastAsia="Times New Roman" w:hAnsi="Arial" w:cs="Arial"/>
          <w:kern w:val="0"/>
          <w:sz w:val="24"/>
          <w:szCs w:val="24"/>
          <w:lang w:eastAsia="it-IT"/>
          <w14:ligatures w14:val="none"/>
        </w:rPr>
        <w:t>, l’art. 117 del nuovo codice introduce le seguenti principali novità:</w:t>
      </w:r>
    </w:p>
    <w:p w14:paraId="1ECAEB7A" w14:textId="77777777" w:rsidR="00D95483" w:rsidRPr="007B3803" w:rsidRDefault="00D95483" w:rsidP="00D95483">
      <w:pPr>
        <w:numPr>
          <w:ilvl w:val="0"/>
          <w:numId w:val="34"/>
        </w:numPr>
        <w:spacing w:before="100" w:beforeAutospacing="1" w:after="100" w:afterAutospacing="1" w:line="240" w:lineRule="auto"/>
        <w:ind w:left="360"/>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nelle procedure ad oggetto Accordi Quadro l’importo della garanzia definitiva non può superare il 2% del valore dell’Accordo Quadro stesso;</w:t>
      </w:r>
    </w:p>
    <w:p w14:paraId="69B875FE" w14:textId="77777777" w:rsidR="00D95483" w:rsidRPr="007B3803" w:rsidRDefault="00D95483" w:rsidP="00D95483">
      <w:pPr>
        <w:numPr>
          <w:ilvl w:val="0"/>
          <w:numId w:val="34"/>
        </w:numPr>
        <w:spacing w:before="100" w:beforeAutospacing="1" w:after="100" w:afterAutospacing="1" w:line="240" w:lineRule="auto"/>
        <w:ind w:left="360"/>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negli appalti di lavori l’aggiudicatario può richiedere – prima della stipulazione del contratto -di sostituire la garanzia definitiva con l’applicazione di una ritenuta a valere sugli stati di avanzamento pari al 10 % degli stessi; </w:t>
      </w:r>
      <w:proofErr w:type="gramStart"/>
      <w:r w:rsidRPr="007B3803">
        <w:rPr>
          <w:rFonts w:ascii="Arial" w:eastAsia="Times New Roman" w:hAnsi="Arial" w:cs="Arial"/>
          <w:kern w:val="0"/>
          <w:sz w:val="24"/>
          <w:szCs w:val="24"/>
          <w:lang w:eastAsia="it-IT"/>
          <w14:ligatures w14:val="none"/>
        </w:rPr>
        <w:t>tuttavia</w:t>
      </w:r>
      <w:proofErr w:type="gramEnd"/>
      <w:r w:rsidRPr="007B3803">
        <w:rPr>
          <w:rFonts w:ascii="Arial" w:eastAsia="Times New Roman" w:hAnsi="Arial" w:cs="Arial"/>
          <w:kern w:val="0"/>
          <w:sz w:val="24"/>
          <w:szCs w:val="24"/>
          <w:lang w:eastAsia="it-IT"/>
          <w14:ligatures w14:val="none"/>
        </w:rPr>
        <w:t xml:space="preserve"> per motivate ragioni la stazione appaltante può opporsi a tale richiesta.</w:t>
      </w:r>
    </w:p>
    <w:p w14:paraId="6819F229" w14:textId="17F88EF8" w:rsidR="00EA3A5E" w:rsidRPr="007B3803" w:rsidRDefault="00EA3A5E" w:rsidP="005A6B16">
      <w:pPr>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ESECUZIONE</w:t>
      </w:r>
      <w:r w:rsidR="005A6B16" w:rsidRPr="007B3803">
        <w:rPr>
          <w:rFonts w:ascii="Arial" w:eastAsia="Times New Roman" w:hAnsi="Arial" w:cs="Arial"/>
          <w:kern w:val="0"/>
          <w:sz w:val="24"/>
          <w:szCs w:val="24"/>
          <w:lang w:eastAsia="it-IT"/>
          <w14:ligatures w14:val="none"/>
        </w:rPr>
        <w:t xml:space="preserve"> </w:t>
      </w:r>
    </w:p>
    <w:p w14:paraId="16B465C6"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Il contratto di appalto è un contratto con il quale una parte, detta committente, incarica un’altra, l’appaltatore, per l’esecuzione di un’opera dietro corrispettivo. Sull’appaltatore ricadono il rischio e il compito di organizzare i mezzi necessari per l’adempimento. Salvo che non sia disposto diversamente, l’appaltatore non può dare l’esecuzione dell’opera in subappalto.</w:t>
      </w:r>
    </w:p>
    <w:p w14:paraId="21B10924" w14:textId="690974AE"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lastRenderedPageBreak/>
        <w:t>I mezzi necessari per eseguire l’opera devono essere forniti dall’appaltatore, tranne che non sia stabilito diversamente dal contratto o che sia previsto altrimenti dalle convenzioni o dagli usi.</w:t>
      </w:r>
    </w:p>
    <w:p w14:paraId="7FE11722" w14:textId="3D488E93" w:rsidR="00EA3A5E" w:rsidRPr="007B3803" w:rsidRDefault="00EA3A5E" w:rsidP="00366599">
      <w:pPr>
        <w:pStyle w:val="NormaleWeb"/>
        <w:shd w:val="clear" w:color="auto" w:fill="FFFFFF"/>
        <w:spacing w:before="0" w:beforeAutospacing="0" w:after="360" w:afterAutospacing="0"/>
        <w:rPr>
          <w:rFonts w:ascii="Arial" w:hAnsi="Arial" w:cs="Arial"/>
        </w:rPr>
      </w:pPr>
      <w:r w:rsidRPr="007B3803">
        <w:rPr>
          <w:rFonts w:ascii="Arial" w:hAnsi="Arial" w:cs="Arial"/>
        </w:rPr>
        <w:t xml:space="preserve">L’appaltatore non può apportare variazioni al modo in cui l’opera viene eseguita, tranne che non sia stato autorizzato dal committente e in modo scritto. </w:t>
      </w:r>
    </w:p>
    <w:p w14:paraId="794169F6" w14:textId="23927AB1"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Il committente ha diritto di controllare l’esecuzione dei lavori a proprie spese e, se accerta che lo svolgimento non procede nelle condizioni stipulate, ha diritto di fissare un congruo termine entro il quale l’appaltatore dovrà adeguarsi, superato il quale infruttuosamente il contratto può essere risolto, fermo restando che il committente mantiene il diritto al risarcimento del danno.</w:t>
      </w:r>
    </w:p>
    <w:p w14:paraId="5D8AF0E3" w14:textId="4579913F" w:rsidR="00EA3A5E"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 xml:space="preserve">Se per l’avvenimento di circostanze imprevedibili si verificano variazioni nel costo dei materiali o della mano d’opera, i quali incidono per oltre un decimo del prezzo globalmente convenuto, l’appaltatore o il committente possono chiedere la revisione del prezzo concordato. </w:t>
      </w:r>
    </w:p>
    <w:p w14:paraId="29AFB21F" w14:textId="77777777" w:rsidR="00366599" w:rsidRDefault="00EA3A5E" w:rsidP="00366599">
      <w:pPr>
        <w:pStyle w:val="NormaleWeb"/>
        <w:shd w:val="clear" w:color="auto" w:fill="FFFFFF"/>
        <w:spacing w:before="0" w:beforeAutospacing="0" w:after="360" w:afterAutospacing="0"/>
        <w:rPr>
          <w:rFonts w:ascii="Arial" w:hAnsi="Arial" w:cs="Arial"/>
        </w:rPr>
      </w:pPr>
      <w:r w:rsidRPr="007B3803">
        <w:rPr>
          <w:rFonts w:ascii="Arial" w:hAnsi="Arial" w:cs="Arial"/>
        </w:rPr>
        <w:t>Prima della consegna dei lavori, il committente ha il diritto di verificare l’opera. La verifica deve essere eseguita dal committente non appena l’appaltatore lo mette nelle condizioni di farlo</w:t>
      </w:r>
    </w:p>
    <w:p w14:paraId="157CC34C" w14:textId="24F01704" w:rsidR="00EA3A5E" w:rsidRPr="007B3803" w:rsidRDefault="00DC3176" w:rsidP="00366599">
      <w:pPr>
        <w:pStyle w:val="NormaleWeb"/>
        <w:shd w:val="clear" w:color="auto" w:fill="FFFFFF"/>
        <w:spacing w:before="0" w:beforeAutospacing="0" w:after="360" w:afterAutospacing="0"/>
        <w:rPr>
          <w:rFonts w:ascii="Arial" w:hAnsi="Arial" w:cs="Arial"/>
        </w:rPr>
      </w:pPr>
      <w:r w:rsidRPr="007B3803">
        <w:rPr>
          <w:rFonts w:ascii="Arial" w:hAnsi="Arial" w:cs="Arial"/>
        </w:rPr>
        <w:t>COLLAUDO E VERIFICA DI CONFORMITA’</w:t>
      </w:r>
    </w:p>
    <w:p w14:paraId="5638AA8C"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contratti sono soggetti a collaudo per i lavori e a verifica di conformità per i servizi e per le forniture per certificare il rispetto delle caratteristiche tecniche, economiche e qualitative dei lavori e delle prestazioni, nonché degli obiettivi e dei tempi, in conformità delle previsioni e pattuizioni contrattuali.</w:t>
      </w:r>
    </w:p>
    <w:p w14:paraId="38EF4CCC" w14:textId="5451158B"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Entrambi devono essere completati non oltre sei mesi dall’ultimazione dei lavori o delle prestazioni, salvi i casi, di particolare complessità, per i quali il termine può essere elevato sino ad un anno. </w:t>
      </w:r>
    </w:p>
    <w:p w14:paraId="56F39DD1" w14:textId="02D177D8"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certificato di collaudo ha carattere provvisorio e assume carattere definitivo dopo due anni dalla sua emissione. Decorso tale termine, il collaudo si intende tacitamente approvato ancorché l’atto formale di approvazione non sia stato emesso entro due mesi dalla scadenza del medesimo termine.</w:t>
      </w:r>
    </w:p>
    <w:p w14:paraId="4C065208" w14:textId="2746A438"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Salvo quanto disposto dall’articolo 1669 del </w:t>
      </w:r>
      <w:proofErr w:type="gramStart"/>
      <w:r w:rsidRPr="007B3803">
        <w:rPr>
          <w:rFonts w:ascii="Arial" w:eastAsia="Times New Roman" w:hAnsi="Arial" w:cs="Arial"/>
          <w:kern w:val="0"/>
          <w:sz w:val="24"/>
          <w:szCs w:val="24"/>
          <w:lang w:eastAsia="it-IT"/>
          <w14:ligatures w14:val="none"/>
        </w:rPr>
        <w:t>codice civile</w:t>
      </w:r>
      <w:proofErr w:type="gramEnd"/>
      <w:r w:rsidRPr="007B3803">
        <w:rPr>
          <w:rFonts w:ascii="Arial" w:eastAsia="Times New Roman" w:hAnsi="Arial" w:cs="Arial"/>
          <w:kern w:val="0"/>
          <w:sz w:val="24"/>
          <w:szCs w:val="24"/>
          <w:lang w:eastAsia="it-IT"/>
          <w14:ligatures w14:val="none"/>
        </w:rPr>
        <w:t>, l’appaltatore risponde per la difformità e i vizi dell’opera, ancorché riconoscibili, purché denunciati dalla stazione appaltante prima che il certificato di collaudo assuma carattere definitivo.</w:t>
      </w:r>
    </w:p>
    <w:p w14:paraId="1E919122" w14:textId="694E0A14"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Per i contratti di servizi e forniture la verifica di conformità è effettuata dal RUP o, se nominato, dal direttore dell’esecuzione. Per servizi e forniture caratterizzati da elevato contenuto tecnologico oppure da elevata complessità o innovazione, le stazioni appaltanti possono prevedere la nomina di uno o più verificatori della conformità diversi dal RUP o dal direttore dell’esecuzione del contratto. </w:t>
      </w:r>
    </w:p>
    <w:p w14:paraId="4017E37F" w14:textId="77777777" w:rsidR="00366599" w:rsidRDefault="00366599"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p>
    <w:p w14:paraId="461EB75F" w14:textId="7C64BF9D" w:rsidR="00B50687" w:rsidRDefault="000442C0"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lastRenderedPageBreak/>
        <w:t>REQUISITI DI PARTECIPAZIONE GENERALI</w:t>
      </w:r>
    </w:p>
    <w:p w14:paraId="7FCE135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seguito dell’entrata in vigore del d. lgs. n. 36/23, gli operatori economici, al fine della partecipazione ad una procedura di selezione per l’affidamento di contratti pubblici, devono dimostrare di essere in possesso di precisi requisiti, idonei a comprovare il possesso di moralità adeguata (requisiti generali).</w:t>
      </w:r>
    </w:p>
    <w:p w14:paraId="29C9754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I requisiti di prescritti dalla legge devono essere posseduti dai candidati non solo alla data di scadenza del termine per la presentazione della richiesta di partecipazione alla procedura di affidamento, ma anche per tutta la durata della procedura, fino all’aggiudicazione definitiva ed alla stipula del contratto, nonché per tutto il periodo di esecuzione del contratto, senza soluzione di continuità.</w:t>
      </w:r>
    </w:p>
    <w:p w14:paraId="3ED7A0B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Il nuovo Codice. a differenza del Codice abrogato, che prevedeva una disciplina </w:t>
      </w:r>
      <w:proofErr w:type="gramStart"/>
      <w:r w:rsidRPr="00B50687">
        <w:rPr>
          <w:rFonts w:ascii="Arial" w:eastAsia="Times New Roman" w:hAnsi="Arial" w:cs="Arial"/>
          <w:kern w:val="0"/>
          <w:sz w:val="24"/>
          <w:szCs w:val="24"/>
          <w:lang w:eastAsia="it-IT"/>
          <w14:ligatures w14:val="none"/>
        </w:rPr>
        <w:t>molto  scarna</w:t>
      </w:r>
      <w:proofErr w:type="gramEnd"/>
      <w:r w:rsidRPr="00B50687">
        <w:rPr>
          <w:rFonts w:ascii="Arial" w:eastAsia="Times New Roman" w:hAnsi="Arial" w:cs="Arial"/>
          <w:kern w:val="0"/>
          <w:sz w:val="24"/>
          <w:szCs w:val="24"/>
          <w:lang w:eastAsia="it-IT"/>
          <w14:ligatures w14:val="none"/>
        </w:rPr>
        <w:t xml:space="preserve"> al riguardo, regolamenta i requisiti generali in maniera più ampia e articolata, attraverso i seguenti articoli:</w:t>
      </w:r>
    </w:p>
    <w:p w14:paraId="3B207ED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94 - Cause di esclusione “automatica”;</w:t>
      </w:r>
    </w:p>
    <w:p w14:paraId="004CB1B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95 - Cause di esclusione “non automatica”;</w:t>
      </w:r>
    </w:p>
    <w:p w14:paraId="3223B03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96 - Disciplina dell’esclusione;</w:t>
      </w:r>
    </w:p>
    <w:p w14:paraId="2E53354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97 – Cause di esclusione di partecipanti a raggruppamenti;</w:t>
      </w:r>
    </w:p>
    <w:p w14:paraId="2E2B647C"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98 - Illecito professionale grave.</w:t>
      </w:r>
    </w:p>
    <w:p w14:paraId="0EB25AC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Cause di esclusione “automatiche” (art. 94)</w:t>
      </w:r>
    </w:p>
    <w:p w14:paraId="400D444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L’art. 94 disciplina le cause di esclusione “automatiche”, cioè quelle che impongono all’Amministrazione l’esclusione del partecipante, all’esito del mero accertamento del fatto previsto dalla norma.</w:t>
      </w:r>
    </w:p>
    <w:p w14:paraId="2AC6A3C8"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Fra gli eventi rilevanti (commi 1-4), rientra, in estrema sintesi, una serie di reati penali di una certa gravità (es. Associazione a delinquere di stampo mafioso, contrabbando, corruzione, concussione, etc.), rispetto ai quali non c’è alcuna discrezionalità circa l’esclusione – o meno – dell’operatore economico.</w:t>
      </w:r>
    </w:p>
    <w:p w14:paraId="13B00DEC"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Per i reati sopra elencati, con una innovazione rispetto alla norma previgente, il nuovo Codice prevede che il patteggiamento non impedisca più la partecipazione ad una gara pubblica e non costituisca causa di esclusione dalla medesima.</w:t>
      </w:r>
    </w:p>
    <w:p w14:paraId="40F83EE0"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Un’ulteriore novità è rappresentata dall’eliminazione di ogni riferimento ai soggetti c.d. “cessati” dalla carica.</w:t>
      </w:r>
    </w:p>
    <w:p w14:paraId="67A5721E"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Nel caso in cui il socio sia una persona giuridica l’esclusione va disposta se la sentenza o il decreto ovvero la misura interdittiva sono stati emessi nei confronti degli amministratori di quest’ultima.</w:t>
      </w:r>
    </w:p>
    <w:p w14:paraId="42C24674" w14:textId="508F5D42"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lastRenderedPageBreak/>
        <w:t xml:space="preserve">L’art. 94, al comma 3, lett. f), inserisce poi, tra i nuovi soggetti nei cui confronti viene effettuato l’accertamento, anche il c.d. “amministratore di fatto”, allargando il campo di indagine in </w:t>
      </w:r>
      <w:proofErr w:type="spellStart"/>
      <w:r>
        <w:rPr>
          <w:rFonts w:ascii="Arial" w:eastAsia="Times New Roman" w:hAnsi="Arial" w:cs="Arial"/>
          <w:kern w:val="0"/>
          <w:sz w:val="24"/>
          <w:szCs w:val="24"/>
          <w:lang w:eastAsia="it-IT"/>
          <w14:ligatures w14:val="none"/>
        </w:rPr>
        <w:t>MA</w:t>
      </w:r>
      <w:r w:rsidRPr="00B50687">
        <w:rPr>
          <w:rFonts w:ascii="Arial" w:eastAsia="Times New Roman" w:hAnsi="Arial" w:cs="Arial"/>
          <w:kern w:val="0"/>
          <w:sz w:val="24"/>
          <w:szCs w:val="24"/>
          <w:lang w:eastAsia="it-IT"/>
          <w14:ligatures w14:val="none"/>
        </w:rPr>
        <w:t>niera</w:t>
      </w:r>
      <w:proofErr w:type="spellEnd"/>
      <w:r w:rsidRPr="00B50687">
        <w:rPr>
          <w:rFonts w:ascii="Arial" w:eastAsia="Times New Roman" w:hAnsi="Arial" w:cs="Arial"/>
          <w:kern w:val="0"/>
          <w:sz w:val="24"/>
          <w:szCs w:val="24"/>
          <w:lang w:eastAsia="it-IT"/>
          <w14:ligatures w14:val="none"/>
        </w:rPr>
        <w:t xml:space="preserve"> non facilmente determinata o determinabile.</w:t>
      </w:r>
    </w:p>
    <w:p w14:paraId="37D31AA2"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Cause di esclusione “non automatiche” (art. 95)</w:t>
      </w:r>
    </w:p>
    <w:p w14:paraId="47004F40"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L’art. 95 del nuovo Codice disciplina le cause di esclusione “non automatiche”. Tale dicitura trae spunto dalla giurisprudenza amministrativa (cfr. Consiglio di Stato ad. </w:t>
      </w:r>
      <w:proofErr w:type="spellStart"/>
      <w:r w:rsidRPr="00B50687">
        <w:rPr>
          <w:rFonts w:ascii="Arial" w:eastAsia="Times New Roman" w:hAnsi="Arial" w:cs="Arial"/>
          <w:kern w:val="0"/>
          <w:sz w:val="24"/>
          <w:szCs w:val="24"/>
          <w:lang w:eastAsia="it-IT"/>
          <w14:ligatures w14:val="none"/>
        </w:rPr>
        <w:t>plen</w:t>
      </w:r>
      <w:proofErr w:type="spellEnd"/>
      <w:r w:rsidRPr="00B50687">
        <w:rPr>
          <w:rFonts w:ascii="Arial" w:eastAsia="Times New Roman" w:hAnsi="Arial" w:cs="Arial"/>
          <w:kern w:val="0"/>
          <w:sz w:val="24"/>
          <w:szCs w:val="24"/>
          <w:lang w:eastAsia="it-IT"/>
          <w14:ligatures w14:val="none"/>
        </w:rPr>
        <w:t>., 27 maggio 2021, n. 9) In precedenza, tali cause di esclusione erano normate dal comma 5 dell’art. 80 del d.lgs. n. 50/2016.</w:t>
      </w:r>
    </w:p>
    <w:p w14:paraId="6CA746AF"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La stazione appaltante esclude dalla partecipazione alla procedura un operatore economico qualora accerti:</w:t>
      </w:r>
    </w:p>
    <w:p w14:paraId="75985A9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sussistere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14:paraId="1934257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b) che la partecipazione dell'operatore economico determini una situazione di conflitto di interesse di cui all’articolo 16 non diversamente risolvibile;</w:t>
      </w:r>
    </w:p>
    <w:p w14:paraId="6190E1C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 sussistere una distorsione della concorrenza derivante dal precedente coinvolgimento degli operatori economici nella preparazione della procedura d'appalto che non possa essere risolta con misure meno intrusive;</w:t>
      </w:r>
    </w:p>
    <w:p w14:paraId="684D277D"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d) sussistere rilevanti indizi tali da far ritenere che le offerte degli operatori economici siano imputabili ad un unico centro decisionale a cagione di accordi intercorsi con altri operatori economici partecipanti alla stessa gara;</w:t>
      </w:r>
    </w:p>
    <w:p w14:paraId="72F0DC45"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e) che l’offerente abbia commesso un illecito professionale grave, tale da rendere dubbia la sua integrità o affidabilità, dimostrato dalla stazione appaltante con mezzi adeguati. All’articolo 98 sono indicati, in modo tassativo, i gravi illeciti professionali, nonché i mezzi adeguati a dimostrare i medesimi.</w:t>
      </w:r>
    </w:p>
    <w:p w14:paraId="715028AF"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La stazione appaltante esclude altresì un operatore economico qualora ritenga, sulla base di qualunque mezzo di prova adeguato, che lo stesso abbia commesso gravi violazioni non definitivamente accertate agli obblighi relativi al pagamento di imposte e tasse o contributi previdenziali. Costituiscono gravi violazioni non definitivamente accertate in materia fiscale quelle indicate nell’Allegato II.10. La gravità va in ogni caso valutata anche tenendo conto del valore dell’appalto.</w:t>
      </w:r>
    </w:p>
    <w:p w14:paraId="4452AF57"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L’esclusione non opera quando l’operatore economico ha adempiuto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5C4FC519"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lastRenderedPageBreak/>
        <w:t>Disciplina dell’esclusione (art. 96)</w:t>
      </w:r>
    </w:p>
    <w:p w14:paraId="41CE696A"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Le stazioni appaltanti escludono un operatore economico in qualunque momento della procedura d’appalto, qualora risulti che questi si trovi, a causa di atti compiuti od omessi prima o nel corso della procedura, in una delle situazioni di cui agli articoli 94 e 95 sopra menzionati.</w:t>
      </w:r>
    </w:p>
    <w:p w14:paraId="1D38EE5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Il nuovo Codice introduce per la prima volta una disposizione di “self </w:t>
      </w:r>
      <w:proofErr w:type="spellStart"/>
      <w:r w:rsidRPr="00B50687">
        <w:rPr>
          <w:rFonts w:ascii="Arial" w:eastAsia="Times New Roman" w:hAnsi="Arial" w:cs="Arial"/>
          <w:kern w:val="0"/>
          <w:sz w:val="24"/>
          <w:szCs w:val="24"/>
          <w:lang w:eastAsia="it-IT"/>
          <w14:ligatures w14:val="none"/>
        </w:rPr>
        <w:t>cleaning</w:t>
      </w:r>
      <w:proofErr w:type="spellEnd"/>
      <w:r w:rsidRPr="00B50687">
        <w:rPr>
          <w:rFonts w:ascii="Arial" w:eastAsia="Times New Roman" w:hAnsi="Arial" w:cs="Arial"/>
          <w:kern w:val="0"/>
          <w:sz w:val="24"/>
          <w:szCs w:val="24"/>
          <w:lang w:eastAsia="it-IT"/>
          <w14:ligatures w14:val="none"/>
        </w:rPr>
        <w:t>” per mezzo della quale i concorrenti possono sempre dimostrare di aver posto in essere misure atte a garantire la loro affidabilità, anche con riferimento alle cause di esclusione automatiche, a patto che tali misure siano state tempestivamente adottate e siano idonee. In tali casi, non si verifica l’esclusione.</w:t>
      </w:r>
    </w:p>
    <w:p w14:paraId="017B1F24"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In caso di violazioni definitivamente accertate in materia fiscale e tributaria, non è possibile l’applicazione delle dette misure di “self </w:t>
      </w:r>
      <w:proofErr w:type="spellStart"/>
      <w:r w:rsidRPr="00B50687">
        <w:rPr>
          <w:rFonts w:ascii="Arial" w:eastAsia="Times New Roman" w:hAnsi="Arial" w:cs="Arial"/>
          <w:kern w:val="0"/>
          <w:sz w:val="24"/>
          <w:szCs w:val="24"/>
          <w:lang w:eastAsia="it-IT"/>
          <w14:ligatures w14:val="none"/>
        </w:rPr>
        <w:t>cleaning</w:t>
      </w:r>
      <w:proofErr w:type="spellEnd"/>
      <w:r w:rsidRPr="00B50687">
        <w:rPr>
          <w:rFonts w:ascii="Arial" w:eastAsia="Times New Roman" w:hAnsi="Arial" w:cs="Arial"/>
          <w:kern w:val="0"/>
          <w:sz w:val="24"/>
          <w:szCs w:val="24"/>
          <w:lang w:eastAsia="it-IT"/>
          <w14:ligatures w14:val="none"/>
        </w:rPr>
        <w:t>”.</w:t>
      </w:r>
    </w:p>
    <w:p w14:paraId="52349424" w14:textId="017293D5" w:rsidR="000442C0" w:rsidRDefault="000442C0"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REQUISITI DI ORDINE SPECIALE</w:t>
      </w:r>
    </w:p>
    <w:p w14:paraId="15079A62" w14:textId="0C3BD0EC"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Sono requisiti di ordine speciale:</w:t>
      </w:r>
    </w:p>
    <w:p w14:paraId="0A2254A8"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a) l’idoneità professionale;</w:t>
      </w:r>
    </w:p>
    <w:p w14:paraId="62166DDF"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b) la capacità economica e finanziaria;</w:t>
      </w:r>
    </w:p>
    <w:p w14:paraId="1181F0BC"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c) le capacità tecniche e professionali.</w:t>
      </w:r>
    </w:p>
    <w:p w14:paraId="4A8BEB7C" w14:textId="77DEA706"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Le stazioni appaltanti richiedono requisiti di partecipazione proporzionati e attinenti all’oggetto dell’appalto.</w:t>
      </w:r>
    </w:p>
    <w:p w14:paraId="111589AD" w14:textId="77777777" w:rsid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P</w:t>
      </w:r>
      <w:r w:rsidRPr="000442C0">
        <w:rPr>
          <w:rFonts w:ascii="Arial" w:eastAsia="Times New Roman" w:hAnsi="Arial" w:cs="Arial"/>
          <w:kern w:val="0"/>
          <w:sz w:val="24"/>
          <w:szCs w:val="24"/>
          <w:lang w:eastAsia="it-IT"/>
          <w14:ligatures w14:val="none"/>
        </w:rPr>
        <w:t>er le procedure di aggiudicazione di appalti di servizi e forniture le stazioni appaltanti richiedono l’iscrizione nel registro della camera di commercio, industria, artigianato e agricoltura o nel registro delle commissioni provinciali per l’artigianato (le commissioni provinciali per l’artigianato e il relativo registro sono stati soppressi dalle leggi regionali in attuazione della legge 8 agosto 1985 , n. 443, ora l'unica iscrizione è quella al registro delle imprese delle CCIAA - n.d.r.) o presso i competenti ordini professionali per un’attività pertinente anche se non coincidente con l’oggetto dell’appalto.</w:t>
      </w:r>
    </w:p>
    <w:p w14:paraId="4A3124A9" w14:textId="024F5DFC"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 xml:space="preserve"> All’operatore economico di altro Stato membro non residente in Italia è richiesto di dichiarare ai sensi del testo unico delle disposizioni legislative e regolamentari in materia di documentazione amministrativa, di essere iscritto in uno dei registri professionali o commerciali di cui all’allegato II.11. In sede di prima applicazione del codice, l’allegato II.11 è abrogato a decorrere dalla data di entrata in vigore di un corrispondente regolamento adottato ai sensi dell’articolo 17, comma 3, della legge 23 agosto 1988, n. 400, con decreto del Presidente del Consiglio dei ministri su proposta del Ministro per gli affari europei, ove nominato, che lo sostituisce integralmente anche in qualità di allegato al codice.</w:t>
      </w:r>
    </w:p>
    <w:p w14:paraId="0874D955" w14:textId="05494495" w:rsidR="00BE0EA6" w:rsidRPr="000442C0" w:rsidRDefault="000442C0" w:rsidP="00BE0EA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 xml:space="preserve">Per le procedure di aggiudicazione di appalti di lavori </w:t>
      </w:r>
      <w:r w:rsidRPr="000442C0">
        <w:rPr>
          <w:rFonts w:ascii="Arial" w:eastAsia="Times New Roman" w:hAnsi="Arial" w:cs="Arial"/>
          <w:b/>
          <w:bCs/>
          <w:kern w:val="0"/>
          <w:sz w:val="24"/>
          <w:szCs w:val="24"/>
          <w:lang w:eastAsia="it-IT"/>
          <w14:ligatures w14:val="none"/>
        </w:rPr>
        <w:t>di importo pari o superiore a 150.000 euro</w:t>
      </w:r>
      <w:r w:rsidRPr="000442C0">
        <w:rPr>
          <w:rFonts w:ascii="Arial" w:eastAsia="Times New Roman" w:hAnsi="Arial" w:cs="Arial"/>
          <w:kern w:val="0"/>
          <w:sz w:val="24"/>
          <w:szCs w:val="24"/>
          <w:lang w:eastAsia="it-IT"/>
          <w14:ligatures w14:val="none"/>
        </w:rPr>
        <w:t xml:space="preserve"> le stazioni appaltanti richiedono che gli </w:t>
      </w:r>
      <w:r w:rsidRPr="000442C0">
        <w:rPr>
          <w:rFonts w:ascii="Arial" w:eastAsia="Times New Roman" w:hAnsi="Arial" w:cs="Arial"/>
          <w:color w:val="FF0000"/>
          <w:kern w:val="0"/>
          <w:sz w:val="24"/>
          <w:szCs w:val="24"/>
          <w:lang w:eastAsia="it-IT"/>
          <w14:ligatures w14:val="none"/>
        </w:rPr>
        <w:t>operatori economici siano qualificati</w:t>
      </w:r>
      <w:r w:rsidRPr="000442C0">
        <w:rPr>
          <w:rFonts w:ascii="Arial" w:eastAsia="Times New Roman" w:hAnsi="Arial" w:cs="Arial"/>
          <w:kern w:val="0"/>
          <w:sz w:val="24"/>
          <w:szCs w:val="24"/>
          <w:lang w:eastAsia="it-IT"/>
          <w14:ligatures w14:val="none"/>
        </w:rPr>
        <w:t xml:space="preserve">. </w:t>
      </w:r>
      <w:r w:rsidRPr="000442C0">
        <w:rPr>
          <w:rFonts w:ascii="Arial" w:eastAsia="Times New Roman" w:hAnsi="Arial" w:cs="Arial"/>
          <w:kern w:val="0"/>
          <w:sz w:val="24"/>
          <w:szCs w:val="24"/>
          <w:u w:val="single"/>
          <w:lang w:eastAsia="it-IT"/>
          <w14:ligatures w14:val="none"/>
        </w:rPr>
        <w:t xml:space="preserve">L’attestazione di qualificazione è rilasciata da organismi di diritto privato autorizzati </w:t>
      </w:r>
      <w:r w:rsidRPr="000442C0">
        <w:rPr>
          <w:rFonts w:ascii="Arial" w:eastAsia="Times New Roman" w:hAnsi="Arial" w:cs="Arial"/>
          <w:kern w:val="0"/>
          <w:sz w:val="24"/>
          <w:szCs w:val="24"/>
          <w:u w:val="single"/>
          <w:lang w:eastAsia="it-IT"/>
          <w14:ligatures w14:val="none"/>
        </w:rPr>
        <w:lastRenderedPageBreak/>
        <w:t>dall’ANAC.</w:t>
      </w:r>
      <w:r w:rsidRPr="000442C0">
        <w:rPr>
          <w:rFonts w:ascii="Arial" w:eastAsia="Times New Roman" w:hAnsi="Arial" w:cs="Arial"/>
          <w:kern w:val="0"/>
          <w:sz w:val="24"/>
          <w:szCs w:val="24"/>
          <w:lang w:eastAsia="it-IT"/>
          <w14:ligatures w14:val="none"/>
        </w:rPr>
        <w:t xml:space="preserve"> Il sistema di qualificazione per gli esecutori di lavori pubblici, articolato in rapporto alle categorie di opere ed all'importo delle stesse è disciplinato dall’allegato II.12. </w:t>
      </w:r>
    </w:p>
    <w:p w14:paraId="1F1D374C" w14:textId="235A7110"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Per ottenere o rinnovare l’attestazione di qualificazione gli operatori economici devono:</w:t>
      </w:r>
    </w:p>
    <w:p w14:paraId="0F9D3DF8"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a) essere iscritti nel registro della camera di commercio, industria, artigianato e agricoltura o nel registro delle commissioni provinciali per l’artigianato o presso i competenti ordini professionali per un’attività, prevista dall’oggetto sociale e compresa nella categoria per la quale è richiesta l’attestazione;</w:t>
      </w:r>
    </w:p>
    <w:p w14:paraId="1E5F03F3"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b) non essere incorsi nelle cause di esclusione di cui al Capo II del presente Titolo nel triennio precedente alla data della domanda di rilascio o di rinnovo dell’attestazione di qualificazione;</w:t>
      </w:r>
    </w:p>
    <w:p w14:paraId="3E27453D"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c) essere in possesso di certificazioni di sistemi di qualità conformi alle norme europee e alla vigente normativa nazionale, rilasciate da soggetti accreditati.</w:t>
      </w:r>
    </w:p>
    <w:p w14:paraId="7A11755A" w14:textId="16204768"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L’organismo di attestazione rilascia l’attestazione di qualificazione per la categoria di opere generali o specializzate per l’esecuzione delle quali l’operatore economico risulti essere in possesso di adeguata capacità economica e finanziaria, di adeguata dotazione di attrezzature tecniche e risorse umane, e dispone la classificazione per importi in ragione della documentata pregressa esperienza professionale.</w:t>
      </w:r>
    </w:p>
    <w:p w14:paraId="0ACFF7FB" w14:textId="77777777" w:rsidR="000442C0" w:rsidRPr="008A7E4A" w:rsidRDefault="000442C0" w:rsidP="000442C0">
      <w:pPr>
        <w:shd w:val="clear" w:color="auto" w:fill="FFFFFF"/>
        <w:spacing w:after="100" w:afterAutospacing="1" w:line="240" w:lineRule="auto"/>
        <w:rPr>
          <w:rFonts w:ascii="Arial" w:eastAsia="Times New Roman" w:hAnsi="Arial" w:cs="Arial"/>
          <w:b/>
          <w:bCs/>
          <w:kern w:val="0"/>
          <w:sz w:val="24"/>
          <w:szCs w:val="24"/>
          <w:lang w:eastAsia="it-IT"/>
          <w14:ligatures w14:val="none"/>
        </w:rPr>
      </w:pPr>
    </w:p>
    <w:p w14:paraId="64045D2F" w14:textId="4FB70BC9" w:rsidR="000442C0" w:rsidRPr="008A7E4A" w:rsidRDefault="000442C0" w:rsidP="000442C0">
      <w:pPr>
        <w:shd w:val="clear" w:color="auto" w:fill="FFFFFF"/>
        <w:spacing w:after="100" w:afterAutospacing="1" w:line="240" w:lineRule="auto"/>
        <w:rPr>
          <w:rFonts w:ascii="Arial" w:eastAsia="Times New Roman" w:hAnsi="Arial" w:cs="Arial"/>
          <w:b/>
          <w:bCs/>
          <w:kern w:val="0"/>
          <w:sz w:val="24"/>
          <w:szCs w:val="24"/>
          <w:lang w:eastAsia="it-IT"/>
          <w14:ligatures w14:val="none"/>
        </w:rPr>
      </w:pPr>
      <w:r w:rsidRPr="008A7E4A">
        <w:rPr>
          <w:rFonts w:ascii="Arial" w:eastAsia="Times New Roman" w:hAnsi="Arial" w:cs="Arial"/>
          <w:b/>
          <w:bCs/>
          <w:kern w:val="0"/>
          <w:sz w:val="24"/>
          <w:szCs w:val="24"/>
          <w:lang w:eastAsia="it-IT"/>
          <w14:ligatures w14:val="none"/>
        </w:rPr>
        <w:t>Soccorso istruttorio</w:t>
      </w:r>
    </w:p>
    <w:p w14:paraId="1677B376" w14:textId="3B0C910B"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Salvo che al momento della scadenza del termine per la presentazione dell’offerta il documento sia presente nel fascicolo virtuale dell’operatore economico, la stazione appaltante assegna un termine non inferiore a cinque giorni e non superiore a dieci giorni per:</w:t>
      </w:r>
    </w:p>
    <w:p w14:paraId="09227783"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a) integrare di ogni elemento mancante la documentazione trasmessa alla stazione appaltante nel termine per la presentazione delle offerte con la domanda di partecipazione alla procedura di gara o con il documento di gara unico europeo, con esclusione della documentazione che compone l’offerta tecnica e l’offerta economica; la mancata presentazione della garanzia provvisoria, del contratto di avvalimento e dell’impegno a conferire mandato collettivo speciale in caso di raggruppamenti di concorrenti non ancora costituiti è sanabile mediante documenti aventi data certa anteriore al termine fissato per la presentazione delle offerte;</w:t>
      </w:r>
    </w:p>
    <w:p w14:paraId="0A4FA02E"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b) sanare ogni omissione, inesattezza o irregolarità della domanda di partecipazione, del documento di gara unico europeo e di ogni altro documento richiesto dalla stazione appaltante per la partecipazione alla procedura di gara, con esclusione della documentazione che compone l’offerta tecnica e l’offerta economica. Non sono sanabili le omissioni, inesattezze e irregolarità che rendono assolutamente incerta l’identità del concorrente.</w:t>
      </w:r>
    </w:p>
    <w:p w14:paraId="1A7B25B7" w14:textId="1FE0381B"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L’operatore economico che non adempie alle richieste della stazione appaltante nel termine stabilito è escluso dalla procedura di gara.</w:t>
      </w:r>
    </w:p>
    <w:p w14:paraId="41F4A3E9" w14:textId="006F7A34"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lastRenderedPageBreak/>
        <w:t>La stazione appaltante può sempre richiedere chiarimenti sui contenuti dell’offerta tecnica e dell’offerta economica e su ogni loro allegato. L’operatore economico è tenuto a fornire risposta nel termine fissato dalla stazione appaltante, che non può essere inferiore a cinque giorni e superiore a dieci giorni. I chiarimenti resi dall’operatore economico non possono modificare il contenuto dell’offerta tecnica e dell’offerta economica.</w:t>
      </w:r>
    </w:p>
    <w:p w14:paraId="15E85695" w14:textId="70805A86"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Fino al giorno fissato per la loro apertura, l’operatore economico, con le stesse modalità di presentazione della domanda di partecipazione, può richiedere la rettifica di un errore materiale contenuto nell’offerta tecnica o nell’offerta economica di cui si sia avveduto dopo la scadenza del termine per la loro presentazione a condizione che la rettifica non comporti la presentazione di una nuova offerta, o comunque la sua modifica sostanziale, e che resti comunque assicurato l’anonimato.</w:t>
      </w:r>
    </w:p>
    <w:p w14:paraId="0D4E447C"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p>
    <w:p w14:paraId="7E44D4B5" w14:textId="370C5938" w:rsidR="000442C0" w:rsidRPr="00BE0EA6" w:rsidRDefault="000442C0" w:rsidP="000442C0">
      <w:pPr>
        <w:shd w:val="clear" w:color="auto" w:fill="FFFFFF"/>
        <w:spacing w:after="100" w:afterAutospacing="1" w:line="240" w:lineRule="auto"/>
        <w:rPr>
          <w:rFonts w:ascii="Arial" w:eastAsia="Times New Roman" w:hAnsi="Arial" w:cs="Arial"/>
          <w:b/>
          <w:bCs/>
          <w:kern w:val="0"/>
          <w:sz w:val="24"/>
          <w:szCs w:val="24"/>
          <w:lang w:eastAsia="it-IT"/>
          <w14:ligatures w14:val="none"/>
        </w:rPr>
      </w:pPr>
      <w:r w:rsidRPr="00BE0EA6">
        <w:rPr>
          <w:rFonts w:ascii="Arial" w:eastAsia="Times New Roman" w:hAnsi="Arial" w:cs="Arial"/>
          <w:b/>
          <w:bCs/>
          <w:kern w:val="0"/>
          <w:sz w:val="24"/>
          <w:szCs w:val="24"/>
          <w:lang w:eastAsia="it-IT"/>
          <w14:ligatures w14:val="none"/>
        </w:rPr>
        <w:t>Avvalimento</w:t>
      </w:r>
    </w:p>
    <w:p w14:paraId="0B245FD4" w14:textId="7366626D"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L’avvalimento è il contratto con il quale una o più imprese ausiliarie si obbligano a mettere a disposizione di un operatore economico che concorre in una procedura di gara dotazioni tecniche e risorse umane e strumentali per tutta la durata dell’appalto. Il contratto di avvalimento è concluso in forma scritta a pena di nullità con indicazione specifica delle risorse messe a disposizione dell’operatore economico. Il contratto di avvalimento è normalmente oneroso, salvo che risponda anche a un interesse dell’impresa ausiliaria, e può essere concluso a prescindere dalla natura giuridica dei legami tra le parti.</w:t>
      </w:r>
    </w:p>
    <w:p w14:paraId="0DB20EFE" w14:textId="1BAAA5C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 xml:space="preserve"> Qualora il contratto di avvalimento sia concluso per acquisire un requisito necessario alla partecipazione a una procedura di aggiudicazione di un appalto di lavori di importo pari o superiore a euro 150.000, o di un appalto di servizi e forniture, esso ha per oggetto le dotazioni tecniche e le risorse che avrebbero consentito all’operatore economico di ottenere l’attestazione di qualificazione richiesta.</w:t>
      </w:r>
    </w:p>
    <w:p w14:paraId="2F083165" w14:textId="1901D6EC"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 xml:space="preserve"> Qualora il contratto di avvalimento sia stipulato con impresa ausiliaria in possesso di autorizzazione o altro titolo abilitativo richiesto per la partecipazione alla procedura di aggiudicazione ai sensi dell’articolo 100, comma 3, o con un soggetto in possesso di titoli di studio o professionali necessari all’esecuzione della prestazione oggetto dell’appalto, i lavori o i servizi sono eseguiti direttamente dall’impresa ausiliaria. Si applicano le disposizioni in materia di subappalto.</w:t>
      </w:r>
    </w:p>
    <w:p w14:paraId="21A60DBC" w14:textId="5A593179" w:rsidR="00BE0EA6" w:rsidRPr="000442C0" w:rsidRDefault="000442C0" w:rsidP="00BE0EA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L’operatore economico allega alla domanda di partecipazione il contratto di avvalimento in originale o copia autentica, specificando se intende avvalersi delle risorse altrui per acquisire un requisito di partecipazione o per migliorare la propria offerta, e allega, nel caso di cui al comma 2, la certificazione rilasciata dalla SOA o dall’ANAC</w:t>
      </w:r>
    </w:p>
    <w:p w14:paraId="4F28493B" w14:textId="7E4B667B" w:rsidR="00BE0EA6" w:rsidRPr="000442C0" w:rsidRDefault="000442C0" w:rsidP="00BE0EA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La stazione appaltante verifica se l’impresa ausiliaria è in possesso dei requisiti dichiarati</w:t>
      </w:r>
      <w:r w:rsidR="00BE0EA6">
        <w:rPr>
          <w:rFonts w:ascii="Arial" w:eastAsia="Times New Roman" w:hAnsi="Arial" w:cs="Arial"/>
          <w:kern w:val="0"/>
          <w:sz w:val="24"/>
          <w:szCs w:val="24"/>
          <w:lang w:eastAsia="it-IT"/>
          <w14:ligatures w14:val="none"/>
        </w:rPr>
        <w:t xml:space="preserve"> </w:t>
      </w:r>
    </w:p>
    <w:p w14:paraId="06858471" w14:textId="3F67C5A8" w:rsid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L’operatore economico e l'impresa ausiliaria sono responsabili in solido nei confronti della stazione appaltante in relazione alle prestazioni oggetto del contratto. Gli obblighi previsti dalla normativa antimafia a carico dell’operatore economico si applicano anche nei confronti del soggetto ausiliario, in ragione dell'importo dell'appalto posto a base di gara.</w:t>
      </w:r>
    </w:p>
    <w:p w14:paraId="68D37ADE" w14:textId="76C5E9E7" w:rsidR="00951DF0" w:rsidRDefault="00951DF0" w:rsidP="00127C6D">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SEGNALI DI FUMO</w:t>
      </w:r>
    </w:p>
    <w:p w14:paraId="2D0CBC14" w14:textId="18E4B4C2"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lastRenderedPageBreak/>
        <w:t xml:space="preserve">Ecco una sintesi degli articoli da 1 a 12 del </w:t>
      </w:r>
      <w:proofErr w:type="spellStart"/>
      <w:r w:rsidRPr="00951DF0">
        <w:rPr>
          <w:rFonts w:ascii="Arial" w:eastAsia="Times New Roman" w:hAnsi="Arial" w:cs="Arial"/>
          <w:kern w:val="0"/>
          <w:sz w:val="24"/>
          <w:szCs w:val="24"/>
          <w:lang w:eastAsia="it-IT"/>
          <w14:ligatures w14:val="none"/>
        </w:rPr>
        <w:t>D.Lgs.</w:t>
      </w:r>
      <w:proofErr w:type="spellEnd"/>
      <w:r w:rsidRPr="00951DF0">
        <w:rPr>
          <w:rFonts w:ascii="Arial" w:eastAsia="Times New Roman" w:hAnsi="Arial" w:cs="Arial"/>
          <w:kern w:val="0"/>
          <w:sz w:val="24"/>
          <w:szCs w:val="24"/>
          <w:lang w:eastAsia="it-IT"/>
          <w14:ligatures w14:val="none"/>
        </w:rPr>
        <w:t xml:space="preserve"> 36/2023 (Codice dei contratti pubblici), così come previsto nella versione base del decreto (testo originario pubblicato in Gazzetta Ufficiale) e aggiornato per l’interpretazione corrente (tenendo presente che alcuni articoli sono stati modificati dal </w:t>
      </w:r>
      <w:proofErr w:type="spellStart"/>
      <w:r w:rsidRPr="00951DF0">
        <w:rPr>
          <w:rFonts w:ascii="Arial" w:eastAsia="Times New Roman" w:hAnsi="Arial" w:cs="Arial"/>
          <w:kern w:val="0"/>
          <w:sz w:val="24"/>
          <w:szCs w:val="24"/>
          <w:lang w:eastAsia="it-IT"/>
          <w14:ligatures w14:val="none"/>
        </w:rPr>
        <w:t>D.Lgs.</w:t>
      </w:r>
      <w:proofErr w:type="spellEnd"/>
      <w:r w:rsidRPr="00951DF0">
        <w:rPr>
          <w:rFonts w:ascii="Arial" w:eastAsia="Times New Roman" w:hAnsi="Arial" w:cs="Arial"/>
          <w:kern w:val="0"/>
          <w:sz w:val="24"/>
          <w:szCs w:val="24"/>
          <w:lang w:eastAsia="it-IT"/>
          <w14:ligatures w14:val="none"/>
        </w:rPr>
        <w:t xml:space="preserve"> 209/2024 e altri interventi successivi). </w:t>
      </w:r>
    </w:p>
    <w:p w14:paraId="77D26F22" w14:textId="686A497E"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Art. 1 – Principio del risultato</w:t>
      </w:r>
    </w:p>
    <w:p w14:paraId="61401A9B" w14:textId="77777777" w:rsid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La stazione appaltante e gli enti concedenti devono perseguire il risultato dell’affidamento e dell’esecuzione del contratto con la massima tempestività e il miglior rapporto tra qualità e prezzo, nel rispetto dei principi di legalità, trasparenza e concorrenza. </w:t>
      </w:r>
    </w:p>
    <w:p w14:paraId="57801A9A"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Nel nuovo quadro normativo, il principio di risultato significa che tutta l’attività di programmazione, affidamento ed esecuzione dei contratti pubblici deve essere orientata a:</w:t>
      </w:r>
    </w:p>
    <w:p w14:paraId="67F10F35" w14:textId="06C0E345"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 conseguire il risultato migliore possibile per la </w:t>
      </w:r>
      <w:proofErr w:type="spellStart"/>
      <w:proofErr w:type="gramStart"/>
      <w:r w:rsidRPr="00951DF0">
        <w:rPr>
          <w:rFonts w:ascii="Arial" w:eastAsia="Times New Roman" w:hAnsi="Arial" w:cs="Arial"/>
          <w:kern w:val="0"/>
          <w:sz w:val="24"/>
          <w:szCs w:val="24"/>
          <w:lang w:eastAsia="it-IT"/>
          <w14:ligatures w14:val="none"/>
        </w:rPr>
        <w:t>collettività,in</w:t>
      </w:r>
      <w:proofErr w:type="spellEnd"/>
      <w:proofErr w:type="gramEnd"/>
      <w:r w:rsidRPr="00951DF0">
        <w:rPr>
          <w:rFonts w:ascii="Arial" w:eastAsia="Times New Roman" w:hAnsi="Arial" w:cs="Arial"/>
          <w:kern w:val="0"/>
          <w:sz w:val="24"/>
          <w:szCs w:val="24"/>
          <w:lang w:eastAsia="it-IT"/>
          <w14:ligatures w14:val="none"/>
        </w:rPr>
        <w:t xml:space="preserve"> termini di tempi, qualità, costi e valore generato.</w:t>
      </w:r>
    </w:p>
    <w:p w14:paraId="25E58EF3" w14:textId="729D854A"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Non basta cioè rispettare formalmente la procedura:</w:t>
      </w:r>
      <w:r>
        <w:rPr>
          <w:rFonts w:ascii="Arial" w:eastAsia="Times New Roman" w:hAnsi="Arial" w:cs="Arial"/>
          <w:kern w:val="0"/>
          <w:sz w:val="24"/>
          <w:szCs w:val="24"/>
          <w:lang w:eastAsia="it-IT"/>
          <w14:ligatures w14:val="none"/>
        </w:rPr>
        <w:t xml:space="preserve"> </w:t>
      </w:r>
      <w:r w:rsidRPr="00951DF0">
        <w:rPr>
          <w:rFonts w:ascii="Arial" w:eastAsia="Times New Roman" w:hAnsi="Arial" w:cs="Arial"/>
          <w:kern w:val="0"/>
          <w:sz w:val="24"/>
          <w:szCs w:val="24"/>
          <w:lang w:eastAsia="it-IT"/>
          <w14:ligatures w14:val="none"/>
        </w:rPr>
        <w:t>ciò che conta è che l’opera, il servizio o la fornitura produca un beneficio effettivo.</w:t>
      </w:r>
    </w:p>
    <w:p w14:paraId="0755C4B0"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La stazione appaltante deve dare priorità a:</w:t>
      </w:r>
    </w:p>
    <w:p w14:paraId="13F50D26"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qualità dell’opera/servizio,</w:t>
      </w:r>
    </w:p>
    <w:p w14:paraId="7828A923"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contenimento dei tempi,</w:t>
      </w:r>
    </w:p>
    <w:p w14:paraId="179138BF"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sostenibilità economica e ambientale,</w:t>
      </w:r>
    </w:p>
    <w:p w14:paraId="1DA23077"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impatto sulla collettività.</w:t>
      </w:r>
    </w:p>
    <w:p w14:paraId="6CD5003D" w14:textId="2320C3BD"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RUP e gli uffici tecnici devono operare con maggiore autonomia e responsabilità, prendendo decisioni motivate e orientate al risultato, anche scegliendo la soluzione più semplice ed efficiente.</w:t>
      </w:r>
    </w:p>
    <w:p w14:paraId="25828684"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Il principio giustifica procedure più snelle e minor formalismo, purché orientate al buon esito.</w:t>
      </w:r>
    </w:p>
    <w:p w14:paraId="7DD1B11B"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L’art. 1 del </w:t>
      </w:r>
      <w:proofErr w:type="spellStart"/>
      <w:r w:rsidRPr="00951DF0">
        <w:rPr>
          <w:rFonts w:ascii="Arial" w:eastAsia="Times New Roman" w:hAnsi="Arial" w:cs="Arial"/>
          <w:kern w:val="0"/>
          <w:sz w:val="24"/>
          <w:szCs w:val="24"/>
          <w:lang w:eastAsia="it-IT"/>
          <w14:ligatures w14:val="none"/>
        </w:rPr>
        <w:t>D.Lgs.</w:t>
      </w:r>
      <w:proofErr w:type="spellEnd"/>
      <w:r w:rsidRPr="00951DF0">
        <w:rPr>
          <w:rFonts w:ascii="Arial" w:eastAsia="Times New Roman" w:hAnsi="Arial" w:cs="Arial"/>
          <w:kern w:val="0"/>
          <w:sz w:val="24"/>
          <w:szCs w:val="24"/>
          <w:lang w:eastAsia="it-IT"/>
          <w14:ligatures w14:val="none"/>
        </w:rPr>
        <w:t xml:space="preserve"> 36/2023 stabilisce che:</w:t>
      </w:r>
    </w:p>
    <w:p w14:paraId="1CE7336C" w14:textId="5603090A"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l’intero codice è volto a “favorire il risultato migliore per la collettività”</w:t>
      </w:r>
      <w:r>
        <w:rPr>
          <w:rFonts w:ascii="Arial" w:eastAsia="Times New Roman" w:hAnsi="Arial" w:cs="Arial"/>
          <w:kern w:val="0"/>
          <w:sz w:val="24"/>
          <w:szCs w:val="24"/>
          <w:lang w:eastAsia="it-IT"/>
          <w14:ligatures w14:val="none"/>
        </w:rPr>
        <w:t xml:space="preserve"> </w:t>
      </w:r>
      <w:r w:rsidRPr="00951DF0">
        <w:rPr>
          <w:rFonts w:ascii="Arial" w:eastAsia="Times New Roman" w:hAnsi="Arial" w:cs="Arial"/>
          <w:kern w:val="0"/>
          <w:sz w:val="24"/>
          <w:szCs w:val="24"/>
          <w:lang w:eastAsia="it-IT"/>
          <w14:ligatures w14:val="none"/>
        </w:rPr>
        <w:t>attraverso procedure efficienti, trasparenti e tempestive.</w:t>
      </w:r>
    </w:p>
    <w:p w14:paraId="3145AFEA"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Il risultato è quindi un criterio </w:t>
      </w:r>
      <w:proofErr w:type="spellStart"/>
      <w:r w:rsidRPr="00951DF0">
        <w:rPr>
          <w:rFonts w:ascii="Arial" w:eastAsia="Times New Roman" w:hAnsi="Arial" w:cs="Arial"/>
          <w:kern w:val="0"/>
          <w:sz w:val="24"/>
          <w:szCs w:val="24"/>
          <w:lang w:eastAsia="it-IT"/>
          <w14:ligatures w14:val="none"/>
        </w:rPr>
        <w:t>metanormativo</w:t>
      </w:r>
      <w:proofErr w:type="spellEnd"/>
      <w:r w:rsidRPr="00951DF0">
        <w:rPr>
          <w:rFonts w:ascii="Arial" w:eastAsia="Times New Roman" w:hAnsi="Arial" w:cs="Arial"/>
          <w:kern w:val="0"/>
          <w:sz w:val="24"/>
          <w:szCs w:val="24"/>
          <w:lang w:eastAsia="it-IT"/>
          <w14:ligatures w14:val="none"/>
        </w:rPr>
        <w:t>, che guida l’interpretazione di tutte le altre norme del Codice.</w:t>
      </w:r>
    </w:p>
    <w:p w14:paraId="49971263" w14:textId="25350BA1"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In fase di esecuzione dell’appalto</w:t>
      </w:r>
    </w:p>
    <w:p w14:paraId="4C387B3C"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Nel contratto di appalto (sia pubblico sia privato), la prestazione dell’appaltatore è considerata un’obbligazione di risultato:</w:t>
      </w:r>
    </w:p>
    <w:p w14:paraId="2DDC87FC"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lastRenderedPageBreak/>
        <w:t>l’appaltatore deve consegnare l’opera finita e conforme a quanto previsto nel contratto e nel capitolato.</w:t>
      </w:r>
    </w:p>
    <w:p w14:paraId="29FA92D6" w14:textId="0B19223C" w:rsidR="00951DF0" w:rsidRPr="002305DE" w:rsidRDefault="00951DF0" w:rsidP="002305DE">
      <w:pPr>
        <w:pStyle w:val="Paragrafoelenco"/>
        <w:numPr>
          <w:ilvl w:val="0"/>
          <w:numId w:val="45"/>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Art. 2 – Principio della fiducia</w:t>
      </w:r>
    </w:p>
    <w:p w14:paraId="122B5750" w14:textId="77777777" w:rsidR="00796448" w:rsidRPr="002305DE" w:rsidRDefault="00951DF0" w:rsidP="002305DE">
      <w:pPr>
        <w:pStyle w:val="Paragrafoelenco"/>
        <w:numPr>
          <w:ilvl w:val="0"/>
          <w:numId w:val="45"/>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 xml:space="preserve">L’azione nel settore dei contratti pubblici si basa sul principio della reciproca fiducia tra amministrazione, funzionari e operatori economici. Favorisce autonomia decisionale e responsabilità nel perseguire il risultato, e disciplina aspetti rilevanti anche per la responsabilità amministrativa. </w:t>
      </w:r>
      <w:r w:rsidR="00796448" w:rsidRPr="002305DE">
        <w:rPr>
          <w:rFonts w:ascii="Arial" w:eastAsia="Times New Roman" w:hAnsi="Arial" w:cs="Arial"/>
          <w:kern w:val="0"/>
          <w:sz w:val="24"/>
          <w:szCs w:val="24"/>
          <w:lang w:eastAsia="it-IT"/>
          <w14:ligatures w14:val="none"/>
        </w:rPr>
        <w:t>Il principio della fiducia significa che la Pubblica Amministrazione deve operare presumendo la correttezza, la buona fede e la professionalità:</w:t>
      </w:r>
    </w:p>
    <w:p w14:paraId="48454CC6" w14:textId="77777777" w:rsidR="00796448" w:rsidRPr="00796448" w:rsidRDefault="00796448" w:rsidP="00796448">
      <w:pPr>
        <w:pStyle w:val="Paragrafoelenco"/>
        <w:numPr>
          <w:ilvl w:val="0"/>
          <w:numId w:val="43"/>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96448">
        <w:rPr>
          <w:rFonts w:ascii="Arial" w:eastAsia="Times New Roman" w:hAnsi="Arial" w:cs="Arial"/>
          <w:kern w:val="0"/>
          <w:sz w:val="24"/>
          <w:szCs w:val="24"/>
          <w:lang w:eastAsia="it-IT"/>
          <w14:ligatures w14:val="none"/>
        </w:rPr>
        <w:t>dei funzionari e delle stazioni appaltanti</w:t>
      </w:r>
    </w:p>
    <w:p w14:paraId="6283AF65" w14:textId="77777777" w:rsidR="00796448" w:rsidRDefault="00796448" w:rsidP="00796448">
      <w:pPr>
        <w:pStyle w:val="Paragrafoelenco"/>
        <w:numPr>
          <w:ilvl w:val="0"/>
          <w:numId w:val="43"/>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96448">
        <w:rPr>
          <w:rFonts w:ascii="Arial" w:eastAsia="Times New Roman" w:hAnsi="Arial" w:cs="Arial"/>
          <w:kern w:val="0"/>
          <w:sz w:val="24"/>
          <w:szCs w:val="24"/>
          <w:lang w:eastAsia="it-IT"/>
          <w14:ligatures w14:val="none"/>
        </w:rPr>
        <w:t>degli operatori economici (imprese partecipanti)</w:t>
      </w:r>
    </w:p>
    <w:p w14:paraId="4C6A0CE9" w14:textId="77777777" w:rsidR="00796448" w:rsidRPr="00796448" w:rsidRDefault="00796448" w:rsidP="00796448">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96448">
        <w:rPr>
          <w:rFonts w:ascii="Arial" w:eastAsia="Times New Roman" w:hAnsi="Arial" w:cs="Arial"/>
          <w:kern w:val="0"/>
          <w:sz w:val="24"/>
          <w:szCs w:val="24"/>
          <w:lang w:eastAsia="it-IT"/>
          <w14:ligatures w14:val="none"/>
        </w:rPr>
        <w:t>I funzionari possono scegliere la soluzione più efficiente senza timore di responsabilità “paralizzanti”, purché motivata.</w:t>
      </w:r>
    </w:p>
    <w:p w14:paraId="5EDDD3E7" w14:textId="7998F544" w:rsidR="00796448" w:rsidRPr="00796448" w:rsidRDefault="00796448" w:rsidP="00796448">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w:t>
      </w:r>
      <w:r w:rsidRPr="00796448">
        <w:rPr>
          <w:rFonts w:ascii="Arial" w:eastAsia="Times New Roman" w:hAnsi="Arial" w:cs="Arial"/>
          <w:kern w:val="0"/>
          <w:sz w:val="24"/>
          <w:szCs w:val="24"/>
          <w:lang w:eastAsia="it-IT"/>
          <w14:ligatures w14:val="none"/>
        </w:rPr>
        <w:t>a PA deve fidarsi delle competenze dei tecnici, dei RUP e dei dirigenti.</w:t>
      </w:r>
    </w:p>
    <w:p w14:paraId="0B36E4F7" w14:textId="77777777" w:rsidR="00796448" w:rsidRPr="00796448" w:rsidRDefault="00796448" w:rsidP="00796448">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96448">
        <w:rPr>
          <w:rFonts w:ascii="Arial" w:eastAsia="Times New Roman" w:hAnsi="Arial" w:cs="Arial"/>
          <w:kern w:val="0"/>
          <w:sz w:val="24"/>
          <w:szCs w:val="24"/>
          <w:lang w:eastAsia="it-IT"/>
          <w14:ligatures w14:val="none"/>
        </w:rPr>
        <w:t>Il principio della fiducia è stato introdotto anche per contrastare l’eccessiva prudenza dei funzionari causata dal rischio di responsabilità erariale o penale.</w:t>
      </w:r>
    </w:p>
    <w:p w14:paraId="1727B8FB" w14:textId="5E4234AA" w:rsidR="00796448" w:rsidRPr="00796448" w:rsidRDefault="00796448" w:rsidP="00796448">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96448">
        <w:rPr>
          <w:rFonts w:ascii="Arial" w:eastAsia="Times New Roman" w:hAnsi="Arial" w:cs="Arial"/>
          <w:kern w:val="0"/>
          <w:sz w:val="24"/>
          <w:szCs w:val="24"/>
          <w:lang w:eastAsia="it-IT"/>
          <w14:ligatures w14:val="none"/>
        </w:rPr>
        <w:t>Il principio della fiducia abilita il principio del risultato.</w:t>
      </w:r>
    </w:p>
    <w:p w14:paraId="05871632" w14:textId="417001DE" w:rsidR="00951DF0" w:rsidRPr="00951DF0" w:rsidRDefault="00796448" w:rsidP="00796448">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96448">
        <w:rPr>
          <w:rFonts w:ascii="Arial" w:eastAsia="Times New Roman" w:hAnsi="Arial" w:cs="Arial"/>
          <w:kern w:val="0"/>
          <w:sz w:val="24"/>
          <w:szCs w:val="24"/>
          <w:lang w:eastAsia="it-IT"/>
          <w14:ligatures w14:val="none"/>
        </w:rPr>
        <w:t>Non è più ammessa una logica basata sul sospetto, sull’eccesso di controlli formali o sull’interpretazione restrittiva.</w:t>
      </w:r>
    </w:p>
    <w:p w14:paraId="1F56A36F" w14:textId="2D249FC6"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Art. 3 – Principio dell’accesso al mercato</w:t>
      </w:r>
    </w:p>
    <w:p w14:paraId="00FEC16C" w14:textId="63147B0B" w:rsid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w:t>
      </w:r>
      <w:r w:rsidRPr="00951DF0">
        <w:rPr>
          <w:rFonts w:ascii="Arial" w:eastAsia="Times New Roman" w:hAnsi="Arial" w:cs="Arial"/>
          <w:kern w:val="0"/>
          <w:sz w:val="24"/>
          <w:szCs w:val="24"/>
          <w:lang w:eastAsia="it-IT"/>
          <w14:ligatures w14:val="none"/>
        </w:rPr>
        <w:t xml:space="preserve">i richiede alle stazioni appaltanti e agli enti concedenti di favorire l’accesso al mercato degli operatori economici, nel rispetto dei principi di concorrenza, imparzialità, non discriminazione, pubblicità, trasparenza e proporzionalità. </w:t>
      </w:r>
    </w:p>
    <w:p w14:paraId="1EEC34AA"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Il principio dell’accesso al mercato afferma che tutti gli operatori economici devono poter partecipare liberamente alle attività economiche e ai mercati senza discriminazioni, barriere ingiustificate o ostacoli non proporzionati.</w:t>
      </w:r>
    </w:p>
    <w:p w14:paraId="66AD1ECB"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È un principio cardine della concorrenza e della libertà d’impresa.</w:t>
      </w:r>
    </w:p>
    <w:p w14:paraId="02F7B492" w14:textId="1F3558F8"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Le regole devono consentire a tutti gli operatori, nazionali e stranieri, di accedere al mercato in modo equo</w:t>
      </w:r>
      <w:r>
        <w:rPr>
          <w:rFonts w:ascii="Arial" w:eastAsia="Times New Roman" w:hAnsi="Arial" w:cs="Arial"/>
          <w:kern w:val="0"/>
          <w:sz w:val="24"/>
          <w:szCs w:val="24"/>
          <w:lang w:eastAsia="it-IT"/>
          <w14:ligatures w14:val="none"/>
        </w:rPr>
        <w:t xml:space="preserve"> e </w:t>
      </w:r>
      <w:r w:rsidRPr="002305DE">
        <w:rPr>
          <w:rFonts w:ascii="Arial" w:eastAsia="Times New Roman" w:hAnsi="Arial" w:cs="Arial"/>
          <w:kern w:val="0"/>
          <w:sz w:val="24"/>
          <w:szCs w:val="24"/>
          <w:lang w:eastAsia="it-IT"/>
          <w14:ligatures w14:val="none"/>
        </w:rPr>
        <w:t>Non sono ammesse restrizioni arbitrarie, come requisiti sproporzionati, ostacoli amministrativi eccessivi o trattamenti preferenziali.</w:t>
      </w:r>
    </w:p>
    <w:p w14:paraId="6A11DA86"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Eventuali limitazioni all’accesso devono essere:</w:t>
      </w:r>
    </w:p>
    <w:p w14:paraId="793593E3" w14:textId="77777777" w:rsidR="002305DE" w:rsidRPr="002305DE" w:rsidRDefault="002305DE" w:rsidP="002305DE">
      <w:pPr>
        <w:pStyle w:val="Paragrafoelenco"/>
        <w:numPr>
          <w:ilvl w:val="0"/>
          <w:numId w:val="44"/>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necessarie</w:t>
      </w:r>
    </w:p>
    <w:p w14:paraId="57B89B7D" w14:textId="77777777" w:rsidR="002305DE" w:rsidRPr="002305DE" w:rsidRDefault="002305DE" w:rsidP="002305DE">
      <w:pPr>
        <w:pStyle w:val="Paragrafoelenco"/>
        <w:numPr>
          <w:ilvl w:val="0"/>
          <w:numId w:val="44"/>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adeguate</w:t>
      </w:r>
    </w:p>
    <w:p w14:paraId="790AAF02" w14:textId="77777777" w:rsidR="002305DE" w:rsidRPr="002305DE" w:rsidRDefault="002305DE" w:rsidP="002305DE">
      <w:pPr>
        <w:pStyle w:val="Paragrafoelenco"/>
        <w:numPr>
          <w:ilvl w:val="0"/>
          <w:numId w:val="44"/>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proporzionate allo scopo pubblico perseguito (es. sicurezza, tutela consumatori, ambiente).</w:t>
      </w:r>
    </w:p>
    <w:p w14:paraId="50261458" w14:textId="353F67CC" w:rsidR="002305DE" w:rsidRPr="00951DF0"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Garantire l’accesso al mercato favorisce</w:t>
      </w:r>
      <w:r>
        <w:rPr>
          <w:rFonts w:ascii="Arial" w:eastAsia="Times New Roman" w:hAnsi="Arial" w:cs="Arial"/>
          <w:kern w:val="0"/>
          <w:sz w:val="24"/>
          <w:szCs w:val="24"/>
          <w:lang w:eastAsia="it-IT"/>
          <w14:ligatures w14:val="none"/>
        </w:rPr>
        <w:t xml:space="preserve"> la </w:t>
      </w:r>
      <w:r w:rsidRPr="002305DE">
        <w:rPr>
          <w:rFonts w:ascii="Arial" w:eastAsia="Times New Roman" w:hAnsi="Arial" w:cs="Arial"/>
          <w:kern w:val="0"/>
          <w:sz w:val="24"/>
          <w:szCs w:val="24"/>
          <w:lang w:eastAsia="it-IT"/>
          <w14:ligatures w14:val="none"/>
        </w:rPr>
        <w:t>concorrenza effettiva</w:t>
      </w:r>
      <w:r>
        <w:rPr>
          <w:rFonts w:ascii="Arial" w:eastAsia="Times New Roman" w:hAnsi="Arial" w:cs="Arial"/>
          <w:kern w:val="0"/>
          <w:sz w:val="24"/>
          <w:szCs w:val="24"/>
          <w:lang w:eastAsia="it-IT"/>
          <w14:ligatures w14:val="none"/>
        </w:rPr>
        <w:t xml:space="preserve">, </w:t>
      </w:r>
      <w:r w:rsidRPr="002305DE">
        <w:rPr>
          <w:rFonts w:ascii="Arial" w:eastAsia="Times New Roman" w:hAnsi="Arial" w:cs="Arial"/>
          <w:kern w:val="0"/>
          <w:sz w:val="24"/>
          <w:szCs w:val="24"/>
          <w:lang w:eastAsia="it-IT"/>
          <w14:ligatures w14:val="none"/>
        </w:rPr>
        <w:t>efficienza economica</w:t>
      </w:r>
      <w:r>
        <w:rPr>
          <w:rFonts w:ascii="Arial" w:eastAsia="Times New Roman" w:hAnsi="Arial" w:cs="Arial"/>
          <w:kern w:val="0"/>
          <w:sz w:val="24"/>
          <w:szCs w:val="24"/>
          <w:lang w:eastAsia="it-IT"/>
          <w14:ligatures w14:val="none"/>
        </w:rPr>
        <w:t xml:space="preserve"> e </w:t>
      </w:r>
      <w:r w:rsidRPr="002305DE">
        <w:rPr>
          <w:rFonts w:ascii="Arial" w:eastAsia="Times New Roman" w:hAnsi="Arial" w:cs="Arial"/>
          <w:kern w:val="0"/>
          <w:sz w:val="24"/>
          <w:szCs w:val="24"/>
          <w:lang w:eastAsia="it-IT"/>
          <w14:ligatures w14:val="none"/>
        </w:rPr>
        <w:t>innovazione</w:t>
      </w:r>
      <w:r>
        <w:rPr>
          <w:rFonts w:ascii="Arial" w:eastAsia="Times New Roman" w:hAnsi="Arial" w:cs="Arial"/>
          <w:kern w:val="0"/>
          <w:sz w:val="24"/>
          <w:szCs w:val="24"/>
          <w:lang w:eastAsia="it-IT"/>
          <w14:ligatures w14:val="none"/>
        </w:rPr>
        <w:t xml:space="preserve"> e la </w:t>
      </w:r>
      <w:r w:rsidRPr="002305DE">
        <w:rPr>
          <w:rFonts w:ascii="Arial" w:eastAsia="Times New Roman" w:hAnsi="Arial" w:cs="Arial"/>
          <w:kern w:val="0"/>
          <w:sz w:val="24"/>
          <w:szCs w:val="24"/>
          <w:lang w:eastAsia="it-IT"/>
          <w14:ligatures w14:val="none"/>
        </w:rPr>
        <w:t>tutela dei consumatori</w:t>
      </w:r>
    </w:p>
    <w:p w14:paraId="3044B552" w14:textId="23C13222"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lastRenderedPageBreak/>
        <w:t>Art. 4 – Criterio interpretativo e applicativo</w:t>
      </w:r>
    </w:p>
    <w:p w14:paraId="586ACD67"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Le norme del Codice si interpretano e applicano tenendo conto dei principi di cui agli articoli 1, 2 e 3 (risultato, fiducia e accesso al mercato). </w:t>
      </w:r>
    </w:p>
    <w:p w14:paraId="7128A079" w14:textId="6CD26DE2"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Art. 5 – Principi di buona fede e di tutela dell’affidamento</w:t>
      </w:r>
    </w:p>
    <w:p w14:paraId="49D32378" w14:textId="77777777" w:rsid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In tutte le fasi dei contratti pubblici, le stazioni appaltanti, gli enti concedenti e gli operatori economici si devono comportare secondo buona fede e nel rispetto dell’affidamento legittimo delle parti (per esempio, tutela dell’affidamento delle offerte e dei comportamenti amministrativi). </w:t>
      </w:r>
    </w:p>
    <w:p w14:paraId="71017802"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Gli appalti pubblici, essendo rapporti tra pubblica amministrazione (PA) e operatori economici, richiedono comportamenti corretti, trasparenti e prevedibili. I due principi giocano un ruolo cruciale nell’assicurare equità e certezza nei procedimenti di gara.</w:t>
      </w:r>
    </w:p>
    <w:p w14:paraId="3C661A50"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1. Principio di buona fede</w:t>
      </w:r>
    </w:p>
    <w:p w14:paraId="46E2571A" w14:textId="70F3E956"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Tutti gli attori devono agire con lealtà, correttezza e trasparenza.</w:t>
      </w:r>
      <w:r w:rsidR="00CA0176">
        <w:rPr>
          <w:rFonts w:ascii="Arial" w:eastAsia="Times New Roman" w:hAnsi="Arial" w:cs="Arial"/>
          <w:kern w:val="0"/>
          <w:sz w:val="24"/>
          <w:szCs w:val="24"/>
          <w:lang w:eastAsia="it-IT"/>
          <w14:ligatures w14:val="none"/>
        </w:rPr>
        <w:t xml:space="preserve"> </w:t>
      </w:r>
      <w:r w:rsidRPr="002305DE">
        <w:rPr>
          <w:rFonts w:ascii="Arial" w:eastAsia="Times New Roman" w:hAnsi="Arial" w:cs="Arial"/>
          <w:kern w:val="0"/>
          <w:sz w:val="24"/>
          <w:szCs w:val="24"/>
          <w:lang w:eastAsia="it-IT"/>
          <w14:ligatures w14:val="none"/>
        </w:rPr>
        <w:t xml:space="preserve">Impone alla PA di gestire le gare senza comportamenti opportunistici o </w:t>
      </w:r>
      <w:proofErr w:type="spellStart"/>
      <w:r w:rsidRPr="002305DE">
        <w:rPr>
          <w:rFonts w:ascii="Arial" w:eastAsia="Times New Roman" w:hAnsi="Arial" w:cs="Arial"/>
          <w:kern w:val="0"/>
          <w:sz w:val="24"/>
          <w:szCs w:val="24"/>
          <w:lang w:eastAsia="it-IT"/>
          <w14:ligatures w14:val="none"/>
        </w:rPr>
        <w:t>arbitrarî</w:t>
      </w:r>
      <w:proofErr w:type="spellEnd"/>
      <w:r w:rsidRPr="002305DE">
        <w:rPr>
          <w:rFonts w:ascii="Arial" w:eastAsia="Times New Roman" w:hAnsi="Arial" w:cs="Arial"/>
          <w:kern w:val="0"/>
          <w:sz w:val="24"/>
          <w:szCs w:val="24"/>
          <w:lang w:eastAsia="it-IT"/>
          <w14:ligatures w14:val="none"/>
        </w:rPr>
        <w:t>.</w:t>
      </w:r>
    </w:p>
    <w:p w14:paraId="711B320A"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2. Principio di tutela dell’affidamento</w:t>
      </w:r>
    </w:p>
    <w:p w14:paraId="33B55287"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Gli operatori economici devono poter fare affidamento ragionevolmente sulle dichiarazioni e comportamenti della PA.</w:t>
      </w:r>
    </w:p>
    <w:p w14:paraId="00C53BCD"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Garantisce la stabilità e prevedibilità del procedimento di gara.</w:t>
      </w:r>
    </w:p>
    <w:p w14:paraId="2708019D"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La buona fede impone alla PA e agli operatori di comportarsi correttamente.</w:t>
      </w:r>
    </w:p>
    <w:p w14:paraId="25F3C25E"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La tutela dell’affidamento protegge chi ha fatto affidamento ragionevole e lecito sulle regole e sulle comunicazioni della PA.</w:t>
      </w:r>
    </w:p>
    <w:p w14:paraId="1AB87513" w14:textId="57FCAC0D"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A</w:t>
      </w:r>
      <w:r w:rsidRPr="00951DF0">
        <w:rPr>
          <w:rFonts w:ascii="Arial" w:eastAsia="Times New Roman" w:hAnsi="Arial" w:cs="Arial"/>
          <w:kern w:val="0"/>
          <w:sz w:val="24"/>
          <w:szCs w:val="24"/>
          <w:lang w:eastAsia="it-IT"/>
          <w14:ligatures w14:val="none"/>
        </w:rPr>
        <w:t>rt. 6 – Principi di solidarietà e di sussidiarietà orizzontale; rapporti con il Terzo Settore</w:t>
      </w:r>
    </w:p>
    <w:p w14:paraId="7B7F00EA" w14:textId="77777777" w:rsidR="00CA0176" w:rsidRPr="00CA0176" w:rsidRDefault="00951DF0" w:rsidP="00CA017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Disciplina l’utilizzo di modelli di co-amministrazione e di partecipazione del Terzo Settore per attività a valenza sociale, nel rispetto dei principi del Codice. </w:t>
      </w:r>
      <w:r w:rsidR="00CA0176" w:rsidRPr="00CA0176">
        <w:rPr>
          <w:rFonts w:ascii="Arial" w:eastAsia="Times New Roman" w:hAnsi="Arial" w:cs="Arial"/>
          <w:kern w:val="0"/>
          <w:sz w:val="24"/>
          <w:szCs w:val="24"/>
          <w:lang w:eastAsia="it-IT"/>
          <w14:ligatures w14:val="none"/>
        </w:rPr>
        <w:t>La solidarietà è il fondamento dei rapporti sociali, economici e istituzionali.</w:t>
      </w:r>
    </w:p>
    <w:p w14:paraId="59AB00A3" w14:textId="77777777" w:rsidR="00CA0176" w:rsidRPr="00CA0176" w:rsidRDefault="00CA0176" w:rsidP="00CA017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CA0176">
        <w:rPr>
          <w:rFonts w:ascii="Arial" w:eastAsia="Times New Roman" w:hAnsi="Arial" w:cs="Arial"/>
          <w:kern w:val="0"/>
          <w:sz w:val="24"/>
          <w:szCs w:val="24"/>
          <w:lang w:eastAsia="it-IT"/>
          <w14:ligatures w14:val="none"/>
        </w:rPr>
        <w:t>Implica che gli individui, le comunità e le istituzioni devono collaborare per il benessere collettivo, sostenendo chi si trova in condizioni di bisogno o svantaggio.</w:t>
      </w:r>
    </w:p>
    <w:p w14:paraId="7AE1F55A" w14:textId="743AC166"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Art. 7 – Principio di auto-organizzazione amministrativa</w:t>
      </w:r>
    </w:p>
    <w:p w14:paraId="1D0FEFCC" w14:textId="77777777" w:rsidR="00CA0176" w:rsidRPr="00CA0176" w:rsidRDefault="00951DF0" w:rsidP="00CA017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Le pubbliche amministrazioni possono organizzare direttamente o tramite strumenti quali auto-produzione, esternalizzazione o cooperazione l’esecuzione di lavori, forniture e servizi nell’ambito del Codice. </w:t>
      </w:r>
      <w:r w:rsidR="00CA0176" w:rsidRPr="00CA0176">
        <w:rPr>
          <w:rFonts w:ascii="Arial" w:eastAsia="Times New Roman" w:hAnsi="Arial" w:cs="Arial"/>
          <w:kern w:val="0"/>
          <w:sz w:val="24"/>
          <w:szCs w:val="24"/>
          <w:lang w:eastAsia="it-IT"/>
          <w14:ligatures w14:val="none"/>
        </w:rPr>
        <w:t>Il principio di auto-organizzazione amministrativa è un principio del diritto amministrativo che attribuisce agli enti pubblici la facoltà di organizzare liberamente la propria struttura e i propri procedimenti, entro i limiti di legge.</w:t>
      </w:r>
    </w:p>
    <w:p w14:paraId="7BF9416E" w14:textId="4DA1720F" w:rsidR="00951DF0" w:rsidRPr="00951DF0" w:rsidRDefault="00CA0176" w:rsidP="00CA017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CA0176">
        <w:rPr>
          <w:rFonts w:ascii="Arial" w:eastAsia="Times New Roman" w:hAnsi="Arial" w:cs="Arial"/>
          <w:kern w:val="0"/>
          <w:sz w:val="24"/>
          <w:szCs w:val="24"/>
          <w:lang w:eastAsia="it-IT"/>
          <w14:ligatures w14:val="none"/>
        </w:rPr>
        <w:lastRenderedPageBreak/>
        <w:t>Nel contesto degli appalti pubblici, questo principio si traduce nel fatto che la stazione appaltante può definire autonomamente procedure, ruoli, strutture e modalità di gestione delle gare, pur rispettando le norme di legge, i principi generali e i vincoli di trasparenza e concorrenza.</w:t>
      </w:r>
    </w:p>
    <w:p w14:paraId="2CFD36F5" w14:textId="354FB08A"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Art. 8 – Principio di autonomia contrattuale</w:t>
      </w:r>
    </w:p>
    <w:p w14:paraId="0D8A141C" w14:textId="41857B2E" w:rsidR="00CA0176" w:rsidRPr="00CA0176" w:rsidRDefault="00951DF0" w:rsidP="00CA0176">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w:t>
      </w:r>
      <w:r w:rsidRPr="00951DF0">
        <w:rPr>
          <w:rFonts w:ascii="Arial" w:eastAsia="Times New Roman" w:hAnsi="Arial" w:cs="Arial"/>
          <w:kern w:val="0"/>
          <w:sz w:val="24"/>
          <w:szCs w:val="24"/>
          <w:lang w:eastAsia="it-IT"/>
          <w14:ligatures w14:val="none"/>
        </w:rPr>
        <w:t xml:space="preserve">e pubbliche amministrazioni godono di autonomia contrattuale per concludere contratti, fermo restando il rispetto delle norme del Codice e del diritto UE. È espresso il divieto di prestazioni d’opera intellettuale a titolo gratuito, salvo casi eccezionali. </w:t>
      </w:r>
      <w:r w:rsidR="00CA0176">
        <w:rPr>
          <w:rFonts w:ascii="Arial" w:eastAsia="Times New Roman" w:hAnsi="Arial" w:cs="Arial"/>
          <w:kern w:val="0"/>
          <w:sz w:val="24"/>
          <w:szCs w:val="24"/>
          <w:lang w:eastAsia="it-IT"/>
          <w14:ligatures w14:val="none"/>
        </w:rPr>
        <w:t xml:space="preserve"> </w:t>
      </w:r>
      <w:r w:rsidR="00CA0176" w:rsidRPr="00CA0176">
        <w:rPr>
          <w:rFonts w:ascii="Arial" w:eastAsia="Times New Roman" w:hAnsi="Arial" w:cs="Arial"/>
          <w:kern w:val="0"/>
          <w:sz w:val="24"/>
          <w:szCs w:val="24"/>
          <w:lang w:eastAsia="it-IT"/>
          <w14:ligatures w14:val="none"/>
        </w:rPr>
        <w:t>L’autonomia contrattuale è un principio generale del diritto civile secondo cui le parti possono determinare liberamente il contenuto del contratto, nei limiti di legge, dell’ordine pubblico e del buon costume (artt. 1322 e ss. c.c.</w:t>
      </w:r>
      <w:proofErr w:type="gramStart"/>
      <w:r w:rsidR="00CA0176" w:rsidRPr="00CA0176">
        <w:rPr>
          <w:rFonts w:ascii="Arial" w:eastAsia="Times New Roman" w:hAnsi="Arial" w:cs="Arial"/>
          <w:kern w:val="0"/>
          <w:sz w:val="24"/>
          <w:szCs w:val="24"/>
          <w:lang w:eastAsia="it-IT"/>
          <w14:ligatures w14:val="none"/>
        </w:rPr>
        <w:t>).Negli</w:t>
      </w:r>
      <w:proofErr w:type="gramEnd"/>
      <w:r w:rsidR="00CA0176" w:rsidRPr="00CA0176">
        <w:rPr>
          <w:rFonts w:ascii="Arial" w:eastAsia="Times New Roman" w:hAnsi="Arial" w:cs="Arial"/>
          <w:kern w:val="0"/>
          <w:sz w:val="24"/>
          <w:szCs w:val="24"/>
          <w:lang w:eastAsia="it-IT"/>
          <w14:ligatures w14:val="none"/>
        </w:rPr>
        <w:t xml:space="preserve"> appalti pubblici, questo principio assume una forma più vincolata, perché la pubblica amministrazione (PA), pur stipulando contratti, deve rispettare norme imperative, principi di trasparenza, concorrenza e imparzialità.</w:t>
      </w:r>
    </w:p>
    <w:p w14:paraId="6489AE28" w14:textId="3609CB21" w:rsidR="00951DF0" w:rsidRPr="00951DF0" w:rsidRDefault="00CA0176" w:rsidP="00CA0176">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i</w:t>
      </w:r>
      <w:r w:rsidRPr="00CA0176">
        <w:rPr>
          <w:rFonts w:ascii="Arial" w:eastAsia="Times New Roman" w:hAnsi="Arial" w:cs="Arial"/>
          <w:kern w:val="0"/>
          <w:sz w:val="24"/>
          <w:szCs w:val="24"/>
          <w:lang w:eastAsia="it-IT"/>
          <w14:ligatures w14:val="none"/>
        </w:rPr>
        <w:t>n pratica: la PA ha autonomia contrattuale limitata e regolamentata, che si esplica soprattutto nella definizione di clausole, modalità di esecuzione e gestione del contratto.</w:t>
      </w:r>
    </w:p>
    <w:p w14:paraId="3F314C2A" w14:textId="3AAD8628"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Art. 9 – Principio di conservazione dell’equilibrio contrattuale</w:t>
      </w:r>
    </w:p>
    <w:p w14:paraId="599CC1B2" w14:textId="77777777" w:rsidR="00CA0176" w:rsidRPr="00CA0176" w:rsidRDefault="00951DF0" w:rsidP="00CA017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Viene riconosciuto il diritto alla rinegoziazione secondo buona fede delle condizioni contrattuali, quando sopravvengano circostanze straordinarie imprevedibili e tali da compromettere l’equilibrio originario del contratto. </w:t>
      </w:r>
      <w:r w:rsidR="00CA0176" w:rsidRPr="00CA0176">
        <w:rPr>
          <w:rFonts w:ascii="Arial" w:eastAsia="Times New Roman" w:hAnsi="Arial" w:cs="Arial"/>
          <w:kern w:val="0"/>
          <w:sz w:val="24"/>
          <w:szCs w:val="24"/>
          <w:lang w:eastAsia="it-IT"/>
          <w14:ligatures w14:val="none"/>
        </w:rPr>
        <w:t>Il principio di conservazione dell’equilibrio contrattuale stabilisce che le condizioni economiche e tecniche del contratto d’appalto devono rimanere sostanzialmente bilanciate durante tutta l’esecuzione.</w:t>
      </w:r>
    </w:p>
    <w:p w14:paraId="6FF56F3C" w14:textId="77777777" w:rsidR="00CA0176" w:rsidRPr="00CA0176" w:rsidRDefault="00CA0176" w:rsidP="00CA017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CA0176">
        <w:rPr>
          <w:rFonts w:ascii="Arial" w:eastAsia="Times New Roman" w:hAnsi="Arial" w:cs="Arial"/>
          <w:kern w:val="0"/>
          <w:sz w:val="24"/>
          <w:szCs w:val="24"/>
          <w:lang w:eastAsia="it-IT"/>
          <w14:ligatures w14:val="none"/>
        </w:rPr>
        <w:t>L’equilibrio contrattuale significa che i rischi, i costi e i benefici previsti nel contratto devono restare proporzionati tra le parti, anche in presenza di eventi imprevisti.</w:t>
      </w:r>
    </w:p>
    <w:p w14:paraId="7EFA91C2" w14:textId="1EB35DCA" w:rsidR="00951DF0" w:rsidRPr="00951DF0" w:rsidRDefault="00CA0176" w:rsidP="00CA017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CA0176">
        <w:rPr>
          <w:rFonts w:ascii="Arial" w:eastAsia="Times New Roman" w:hAnsi="Arial" w:cs="Arial"/>
          <w:kern w:val="0"/>
          <w:sz w:val="24"/>
          <w:szCs w:val="24"/>
          <w:lang w:eastAsia="it-IT"/>
          <w14:ligatures w14:val="none"/>
        </w:rPr>
        <w:t>Obiettivo: garantire continuità del servizio, equità tra le parti e tutela dell’interesse pubblico.</w:t>
      </w:r>
    </w:p>
    <w:p w14:paraId="0581AE7D" w14:textId="74B4C445"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Art. 10 – Principi di tassatività delle cause di esclusione e di massima partecipazione</w:t>
      </w:r>
    </w:p>
    <w:p w14:paraId="03ADF933" w14:textId="39B6837D"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w:t>
      </w:r>
      <w:r w:rsidRPr="00951DF0">
        <w:rPr>
          <w:rFonts w:ascii="Arial" w:eastAsia="Times New Roman" w:hAnsi="Arial" w:cs="Arial"/>
          <w:kern w:val="0"/>
          <w:sz w:val="24"/>
          <w:szCs w:val="24"/>
          <w:lang w:eastAsia="it-IT"/>
          <w14:ligatures w14:val="none"/>
        </w:rPr>
        <w:t xml:space="preserve">e cause di esclusione degli operatori dalle procedure sono tassative e definite dal codice; clausole che prevedono cause ulteriori non previste sono nulle. Si favorisce la più ampia partecipazione compatibilmente con i requisiti richiesti. </w:t>
      </w:r>
    </w:p>
    <w:p w14:paraId="7D9F765B" w14:textId="7E1F3539"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Art. 11 – Principio di applicazione dei contratti collettivi nazionali</w:t>
      </w:r>
    </w:p>
    <w:p w14:paraId="00A2C41A"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 xml:space="preserve">L’articolo 11 disciplina l’applicazione dei contratti collettivi nazionali di settore (CCNL) per il personale impiegato negli appalti pubblici e nelle concessioni, nonché alcune misure legate alla regolarità contributiva e ai pagamenti delle retribuzioni. </w:t>
      </w:r>
    </w:p>
    <w:p w14:paraId="1E589377"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Tutti i lavoratori impiegati nell’esecuzione di appalti pubblici o concessioni devono essere inquadrati e retribuiti secondo il contratto collettivo nazionale e territoriale vigente per il settore e per la zona di esecuzione del lavoro.</w:t>
      </w:r>
    </w:p>
    <w:p w14:paraId="6464AEB2"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 xml:space="preserve">Il contratto deve essere stipulato dalle associazioni sindacali e datoriali più rappresentative a livello nazionale, e deve essere attinente all’attività prevalente dell’appalto. </w:t>
      </w:r>
    </w:p>
    <w:p w14:paraId="5DE42A75" w14:textId="50CECFDE"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lastRenderedPageBreak/>
        <w:t>i</w:t>
      </w:r>
      <w:r w:rsidRPr="00535CE5">
        <w:rPr>
          <w:rFonts w:ascii="Arial" w:eastAsia="Times New Roman" w:hAnsi="Arial" w:cs="Arial"/>
          <w:kern w:val="0"/>
          <w:sz w:val="24"/>
          <w:szCs w:val="24"/>
          <w:lang w:eastAsia="it-IT"/>
          <w14:ligatures w14:val="none"/>
        </w:rPr>
        <w:t xml:space="preserve">l legislatore vuole assicurare che i lavoratori delle imprese appaltatrici abbiano diritti e condizioni retributive adeguate, evitando l’applicazione di contratti inferiori o non pertinenti. </w:t>
      </w:r>
    </w:p>
    <w:p w14:paraId="17D507ED"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Le stazioni appaltanti e gli enti concedenti devono indicare già nei bandi di gara o negli inviti qual è il CCNL applicabile ai lavoratori dell’appalto, secondo le regole del comma 1.</w:t>
      </w:r>
    </w:p>
    <w:p w14:paraId="5BDEF4D0"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 xml:space="preserve">Questa indicazione serve a chiarire fin dall’inizio quale contratto collettivo deve essere preso come riferimento per il calcolo dei costi e per le condizioni di lavoro. </w:t>
      </w:r>
    </w:p>
    <w:p w14:paraId="36A91CBF"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 xml:space="preserve">Libertà di scelta: l’operatore economico (cioè l’impresa che partecipa alla gara) può indicare nella propria offerta un CCNL diverso da quello indicato dalla stazione appaltante, ma solo se garantisce ai lavoratori le stesse tutele economiche e normative di quello indicato dalla PA. </w:t>
      </w:r>
    </w:p>
    <w:p w14:paraId="4D2785B3" w14:textId="7A1FCFE0"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 xml:space="preserve">Verifica prima dell’aggiudicazione: se l’operatore sceglie un CCNL diverso, la stazione appaltante deve acquisire una dichiarazione in cui l’operatore si impegna ad applicare quel contratto per tutta la durata dell’appalto oppure </w:t>
      </w:r>
      <w:proofErr w:type="spellStart"/>
      <w:r w:rsidRPr="00535CE5">
        <w:rPr>
          <w:rFonts w:ascii="Arial" w:eastAsia="Times New Roman" w:hAnsi="Arial" w:cs="Arial"/>
          <w:kern w:val="0"/>
          <w:sz w:val="24"/>
          <w:szCs w:val="24"/>
          <w:lang w:eastAsia="it-IT"/>
          <w14:ligatures w14:val="none"/>
        </w:rPr>
        <w:t>na</w:t>
      </w:r>
      <w:proofErr w:type="spellEnd"/>
      <w:r w:rsidRPr="00535CE5">
        <w:rPr>
          <w:rFonts w:ascii="Arial" w:eastAsia="Times New Roman" w:hAnsi="Arial" w:cs="Arial"/>
          <w:kern w:val="0"/>
          <w:sz w:val="24"/>
          <w:szCs w:val="24"/>
          <w:lang w:eastAsia="it-IT"/>
          <w14:ligatures w14:val="none"/>
        </w:rPr>
        <w:t xml:space="preserve"> dichiarazione di equivalenza delle tutele.</w:t>
      </w:r>
    </w:p>
    <w:p w14:paraId="584C7FD6"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 xml:space="preserve">Tale dichiarazione di equivalenza può essere verificata dalla PA con le modalità previste dall’art. 110 del Codice. </w:t>
      </w:r>
    </w:p>
    <w:p w14:paraId="5DEC6CA2" w14:textId="1AA5AEF8"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 xml:space="preserve">Questo bilancia la libertà imprenditoriale con la tutela dei lavoratori: l’impresa può proporre un contratto diverso, ma deve dimostrare che non si riducono i diritti del personale. </w:t>
      </w:r>
    </w:p>
    <w:p w14:paraId="61C105D4"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Sull’importo netto delle prestazioni dell’appalto viene applicata una ritenuta dell’0,50 %.</w:t>
      </w:r>
    </w:p>
    <w:p w14:paraId="1670F218"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 xml:space="preserve">Questa ritenuta può essere svincolata solo in sede di liquidazione finale, dopo collaudo o verifica di conformità dell’opera, e solo dopo la verifica del DURC (Documento Unico di Regolarità Contributiva). </w:t>
      </w:r>
    </w:p>
    <w:p w14:paraId="0E04A94D" w14:textId="5B421F52" w:rsid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 xml:space="preserve">Lo scopo è garantire che l’impresa sia regolare nei pagamenti contributivi e retributivi prima che il committente pubblico sblocchi completamente i fondi. </w:t>
      </w:r>
    </w:p>
    <w:p w14:paraId="232BDA9F"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L’art. 11 stabilisce che il pagamento delle prestazioni dell’appalto è condizionato alla verifica della regolarità contributiva.</w:t>
      </w:r>
    </w:p>
    <w:p w14:paraId="088596A9"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La regolarità contributiva si attesta tramite il DURC (Documento Unico di Regolarità Contributiva).</w:t>
      </w:r>
    </w:p>
    <w:p w14:paraId="58D6616C"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DURC positivo = impresa in regola con INPS, INAIL e Casse Edili (se settore edile).</w:t>
      </w:r>
    </w:p>
    <w:p w14:paraId="69AFA284" w14:textId="78F75AAE"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DURC negativo o assente = la PA può trattenere la ritenuta dello 0,50</w:t>
      </w:r>
      <w:r w:rsidRPr="00535CE5">
        <w:t xml:space="preserve"> </w:t>
      </w:r>
      <w:r w:rsidRPr="00535CE5">
        <w:rPr>
          <w:rFonts w:ascii="Arial" w:eastAsia="Times New Roman" w:hAnsi="Arial" w:cs="Arial"/>
          <w:kern w:val="0"/>
          <w:sz w:val="24"/>
          <w:szCs w:val="24"/>
          <w:lang w:eastAsia="it-IT"/>
          <w14:ligatures w14:val="none"/>
        </w:rPr>
        <w:t>Secondo l’art. 11:</w:t>
      </w:r>
    </w:p>
    <w:p w14:paraId="4781A4CC" w14:textId="33ADF41B"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Se </w:t>
      </w:r>
      <w:proofErr w:type="gramStart"/>
      <w:r>
        <w:rPr>
          <w:rFonts w:ascii="Arial" w:eastAsia="Times New Roman" w:hAnsi="Arial" w:cs="Arial"/>
          <w:kern w:val="0"/>
          <w:sz w:val="24"/>
          <w:szCs w:val="24"/>
          <w:lang w:eastAsia="it-IT"/>
          <w14:ligatures w14:val="none"/>
        </w:rPr>
        <w:t>un’ impresa</w:t>
      </w:r>
      <w:proofErr w:type="gramEnd"/>
      <w:r>
        <w:rPr>
          <w:rFonts w:ascii="Arial" w:eastAsia="Times New Roman" w:hAnsi="Arial" w:cs="Arial"/>
          <w:kern w:val="0"/>
          <w:sz w:val="24"/>
          <w:szCs w:val="24"/>
          <w:lang w:eastAsia="it-IT"/>
          <w14:ligatures w14:val="none"/>
        </w:rPr>
        <w:t xml:space="preserve"> non è regolare da un punto di vista contributivo…. </w:t>
      </w:r>
      <w:r w:rsidRPr="00535CE5">
        <w:rPr>
          <w:rFonts w:ascii="Arial" w:eastAsia="Times New Roman" w:hAnsi="Arial" w:cs="Arial"/>
          <w:kern w:val="0"/>
          <w:sz w:val="24"/>
          <w:szCs w:val="24"/>
          <w:lang w:eastAsia="it-IT"/>
          <w14:ligatures w14:val="none"/>
        </w:rPr>
        <w:t>Secondo l’art. 11:</w:t>
      </w:r>
    </w:p>
    <w:p w14:paraId="539C03D8" w14:textId="77777777" w:rsidR="00535CE5" w:rsidRPr="00535CE5" w:rsidRDefault="00535CE5" w:rsidP="00535CE5">
      <w:pPr>
        <w:pStyle w:val="Paragrafoelenco"/>
        <w:numPr>
          <w:ilvl w:val="0"/>
          <w:numId w:val="46"/>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Trattenuta della ritenuta dello 0,50 % sull’importo netto dell’appalto fino alla regolarizzazione.</w:t>
      </w:r>
    </w:p>
    <w:p w14:paraId="42E16BFB" w14:textId="77777777" w:rsidR="00535CE5" w:rsidRPr="00535CE5" w:rsidRDefault="00535CE5" w:rsidP="00535CE5">
      <w:pPr>
        <w:pStyle w:val="Paragrafoelenco"/>
        <w:numPr>
          <w:ilvl w:val="0"/>
          <w:numId w:val="46"/>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Possibile sospensione dei pagamenti parziali o finali finché la ditta non dimostra di aver sanato le inadempienze contributive.</w:t>
      </w:r>
    </w:p>
    <w:p w14:paraId="633C9269" w14:textId="3F36C846" w:rsidR="00535CE5" w:rsidRPr="00535CE5" w:rsidRDefault="00535CE5" w:rsidP="00535CE5">
      <w:pPr>
        <w:pStyle w:val="Paragrafoelenco"/>
        <w:numPr>
          <w:ilvl w:val="0"/>
          <w:numId w:val="46"/>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lastRenderedPageBreak/>
        <w:t>Se l’irregolarità riguarda un requisito essenziale per la partecipazione alla gara, l’impresa rischia l’esclusione dall’appalto o la revoca dell’aggiudicazione, in base alle norme generali del Codice dei contratti.</w:t>
      </w:r>
    </w:p>
    <w:p w14:paraId="166F9200" w14:textId="4A7AC74C"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Art. 12 – Rinvio esterno</w:t>
      </w:r>
    </w:p>
    <w:p w14:paraId="3D49F0A1"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Prevede i rinvii esterni ad altre norme o alla disciplina di settore per aspetti non espressamente regolati dal Codice o per materie specifiche richiamate dalla normativa primaria o secondaria. </w:t>
      </w:r>
    </w:p>
    <w:p w14:paraId="439C5E2D" w14:textId="22FD3F18" w:rsid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Questa sintesi riguarda la struttura dei primi 12 articoli come concepita nel testo originario del </w:t>
      </w:r>
      <w:proofErr w:type="spellStart"/>
      <w:r w:rsidRPr="00951DF0">
        <w:rPr>
          <w:rFonts w:ascii="Arial" w:eastAsia="Times New Roman" w:hAnsi="Arial" w:cs="Arial"/>
          <w:kern w:val="0"/>
          <w:sz w:val="24"/>
          <w:szCs w:val="24"/>
          <w:lang w:eastAsia="it-IT"/>
          <w14:ligatures w14:val="none"/>
        </w:rPr>
        <w:t>D.Lgs.</w:t>
      </w:r>
      <w:proofErr w:type="spellEnd"/>
      <w:r w:rsidRPr="00951DF0">
        <w:rPr>
          <w:rFonts w:ascii="Arial" w:eastAsia="Times New Roman" w:hAnsi="Arial" w:cs="Arial"/>
          <w:kern w:val="0"/>
          <w:sz w:val="24"/>
          <w:szCs w:val="24"/>
          <w:lang w:eastAsia="it-IT"/>
          <w14:ligatures w14:val="none"/>
        </w:rPr>
        <w:t xml:space="preserve"> 36/2023, che costituiscono i cosiddetti “principi generali del Codice dei contratti pubblici”, fondamentali per l’interpretazione e l’applicazione dell’intero sistema degli appalti pubblici in Italia.</w:t>
      </w:r>
    </w:p>
    <w:p w14:paraId="45698748" w14:textId="2115D27D" w:rsidR="00535CE5" w:rsidRDefault="00535CE5"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LOTTIZZAZIONE</w:t>
      </w:r>
    </w:p>
    <w:p w14:paraId="68CE17F2" w14:textId="6696EDF2" w:rsidR="00535CE5" w:rsidRDefault="00535CE5"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La suddivisione in lotti degli appalti pubblici è un principio fondamentale per garantire la partecipazione delle micro, piccole e medie imprese. Secondo l'articolo 58 del nuovo Codice dei Contratti Pubblici (</w:t>
      </w:r>
      <w:proofErr w:type="spellStart"/>
      <w:r w:rsidRPr="00535CE5">
        <w:rPr>
          <w:rFonts w:ascii="Arial" w:eastAsia="Times New Roman" w:hAnsi="Arial" w:cs="Arial"/>
          <w:kern w:val="0"/>
          <w:sz w:val="24"/>
          <w:szCs w:val="24"/>
          <w:lang w:eastAsia="it-IT"/>
          <w14:ligatures w14:val="none"/>
        </w:rPr>
        <w:t>D.Lgs.</w:t>
      </w:r>
      <w:proofErr w:type="spellEnd"/>
      <w:r w:rsidRPr="00535CE5">
        <w:rPr>
          <w:rFonts w:ascii="Arial" w:eastAsia="Times New Roman" w:hAnsi="Arial" w:cs="Arial"/>
          <w:kern w:val="0"/>
          <w:sz w:val="24"/>
          <w:szCs w:val="24"/>
          <w:lang w:eastAsia="it-IT"/>
          <w14:ligatures w14:val="none"/>
        </w:rPr>
        <w:t xml:space="preserve"> 36/2023), gli appalti sono suddivisi in lotti funzionali, prestazionali o quantitativi in conformità alle categorie o specializzazioni nel settore dei lavori, servizi e forniture. La stazione appaltante deve motivare adeguatamente la suddivisione in lotti, considerando le specifiche caratteristiche della gara e l'obiettivo di promuovere la concorrenza e l'efficienza nel settore degli appalti pubblici. Inoltre, è vietato l'artificioso accorpamento dei lotti e la stazione appaltante può limitare il numero massimo di lotti per i quali è consentita l'aggiudicazione al medesimo concorrente per ragioni connesse alle caratteristiche della gara e all'efficienza della prestazione.</w:t>
      </w:r>
    </w:p>
    <w:p w14:paraId="071EB575" w14:textId="77777777" w:rsidR="00863602" w:rsidRPr="00863602" w:rsidRDefault="00863602" w:rsidP="00863602">
      <w:pPr>
        <w:shd w:val="clear" w:color="auto" w:fill="FFFFFF"/>
        <w:spacing w:after="100" w:afterAutospacing="1" w:line="240" w:lineRule="auto"/>
        <w:rPr>
          <w:rFonts w:ascii="Arial" w:eastAsia="Times New Roman" w:hAnsi="Arial" w:cs="Arial"/>
          <w:kern w:val="0"/>
          <w:sz w:val="24"/>
          <w:szCs w:val="24"/>
          <w:lang w:eastAsia="it-IT"/>
          <w14:ligatures w14:val="none"/>
        </w:rPr>
      </w:pPr>
      <w:r w:rsidRPr="00863602">
        <w:rPr>
          <w:rFonts w:ascii="Arial" w:eastAsia="Times New Roman" w:hAnsi="Arial" w:cs="Arial"/>
          <w:kern w:val="0"/>
          <w:sz w:val="24"/>
          <w:szCs w:val="24"/>
          <w:lang w:eastAsia="it-IT"/>
          <w14:ligatures w14:val="none"/>
        </w:rPr>
        <w:t>A tale proposito, il Codice 36 del 2023 specifica che gli appalti sono suddivisi in lotti funzionali, prestazionali o quantitativi in conformità alle categorie o specializzazioni e il loro valore adeguato in modo da garantire l’effettiva possibilità di partecipazione da parte delle microimprese, piccole e medie imprese (art. 58, commi 1 e 2).</w:t>
      </w:r>
    </w:p>
    <w:p w14:paraId="3E654999" w14:textId="77777777" w:rsidR="00863602" w:rsidRPr="00863602" w:rsidRDefault="00863602" w:rsidP="00863602">
      <w:pPr>
        <w:shd w:val="clear" w:color="auto" w:fill="FFFFFF"/>
        <w:spacing w:after="100" w:afterAutospacing="1" w:line="240" w:lineRule="auto"/>
        <w:rPr>
          <w:rFonts w:ascii="Arial" w:eastAsia="Times New Roman" w:hAnsi="Arial" w:cs="Arial"/>
          <w:kern w:val="0"/>
          <w:sz w:val="24"/>
          <w:szCs w:val="24"/>
          <w:lang w:eastAsia="it-IT"/>
          <w14:ligatures w14:val="none"/>
        </w:rPr>
      </w:pPr>
      <w:r w:rsidRPr="00863602">
        <w:rPr>
          <w:rFonts w:ascii="Arial" w:eastAsia="Times New Roman" w:hAnsi="Arial" w:cs="Arial"/>
          <w:kern w:val="0"/>
          <w:sz w:val="24"/>
          <w:szCs w:val="24"/>
          <w:lang w:eastAsia="it-IT"/>
          <w14:ligatures w14:val="none"/>
        </w:rPr>
        <w:t>Pertanto, qualora la stazione appaltante, a fronte di un importo elevato di gara, decida di non suddividere l’appalto in più lotti, deve – nel bando o nell’avviso di indizione della gara – fornire una motivazione della mancata suddivisione, tenendo conto dei princìpi europei sulla promozione di condizioni di concorrenza paritarie per le piccole e medie imprese (comma 2).</w:t>
      </w:r>
    </w:p>
    <w:p w14:paraId="036A8D64" w14:textId="7B7A61C2" w:rsidR="00863602" w:rsidRPr="00863602" w:rsidRDefault="00863602" w:rsidP="00863602">
      <w:pPr>
        <w:shd w:val="clear" w:color="auto" w:fill="FFFFFF"/>
        <w:spacing w:after="100" w:afterAutospacing="1" w:line="240" w:lineRule="auto"/>
        <w:rPr>
          <w:rFonts w:ascii="Arial" w:eastAsia="Times New Roman" w:hAnsi="Arial" w:cs="Arial"/>
          <w:kern w:val="0"/>
          <w:sz w:val="24"/>
          <w:szCs w:val="24"/>
          <w:lang w:eastAsia="it-IT"/>
          <w14:ligatures w14:val="none"/>
        </w:rPr>
      </w:pPr>
      <w:r w:rsidRPr="00863602">
        <w:rPr>
          <w:rFonts w:ascii="Arial" w:eastAsia="Times New Roman" w:hAnsi="Arial" w:cs="Arial"/>
          <w:kern w:val="0"/>
          <w:sz w:val="24"/>
          <w:szCs w:val="24"/>
          <w:lang w:eastAsia="it-IT"/>
          <w14:ligatures w14:val="none"/>
        </w:rPr>
        <w:t xml:space="preserve">Dove la suddivisione in lotti è applicata, la stazione appaltante deve, nei documenti di gara, specificare i criteri di suddivisione, sia qualitativi che quantitativi, basati sui parametri precedentemente menzionati (comma 3). Inoltre, </w:t>
      </w:r>
      <w:r>
        <w:rPr>
          <w:rFonts w:ascii="Arial" w:eastAsia="Times New Roman" w:hAnsi="Arial" w:cs="Arial"/>
          <w:kern w:val="0"/>
          <w:sz w:val="24"/>
          <w:szCs w:val="24"/>
          <w:lang w:eastAsia="it-IT"/>
          <w14:ligatures w14:val="none"/>
        </w:rPr>
        <w:t>D</w:t>
      </w:r>
      <w:r w:rsidRPr="00863602">
        <w:rPr>
          <w:rFonts w:ascii="Arial" w:eastAsia="Times New Roman" w:hAnsi="Arial" w:cs="Arial"/>
          <w:kern w:val="0"/>
          <w:sz w:val="24"/>
          <w:szCs w:val="24"/>
          <w:lang w:eastAsia="it-IT"/>
          <w14:ligatures w14:val="none"/>
        </w:rPr>
        <w:t>eve indicare chiaramente il criterio di selezione non discriminatorio dei lotti da assegnare al concorrente che ha ottenuto una quantità di lotti superiore al limite stabilito (comma 4).</w:t>
      </w:r>
    </w:p>
    <w:p w14:paraId="7BF7DBBA" w14:textId="1C85B20B" w:rsidR="00863602" w:rsidRDefault="00863602" w:rsidP="00863602">
      <w:pPr>
        <w:shd w:val="clear" w:color="auto" w:fill="FFFFFF"/>
        <w:spacing w:after="100" w:afterAutospacing="1" w:line="240" w:lineRule="auto"/>
        <w:rPr>
          <w:rFonts w:ascii="Arial" w:eastAsia="Times New Roman" w:hAnsi="Arial" w:cs="Arial"/>
          <w:kern w:val="0"/>
          <w:sz w:val="24"/>
          <w:szCs w:val="24"/>
          <w:lang w:eastAsia="it-IT"/>
          <w14:ligatures w14:val="none"/>
        </w:rPr>
      </w:pPr>
      <w:r w:rsidRPr="00863602">
        <w:rPr>
          <w:rFonts w:ascii="Arial" w:eastAsia="Times New Roman" w:hAnsi="Arial" w:cs="Arial"/>
          <w:kern w:val="0"/>
          <w:sz w:val="24"/>
          <w:szCs w:val="24"/>
          <w:lang w:eastAsia="it-IT"/>
          <w14:ligatures w14:val="none"/>
        </w:rPr>
        <w:t>Sotto quest’ultimo profilo, una delle novità più significative è l’introduzione delle “offerte sulle associazioni di lotti”, che consente alla stazione appaltante di suddividere la procedura in lotti, da aggiudicare in gruppi di lotti associati. Questo meccanismo, noto anche come “asta combinatoria”, è finalizzato a ottenere, soprattutto nelle forniture, migliori rapporti qualità-prezzo per la stazione appaltante (comma 5)</w:t>
      </w:r>
    </w:p>
    <w:p w14:paraId="4212CD09" w14:textId="1B11D39E" w:rsidR="00BC34BA" w:rsidRDefault="00BC34BA" w:rsidP="00863602">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lastRenderedPageBreak/>
        <w:t>NUOVE SOGLIE COMUNITARIE</w:t>
      </w:r>
    </w:p>
    <w:p w14:paraId="40D9DF8B"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A decorrere dal 1° gennaio 2026 entreranno in vigore le nuove soglie di rilevanza comunitaria per gli appalti pubblici e le concessioni, che aggiornano i valori economici di riferimento ai fini dell’applicazione delle direttive europee sugli appalti pubblici per il biennio 2026–2027.</w:t>
      </w:r>
    </w:p>
    <w:p w14:paraId="0161B696"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Le soglie di rilevanza comunitaria rappresentano uno strumento cardine del diritto europeo degli appalti pubblici, poiché definiscono l’ambito di applicazione delle direttive rispetto ai regimi nazionali.</w:t>
      </w:r>
    </w:p>
    <w:p w14:paraId="1CA638DD"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Ai sensi delle direttive 2014/24/UE e 2008/18/</w:t>
      </w:r>
      <w:proofErr w:type="gramStart"/>
      <w:r w:rsidRPr="00BC34BA">
        <w:rPr>
          <w:rFonts w:ascii="Arial" w:eastAsia="Times New Roman" w:hAnsi="Arial" w:cs="Arial"/>
          <w:kern w:val="0"/>
          <w:sz w:val="24"/>
          <w:szCs w:val="24"/>
          <w:lang w:eastAsia="it-IT"/>
          <w14:ligatures w14:val="none"/>
        </w:rPr>
        <w:t>EC  la</w:t>
      </w:r>
      <w:proofErr w:type="gramEnd"/>
      <w:r w:rsidRPr="00BC34BA">
        <w:rPr>
          <w:rFonts w:ascii="Arial" w:eastAsia="Times New Roman" w:hAnsi="Arial" w:cs="Arial"/>
          <w:kern w:val="0"/>
          <w:sz w:val="24"/>
          <w:szCs w:val="24"/>
          <w:lang w:eastAsia="it-IT"/>
          <w14:ligatures w14:val="none"/>
        </w:rPr>
        <w:t xml:space="preserve"> Commissione europea aggiorna ogni due anni i valori delle soglie tenendo conto delle variazioni dei tassi di cambio e del valore dei DSP (diritti speciali di prelievo).</w:t>
      </w:r>
    </w:p>
    <w:p w14:paraId="2FE03BBF"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 xml:space="preserve">L’art. 14 del </w:t>
      </w:r>
      <w:proofErr w:type="spellStart"/>
      <w:r w:rsidRPr="00BC34BA">
        <w:rPr>
          <w:rFonts w:ascii="Arial" w:eastAsia="Times New Roman" w:hAnsi="Arial" w:cs="Arial"/>
          <w:kern w:val="0"/>
          <w:sz w:val="24"/>
          <w:szCs w:val="24"/>
          <w:lang w:eastAsia="it-IT"/>
          <w14:ligatures w14:val="none"/>
        </w:rPr>
        <w:t>D.Lgs.</w:t>
      </w:r>
      <w:proofErr w:type="spellEnd"/>
      <w:r w:rsidRPr="00BC34BA">
        <w:rPr>
          <w:rFonts w:ascii="Arial" w:eastAsia="Times New Roman" w:hAnsi="Arial" w:cs="Arial"/>
          <w:kern w:val="0"/>
          <w:sz w:val="24"/>
          <w:szCs w:val="24"/>
          <w:lang w:eastAsia="it-IT"/>
          <w14:ligatures w14:val="none"/>
        </w:rPr>
        <w:t xml:space="preserve"> 36/2023 recepisce tale meccanismo, stabilendo che </w:t>
      </w:r>
      <w:proofErr w:type="spellStart"/>
      <w:r w:rsidRPr="00BC34BA">
        <w:rPr>
          <w:rFonts w:ascii="Arial" w:eastAsia="Times New Roman" w:hAnsi="Arial" w:cs="Arial"/>
          <w:kern w:val="0"/>
          <w:sz w:val="24"/>
          <w:szCs w:val="24"/>
          <w:lang w:eastAsia="it-IT"/>
          <w14:ligatures w14:val="none"/>
        </w:rPr>
        <w:t>wle</w:t>
      </w:r>
      <w:proofErr w:type="spellEnd"/>
      <w:r w:rsidRPr="00BC34BA">
        <w:rPr>
          <w:rFonts w:ascii="Arial" w:eastAsia="Times New Roman" w:hAnsi="Arial" w:cs="Arial"/>
          <w:kern w:val="0"/>
          <w:sz w:val="24"/>
          <w:szCs w:val="24"/>
          <w:lang w:eastAsia="it-IT"/>
          <w14:ligatures w14:val="none"/>
        </w:rPr>
        <w:t xml:space="preserve"> soglie di rilevanza europea sono periodicamente rideterminate con provvedimento della Commissione europea e si applicano dal giorno successivo alla pubblicazione nella Gazzetta Ufficiale dell’Unione europea.</w:t>
      </w:r>
    </w:p>
    <w:p w14:paraId="4860DBFA"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Tali soglie segnano la linea di demarcazione tra:</w:t>
      </w:r>
    </w:p>
    <w:p w14:paraId="46E3CFE3"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appalti sopra soglia, soggetti alla disciplina completa delle direttive UE (obblighi di pubblicazione in GUUE, termini procedurali, regole di aggiudicazione);</w:t>
      </w:r>
    </w:p>
    <w:p w14:paraId="2CAB1354"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 xml:space="preserve">appalti </w:t>
      </w:r>
      <w:proofErr w:type="gramStart"/>
      <w:r w:rsidRPr="00BC34BA">
        <w:rPr>
          <w:rFonts w:ascii="Arial" w:eastAsia="Times New Roman" w:hAnsi="Arial" w:cs="Arial"/>
          <w:kern w:val="0"/>
          <w:sz w:val="24"/>
          <w:szCs w:val="24"/>
          <w:lang w:eastAsia="it-IT"/>
          <w14:ligatures w14:val="none"/>
        </w:rPr>
        <w:t>sotto soglia</w:t>
      </w:r>
      <w:proofErr w:type="gramEnd"/>
      <w:r w:rsidRPr="00BC34BA">
        <w:rPr>
          <w:rFonts w:ascii="Arial" w:eastAsia="Times New Roman" w:hAnsi="Arial" w:cs="Arial"/>
          <w:kern w:val="0"/>
          <w:sz w:val="24"/>
          <w:szCs w:val="24"/>
          <w:lang w:eastAsia="it-IT"/>
          <w14:ligatures w14:val="none"/>
        </w:rPr>
        <w:t>, disciplinati dal diritto nazionale, pur nel rispetto dei principi generali di trasparenza, concorrenza e risultato.</w:t>
      </w:r>
    </w:p>
    <w:p w14:paraId="3A114B84"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Le nuove soglie comunitarie in vigore dal 1° gennaio 2026</w:t>
      </w:r>
    </w:p>
    <w:p w14:paraId="448AE42A"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 xml:space="preserve">Con decorrenza </w:t>
      </w:r>
      <w:proofErr w:type="gramStart"/>
      <w:r w:rsidRPr="00BC34BA">
        <w:rPr>
          <w:rFonts w:ascii="Arial" w:eastAsia="Times New Roman" w:hAnsi="Arial" w:cs="Arial"/>
          <w:kern w:val="0"/>
          <w:sz w:val="24"/>
          <w:szCs w:val="24"/>
          <w:lang w:eastAsia="it-IT"/>
          <w14:ligatures w14:val="none"/>
        </w:rPr>
        <w:t>1 gennaio</w:t>
      </w:r>
      <w:proofErr w:type="gramEnd"/>
      <w:r w:rsidRPr="00BC34BA">
        <w:rPr>
          <w:rFonts w:ascii="Arial" w:eastAsia="Times New Roman" w:hAnsi="Arial" w:cs="Arial"/>
          <w:kern w:val="0"/>
          <w:sz w:val="24"/>
          <w:szCs w:val="24"/>
          <w:lang w:eastAsia="it-IT"/>
          <w14:ligatures w14:val="none"/>
        </w:rPr>
        <w:t xml:space="preserve"> 2026, le nuove soglie europee per il biennio 2026-2027 sono così fissate:</w:t>
      </w:r>
    </w:p>
    <w:p w14:paraId="1F5FF79A"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A) Settori ordinari</w:t>
      </w:r>
    </w:p>
    <w:p w14:paraId="3FAA8857"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€ 140.000 – per gli appalti pubblici di forniture e servizi aggiudicati dalle autorità governative centrali e per i concorsi di progettazione da esse organizzati;</w:t>
      </w:r>
    </w:p>
    <w:p w14:paraId="0C3D50B1"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€ 216.000 – per gli appalti pubblici di forniture e servizi aggiudicati da amministrazioni aggiudicatrici sub-centrali (Regioni, Comuni, Università, enti pubblici) e per i concorsi di progettazione organizzati da tali amministrazioni;</w:t>
      </w:r>
    </w:p>
    <w:p w14:paraId="274D5D09"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€ 5.404.000 – per gli appalti di lavori pubblici.</w:t>
      </w:r>
    </w:p>
    <w:p w14:paraId="5DF6E7BA"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B) Settori speciali</w:t>
      </w:r>
    </w:p>
    <w:p w14:paraId="6424B305"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€ 432.000 – per gli appalti di forniture e servizi e per i concorsi di progettazione;</w:t>
      </w:r>
    </w:p>
    <w:p w14:paraId="6EF4A898"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€ 5.404.000 – per gli appalti di lavori.</w:t>
      </w:r>
    </w:p>
    <w:p w14:paraId="3AF4D0FF"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C) Concessioni</w:t>
      </w:r>
    </w:p>
    <w:p w14:paraId="5D029130"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lastRenderedPageBreak/>
        <w:t>€ 5.404.000 – per le concessioni di lavori e servizi.</w:t>
      </w:r>
    </w:p>
    <w:p w14:paraId="4688D460"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 xml:space="preserve">Tali valori sostituiranno quindi, dal </w:t>
      </w:r>
      <w:proofErr w:type="gramStart"/>
      <w:r w:rsidRPr="00BC34BA">
        <w:rPr>
          <w:rFonts w:ascii="Arial" w:eastAsia="Times New Roman" w:hAnsi="Arial" w:cs="Arial"/>
          <w:kern w:val="0"/>
          <w:sz w:val="24"/>
          <w:szCs w:val="24"/>
          <w:lang w:eastAsia="it-IT"/>
          <w14:ligatures w14:val="none"/>
        </w:rPr>
        <w:t>1 gennaio</w:t>
      </w:r>
      <w:proofErr w:type="gramEnd"/>
      <w:r w:rsidRPr="00BC34BA">
        <w:rPr>
          <w:rFonts w:ascii="Arial" w:eastAsia="Times New Roman" w:hAnsi="Arial" w:cs="Arial"/>
          <w:kern w:val="0"/>
          <w:sz w:val="24"/>
          <w:szCs w:val="24"/>
          <w:lang w:eastAsia="it-IT"/>
          <w14:ligatures w14:val="none"/>
        </w:rPr>
        <w:t xml:space="preserve"> 2026, le soglie previgenti (2024-2025), riducendo lievemente gli importi per lavori e forniture in un’ottica di allineamento ai parametri economici internazionali e di adeguamento all’andamento dei tassi di cambio.</w:t>
      </w:r>
    </w:p>
    <w:p w14:paraId="0A483CF9"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L’aggiornamento delle soglie comunitarie a partire dal 1° gennaio 2026 non rappresenta soltanto un adeguamento tecnico dei valori economici, ma costituisce un segnale politico e giuridico di stabilità del sistema europeo degli appalti pubblici.</w:t>
      </w:r>
    </w:p>
    <w:p w14:paraId="73596B6F" w14:textId="1057C49F" w:rsidR="00BC34BA" w:rsidRPr="000442C0"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Le nuove soglie riaffermano il principio di unità del mercato europeo, garantendo parità di accesso e uniformità procedurale tra gli Stati membri, ma al tempo stesso restituiscono agli ordinamenti nazionali un margine di flessibilità regolata, coerente con il principio del risultato e con le esigenze di efficienza amministrativa.</w:t>
      </w:r>
    </w:p>
    <w:p w14:paraId="792C4A6F" w14:textId="77777777" w:rsidR="00F212FA" w:rsidRP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p>
    <w:sectPr w:rsidR="00F212FA" w:rsidRPr="00F212F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1D93"/>
    <w:multiLevelType w:val="multilevel"/>
    <w:tmpl w:val="8BB05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36880"/>
    <w:multiLevelType w:val="hybridMultilevel"/>
    <w:tmpl w:val="6B1A4B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924CD9"/>
    <w:multiLevelType w:val="multilevel"/>
    <w:tmpl w:val="A60CB5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7194D52"/>
    <w:multiLevelType w:val="hybridMultilevel"/>
    <w:tmpl w:val="F392D0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9F32D37"/>
    <w:multiLevelType w:val="multilevel"/>
    <w:tmpl w:val="B04CC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544CD8"/>
    <w:multiLevelType w:val="multilevel"/>
    <w:tmpl w:val="6CA6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E311BD"/>
    <w:multiLevelType w:val="multilevel"/>
    <w:tmpl w:val="6A64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897E33"/>
    <w:multiLevelType w:val="hybridMultilevel"/>
    <w:tmpl w:val="7E201B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3940FF3"/>
    <w:multiLevelType w:val="hybridMultilevel"/>
    <w:tmpl w:val="1C2888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4255AB6"/>
    <w:multiLevelType w:val="multilevel"/>
    <w:tmpl w:val="69183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EC1272"/>
    <w:multiLevelType w:val="multilevel"/>
    <w:tmpl w:val="B96E3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5E0A80"/>
    <w:multiLevelType w:val="multilevel"/>
    <w:tmpl w:val="1A5A4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AD7C0B"/>
    <w:multiLevelType w:val="hybridMultilevel"/>
    <w:tmpl w:val="EC9222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E227BC8"/>
    <w:multiLevelType w:val="multilevel"/>
    <w:tmpl w:val="F5AA2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577660"/>
    <w:multiLevelType w:val="multilevel"/>
    <w:tmpl w:val="4B383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3110D5"/>
    <w:multiLevelType w:val="hybridMultilevel"/>
    <w:tmpl w:val="D3723B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7685097"/>
    <w:multiLevelType w:val="multilevel"/>
    <w:tmpl w:val="CA6896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A160ED0"/>
    <w:multiLevelType w:val="multilevel"/>
    <w:tmpl w:val="CED8A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EF1C9F"/>
    <w:multiLevelType w:val="multilevel"/>
    <w:tmpl w:val="73449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18501D"/>
    <w:multiLevelType w:val="hybridMultilevel"/>
    <w:tmpl w:val="1F8240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C8C0915"/>
    <w:multiLevelType w:val="multilevel"/>
    <w:tmpl w:val="2632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B0657C"/>
    <w:multiLevelType w:val="multilevel"/>
    <w:tmpl w:val="0EB8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E047C1"/>
    <w:multiLevelType w:val="multilevel"/>
    <w:tmpl w:val="A4B07F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917428"/>
    <w:multiLevelType w:val="multilevel"/>
    <w:tmpl w:val="12D49B8A"/>
    <w:lvl w:ilvl="0">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1375B3"/>
    <w:multiLevelType w:val="multilevel"/>
    <w:tmpl w:val="3A5A1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A13A2D"/>
    <w:multiLevelType w:val="multilevel"/>
    <w:tmpl w:val="4420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431015"/>
    <w:multiLevelType w:val="multilevel"/>
    <w:tmpl w:val="4F40B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DE51B6D"/>
    <w:multiLevelType w:val="multilevel"/>
    <w:tmpl w:val="C92E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813FD9"/>
    <w:multiLevelType w:val="multilevel"/>
    <w:tmpl w:val="6D76D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1456CA"/>
    <w:multiLevelType w:val="multilevel"/>
    <w:tmpl w:val="853A9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7D4351"/>
    <w:multiLevelType w:val="multilevel"/>
    <w:tmpl w:val="69F4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2D7FF7"/>
    <w:multiLevelType w:val="multilevel"/>
    <w:tmpl w:val="D5525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361AF7"/>
    <w:multiLevelType w:val="hybridMultilevel"/>
    <w:tmpl w:val="449EB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E3904AC"/>
    <w:multiLevelType w:val="multilevel"/>
    <w:tmpl w:val="E7CC1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0480744"/>
    <w:multiLevelType w:val="hybridMultilevel"/>
    <w:tmpl w:val="F22286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0630869"/>
    <w:multiLevelType w:val="hybridMultilevel"/>
    <w:tmpl w:val="98FA22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2094B34"/>
    <w:multiLevelType w:val="multilevel"/>
    <w:tmpl w:val="94B2E56E"/>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637C47E5"/>
    <w:multiLevelType w:val="multilevel"/>
    <w:tmpl w:val="E2AC6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0A12F5"/>
    <w:multiLevelType w:val="multilevel"/>
    <w:tmpl w:val="F0EAC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7296370"/>
    <w:multiLevelType w:val="hybridMultilevel"/>
    <w:tmpl w:val="124C4E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A603072"/>
    <w:multiLevelType w:val="multilevel"/>
    <w:tmpl w:val="959AB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B6F482C"/>
    <w:multiLevelType w:val="multilevel"/>
    <w:tmpl w:val="12D49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823134"/>
    <w:multiLevelType w:val="hybridMultilevel"/>
    <w:tmpl w:val="83F01F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4A6C5F"/>
    <w:multiLevelType w:val="multilevel"/>
    <w:tmpl w:val="7EEE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E06CE3"/>
    <w:multiLevelType w:val="multilevel"/>
    <w:tmpl w:val="2E96A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DEA54FB"/>
    <w:multiLevelType w:val="multilevel"/>
    <w:tmpl w:val="BEC4D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E956C83"/>
    <w:multiLevelType w:val="multilevel"/>
    <w:tmpl w:val="6F62A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6350960">
    <w:abstractNumId w:val="46"/>
  </w:num>
  <w:num w:numId="2" w16cid:durableId="1578976513">
    <w:abstractNumId w:val="21"/>
  </w:num>
  <w:num w:numId="3" w16cid:durableId="1863862850">
    <w:abstractNumId w:val="43"/>
  </w:num>
  <w:num w:numId="4" w16cid:durableId="329067826">
    <w:abstractNumId w:val="0"/>
  </w:num>
  <w:num w:numId="5" w16cid:durableId="931160676">
    <w:abstractNumId w:val="18"/>
  </w:num>
  <w:num w:numId="6" w16cid:durableId="2041203736">
    <w:abstractNumId w:val="45"/>
  </w:num>
  <w:num w:numId="7" w16cid:durableId="2042633017">
    <w:abstractNumId w:val="26"/>
  </w:num>
  <w:num w:numId="8" w16cid:durableId="2099015361">
    <w:abstractNumId w:val="17"/>
  </w:num>
  <w:num w:numId="9" w16cid:durableId="847866095">
    <w:abstractNumId w:val="44"/>
  </w:num>
  <w:num w:numId="10" w16cid:durableId="811825687">
    <w:abstractNumId w:val="38"/>
  </w:num>
  <w:num w:numId="11" w16cid:durableId="365327993">
    <w:abstractNumId w:val="33"/>
  </w:num>
  <w:num w:numId="12" w16cid:durableId="1134105391">
    <w:abstractNumId w:val="10"/>
  </w:num>
  <w:num w:numId="13" w16cid:durableId="929199526">
    <w:abstractNumId w:val="4"/>
  </w:num>
  <w:num w:numId="14" w16cid:durableId="1072191039">
    <w:abstractNumId w:val="13"/>
  </w:num>
  <w:num w:numId="15" w16cid:durableId="1854883230">
    <w:abstractNumId w:val="40"/>
  </w:num>
  <w:num w:numId="16" w16cid:durableId="2050642359">
    <w:abstractNumId w:val="27"/>
  </w:num>
  <w:num w:numId="17" w16cid:durableId="267659905">
    <w:abstractNumId w:val="24"/>
  </w:num>
  <w:num w:numId="18" w16cid:durableId="1219821974">
    <w:abstractNumId w:val="11"/>
  </w:num>
  <w:num w:numId="19" w16cid:durableId="286011913">
    <w:abstractNumId w:val="9"/>
  </w:num>
  <w:num w:numId="20" w16cid:durableId="1510025649">
    <w:abstractNumId w:val="6"/>
  </w:num>
  <w:num w:numId="21" w16cid:durableId="1700739657">
    <w:abstractNumId w:val="30"/>
  </w:num>
  <w:num w:numId="22" w16cid:durableId="1196970253">
    <w:abstractNumId w:val="22"/>
  </w:num>
  <w:num w:numId="23" w16cid:durableId="419450180">
    <w:abstractNumId w:val="20"/>
  </w:num>
  <w:num w:numId="24" w16cid:durableId="1039011995">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25" w16cid:durableId="1574773409">
    <w:abstractNumId w:val="41"/>
    <w:lvlOverride w:ilvl="0">
      <w:lvl w:ilvl="0">
        <w:numFmt w:val="bullet"/>
        <w:lvlText w:val=""/>
        <w:lvlJc w:val="left"/>
        <w:pPr>
          <w:tabs>
            <w:tab w:val="num" w:pos="720"/>
          </w:tabs>
          <w:ind w:left="720" w:hanging="360"/>
        </w:pPr>
        <w:rPr>
          <w:rFonts w:ascii="Wingdings" w:hAnsi="Wingdings" w:hint="default"/>
          <w:sz w:val="20"/>
        </w:rPr>
      </w:lvl>
    </w:lvlOverride>
    <w:lvlOverride w:ilvl="1">
      <w:lvl w:ilvl="1" w:tentative="1">
        <w:start w:val="1"/>
        <w:numFmt w:val="bullet"/>
        <w:lvlText w:val="o"/>
        <w:lvlJc w:val="left"/>
        <w:pPr>
          <w:tabs>
            <w:tab w:val="num" w:pos="1440"/>
          </w:tabs>
          <w:ind w:left="1440" w:hanging="360"/>
        </w:pPr>
        <w:rPr>
          <w:rFonts w:ascii="Courier New" w:hAnsi="Courier New" w:hint="default"/>
          <w:sz w:val="20"/>
        </w:rPr>
      </w:lvl>
    </w:lvlOverride>
    <w:lvlOverride w:ilvl="2">
      <w:lvl w:ilvl="2" w:tentative="1">
        <w:start w:val="1"/>
        <w:numFmt w:val="bullet"/>
        <w:lvlText w:val=""/>
        <w:lvlJc w:val="left"/>
        <w:pPr>
          <w:tabs>
            <w:tab w:val="num" w:pos="2160"/>
          </w:tabs>
          <w:ind w:left="2160" w:hanging="360"/>
        </w:pPr>
        <w:rPr>
          <w:rFonts w:ascii="Wingdings" w:hAnsi="Wingdings" w:hint="default"/>
          <w:sz w:val="20"/>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26" w16cid:durableId="1195539105">
    <w:abstractNumId w:val="29"/>
  </w:num>
  <w:num w:numId="27" w16cid:durableId="920405473">
    <w:abstractNumId w:val="36"/>
  </w:num>
  <w:num w:numId="28" w16cid:durableId="69893128">
    <w:abstractNumId w:val="2"/>
  </w:num>
  <w:num w:numId="29" w16cid:durableId="1703164975">
    <w:abstractNumId w:val="16"/>
  </w:num>
  <w:num w:numId="30" w16cid:durableId="458039551">
    <w:abstractNumId w:val="25"/>
  </w:num>
  <w:num w:numId="31" w16cid:durableId="1641839418">
    <w:abstractNumId w:val="37"/>
  </w:num>
  <w:num w:numId="32" w16cid:durableId="1992588345">
    <w:abstractNumId w:val="31"/>
  </w:num>
  <w:num w:numId="33" w16cid:durableId="1676107957">
    <w:abstractNumId w:val="28"/>
  </w:num>
  <w:num w:numId="34" w16cid:durableId="1135636901">
    <w:abstractNumId w:val="14"/>
  </w:num>
  <w:num w:numId="35" w16cid:durableId="775713927">
    <w:abstractNumId w:val="8"/>
  </w:num>
  <w:num w:numId="36" w16cid:durableId="367031214">
    <w:abstractNumId w:val="15"/>
  </w:num>
  <w:num w:numId="37" w16cid:durableId="1421683093">
    <w:abstractNumId w:val="39"/>
  </w:num>
  <w:num w:numId="38" w16cid:durableId="395589066">
    <w:abstractNumId w:val="23"/>
  </w:num>
  <w:num w:numId="39" w16cid:durableId="1754937039">
    <w:abstractNumId w:val="34"/>
  </w:num>
  <w:num w:numId="40" w16cid:durableId="1733040389">
    <w:abstractNumId w:val="3"/>
  </w:num>
  <w:num w:numId="41" w16cid:durableId="2143234345">
    <w:abstractNumId w:val="32"/>
  </w:num>
  <w:num w:numId="42" w16cid:durableId="501430493">
    <w:abstractNumId w:val="12"/>
  </w:num>
  <w:num w:numId="43" w16cid:durableId="2140561663">
    <w:abstractNumId w:val="35"/>
  </w:num>
  <w:num w:numId="44" w16cid:durableId="310141685">
    <w:abstractNumId w:val="7"/>
  </w:num>
  <w:num w:numId="45" w16cid:durableId="401833319">
    <w:abstractNumId w:val="19"/>
  </w:num>
  <w:num w:numId="46" w16cid:durableId="1762482587">
    <w:abstractNumId w:val="42"/>
  </w:num>
  <w:num w:numId="47" w16cid:durableId="360473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4EC"/>
    <w:rsid w:val="000442C0"/>
    <w:rsid w:val="001031A9"/>
    <w:rsid w:val="00127C6D"/>
    <w:rsid w:val="0015399E"/>
    <w:rsid w:val="001842B1"/>
    <w:rsid w:val="001867F0"/>
    <w:rsid w:val="0022425F"/>
    <w:rsid w:val="002305DE"/>
    <w:rsid w:val="0027039F"/>
    <w:rsid w:val="002C5369"/>
    <w:rsid w:val="002D5FB3"/>
    <w:rsid w:val="00366599"/>
    <w:rsid w:val="003A1703"/>
    <w:rsid w:val="003A3C41"/>
    <w:rsid w:val="00402716"/>
    <w:rsid w:val="0042625C"/>
    <w:rsid w:val="00484FA1"/>
    <w:rsid w:val="00485CCA"/>
    <w:rsid w:val="00535CE5"/>
    <w:rsid w:val="005A1514"/>
    <w:rsid w:val="005A6B16"/>
    <w:rsid w:val="005D119D"/>
    <w:rsid w:val="0066405B"/>
    <w:rsid w:val="00796448"/>
    <w:rsid w:val="007B3803"/>
    <w:rsid w:val="00863602"/>
    <w:rsid w:val="00880308"/>
    <w:rsid w:val="0088307E"/>
    <w:rsid w:val="008A7E4A"/>
    <w:rsid w:val="008C4AF4"/>
    <w:rsid w:val="00951DF0"/>
    <w:rsid w:val="009A5311"/>
    <w:rsid w:val="009F0E23"/>
    <w:rsid w:val="00A01866"/>
    <w:rsid w:val="00A334EC"/>
    <w:rsid w:val="00A8376C"/>
    <w:rsid w:val="00A87C2D"/>
    <w:rsid w:val="00AD7E6A"/>
    <w:rsid w:val="00AE0C5E"/>
    <w:rsid w:val="00AE4AA8"/>
    <w:rsid w:val="00B10465"/>
    <w:rsid w:val="00B50687"/>
    <w:rsid w:val="00B8638E"/>
    <w:rsid w:val="00BC34BA"/>
    <w:rsid w:val="00BE0EA6"/>
    <w:rsid w:val="00BE2164"/>
    <w:rsid w:val="00C20B0F"/>
    <w:rsid w:val="00C27333"/>
    <w:rsid w:val="00C31FB7"/>
    <w:rsid w:val="00CA0176"/>
    <w:rsid w:val="00CA3C2A"/>
    <w:rsid w:val="00D05ABB"/>
    <w:rsid w:val="00D1315B"/>
    <w:rsid w:val="00D60B2F"/>
    <w:rsid w:val="00D67433"/>
    <w:rsid w:val="00D95483"/>
    <w:rsid w:val="00DC3176"/>
    <w:rsid w:val="00DE63F1"/>
    <w:rsid w:val="00E126D7"/>
    <w:rsid w:val="00E22716"/>
    <w:rsid w:val="00E26289"/>
    <w:rsid w:val="00EA3A5E"/>
    <w:rsid w:val="00F11BF7"/>
    <w:rsid w:val="00F212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CED70"/>
  <w15:chartTrackingRefBased/>
  <w15:docId w15:val="{CD4ABDF8-5737-4E13-BAC5-9BB9D6E43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A5311"/>
    <w:pPr>
      <w:keepNext/>
      <w:keepLines/>
      <w:spacing w:before="480" w:after="0" w:line="276" w:lineRule="auto"/>
      <w:outlineLvl w:val="0"/>
    </w:pPr>
    <w:rPr>
      <w:rFonts w:asciiTheme="majorHAnsi" w:eastAsiaTheme="majorEastAsia" w:hAnsiTheme="majorHAnsi" w:cstheme="majorBidi"/>
      <w:b/>
      <w:bCs/>
      <w:color w:val="2F5496" w:themeColor="accent1" w:themeShade="BF"/>
      <w:kern w:val="0"/>
      <w:sz w:val="28"/>
      <w:szCs w:val="28"/>
      <w14:ligatures w14:val="none"/>
    </w:rPr>
  </w:style>
  <w:style w:type="paragraph" w:styleId="Titolo2">
    <w:name w:val="heading 2"/>
    <w:basedOn w:val="Normale"/>
    <w:link w:val="Titolo2Carattere"/>
    <w:uiPriority w:val="9"/>
    <w:qFormat/>
    <w:rsid w:val="009A5311"/>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it-IT"/>
      <w14:ligatures w14:val="none"/>
    </w:rPr>
  </w:style>
  <w:style w:type="paragraph" w:styleId="Titolo3">
    <w:name w:val="heading 3"/>
    <w:basedOn w:val="Normale"/>
    <w:next w:val="Normale"/>
    <w:link w:val="Titolo3Carattere"/>
    <w:uiPriority w:val="9"/>
    <w:semiHidden/>
    <w:unhideWhenUsed/>
    <w:qFormat/>
    <w:rsid w:val="009A5311"/>
    <w:pPr>
      <w:keepNext/>
      <w:keepLines/>
      <w:spacing w:before="200" w:after="0" w:line="276" w:lineRule="auto"/>
      <w:outlineLvl w:val="2"/>
    </w:pPr>
    <w:rPr>
      <w:rFonts w:asciiTheme="majorHAnsi" w:eastAsiaTheme="majorEastAsia" w:hAnsiTheme="majorHAnsi" w:cstheme="majorBidi"/>
      <w:b/>
      <w:bCs/>
      <w:color w:val="4472C4" w:themeColor="accent1"/>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C27333"/>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Titolo1Carattere">
    <w:name w:val="Titolo 1 Carattere"/>
    <w:basedOn w:val="Carpredefinitoparagrafo"/>
    <w:link w:val="Titolo1"/>
    <w:uiPriority w:val="9"/>
    <w:rsid w:val="009A5311"/>
    <w:rPr>
      <w:rFonts w:asciiTheme="majorHAnsi" w:eastAsiaTheme="majorEastAsia" w:hAnsiTheme="majorHAnsi" w:cstheme="majorBidi"/>
      <w:b/>
      <w:bCs/>
      <w:color w:val="2F5496" w:themeColor="accent1" w:themeShade="BF"/>
      <w:kern w:val="0"/>
      <w:sz w:val="28"/>
      <w:szCs w:val="28"/>
      <w14:ligatures w14:val="none"/>
    </w:rPr>
  </w:style>
  <w:style w:type="character" w:customStyle="1" w:styleId="Titolo2Carattere">
    <w:name w:val="Titolo 2 Carattere"/>
    <w:basedOn w:val="Carpredefinitoparagrafo"/>
    <w:link w:val="Titolo2"/>
    <w:uiPriority w:val="9"/>
    <w:rsid w:val="009A5311"/>
    <w:rPr>
      <w:rFonts w:ascii="Times New Roman" w:eastAsia="Times New Roman" w:hAnsi="Times New Roman" w:cs="Times New Roman"/>
      <w:b/>
      <w:bCs/>
      <w:kern w:val="0"/>
      <w:sz w:val="36"/>
      <w:szCs w:val="36"/>
      <w:lang w:eastAsia="it-IT"/>
      <w14:ligatures w14:val="none"/>
    </w:rPr>
  </w:style>
  <w:style w:type="character" w:customStyle="1" w:styleId="Titolo3Carattere">
    <w:name w:val="Titolo 3 Carattere"/>
    <w:basedOn w:val="Carpredefinitoparagrafo"/>
    <w:link w:val="Titolo3"/>
    <w:uiPriority w:val="9"/>
    <w:semiHidden/>
    <w:rsid w:val="009A5311"/>
    <w:rPr>
      <w:rFonts w:asciiTheme="majorHAnsi" w:eastAsiaTheme="majorEastAsia" w:hAnsiTheme="majorHAnsi" w:cstheme="majorBidi"/>
      <w:b/>
      <w:bCs/>
      <w:color w:val="4472C4" w:themeColor="accent1"/>
      <w:kern w:val="0"/>
      <w14:ligatures w14:val="none"/>
    </w:rPr>
  </w:style>
  <w:style w:type="character" w:styleId="Collegamentoipertestuale">
    <w:name w:val="Hyperlink"/>
    <w:basedOn w:val="Carpredefinitoparagrafo"/>
    <w:uiPriority w:val="99"/>
    <w:semiHidden/>
    <w:unhideWhenUsed/>
    <w:rsid w:val="009A5311"/>
    <w:rPr>
      <w:color w:val="0000FF"/>
      <w:u w:val="single"/>
    </w:rPr>
  </w:style>
  <w:style w:type="character" w:styleId="Enfasigrassetto">
    <w:name w:val="Strong"/>
    <w:basedOn w:val="Carpredefinitoparagrafo"/>
    <w:uiPriority w:val="22"/>
    <w:qFormat/>
    <w:rsid w:val="009A5311"/>
    <w:rPr>
      <w:b/>
      <w:bCs/>
    </w:rPr>
  </w:style>
  <w:style w:type="paragraph" w:customStyle="1" w:styleId="has-text-align-justify">
    <w:name w:val="has-text-align-justify"/>
    <w:basedOn w:val="Normale"/>
    <w:rsid w:val="009A5311"/>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Paragrafoelenco">
    <w:name w:val="List Paragraph"/>
    <w:basedOn w:val="Normale"/>
    <w:uiPriority w:val="34"/>
    <w:qFormat/>
    <w:rsid w:val="006640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794871">
      <w:bodyDiv w:val="1"/>
      <w:marLeft w:val="0"/>
      <w:marRight w:val="0"/>
      <w:marTop w:val="0"/>
      <w:marBottom w:val="0"/>
      <w:divBdr>
        <w:top w:val="none" w:sz="0" w:space="0" w:color="auto"/>
        <w:left w:val="none" w:sz="0" w:space="0" w:color="auto"/>
        <w:bottom w:val="none" w:sz="0" w:space="0" w:color="auto"/>
        <w:right w:val="none" w:sz="0" w:space="0" w:color="auto"/>
      </w:divBdr>
    </w:div>
    <w:div w:id="504395743">
      <w:bodyDiv w:val="1"/>
      <w:marLeft w:val="0"/>
      <w:marRight w:val="0"/>
      <w:marTop w:val="0"/>
      <w:marBottom w:val="0"/>
      <w:divBdr>
        <w:top w:val="none" w:sz="0" w:space="0" w:color="auto"/>
        <w:left w:val="none" w:sz="0" w:space="0" w:color="auto"/>
        <w:bottom w:val="none" w:sz="0" w:space="0" w:color="auto"/>
        <w:right w:val="none" w:sz="0" w:space="0" w:color="auto"/>
      </w:divBdr>
    </w:div>
    <w:div w:id="545259696">
      <w:bodyDiv w:val="1"/>
      <w:marLeft w:val="0"/>
      <w:marRight w:val="0"/>
      <w:marTop w:val="0"/>
      <w:marBottom w:val="0"/>
      <w:divBdr>
        <w:top w:val="none" w:sz="0" w:space="0" w:color="auto"/>
        <w:left w:val="none" w:sz="0" w:space="0" w:color="auto"/>
        <w:bottom w:val="none" w:sz="0" w:space="0" w:color="auto"/>
        <w:right w:val="none" w:sz="0" w:space="0" w:color="auto"/>
      </w:divBdr>
    </w:div>
    <w:div w:id="669260819">
      <w:bodyDiv w:val="1"/>
      <w:marLeft w:val="0"/>
      <w:marRight w:val="0"/>
      <w:marTop w:val="0"/>
      <w:marBottom w:val="0"/>
      <w:divBdr>
        <w:top w:val="none" w:sz="0" w:space="0" w:color="auto"/>
        <w:left w:val="none" w:sz="0" w:space="0" w:color="auto"/>
        <w:bottom w:val="none" w:sz="0" w:space="0" w:color="auto"/>
        <w:right w:val="none" w:sz="0" w:space="0" w:color="auto"/>
      </w:divBdr>
    </w:div>
    <w:div w:id="780958886">
      <w:bodyDiv w:val="1"/>
      <w:marLeft w:val="0"/>
      <w:marRight w:val="0"/>
      <w:marTop w:val="0"/>
      <w:marBottom w:val="0"/>
      <w:divBdr>
        <w:top w:val="none" w:sz="0" w:space="0" w:color="auto"/>
        <w:left w:val="none" w:sz="0" w:space="0" w:color="auto"/>
        <w:bottom w:val="none" w:sz="0" w:space="0" w:color="auto"/>
        <w:right w:val="none" w:sz="0" w:space="0" w:color="auto"/>
      </w:divBdr>
    </w:div>
    <w:div w:id="807937298">
      <w:bodyDiv w:val="1"/>
      <w:marLeft w:val="0"/>
      <w:marRight w:val="0"/>
      <w:marTop w:val="0"/>
      <w:marBottom w:val="0"/>
      <w:divBdr>
        <w:top w:val="none" w:sz="0" w:space="0" w:color="auto"/>
        <w:left w:val="none" w:sz="0" w:space="0" w:color="auto"/>
        <w:bottom w:val="none" w:sz="0" w:space="0" w:color="auto"/>
        <w:right w:val="none" w:sz="0" w:space="0" w:color="auto"/>
      </w:divBdr>
      <w:divsChild>
        <w:div w:id="182205999">
          <w:marLeft w:val="0"/>
          <w:marRight w:val="0"/>
          <w:marTop w:val="0"/>
          <w:marBottom w:val="0"/>
          <w:divBdr>
            <w:top w:val="none" w:sz="0" w:space="0" w:color="auto"/>
            <w:left w:val="none" w:sz="0" w:space="0" w:color="auto"/>
            <w:bottom w:val="none" w:sz="0" w:space="0" w:color="auto"/>
            <w:right w:val="none" w:sz="0" w:space="0" w:color="auto"/>
          </w:divBdr>
        </w:div>
        <w:div w:id="1883402192">
          <w:marLeft w:val="0"/>
          <w:marRight w:val="0"/>
          <w:marTop w:val="0"/>
          <w:marBottom w:val="0"/>
          <w:divBdr>
            <w:top w:val="none" w:sz="0" w:space="0" w:color="auto"/>
            <w:left w:val="none" w:sz="0" w:space="0" w:color="auto"/>
            <w:bottom w:val="none" w:sz="0" w:space="0" w:color="auto"/>
            <w:right w:val="none" w:sz="0" w:space="0" w:color="auto"/>
          </w:divBdr>
          <w:divsChild>
            <w:div w:id="1175000232">
              <w:marLeft w:val="0"/>
              <w:marRight w:val="0"/>
              <w:marTop w:val="75"/>
              <w:marBottom w:val="150"/>
              <w:divBdr>
                <w:top w:val="single" w:sz="6" w:space="0" w:color="E1E1E1"/>
                <w:left w:val="single" w:sz="6" w:space="0" w:color="E1E1E1"/>
                <w:bottom w:val="single" w:sz="6" w:space="0" w:color="E1E1E1"/>
                <w:right w:val="single" w:sz="6" w:space="0" w:color="E1E1E1"/>
              </w:divBdr>
            </w:div>
          </w:divsChild>
        </w:div>
      </w:divsChild>
    </w:div>
    <w:div w:id="934823860">
      <w:bodyDiv w:val="1"/>
      <w:marLeft w:val="0"/>
      <w:marRight w:val="0"/>
      <w:marTop w:val="0"/>
      <w:marBottom w:val="0"/>
      <w:divBdr>
        <w:top w:val="none" w:sz="0" w:space="0" w:color="auto"/>
        <w:left w:val="none" w:sz="0" w:space="0" w:color="auto"/>
        <w:bottom w:val="none" w:sz="0" w:space="0" w:color="auto"/>
        <w:right w:val="none" w:sz="0" w:space="0" w:color="auto"/>
      </w:divBdr>
    </w:div>
    <w:div w:id="969288496">
      <w:bodyDiv w:val="1"/>
      <w:marLeft w:val="0"/>
      <w:marRight w:val="0"/>
      <w:marTop w:val="0"/>
      <w:marBottom w:val="0"/>
      <w:divBdr>
        <w:top w:val="none" w:sz="0" w:space="0" w:color="auto"/>
        <w:left w:val="none" w:sz="0" w:space="0" w:color="auto"/>
        <w:bottom w:val="none" w:sz="0" w:space="0" w:color="auto"/>
        <w:right w:val="none" w:sz="0" w:space="0" w:color="auto"/>
      </w:divBdr>
    </w:div>
    <w:div w:id="1021124547">
      <w:bodyDiv w:val="1"/>
      <w:marLeft w:val="0"/>
      <w:marRight w:val="0"/>
      <w:marTop w:val="0"/>
      <w:marBottom w:val="0"/>
      <w:divBdr>
        <w:top w:val="none" w:sz="0" w:space="0" w:color="auto"/>
        <w:left w:val="none" w:sz="0" w:space="0" w:color="auto"/>
        <w:bottom w:val="none" w:sz="0" w:space="0" w:color="auto"/>
        <w:right w:val="none" w:sz="0" w:space="0" w:color="auto"/>
      </w:divBdr>
      <w:divsChild>
        <w:div w:id="2015915268">
          <w:marLeft w:val="0"/>
          <w:marRight w:val="0"/>
          <w:marTop w:val="0"/>
          <w:marBottom w:val="0"/>
          <w:divBdr>
            <w:top w:val="none" w:sz="0" w:space="0" w:color="auto"/>
            <w:left w:val="none" w:sz="0" w:space="0" w:color="auto"/>
            <w:bottom w:val="none" w:sz="0" w:space="0" w:color="auto"/>
            <w:right w:val="none" w:sz="0" w:space="0" w:color="auto"/>
          </w:divBdr>
          <w:divsChild>
            <w:div w:id="1473910735">
              <w:marLeft w:val="-600"/>
              <w:marRight w:val="0"/>
              <w:marTop w:val="0"/>
              <w:marBottom w:val="0"/>
              <w:divBdr>
                <w:top w:val="none" w:sz="0" w:space="0" w:color="auto"/>
                <w:left w:val="none" w:sz="0" w:space="0" w:color="auto"/>
                <w:bottom w:val="none" w:sz="0" w:space="0" w:color="auto"/>
                <w:right w:val="none" w:sz="0" w:space="0" w:color="auto"/>
              </w:divBdr>
              <w:divsChild>
                <w:div w:id="1274095097">
                  <w:marLeft w:val="0"/>
                  <w:marRight w:val="0"/>
                  <w:marTop w:val="0"/>
                  <w:marBottom w:val="0"/>
                  <w:divBdr>
                    <w:top w:val="none" w:sz="0" w:space="0" w:color="auto"/>
                    <w:left w:val="none" w:sz="0" w:space="0" w:color="auto"/>
                    <w:bottom w:val="none" w:sz="0" w:space="0" w:color="auto"/>
                    <w:right w:val="none" w:sz="0" w:space="0" w:color="auto"/>
                  </w:divBdr>
                  <w:divsChild>
                    <w:div w:id="28576267">
                      <w:marLeft w:val="0"/>
                      <w:marRight w:val="0"/>
                      <w:marTop w:val="0"/>
                      <w:marBottom w:val="0"/>
                      <w:divBdr>
                        <w:top w:val="none" w:sz="0" w:space="0" w:color="auto"/>
                        <w:left w:val="none" w:sz="0" w:space="0" w:color="auto"/>
                        <w:bottom w:val="none" w:sz="0" w:space="0" w:color="auto"/>
                        <w:right w:val="none" w:sz="0" w:space="0" w:color="auto"/>
                      </w:divBdr>
                      <w:divsChild>
                        <w:div w:id="572666376">
                          <w:marLeft w:val="0"/>
                          <w:marRight w:val="0"/>
                          <w:marTop w:val="0"/>
                          <w:marBottom w:val="0"/>
                          <w:divBdr>
                            <w:top w:val="none" w:sz="0" w:space="0" w:color="auto"/>
                            <w:left w:val="none" w:sz="0" w:space="0" w:color="auto"/>
                            <w:bottom w:val="none" w:sz="0" w:space="0" w:color="auto"/>
                            <w:right w:val="none" w:sz="0" w:space="0" w:color="auto"/>
                          </w:divBdr>
                          <w:divsChild>
                            <w:div w:id="2044742268">
                              <w:marLeft w:val="0"/>
                              <w:marRight w:val="0"/>
                              <w:marTop w:val="0"/>
                              <w:marBottom w:val="0"/>
                              <w:divBdr>
                                <w:top w:val="none" w:sz="0" w:space="0" w:color="auto"/>
                                <w:left w:val="none" w:sz="0" w:space="0" w:color="auto"/>
                                <w:bottom w:val="none" w:sz="0" w:space="0" w:color="auto"/>
                                <w:right w:val="none" w:sz="0" w:space="0" w:color="auto"/>
                              </w:divBdr>
                              <w:divsChild>
                                <w:div w:id="850951904">
                                  <w:marLeft w:val="0"/>
                                  <w:marRight w:val="0"/>
                                  <w:marTop w:val="0"/>
                                  <w:marBottom w:val="0"/>
                                  <w:divBdr>
                                    <w:top w:val="none" w:sz="0" w:space="0" w:color="auto"/>
                                    <w:left w:val="none" w:sz="0" w:space="0" w:color="auto"/>
                                    <w:bottom w:val="none" w:sz="0" w:space="0" w:color="auto"/>
                                    <w:right w:val="none" w:sz="0" w:space="0" w:color="auto"/>
                                  </w:divBdr>
                                  <w:divsChild>
                                    <w:div w:id="98648922">
                                      <w:marLeft w:val="0"/>
                                      <w:marRight w:val="0"/>
                                      <w:marTop w:val="0"/>
                                      <w:marBottom w:val="0"/>
                                      <w:divBdr>
                                        <w:top w:val="none" w:sz="0" w:space="0" w:color="auto"/>
                                        <w:left w:val="none" w:sz="0" w:space="0" w:color="auto"/>
                                        <w:bottom w:val="none" w:sz="0" w:space="0" w:color="auto"/>
                                        <w:right w:val="none" w:sz="0" w:space="0" w:color="auto"/>
                                      </w:divBdr>
                                    </w:div>
                                    <w:div w:id="78714719">
                                      <w:marLeft w:val="0"/>
                                      <w:marRight w:val="0"/>
                                      <w:marTop w:val="0"/>
                                      <w:marBottom w:val="0"/>
                                      <w:divBdr>
                                        <w:top w:val="none" w:sz="0" w:space="0" w:color="auto"/>
                                        <w:left w:val="none" w:sz="0" w:space="0" w:color="auto"/>
                                        <w:bottom w:val="none" w:sz="0" w:space="0" w:color="auto"/>
                                        <w:right w:val="none" w:sz="0" w:space="0" w:color="auto"/>
                                      </w:divBdr>
                                      <w:divsChild>
                                        <w:div w:id="18775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885037">
          <w:marLeft w:val="0"/>
          <w:marRight w:val="0"/>
          <w:marTop w:val="0"/>
          <w:marBottom w:val="0"/>
          <w:divBdr>
            <w:top w:val="none" w:sz="0" w:space="0" w:color="auto"/>
            <w:left w:val="none" w:sz="0" w:space="0" w:color="auto"/>
            <w:bottom w:val="none" w:sz="0" w:space="0" w:color="auto"/>
            <w:right w:val="none" w:sz="0" w:space="0" w:color="auto"/>
          </w:divBdr>
          <w:divsChild>
            <w:div w:id="803423745">
              <w:marLeft w:val="-360"/>
              <w:marRight w:val="0"/>
              <w:marTop w:val="0"/>
              <w:marBottom w:val="0"/>
              <w:divBdr>
                <w:top w:val="none" w:sz="0" w:space="0" w:color="auto"/>
                <w:left w:val="none" w:sz="0" w:space="0" w:color="auto"/>
                <w:bottom w:val="none" w:sz="0" w:space="0" w:color="auto"/>
                <w:right w:val="none" w:sz="0" w:space="0" w:color="auto"/>
              </w:divBdr>
              <w:divsChild>
                <w:div w:id="671614264">
                  <w:marLeft w:val="0"/>
                  <w:marRight w:val="0"/>
                  <w:marTop w:val="0"/>
                  <w:marBottom w:val="0"/>
                  <w:divBdr>
                    <w:top w:val="none" w:sz="0" w:space="0" w:color="auto"/>
                    <w:left w:val="none" w:sz="0" w:space="0" w:color="auto"/>
                    <w:bottom w:val="none" w:sz="0" w:space="0" w:color="auto"/>
                    <w:right w:val="none" w:sz="0" w:space="0" w:color="auto"/>
                  </w:divBdr>
                  <w:divsChild>
                    <w:div w:id="122016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922873">
          <w:marLeft w:val="0"/>
          <w:marRight w:val="0"/>
          <w:marTop w:val="0"/>
          <w:marBottom w:val="0"/>
          <w:divBdr>
            <w:top w:val="none" w:sz="0" w:space="0" w:color="auto"/>
            <w:left w:val="none" w:sz="0" w:space="0" w:color="auto"/>
            <w:bottom w:val="none" w:sz="0" w:space="0" w:color="auto"/>
            <w:right w:val="none" w:sz="0" w:space="0" w:color="auto"/>
          </w:divBdr>
          <w:divsChild>
            <w:div w:id="1158424631">
              <w:marLeft w:val="-360"/>
              <w:marRight w:val="0"/>
              <w:marTop w:val="0"/>
              <w:marBottom w:val="0"/>
              <w:divBdr>
                <w:top w:val="none" w:sz="0" w:space="0" w:color="auto"/>
                <w:left w:val="none" w:sz="0" w:space="0" w:color="auto"/>
                <w:bottom w:val="none" w:sz="0" w:space="0" w:color="auto"/>
                <w:right w:val="none" w:sz="0" w:space="0" w:color="auto"/>
              </w:divBdr>
              <w:divsChild>
                <w:div w:id="1330215753">
                  <w:marLeft w:val="0"/>
                  <w:marRight w:val="0"/>
                  <w:marTop w:val="0"/>
                  <w:marBottom w:val="0"/>
                  <w:divBdr>
                    <w:top w:val="none" w:sz="0" w:space="0" w:color="auto"/>
                    <w:left w:val="none" w:sz="0" w:space="0" w:color="auto"/>
                    <w:bottom w:val="none" w:sz="0" w:space="0" w:color="auto"/>
                    <w:right w:val="none" w:sz="0" w:space="0" w:color="auto"/>
                  </w:divBdr>
                  <w:divsChild>
                    <w:div w:id="69527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126278">
      <w:bodyDiv w:val="1"/>
      <w:marLeft w:val="0"/>
      <w:marRight w:val="0"/>
      <w:marTop w:val="0"/>
      <w:marBottom w:val="0"/>
      <w:divBdr>
        <w:top w:val="none" w:sz="0" w:space="0" w:color="auto"/>
        <w:left w:val="none" w:sz="0" w:space="0" w:color="auto"/>
        <w:bottom w:val="none" w:sz="0" w:space="0" w:color="auto"/>
        <w:right w:val="none" w:sz="0" w:space="0" w:color="auto"/>
      </w:divBdr>
      <w:divsChild>
        <w:div w:id="1512449040">
          <w:marLeft w:val="0"/>
          <w:marRight w:val="0"/>
          <w:marTop w:val="0"/>
          <w:marBottom w:val="0"/>
          <w:divBdr>
            <w:top w:val="none" w:sz="0" w:space="0" w:color="auto"/>
            <w:left w:val="none" w:sz="0" w:space="0" w:color="auto"/>
            <w:bottom w:val="none" w:sz="0" w:space="0" w:color="auto"/>
            <w:right w:val="none" w:sz="0" w:space="0" w:color="auto"/>
          </w:divBdr>
        </w:div>
        <w:div w:id="771777254">
          <w:marLeft w:val="0"/>
          <w:marRight w:val="0"/>
          <w:marTop w:val="0"/>
          <w:marBottom w:val="0"/>
          <w:divBdr>
            <w:top w:val="none" w:sz="0" w:space="0" w:color="auto"/>
            <w:left w:val="none" w:sz="0" w:space="0" w:color="auto"/>
            <w:bottom w:val="none" w:sz="0" w:space="0" w:color="auto"/>
            <w:right w:val="none" w:sz="0" w:space="0" w:color="auto"/>
          </w:divBdr>
          <w:divsChild>
            <w:div w:id="1949702774">
              <w:marLeft w:val="0"/>
              <w:marRight w:val="0"/>
              <w:marTop w:val="75"/>
              <w:marBottom w:val="150"/>
              <w:divBdr>
                <w:top w:val="single" w:sz="6" w:space="0" w:color="E1E1E1"/>
                <w:left w:val="single" w:sz="6" w:space="0" w:color="E1E1E1"/>
                <w:bottom w:val="single" w:sz="6" w:space="0" w:color="E1E1E1"/>
                <w:right w:val="single" w:sz="6" w:space="0" w:color="E1E1E1"/>
              </w:divBdr>
            </w:div>
          </w:divsChild>
        </w:div>
      </w:divsChild>
    </w:div>
    <w:div w:id="1156143480">
      <w:bodyDiv w:val="1"/>
      <w:marLeft w:val="0"/>
      <w:marRight w:val="0"/>
      <w:marTop w:val="0"/>
      <w:marBottom w:val="0"/>
      <w:divBdr>
        <w:top w:val="none" w:sz="0" w:space="0" w:color="auto"/>
        <w:left w:val="none" w:sz="0" w:space="0" w:color="auto"/>
        <w:bottom w:val="none" w:sz="0" w:space="0" w:color="auto"/>
        <w:right w:val="none" w:sz="0" w:space="0" w:color="auto"/>
      </w:divBdr>
      <w:divsChild>
        <w:div w:id="415522171">
          <w:marLeft w:val="0"/>
          <w:marRight w:val="0"/>
          <w:marTop w:val="0"/>
          <w:marBottom w:val="0"/>
          <w:divBdr>
            <w:top w:val="none" w:sz="0" w:space="0" w:color="auto"/>
            <w:left w:val="none" w:sz="0" w:space="0" w:color="auto"/>
            <w:bottom w:val="none" w:sz="0" w:space="0" w:color="auto"/>
            <w:right w:val="none" w:sz="0" w:space="0" w:color="auto"/>
          </w:divBdr>
        </w:div>
        <w:div w:id="1446925523">
          <w:marLeft w:val="0"/>
          <w:marRight w:val="0"/>
          <w:marTop w:val="0"/>
          <w:marBottom w:val="0"/>
          <w:divBdr>
            <w:top w:val="none" w:sz="0" w:space="0" w:color="auto"/>
            <w:left w:val="none" w:sz="0" w:space="0" w:color="auto"/>
            <w:bottom w:val="none" w:sz="0" w:space="0" w:color="auto"/>
            <w:right w:val="none" w:sz="0" w:space="0" w:color="auto"/>
          </w:divBdr>
          <w:divsChild>
            <w:div w:id="272906032">
              <w:marLeft w:val="0"/>
              <w:marRight w:val="0"/>
              <w:marTop w:val="0"/>
              <w:marBottom w:val="0"/>
              <w:divBdr>
                <w:top w:val="none" w:sz="0" w:space="0" w:color="auto"/>
                <w:left w:val="none" w:sz="0" w:space="0" w:color="auto"/>
                <w:bottom w:val="none" w:sz="0" w:space="0" w:color="auto"/>
                <w:right w:val="none" w:sz="0" w:space="0" w:color="auto"/>
              </w:divBdr>
              <w:divsChild>
                <w:div w:id="1243904609">
                  <w:marLeft w:val="0"/>
                  <w:marRight w:val="0"/>
                  <w:marTop w:val="150"/>
                  <w:marBottom w:val="150"/>
                  <w:divBdr>
                    <w:top w:val="none" w:sz="0" w:space="0" w:color="auto"/>
                    <w:left w:val="none" w:sz="0" w:space="0" w:color="auto"/>
                    <w:bottom w:val="none" w:sz="0" w:space="0" w:color="auto"/>
                    <w:right w:val="none" w:sz="0" w:space="0" w:color="auto"/>
                  </w:divBdr>
                  <w:divsChild>
                    <w:div w:id="122529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111457">
          <w:marLeft w:val="0"/>
          <w:marRight w:val="0"/>
          <w:marTop w:val="0"/>
          <w:marBottom w:val="0"/>
          <w:divBdr>
            <w:top w:val="none" w:sz="0" w:space="0" w:color="auto"/>
            <w:left w:val="none" w:sz="0" w:space="0" w:color="auto"/>
            <w:bottom w:val="none" w:sz="0" w:space="0" w:color="auto"/>
            <w:right w:val="none" w:sz="0" w:space="0" w:color="auto"/>
          </w:divBdr>
        </w:div>
      </w:divsChild>
    </w:div>
    <w:div w:id="1343556234">
      <w:bodyDiv w:val="1"/>
      <w:marLeft w:val="0"/>
      <w:marRight w:val="0"/>
      <w:marTop w:val="0"/>
      <w:marBottom w:val="0"/>
      <w:divBdr>
        <w:top w:val="none" w:sz="0" w:space="0" w:color="auto"/>
        <w:left w:val="none" w:sz="0" w:space="0" w:color="auto"/>
        <w:bottom w:val="none" w:sz="0" w:space="0" w:color="auto"/>
        <w:right w:val="none" w:sz="0" w:space="0" w:color="auto"/>
      </w:divBdr>
      <w:divsChild>
        <w:div w:id="1106776375">
          <w:marLeft w:val="0"/>
          <w:marRight w:val="0"/>
          <w:marTop w:val="0"/>
          <w:marBottom w:val="360"/>
          <w:divBdr>
            <w:top w:val="none" w:sz="0" w:space="0" w:color="auto"/>
            <w:left w:val="none" w:sz="0" w:space="0" w:color="auto"/>
            <w:bottom w:val="none" w:sz="0" w:space="0" w:color="auto"/>
            <w:right w:val="none" w:sz="0" w:space="0" w:color="auto"/>
          </w:divBdr>
          <w:divsChild>
            <w:div w:id="1174996230">
              <w:marLeft w:val="-150"/>
              <w:marRight w:val="-150"/>
              <w:marTop w:val="0"/>
              <w:marBottom w:val="0"/>
              <w:divBdr>
                <w:top w:val="none" w:sz="0" w:space="0" w:color="auto"/>
                <w:left w:val="none" w:sz="0" w:space="0" w:color="auto"/>
                <w:bottom w:val="none" w:sz="0" w:space="0" w:color="auto"/>
                <w:right w:val="none" w:sz="0" w:space="0" w:color="auto"/>
              </w:divBdr>
              <w:divsChild>
                <w:div w:id="1939021084">
                  <w:marLeft w:val="0"/>
                  <w:marRight w:val="0"/>
                  <w:marTop w:val="0"/>
                  <w:marBottom w:val="0"/>
                  <w:divBdr>
                    <w:top w:val="none" w:sz="0" w:space="0" w:color="auto"/>
                    <w:left w:val="none" w:sz="0" w:space="0" w:color="auto"/>
                    <w:bottom w:val="none" w:sz="0" w:space="0" w:color="auto"/>
                    <w:right w:val="none" w:sz="0" w:space="0" w:color="auto"/>
                  </w:divBdr>
                  <w:divsChild>
                    <w:div w:id="1824659083">
                      <w:marLeft w:val="0"/>
                      <w:marRight w:val="0"/>
                      <w:marTop w:val="0"/>
                      <w:marBottom w:val="0"/>
                      <w:divBdr>
                        <w:top w:val="none" w:sz="0" w:space="0" w:color="auto"/>
                        <w:left w:val="none" w:sz="0" w:space="0" w:color="auto"/>
                        <w:bottom w:val="none" w:sz="0" w:space="0" w:color="auto"/>
                        <w:right w:val="none" w:sz="0" w:space="0" w:color="auto"/>
                      </w:divBdr>
                      <w:divsChild>
                        <w:div w:id="1549150664">
                          <w:marLeft w:val="0"/>
                          <w:marRight w:val="0"/>
                          <w:marTop w:val="0"/>
                          <w:marBottom w:val="0"/>
                          <w:divBdr>
                            <w:top w:val="none" w:sz="0" w:space="0" w:color="auto"/>
                            <w:left w:val="none" w:sz="0" w:space="0" w:color="auto"/>
                            <w:bottom w:val="none" w:sz="0" w:space="0" w:color="auto"/>
                            <w:right w:val="none" w:sz="0" w:space="0" w:color="auto"/>
                          </w:divBdr>
                          <w:divsChild>
                            <w:div w:id="1695764064">
                              <w:marLeft w:val="0"/>
                              <w:marRight w:val="0"/>
                              <w:marTop w:val="0"/>
                              <w:marBottom w:val="0"/>
                              <w:divBdr>
                                <w:top w:val="none" w:sz="0" w:space="0" w:color="auto"/>
                                <w:left w:val="none" w:sz="0" w:space="0" w:color="auto"/>
                                <w:bottom w:val="none" w:sz="0" w:space="0" w:color="auto"/>
                                <w:right w:val="none" w:sz="0" w:space="0" w:color="auto"/>
                              </w:divBdr>
                              <w:divsChild>
                                <w:div w:id="179201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518337">
          <w:marLeft w:val="0"/>
          <w:marRight w:val="0"/>
          <w:marTop w:val="0"/>
          <w:marBottom w:val="360"/>
          <w:divBdr>
            <w:top w:val="none" w:sz="0" w:space="0" w:color="auto"/>
            <w:left w:val="none" w:sz="0" w:space="0" w:color="auto"/>
            <w:bottom w:val="none" w:sz="0" w:space="0" w:color="auto"/>
            <w:right w:val="none" w:sz="0" w:space="0" w:color="auto"/>
          </w:divBdr>
          <w:divsChild>
            <w:div w:id="564296860">
              <w:marLeft w:val="-150"/>
              <w:marRight w:val="-150"/>
              <w:marTop w:val="0"/>
              <w:marBottom w:val="0"/>
              <w:divBdr>
                <w:top w:val="none" w:sz="0" w:space="0" w:color="auto"/>
                <w:left w:val="none" w:sz="0" w:space="0" w:color="auto"/>
                <w:bottom w:val="none" w:sz="0" w:space="0" w:color="auto"/>
                <w:right w:val="none" w:sz="0" w:space="0" w:color="auto"/>
              </w:divBdr>
              <w:divsChild>
                <w:div w:id="1353145191">
                  <w:marLeft w:val="0"/>
                  <w:marRight w:val="0"/>
                  <w:marTop w:val="0"/>
                  <w:marBottom w:val="0"/>
                  <w:divBdr>
                    <w:top w:val="none" w:sz="0" w:space="0" w:color="auto"/>
                    <w:left w:val="none" w:sz="0" w:space="0" w:color="auto"/>
                    <w:bottom w:val="none" w:sz="0" w:space="0" w:color="auto"/>
                    <w:right w:val="none" w:sz="0" w:space="0" w:color="auto"/>
                  </w:divBdr>
                  <w:divsChild>
                    <w:div w:id="2030914274">
                      <w:marLeft w:val="0"/>
                      <w:marRight w:val="0"/>
                      <w:marTop w:val="0"/>
                      <w:marBottom w:val="0"/>
                      <w:divBdr>
                        <w:top w:val="none" w:sz="0" w:space="0" w:color="auto"/>
                        <w:left w:val="none" w:sz="0" w:space="0" w:color="auto"/>
                        <w:bottom w:val="none" w:sz="0" w:space="0" w:color="auto"/>
                        <w:right w:val="none" w:sz="0" w:space="0" w:color="auto"/>
                      </w:divBdr>
                      <w:divsChild>
                        <w:div w:id="1047217427">
                          <w:marLeft w:val="0"/>
                          <w:marRight w:val="0"/>
                          <w:marTop w:val="0"/>
                          <w:marBottom w:val="0"/>
                          <w:divBdr>
                            <w:top w:val="none" w:sz="0" w:space="0" w:color="auto"/>
                            <w:left w:val="none" w:sz="0" w:space="0" w:color="auto"/>
                            <w:bottom w:val="none" w:sz="0" w:space="0" w:color="auto"/>
                            <w:right w:val="none" w:sz="0" w:space="0" w:color="auto"/>
                          </w:divBdr>
                          <w:divsChild>
                            <w:div w:id="763570884">
                              <w:marLeft w:val="0"/>
                              <w:marRight w:val="0"/>
                              <w:marTop w:val="0"/>
                              <w:marBottom w:val="0"/>
                              <w:divBdr>
                                <w:top w:val="none" w:sz="0" w:space="0" w:color="auto"/>
                                <w:left w:val="none" w:sz="0" w:space="0" w:color="auto"/>
                                <w:bottom w:val="none" w:sz="0" w:space="0" w:color="auto"/>
                                <w:right w:val="none" w:sz="0" w:space="0" w:color="auto"/>
                              </w:divBdr>
                              <w:divsChild>
                                <w:div w:id="157712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0588198">
          <w:marLeft w:val="0"/>
          <w:marRight w:val="0"/>
          <w:marTop w:val="0"/>
          <w:marBottom w:val="360"/>
          <w:divBdr>
            <w:top w:val="none" w:sz="0" w:space="0" w:color="auto"/>
            <w:left w:val="none" w:sz="0" w:space="0" w:color="auto"/>
            <w:bottom w:val="none" w:sz="0" w:space="0" w:color="auto"/>
            <w:right w:val="none" w:sz="0" w:space="0" w:color="auto"/>
          </w:divBdr>
          <w:divsChild>
            <w:div w:id="844396269">
              <w:marLeft w:val="-150"/>
              <w:marRight w:val="-150"/>
              <w:marTop w:val="0"/>
              <w:marBottom w:val="0"/>
              <w:divBdr>
                <w:top w:val="none" w:sz="0" w:space="0" w:color="auto"/>
                <w:left w:val="none" w:sz="0" w:space="0" w:color="auto"/>
                <w:bottom w:val="none" w:sz="0" w:space="0" w:color="auto"/>
                <w:right w:val="none" w:sz="0" w:space="0" w:color="auto"/>
              </w:divBdr>
              <w:divsChild>
                <w:div w:id="1961914214">
                  <w:marLeft w:val="0"/>
                  <w:marRight w:val="0"/>
                  <w:marTop w:val="0"/>
                  <w:marBottom w:val="0"/>
                  <w:divBdr>
                    <w:top w:val="none" w:sz="0" w:space="0" w:color="auto"/>
                    <w:left w:val="none" w:sz="0" w:space="0" w:color="auto"/>
                    <w:bottom w:val="none" w:sz="0" w:space="0" w:color="auto"/>
                    <w:right w:val="none" w:sz="0" w:space="0" w:color="auto"/>
                  </w:divBdr>
                  <w:divsChild>
                    <w:div w:id="851918468">
                      <w:marLeft w:val="0"/>
                      <w:marRight w:val="0"/>
                      <w:marTop w:val="0"/>
                      <w:marBottom w:val="0"/>
                      <w:divBdr>
                        <w:top w:val="none" w:sz="0" w:space="0" w:color="auto"/>
                        <w:left w:val="none" w:sz="0" w:space="0" w:color="auto"/>
                        <w:bottom w:val="none" w:sz="0" w:space="0" w:color="auto"/>
                        <w:right w:val="none" w:sz="0" w:space="0" w:color="auto"/>
                      </w:divBdr>
                      <w:divsChild>
                        <w:div w:id="51315116">
                          <w:marLeft w:val="0"/>
                          <w:marRight w:val="0"/>
                          <w:marTop w:val="0"/>
                          <w:marBottom w:val="0"/>
                          <w:divBdr>
                            <w:top w:val="none" w:sz="0" w:space="0" w:color="auto"/>
                            <w:left w:val="none" w:sz="0" w:space="0" w:color="auto"/>
                            <w:bottom w:val="none" w:sz="0" w:space="0" w:color="auto"/>
                            <w:right w:val="none" w:sz="0" w:space="0" w:color="auto"/>
                          </w:divBdr>
                          <w:divsChild>
                            <w:div w:id="1223983029">
                              <w:marLeft w:val="0"/>
                              <w:marRight w:val="0"/>
                              <w:marTop w:val="0"/>
                              <w:marBottom w:val="0"/>
                              <w:divBdr>
                                <w:top w:val="none" w:sz="0" w:space="0" w:color="auto"/>
                                <w:left w:val="none" w:sz="0" w:space="0" w:color="auto"/>
                                <w:bottom w:val="none" w:sz="0" w:space="0" w:color="auto"/>
                                <w:right w:val="none" w:sz="0" w:space="0" w:color="auto"/>
                              </w:divBdr>
                              <w:divsChild>
                                <w:div w:id="17099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397228">
      <w:bodyDiv w:val="1"/>
      <w:marLeft w:val="0"/>
      <w:marRight w:val="0"/>
      <w:marTop w:val="0"/>
      <w:marBottom w:val="0"/>
      <w:divBdr>
        <w:top w:val="none" w:sz="0" w:space="0" w:color="auto"/>
        <w:left w:val="none" w:sz="0" w:space="0" w:color="auto"/>
        <w:bottom w:val="none" w:sz="0" w:space="0" w:color="auto"/>
        <w:right w:val="none" w:sz="0" w:space="0" w:color="auto"/>
      </w:divBdr>
      <w:divsChild>
        <w:div w:id="1726564895">
          <w:marLeft w:val="0"/>
          <w:marRight w:val="0"/>
          <w:marTop w:val="0"/>
          <w:marBottom w:val="0"/>
          <w:divBdr>
            <w:top w:val="none" w:sz="0" w:space="0" w:color="auto"/>
            <w:left w:val="none" w:sz="0" w:space="0" w:color="auto"/>
            <w:bottom w:val="none" w:sz="0" w:space="0" w:color="auto"/>
            <w:right w:val="none" w:sz="0" w:space="0" w:color="auto"/>
          </w:divBdr>
        </w:div>
        <w:div w:id="17126235">
          <w:marLeft w:val="0"/>
          <w:marRight w:val="0"/>
          <w:marTop w:val="0"/>
          <w:marBottom w:val="0"/>
          <w:divBdr>
            <w:top w:val="none" w:sz="0" w:space="0" w:color="auto"/>
            <w:left w:val="none" w:sz="0" w:space="0" w:color="auto"/>
            <w:bottom w:val="none" w:sz="0" w:space="0" w:color="auto"/>
            <w:right w:val="none" w:sz="0" w:space="0" w:color="auto"/>
          </w:divBdr>
          <w:divsChild>
            <w:div w:id="428236546">
              <w:marLeft w:val="0"/>
              <w:marRight w:val="0"/>
              <w:marTop w:val="0"/>
              <w:marBottom w:val="0"/>
              <w:divBdr>
                <w:top w:val="none" w:sz="0" w:space="0" w:color="auto"/>
                <w:left w:val="none" w:sz="0" w:space="0" w:color="auto"/>
                <w:bottom w:val="none" w:sz="0" w:space="0" w:color="auto"/>
                <w:right w:val="none" w:sz="0" w:space="0" w:color="auto"/>
              </w:divBdr>
              <w:divsChild>
                <w:div w:id="548151966">
                  <w:marLeft w:val="0"/>
                  <w:marRight w:val="0"/>
                  <w:marTop w:val="150"/>
                  <w:marBottom w:val="150"/>
                  <w:divBdr>
                    <w:top w:val="none" w:sz="0" w:space="0" w:color="auto"/>
                    <w:left w:val="none" w:sz="0" w:space="0" w:color="auto"/>
                    <w:bottom w:val="none" w:sz="0" w:space="0" w:color="auto"/>
                    <w:right w:val="none" w:sz="0" w:space="0" w:color="auto"/>
                  </w:divBdr>
                  <w:divsChild>
                    <w:div w:id="43721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5465">
          <w:marLeft w:val="0"/>
          <w:marRight w:val="0"/>
          <w:marTop w:val="0"/>
          <w:marBottom w:val="0"/>
          <w:divBdr>
            <w:top w:val="none" w:sz="0" w:space="0" w:color="auto"/>
            <w:left w:val="none" w:sz="0" w:space="0" w:color="auto"/>
            <w:bottom w:val="none" w:sz="0" w:space="0" w:color="auto"/>
            <w:right w:val="none" w:sz="0" w:space="0" w:color="auto"/>
          </w:divBdr>
        </w:div>
      </w:divsChild>
    </w:div>
    <w:div w:id="1472208061">
      <w:bodyDiv w:val="1"/>
      <w:marLeft w:val="0"/>
      <w:marRight w:val="0"/>
      <w:marTop w:val="0"/>
      <w:marBottom w:val="0"/>
      <w:divBdr>
        <w:top w:val="none" w:sz="0" w:space="0" w:color="auto"/>
        <w:left w:val="none" w:sz="0" w:space="0" w:color="auto"/>
        <w:bottom w:val="none" w:sz="0" w:space="0" w:color="auto"/>
        <w:right w:val="none" w:sz="0" w:space="0" w:color="auto"/>
      </w:divBdr>
      <w:divsChild>
        <w:div w:id="784235959">
          <w:marLeft w:val="0"/>
          <w:marRight w:val="0"/>
          <w:marTop w:val="0"/>
          <w:marBottom w:val="0"/>
          <w:divBdr>
            <w:top w:val="none" w:sz="0" w:space="0" w:color="auto"/>
            <w:left w:val="none" w:sz="0" w:space="0" w:color="auto"/>
            <w:bottom w:val="none" w:sz="0" w:space="0" w:color="auto"/>
            <w:right w:val="none" w:sz="0" w:space="0" w:color="auto"/>
          </w:divBdr>
          <w:divsChild>
            <w:div w:id="1278833710">
              <w:marLeft w:val="-360"/>
              <w:marRight w:val="0"/>
              <w:marTop w:val="0"/>
              <w:marBottom w:val="0"/>
              <w:divBdr>
                <w:top w:val="none" w:sz="0" w:space="0" w:color="auto"/>
                <w:left w:val="none" w:sz="0" w:space="0" w:color="auto"/>
                <w:bottom w:val="none" w:sz="0" w:space="0" w:color="auto"/>
                <w:right w:val="none" w:sz="0" w:space="0" w:color="auto"/>
              </w:divBdr>
              <w:divsChild>
                <w:div w:id="1800755371">
                  <w:marLeft w:val="0"/>
                  <w:marRight w:val="0"/>
                  <w:marTop w:val="0"/>
                  <w:marBottom w:val="0"/>
                  <w:divBdr>
                    <w:top w:val="none" w:sz="0" w:space="0" w:color="auto"/>
                    <w:left w:val="none" w:sz="0" w:space="0" w:color="auto"/>
                    <w:bottom w:val="none" w:sz="0" w:space="0" w:color="auto"/>
                    <w:right w:val="none" w:sz="0" w:space="0" w:color="auto"/>
                  </w:divBdr>
                  <w:divsChild>
                    <w:div w:id="154286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551730">
          <w:marLeft w:val="0"/>
          <w:marRight w:val="0"/>
          <w:marTop w:val="0"/>
          <w:marBottom w:val="0"/>
          <w:divBdr>
            <w:top w:val="none" w:sz="0" w:space="0" w:color="auto"/>
            <w:left w:val="none" w:sz="0" w:space="0" w:color="auto"/>
            <w:bottom w:val="none" w:sz="0" w:space="0" w:color="auto"/>
            <w:right w:val="none" w:sz="0" w:space="0" w:color="auto"/>
          </w:divBdr>
          <w:divsChild>
            <w:div w:id="535123056">
              <w:marLeft w:val="-600"/>
              <w:marRight w:val="0"/>
              <w:marTop w:val="0"/>
              <w:marBottom w:val="0"/>
              <w:divBdr>
                <w:top w:val="none" w:sz="0" w:space="0" w:color="auto"/>
                <w:left w:val="none" w:sz="0" w:space="0" w:color="auto"/>
                <w:bottom w:val="none" w:sz="0" w:space="0" w:color="auto"/>
                <w:right w:val="none" w:sz="0" w:space="0" w:color="auto"/>
              </w:divBdr>
              <w:divsChild>
                <w:div w:id="1083456417">
                  <w:marLeft w:val="0"/>
                  <w:marRight w:val="0"/>
                  <w:marTop w:val="0"/>
                  <w:marBottom w:val="0"/>
                  <w:divBdr>
                    <w:top w:val="none" w:sz="0" w:space="0" w:color="auto"/>
                    <w:left w:val="none" w:sz="0" w:space="0" w:color="auto"/>
                    <w:bottom w:val="none" w:sz="0" w:space="0" w:color="auto"/>
                    <w:right w:val="none" w:sz="0" w:space="0" w:color="auto"/>
                  </w:divBdr>
                  <w:divsChild>
                    <w:div w:id="1898852420">
                      <w:marLeft w:val="0"/>
                      <w:marRight w:val="0"/>
                      <w:marTop w:val="0"/>
                      <w:marBottom w:val="0"/>
                      <w:divBdr>
                        <w:top w:val="none" w:sz="0" w:space="0" w:color="E05828"/>
                        <w:left w:val="single" w:sz="36" w:space="30" w:color="E05828"/>
                        <w:bottom w:val="none" w:sz="0" w:space="0" w:color="E05828"/>
                        <w:right w:val="none" w:sz="0" w:space="0" w:color="E05828"/>
                      </w:divBdr>
                    </w:div>
                  </w:divsChild>
                </w:div>
              </w:divsChild>
            </w:div>
          </w:divsChild>
        </w:div>
      </w:divsChild>
    </w:div>
    <w:div w:id="1505559418">
      <w:bodyDiv w:val="1"/>
      <w:marLeft w:val="0"/>
      <w:marRight w:val="0"/>
      <w:marTop w:val="0"/>
      <w:marBottom w:val="0"/>
      <w:divBdr>
        <w:top w:val="none" w:sz="0" w:space="0" w:color="auto"/>
        <w:left w:val="none" w:sz="0" w:space="0" w:color="auto"/>
        <w:bottom w:val="none" w:sz="0" w:space="0" w:color="auto"/>
        <w:right w:val="none" w:sz="0" w:space="0" w:color="auto"/>
      </w:divBdr>
    </w:div>
    <w:div w:id="1508860259">
      <w:bodyDiv w:val="1"/>
      <w:marLeft w:val="0"/>
      <w:marRight w:val="0"/>
      <w:marTop w:val="0"/>
      <w:marBottom w:val="0"/>
      <w:divBdr>
        <w:top w:val="none" w:sz="0" w:space="0" w:color="auto"/>
        <w:left w:val="none" w:sz="0" w:space="0" w:color="auto"/>
        <w:bottom w:val="none" w:sz="0" w:space="0" w:color="auto"/>
        <w:right w:val="none" w:sz="0" w:space="0" w:color="auto"/>
      </w:divBdr>
      <w:divsChild>
        <w:div w:id="1774324212">
          <w:blockQuote w:val="1"/>
          <w:marLeft w:val="0"/>
          <w:marRight w:val="0"/>
          <w:marTop w:val="0"/>
          <w:marBottom w:val="435"/>
          <w:divBdr>
            <w:top w:val="none" w:sz="0" w:space="11" w:color="B51111"/>
            <w:left w:val="single" w:sz="12" w:space="17" w:color="B51111"/>
            <w:bottom w:val="none" w:sz="0" w:space="0" w:color="B51111"/>
            <w:right w:val="none" w:sz="0" w:space="17" w:color="B51111"/>
          </w:divBdr>
        </w:div>
        <w:div w:id="1654217520">
          <w:blockQuote w:val="1"/>
          <w:marLeft w:val="0"/>
          <w:marRight w:val="0"/>
          <w:marTop w:val="0"/>
          <w:marBottom w:val="435"/>
          <w:divBdr>
            <w:top w:val="none" w:sz="0" w:space="11" w:color="B51111"/>
            <w:left w:val="single" w:sz="12" w:space="17" w:color="B51111"/>
            <w:bottom w:val="none" w:sz="0" w:space="0" w:color="B51111"/>
            <w:right w:val="none" w:sz="0" w:space="17" w:color="B51111"/>
          </w:divBdr>
        </w:div>
      </w:divsChild>
    </w:div>
    <w:div w:id="1568417382">
      <w:bodyDiv w:val="1"/>
      <w:marLeft w:val="0"/>
      <w:marRight w:val="0"/>
      <w:marTop w:val="0"/>
      <w:marBottom w:val="0"/>
      <w:divBdr>
        <w:top w:val="none" w:sz="0" w:space="0" w:color="auto"/>
        <w:left w:val="none" w:sz="0" w:space="0" w:color="auto"/>
        <w:bottom w:val="none" w:sz="0" w:space="0" w:color="auto"/>
        <w:right w:val="none" w:sz="0" w:space="0" w:color="auto"/>
      </w:divBdr>
    </w:div>
    <w:div w:id="1742367049">
      <w:bodyDiv w:val="1"/>
      <w:marLeft w:val="0"/>
      <w:marRight w:val="0"/>
      <w:marTop w:val="0"/>
      <w:marBottom w:val="0"/>
      <w:divBdr>
        <w:top w:val="none" w:sz="0" w:space="0" w:color="auto"/>
        <w:left w:val="none" w:sz="0" w:space="0" w:color="auto"/>
        <w:bottom w:val="none" w:sz="0" w:space="0" w:color="auto"/>
        <w:right w:val="none" w:sz="0" w:space="0" w:color="auto"/>
      </w:divBdr>
    </w:div>
    <w:div w:id="209762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us.acca.it/nuovo-codice-appalti-2023/" TargetMode="External"/><Relationship Id="rId3" Type="http://schemas.openxmlformats.org/officeDocument/2006/relationships/settings" Target="settings.xml"/><Relationship Id="rId7" Type="http://schemas.openxmlformats.org/officeDocument/2006/relationships/hyperlink" Target="https://rup.altervista.org/esecuzione-degli-appalti-pubblic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p.altervista.org/la-progettazione/" TargetMode="External"/><Relationship Id="rId11" Type="http://schemas.openxmlformats.org/officeDocument/2006/relationships/theme" Target="theme/theme1.xml"/><Relationship Id="rId5" Type="http://schemas.openxmlformats.org/officeDocument/2006/relationships/hyperlink" Target="https://rup.altervista.org/la-programmazione-degli-appalti-pubblici/"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iblus.acca.it/appalto-integrat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12420</Words>
  <Characters>70795</Characters>
  <Application>Microsoft Office Word</Application>
  <DocSecurity>0</DocSecurity>
  <Lines>589</Lines>
  <Paragraphs>166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GUARDUCCI</dc:creator>
  <cp:keywords/>
  <dc:description/>
  <cp:lastModifiedBy>SERENA GUARDUCCI</cp:lastModifiedBy>
  <cp:revision>2</cp:revision>
  <dcterms:created xsi:type="dcterms:W3CDTF">2026-03-24T17:04:00Z</dcterms:created>
  <dcterms:modified xsi:type="dcterms:W3CDTF">2026-03-24T17:04:00Z</dcterms:modified>
</cp:coreProperties>
</file>