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BD85B" w14:textId="77777777" w:rsidR="0066405B" w:rsidRPr="003A1703" w:rsidRDefault="0066405B" w:rsidP="0088307E">
      <w:pPr>
        <w:shd w:val="clear" w:color="auto" w:fill="FFFFFF"/>
        <w:spacing w:after="390" w:line="390" w:lineRule="atLeast"/>
        <w:rPr>
          <w:rFonts w:ascii="Arial" w:eastAsia="Times New Roman" w:hAnsi="Arial" w:cs="Arial"/>
          <w:b/>
          <w:bCs/>
          <w:kern w:val="0"/>
          <w:sz w:val="52"/>
          <w:szCs w:val="52"/>
          <w:lang w:eastAsia="it-IT"/>
          <w14:ligatures w14:val="none"/>
        </w:rPr>
      </w:pPr>
      <w:r w:rsidRPr="003A1703">
        <w:rPr>
          <w:rFonts w:ascii="Arial" w:eastAsia="Times New Roman" w:hAnsi="Arial" w:cs="Arial"/>
          <w:b/>
          <w:bCs/>
          <w:kern w:val="0"/>
          <w:sz w:val="52"/>
          <w:szCs w:val="52"/>
          <w:lang w:eastAsia="it-IT"/>
          <w14:ligatures w14:val="none"/>
        </w:rPr>
        <w:t>NUOVO CODICE APPALTI</w:t>
      </w:r>
    </w:p>
    <w:p w14:paraId="67280E62" w14:textId="10C6A312" w:rsidR="00B8638E" w:rsidRPr="007B3803" w:rsidRDefault="0066405B" w:rsidP="00C27333">
      <w:pPr>
        <w:pStyle w:val="NormaleWeb"/>
        <w:rPr>
          <w:rFonts w:ascii="Arial" w:hAnsi="Arial" w:cs="Arial"/>
        </w:rPr>
      </w:pPr>
      <w:r w:rsidRPr="007B3803">
        <w:rPr>
          <w:rFonts w:ascii="Arial" w:hAnsi="Arial" w:cs="Arial"/>
        </w:rPr>
        <w:t>FASI APPALTI</w:t>
      </w:r>
    </w:p>
    <w:p w14:paraId="1CB07169" w14:textId="77777777" w:rsidR="00B8638E" w:rsidRPr="007B3803" w:rsidRDefault="00B8638E" w:rsidP="00B8638E">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fasi fondamentali degli Appalti Pubblici sono 4:</w:t>
      </w:r>
    </w:p>
    <w:p w14:paraId="37FB7E1F"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5" w:history="1">
        <w:r w:rsidRPr="007B3803">
          <w:rPr>
            <w:rFonts w:ascii="Arial" w:eastAsia="Times New Roman" w:hAnsi="Arial" w:cs="Arial"/>
            <w:kern w:val="0"/>
            <w:sz w:val="24"/>
            <w:szCs w:val="24"/>
            <w:u w:val="single"/>
            <w:lang w:eastAsia="it-IT"/>
            <w14:ligatures w14:val="none"/>
          </w:rPr>
          <w:t>programmazione</w:t>
        </w:r>
      </w:hyperlink>
    </w:p>
    <w:p w14:paraId="46222ED9"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6" w:history="1">
        <w:r w:rsidRPr="007B3803">
          <w:rPr>
            <w:rFonts w:ascii="Arial" w:eastAsia="Times New Roman" w:hAnsi="Arial" w:cs="Arial"/>
            <w:kern w:val="0"/>
            <w:sz w:val="24"/>
            <w:szCs w:val="24"/>
            <w:u w:val="single"/>
            <w:lang w:eastAsia="it-IT"/>
            <w14:ligatures w14:val="none"/>
          </w:rPr>
          <w:t>progettazione</w:t>
        </w:r>
      </w:hyperlink>
    </w:p>
    <w:p w14:paraId="286C0E87" w14:textId="77777777" w:rsidR="00B8638E" w:rsidRPr="001867F0"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u w:val="single"/>
          <w:lang w:eastAsia="it-IT"/>
          <w14:ligatures w14:val="none"/>
        </w:rPr>
      </w:pPr>
      <w:r w:rsidRPr="001867F0">
        <w:rPr>
          <w:rFonts w:ascii="Arial" w:eastAsia="Times New Roman" w:hAnsi="Arial" w:cs="Arial"/>
          <w:kern w:val="0"/>
          <w:sz w:val="24"/>
          <w:szCs w:val="24"/>
          <w:u w:val="single"/>
          <w:lang w:eastAsia="it-IT"/>
          <w14:ligatures w14:val="none"/>
        </w:rPr>
        <w:t>affidamento</w:t>
      </w:r>
    </w:p>
    <w:p w14:paraId="547626C3" w14:textId="77777777" w:rsidR="00B8638E" w:rsidRPr="007B3803" w:rsidRDefault="00B8638E" w:rsidP="00B8638E">
      <w:pPr>
        <w:numPr>
          <w:ilvl w:val="0"/>
          <w:numId w:val="5"/>
        </w:num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hyperlink r:id="rId7" w:history="1">
        <w:r w:rsidRPr="007B3803">
          <w:rPr>
            <w:rFonts w:ascii="Arial" w:eastAsia="Times New Roman" w:hAnsi="Arial" w:cs="Arial"/>
            <w:kern w:val="0"/>
            <w:sz w:val="24"/>
            <w:szCs w:val="24"/>
            <w:u w:val="single"/>
            <w:lang w:eastAsia="it-IT"/>
            <w14:ligatures w14:val="none"/>
          </w:rPr>
          <w:t>esecuzione</w:t>
        </w:r>
      </w:hyperlink>
    </w:p>
    <w:p w14:paraId="170B7016"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nuovo Codice dei contratti pubblici conferma la disciplina sulla programmazione degli appalti, ma introduce alcune modifiche rispetto all’attuale articolo 21 del decreto legislativo n. 50/2016. Le principali novità introdotte nel testo rinnovato sono le seguenti:</w:t>
      </w:r>
    </w:p>
    <w:p w14:paraId="2CD7AF9F" w14:textId="7BBB567C"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w:t>
      </w:r>
      <w:r w:rsidRPr="007B3803">
        <w:rPr>
          <w:rFonts w:ascii="Arial" w:eastAsia="Times New Roman" w:hAnsi="Arial" w:cs="Arial"/>
          <w:b/>
          <w:bCs/>
          <w:kern w:val="0"/>
          <w:sz w:val="24"/>
          <w:szCs w:val="24"/>
          <w:lang w:eastAsia="it-IT"/>
          <w14:ligatures w14:val="none"/>
        </w:rPr>
        <w:t> programmazione dei lavori e delle opere</w:t>
      </w:r>
      <w:r w:rsidRPr="007B3803">
        <w:rPr>
          <w:rFonts w:ascii="Arial" w:eastAsia="Times New Roman" w:hAnsi="Arial" w:cs="Arial"/>
          <w:kern w:val="0"/>
          <w:sz w:val="24"/>
          <w:szCs w:val="24"/>
          <w:lang w:eastAsia="it-IT"/>
          <w14:ligatures w14:val="none"/>
        </w:rPr>
        <w:t>, comprese le complesse realizzate attraverso concessioni o partenariati pubblico-privato, diventa </w:t>
      </w:r>
      <w:r w:rsidRPr="007B3803">
        <w:rPr>
          <w:rFonts w:ascii="Arial" w:eastAsia="Times New Roman" w:hAnsi="Arial" w:cs="Arial"/>
          <w:b/>
          <w:bCs/>
          <w:kern w:val="0"/>
          <w:sz w:val="24"/>
          <w:szCs w:val="24"/>
          <w:lang w:eastAsia="it-IT"/>
          <w14:ligatures w14:val="none"/>
        </w:rPr>
        <w:t xml:space="preserve">obbligatoria quando l’importo stimato raggiunge o supera i 150.000 </w:t>
      </w:r>
    </w:p>
    <w:p w14:paraId="69792001" w14:textId="5CF1DF63"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w:t>
      </w:r>
      <w:r w:rsidRPr="007B3803">
        <w:rPr>
          <w:rFonts w:ascii="Arial" w:eastAsia="Times New Roman" w:hAnsi="Arial" w:cs="Arial"/>
          <w:b/>
          <w:bCs/>
          <w:kern w:val="0"/>
          <w:sz w:val="24"/>
          <w:szCs w:val="24"/>
          <w:lang w:eastAsia="it-IT"/>
          <w14:ligatures w14:val="none"/>
        </w:rPr>
        <w:t>programmazione degli acquisti di beni e dei servizi diventa obbligatoria </w:t>
      </w:r>
      <w:r w:rsidRPr="007B3803">
        <w:rPr>
          <w:rFonts w:ascii="Arial" w:eastAsia="Times New Roman" w:hAnsi="Arial" w:cs="Arial"/>
          <w:kern w:val="0"/>
          <w:sz w:val="24"/>
          <w:szCs w:val="24"/>
          <w:lang w:eastAsia="it-IT"/>
          <w14:ligatures w14:val="none"/>
        </w:rPr>
        <w:t>quando il valore stimato raggiunge o supera i </w:t>
      </w:r>
      <w:r w:rsidRPr="007B3803">
        <w:rPr>
          <w:rFonts w:ascii="Arial" w:eastAsia="Times New Roman" w:hAnsi="Arial" w:cs="Arial"/>
          <w:b/>
          <w:bCs/>
          <w:kern w:val="0"/>
          <w:sz w:val="24"/>
          <w:szCs w:val="24"/>
          <w:lang w:eastAsia="it-IT"/>
          <w14:ligatures w14:val="none"/>
        </w:rPr>
        <w:t>140.000 euro</w:t>
      </w:r>
      <w:r w:rsidRPr="007B3803">
        <w:rPr>
          <w:rFonts w:ascii="Arial" w:eastAsia="Times New Roman" w:hAnsi="Arial" w:cs="Arial"/>
          <w:kern w:val="0"/>
          <w:sz w:val="24"/>
          <w:szCs w:val="24"/>
          <w:lang w:eastAsia="it-IT"/>
          <w14:ligatures w14:val="none"/>
        </w:rPr>
        <w:t> </w:t>
      </w:r>
    </w:p>
    <w:p w14:paraId="66CDBDDF" w14:textId="77777777" w:rsidR="00485CCA" w:rsidRPr="007B3803" w:rsidRDefault="00485CCA" w:rsidP="00485CCA">
      <w:pPr>
        <w:numPr>
          <w:ilvl w:val="0"/>
          <w:numId w:val="10"/>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L’orizzonte temporale della programmazione viene unificato a tre anni</w:t>
      </w:r>
      <w:r w:rsidRPr="007B3803">
        <w:rPr>
          <w:rFonts w:ascii="Arial" w:eastAsia="Times New Roman" w:hAnsi="Arial" w:cs="Arial"/>
          <w:kern w:val="0"/>
          <w:sz w:val="24"/>
          <w:szCs w:val="24"/>
          <w:lang w:eastAsia="it-IT"/>
          <w14:ligatures w14:val="none"/>
        </w:rPr>
        <w:t> con aggiornamenti annuali per tutte le tipologie merceologiche, lavori, beni e servizi (diversamente, l’attuale articolo 21 del decreto legislativo n. 50/2016 prevede una programmazione biennale per forniture e servizi). Difatti l’art. 37 del nuovo Codice introduce </w:t>
      </w:r>
      <w:r w:rsidRPr="007B3803">
        <w:rPr>
          <w:rFonts w:ascii="Arial" w:eastAsia="Times New Roman" w:hAnsi="Arial" w:cs="Arial"/>
          <w:kern w:val="0"/>
          <w:sz w:val="24"/>
          <w:szCs w:val="24"/>
          <w:u w:val="single"/>
          <w:lang w:eastAsia="it-IT"/>
          <w14:ligatures w14:val="none"/>
        </w:rPr>
        <w:t>una programmazione triennale anche per gli acquisti di beni e servizi </w:t>
      </w:r>
      <w:r w:rsidRPr="007B3803">
        <w:rPr>
          <w:rFonts w:ascii="Arial" w:eastAsia="Times New Roman" w:hAnsi="Arial" w:cs="Arial"/>
          <w:kern w:val="0"/>
          <w:sz w:val="24"/>
          <w:szCs w:val="24"/>
          <w:lang w:eastAsia="it-IT"/>
          <w14:ligatures w14:val="none"/>
        </w:rPr>
        <w:t>(fino ad oggi biennale) che andrà approvata nel rispetto dei documenti programmatori in coerenza con il bilancio e, per gli enti locali, secondo le norme della programmazione economico-finanziaria e i principi contabili. Le amministrazioni approveranno, altresì, l’elenco annuale dei lavori da avviare nella prima annualità, specificando per ogni opera la fonte di finanziamento, stanziata nel bilancio di previsione o comunque disponibile.</w:t>
      </w:r>
    </w:p>
    <w:p w14:paraId="7DFA09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Queste modifiche sono state introdotte con l’obiettivo di fornire una maggiore chiarezza e coerenza nella pianificazione degli appalti pubblici, garantendo una migliore organizzazione e gestione delle risorse.</w:t>
      </w:r>
    </w:p>
    <w:p w14:paraId="7C458667"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Programmazione di Opere e Servizi devono essere coerenti con gli altri documenti programmatori</w:t>
      </w:r>
    </w:p>
    <w:p w14:paraId="12420CF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del decreto legislativo n. 36/2023 fornisce indicazioni più dettagliate rispetto al comma 1 dell’articolo 21 del decreto legislativo n. 50/2016 e stabilisce le seguenti disposizioni per le stazioni appaltanti e gli enti concedenti, i quali:</w:t>
      </w:r>
    </w:p>
    <w:p w14:paraId="0AF90B39"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adottare il programma triennale dei lavori pubblici e il programma triennale degli acquisti di beni e servizi;</w:t>
      </w:r>
    </w:p>
    <w:p w14:paraId="0F303DDC" w14:textId="77777777" w:rsidR="00485CCA" w:rsidRPr="007B3803" w:rsidRDefault="00485CCA" w:rsidP="00485CCA">
      <w:pPr>
        <w:numPr>
          <w:ilvl w:val="0"/>
          <w:numId w:val="1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Devono approvare l’elenco annuale dei “lavori da avviare nella prima annualità”, specificando per ciascuna opera la fonte di finanziamento stanziata o “comunque disponibile”.</w:t>
      </w:r>
    </w:p>
    <w:p w14:paraId="48C1E4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L’elaborazione dell’elenco annuale riguarda solo i lavori</w:t>
      </w:r>
      <w:r w:rsidRPr="007B3803">
        <w:rPr>
          <w:rFonts w:ascii="Arial" w:eastAsia="Times New Roman" w:hAnsi="Arial" w:cs="Arial"/>
          <w:kern w:val="0"/>
          <w:sz w:val="24"/>
          <w:szCs w:val="24"/>
          <w:lang w:eastAsia="it-IT"/>
          <w14:ligatures w14:val="none"/>
        </w:rPr>
        <w:t> e le opere pubbliche, mentre non è necessaria per gli appalti di forniture e servizi.</w:t>
      </w:r>
    </w:p>
    <w:p w14:paraId="516B02CB"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norma prevede che i programmi siano approvati nel rispetto dei “documenti programmatori e in coerenza con il bilancio” e, solo per gli enti locali, secondo i principi contabili e le norme della programmazione economico-finanziaria. Questa disposizione, simile all’ultimo paragrafo dell’articolo 21 in vigore, afferma che la pianificazione degli appalti risulta ridondante e sostanzialmente inutile.</w:t>
      </w:r>
    </w:p>
    <w:p w14:paraId="1156F75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esistono già documenti programmatori e un bilancio previsionale, ai quali la pianificazione degli appalti deve essere “coerente”, i contenuti dei diversi documenti devono corrispondere. La pianificazione dettagliata, su base triennale, dei lavori e degli acquisti di forniture e servizi, di conseguenza, non fa altro che riprendere il contenuto del bilancio previsionale o di altri “documenti programmatori” dell’amministrazione, come ad esempio il Documento Unico di Programmazione (DUP).</w:t>
      </w:r>
    </w:p>
    <w:p w14:paraId="505BBD64"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procedimento di approvazione degli atti di programmazione degli appalti</w:t>
      </w:r>
    </w:p>
    <w:p w14:paraId="6A7D77A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Attualmente, le modalità operative per la formulazione e l’approvazione della programmazione degli appalti sono regolate dal Decreto Ministeriale 16/1/2018 n. 14. Il nuovo Codice dei contratti pubblici, invece, disciplina direttamente le modalità di redazione dei programmi triennali </w:t>
      </w:r>
      <w:r w:rsidRPr="007B3803">
        <w:rPr>
          <w:rFonts w:ascii="Arial" w:eastAsia="Times New Roman" w:hAnsi="Arial" w:cs="Arial"/>
          <w:b/>
          <w:bCs/>
          <w:kern w:val="0"/>
          <w:sz w:val="24"/>
          <w:szCs w:val="24"/>
          <w:lang w:eastAsia="it-IT"/>
          <w14:ligatures w14:val="none"/>
        </w:rPr>
        <w:t>attraverso l’Allegato I.5, </w:t>
      </w:r>
      <w:r w:rsidRPr="007B3803">
        <w:rPr>
          <w:rFonts w:ascii="Arial" w:eastAsia="Times New Roman" w:hAnsi="Arial" w:cs="Arial"/>
          <w:kern w:val="0"/>
          <w:sz w:val="24"/>
          <w:szCs w:val="24"/>
          <w:lang w:eastAsia="it-IT"/>
          <w14:ligatures w14:val="none"/>
        </w:rPr>
        <w:t>che sostanzialmente ripropone i contenuti del DM 14/2018.</w:t>
      </w:r>
    </w:p>
    <w:p w14:paraId="6A64F33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5 dell’Allegato I.5 prevede diverse fasi:</w:t>
      </w:r>
    </w:p>
    <w:p w14:paraId="3DD3C792"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Preliminarmente, si procede all’adozione del programma dei lavori e dell’elenco annuale corrispondente;</w:t>
      </w:r>
    </w:p>
    <w:p w14:paraId="009BFB2B"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Successivamente, viene pubblicato sul sito web della stazione appaltante (il profilo del committente);</w:t>
      </w:r>
    </w:p>
    <w:p w14:paraId="7AFF4CE7"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presentare osservazioni entro trenta giorni dalla pubblicazione, se l’amministrazione ha deciso di adottare questa forma di consultazione facoltativa. Le osservazioni devono poi essere valutate entro un termine stabilito dall’amministrazione stessa;</w:t>
      </w:r>
    </w:p>
    <w:p w14:paraId="2F36212C"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L’approvazione definitiva del programma, insieme all’elenco annuale dei lavori e agli eventuali aggiornamenti (derivanti dall’accoglimento delle osservazioni o prodotti dall’amministrazione stessa), deve avvenire entro trenta giorni dalla scadenza della consultazione.</w:t>
      </w:r>
    </w:p>
    <w:p w14:paraId="4AA35F8A" w14:textId="77777777" w:rsidR="00485CCA" w:rsidRPr="007B3803" w:rsidRDefault="00485CCA" w:rsidP="00485CCA">
      <w:pPr>
        <w:numPr>
          <w:ilvl w:val="0"/>
          <w:numId w:val="12"/>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l’amministrazione non abbia raccolto osservazioni, l’approvazione definitiva deve avvenire entro sessanta giorni dalla pubblicazione.</w:t>
      </w:r>
    </w:p>
    <w:p w14:paraId="789500B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Infine, i documenti approvati devono essere pubblicati in formato open data sul sito web della stazione appaltante e, come stabilito dall’articolo 37, comma 4, del nuovo Codice, nella banca dati nazionale dei contratti pubblici.</w:t>
      </w:r>
    </w:p>
    <w:p w14:paraId="0748F5D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Tuttavia, senza correggere le incongruenze presenti nel DM 14/2018, il testo dell’articolo 5 dell’Allegato I.5 sembra richiedere un’ulteriore approvazione dei documenti di programmazione quando stabilisce che le stazioni appaltanti diverse dalle amministrazioni dello Stato devono approvare gli stessi documenti entro novanta giorni dalla data di entrata in vigore del proprio bilancio o documento equivalente, secondo le disposizioni proprie di ciascuna amministrazione.</w:t>
      </w:r>
    </w:p>
    <w:p w14:paraId="150FEE8F"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la programmazione triennale degli acquisti di beni e servizi, la norma, in modo più semplice, stabilisce che la documentazione deve essere approvata entro novanta giorni dalla data di entrata in vigore del bilancio, secondo le disposizioni specifiche di ciascuna amministrazione (articolo 7, comma 6, dell’Allegato I.5; articolo 7, comma 6, DM 14/2018) e rimane invariato quanto stabilito dall’articolo 172 del decreto legislativo n. 267/2000.</w:t>
      </w:r>
    </w:p>
    <w:p w14:paraId="1F3F9B53"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in cui le amministrazioni non provvedano alla redazione della programmazione perché non intendono o non possono effettuare lavori e acquisti di beni e servizi di valore superiore alle soglie indicate, è necessario darne comunicazione tramite Amministrazione trasparente.</w:t>
      </w:r>
    </w:p>
    <w:p w14:paraId="66367B8B"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La programmazione dei lavori</w:t>
      </w:r>
    </w:p>
    <w:p w14:paraId="532E6C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L’articolo 37 stabilisce che i lavori con un importo pari o superiore alla soglia UE possono essere inclusi nei seguenti documenti:</w:t>
      </w:r>
    </w:p>
    <w:p w14:paraId="370FA346"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 programmazione triennale, dopo l’approvazione del Documento di Fattibilità delle Alternative Progettuali (DOCFAP), come previsto nell’Allegato I.7, articolo 2;</w:t>
      </w:r>
    </w:p>
    <w:p w14:paraId="6DF788DF" w14:textId="77777777" w:rsidR="00485CCA" w:rsidRPr="007B3803" w:rsidRDefault="00485CCA" w:rsidP="00485CCA">
      <w:pPr>
        <w:numPr>
          <w:ilvl w:val="0"/>
          <w:numId w:val="13"/>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dei lavori, dopo l’approvazione del Documento di Indirizzo della Progettazione (DIP), come previsto nell’Allegato I.7, articolo 3;</w:t>
      </w:r>
    </w:p>
    <w:p w14:paraId="4C4AC80D"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lavori e le opere con un valore compreso tra 150.000 euro e la soglia UE, non è richiesta la redazione di alcun documento specifico. Tuttavia, sarebbe consigliabile, ma non obbligatorio, disporre già durante la fase di programmazione di un quadro </w:t>
      </w:r>
      <w:proofErr w:type="spellStart"/>
      <w:r w:rsidRPr="007B3803">
        <w:rPr>
          <w:rFonts w:ascii="Arial" w:eastAsia="Times New Roman" w:hAnsi="Arial" w:cs="Arial"/>
          <w:kern w:val="0"/>
          <w:sz w:val="24"/>
          <w:szCs w:val="24"/>
          <w:lang w:eastAsia="it-IT"/>
          <w14:ligatures w14:val="none"/>
        </w:rPr>
        <w:t>esigenziale</w:t>
      </w:r>
      <w:proofErr w:type="spellEnd"/>
      <w:r w:rsidRPr="007B3803">
        <w:rPr>
          <w:rFonts w:ascii="Arial" w:eastAsia="Times New Roman" w:hAnsi="Arial" w:cs="Arial"/>
          <w:kern w:val="0"/>
          <w:sz w:val="24"/>
          <w:szCs w:val="24"/>
          <w:lang w:eastAsia="it-IT"/>
          <w14:ligatures w14:val="none"/>
        </w:rPr>
        <w:t xml:space="preserve"> o delle necessità della stazione appaltante (come indicato nell’articolo 41, comma 2 del Codice e nell’articolo 1, Allegato I.7).</w:t>
      </w:r>
    </w:p>
    <w:p w14:paraId="6BE96A12"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di manutenzione ordinaria, anche se di valore superiore alla soglia UE, potranno essere inclusi nella programmazione anche senza il Documento di Fattibilità delle Alternative Progettuali.</w:t>
      </w:r>
    </w:p>
    <w:p w14:paraId="74971C1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 modifiche alla programmazione degli appalti</w:t>
      </w:r>
    </w:p>
    <w:p w14:paraId="641D796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similmente al DM 14/2018, stabilisce che una volta approvati, i programmi triennali dei lavori possono essere modificati, previa approvazione dell’organo competente, nel caso in cui le variazioni riguardino:</w:t>
      </w:r>
    </w:p>
    <w:p w14:paraId="59C6E5D7"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cancellazione di uno o più lavori già previsti nell’elenco annuale;</w:t>
      </w:r>
    </w:p>
    <w:p w14:paraId="3E6C5441"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di atti amministrativi adottati a livello statale o regionale;</w:t>
      </w:r>
    </w:p>
    <w:p w14:paraId="5CE911B6"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L’aggiunta di uno o più lavori a seguito della disponibilità di finanziamenti non prevedibili al momento della prima approvazione del programma, compresi i fondi aggiuntivi derivanti da ribassi d’asta o economie;</w:t>
      </w:r>
    </w:p>
    <w:p w14:paraId="7459539F"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L’anticipazione della realizzazione di lavori, inclusi nell’elenco annuale, precedentemente previsti per annualità successive;</w:t>
      </w:r>
    </w:p>
    <w:p w14:paraId="21E9F92B" w14:textId="77777777" w:rsidR="00485CCA" w:rsidRPr="007B3803" w:rsidRDefault="00485CCA" w:rsidP="00485CCA">
      <w:pPr>
        <w:numPr>
          <w:ilvl w:val="0"/>
          <w:numId w:val="14"/>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modifica del quadro economico dei lavori già contemplati nell’elenco, qualora siano necessarie risorse aggiuntive.</w:t>
      </w:r>
    </w:p>
    <w:p w14:paraId="2808AA9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Viene confermata la disposizione secondo cui un lavoro che non è stato incluso nell’elenco annuale può essere realizzato solo se:</w:t>
      </w:r>
    </w:p>
    <w:p w14:paraId="6F84E64D"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Risulta necessario a causa di eventi imprevedibili o calamitosi, o per nuove disposizioni di legge o regolamentari;</w:t>
      </w:r>
    </w:p>
    <w:p w14:paraId="5883FF73" w14:textId="77777777" w:rsidR="00485CCA" w:rsidRPr="007B3803" w:rsidRDefault="00485CCA" w:rsidP="00485CCA">
      <w:pPr>
        <w:numPr>
          <w:ilvl w:val="0"/>
          <w:numId w:val="15"/>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possibile realizzare il nuovo lavoro sulla base di un piano finanziario autonomo che non utilizzi risorse già previste tra i mezzi finanziari disponibili al momento della formulazione dell’elenco;</w:t>
      </w:r>
    </w:p>
    <w:p w14:paraId="5AEBB2C5"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L’Allegato I.5, così come il DM 14/2018, prevede regole sostanzialmente simili per modificare o integrare la programmazione degli acquisti di beni e servizi, includendo un nuovo appalto.</w:t>
      </w:r>
    </w:p>
    <w:p w14:paraId="3FF3828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Come già previsto dal DM 14/2018, nel programma triennale devono essere inserite le opere pubbliche incompiute e i lavori che possono essere realizzati tramite contratti di concessione o di partenariato pubblico-privato, nonché i lavori che possono essere realizzati attraverso la cessione del diritto di proprietà o altri titoli di godimento di beni immobili.</w:t>
      </w:r>
    </w:p>
    <w:p w14:paraId="7BE45F9E"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le fonti di finanziamento dei lavori, da riportare nelle schede del programma, sarà ancora possibile indicare:</w:t>
      </w:r>
    </w:p>
    <w:p w14:paraId="03352F08"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di immobili che potrebbero essere ceduti in permuta in cambio di opere;</w:t>
      </w:r>
    </w:p>
    <w:p w14:paraId="2A59F87C"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risorse derivanti dall’alienazione del patrimonio disponibile degli enti locali, come previsto dall’articolo 3 del </w:t>
      </w:r>
      <w:proofErr w:type="gramStart"/>
      <w:r w:rsidRPr="007B3803">
        <w:rPr>
          <w:rFonts w:ascii="Arial" w:eastAsia="Times New Roman" w:hAnsi="Arial" w:cs="Arial"/>
          <w:kern w:val="0"/>
          <w:sz w:val="24"/>
          <w:szCs w:val="24"/>
          <w:lang w:eastAsia="it-IT"/>
          <w14:ligatures w14:val="none"/>
        </w:rPr>
        <w:t>Decreto Legge</w:t>
      </w:r>
      <w:proofErr w:type="gramEnd"/>
      <w:r w:rsidRPr="007B3803">
        <w:rPr>
          <w:rFonts w:ascii="Arial" w:eastAsia="Times New Roman" w:hAnsi="Arial" w:cs="Arial"/>
          <w:kern w:val="0"/>
          <w:sz w:val="24"/>
          <w:szCs w:val="24"/>
          <w:lang w:eastAsia="it-IT"/>
          <w14:ligatures w14:val="none"/>
        </w:rPr>
        <w:t xml:space="preserve"> 310/1990 (convertito nella legge 310/1990);</w:t>
      </w:r>
    </w:p>
    <w:p w14:paraId="589E77D4"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immobili concessi in diritto di godimento, a titolo di contributo, il cui utilizzo sia strumentale e tecnicamente connesso a un’opera da affidare in concessione;</w:t>
      </w:r>
    </w:p>
    <w:p w14:paraId="5267D522" w14:textId="77777777" w:rsidR="00485CCA" w:rsidRPr="007B3803" w:rsidRDefault="00485CCA" w:rsidP="00485CCA">
      <w:pPr>
        <w:numPr>
          <w:ilvl w:val="0"/>
          <w:numId w:val="17"/>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Gli immobili non strumentali all’esercizio delle funzioni istituzionali, inseriti nel Piano delle alienazioni e valorizzazioni di cui all’articolo 58 del </w:t>
      </w:r>
      <w:proofErr w:type="gramStart"/>
      <w:r w:rsidRPr="007B3803">
        <w:rPr>
          <w:rFonts w:ascii="Arial" w:eastAsia="Times New Roman" w:hAnsi="Arial" w:cs="Arial"/>
          <w:kern w:val="0"/>
          <w:sz w:val="24"/>
          <w:szCs w:val="24"/>
          <w:lang w:eastAsia="it-IT"/>
          <w14:ligatures w14:val="none"/>
        </w:rPr>
        <w:t>Decreto Legge</w:t>
      </w:r>
      <w:proofErr w:type="gramEnd"/>
      <w:r w:rsidRPr="007B3803">
        <w:rPr>
          <w:rFonts w:ascii="Arial" w:eastAsia="Times New Roman" w:hAnsi="Arial" w:cs="Arial"/>
          <w:kern w:val="0"/>
          <w:sz w:val="24"/>
          <w:szCs w:val="24"/>
          <w:lang w:eastAsia="it-IT"/>
          <w14:ligatures w14:val="none"/>
        </w:rPr>
        <w:t xml:space="preserve"> 112/2008.</w:t>
      </w:r>
    </w:p>
    <w:p w14:paraId="74686060"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valore degli immobili viene determinato dagli uffici competenti, sulla base del valore di mercato dei beni.</w:t>
      </w:r>
    </w:p>
    <w:p w14:paraId="634639B6"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L’elenco annuale delle opere pubbliche</w:t>
      </w:r>
    </w:p>
    <w:p w14:paraId="1820D841"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lavori, anche suddivisi in lotti funzionali, che devono essere avviati durante il primo anno del programma, costituiscono l’elenco annuale.</w:t>
      </w:r>
    </w:p>
    <w:p w14:paraId="3F1506F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Nell’elenco annuale è possibile registrare solo i lavori che soddisfano le seguenti condizioni:</w:t>
      </w:r>
    </w:p>
    <w:p w14:paraId="24B9D56E"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Esistenza di un finanziamento previsto nel bilancio per coprire le spese;</w:t>
      </w:r>
    </w:p>
    <w:p w14:paraId="083D9550"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Previsione di avviare la procedura di affidamento durante il primo anno del programma;</w:t>
      </w:r>
    </w:p>
    <w:p w14:paraId="3D95C1F4"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Rispetto dei requisiti minimi di progettazione;</w:t>
      </w:r>
    </w:p>
    <w:p w14:paraId="353E87B5" w14:textId="77777777" w:rsidR="00485CCA" w:rsidRPr="007B3803" w:rsidRDefault="00485CCA" w:rsidP="00485CCA">
      <w:pPr>
        <w:numPr>
          <w:ilvl w:val="0"/>
          <w:numId w:val="18"/>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Conformità dei lavori alle norme urbanistiche vigenti o adottate.</w:t>
      </w:r>
    </w:p>
    <w:p w14:paraId="3AE8EAF8"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poter includere nel programma triennale uno o più lotti funzionali relativi a un lavoro, è necessario che, per l’intero lavoro da realizzare:</w:t>
      </w:r>
    </w:p>
    <w:p w14:paraId="148AF91F"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 stato approvato il documento di fattibilità delle alternative progettuali, ma solo se il valore complessivo supera la soglia UE;</w:t>
      </w:r>
    </w:p>
    <w:p w14:paraId="3283E99D" w14:textId="77777777" w:rsidR="00485CCA" w:rsidRPr="007B3803" w:rsidRDefault="00485CCA" w:rsidP="00485CCA">
      <w:pPr>
        <w:numPr>
          <w:ilvl w:val="0"/>
          <w:numId w:val="19"/>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Siano state quantificate le risorse necessarie per realizzare l’intero lavoro.</w:t>
      </w:r>
    </w:p>
    <w:p w14:paraId="09A5ED3A"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attuali norme riguardanti l’ordine di priorità nell’esecuzione di lavori e opere e la programmazione degli acquisti di beni e servizi vengono sostanzialmente confermate dal nuovo testo normativo.</w:t>
      </w:r>
    </w:p>
    <w:p w14:paraId="3D8A7E98" w14:textId="77777777" w:rsidR="00485CCA" w:rsidRPr="007B3803" w:rsidRDefault="00485CCA" w:rsidP="00485CCA">
      <w:pPr>
        <w:shd w:val="clear" w:color="auto" w:fill="FFFFFF"/>
        <w:spacing w:before="100" w:beforeAutospacing="1" w:after="100" w:afterAutospacing="1" w:line="240" w:lineRule="auto"/>
        <w:outlineLvl w:val="1"/>
        <w:rPr>
          <w:rFonts w:ascii="Arial" w:eastAsia="Times New Roman" w:hAnsi="Arial" w:cs="Arial"/>
          <w:b/>
          <w:bCs/>
          <w:spacing w:val="-12"/>
          <w:kern w:val="0"/>
          <w:sz w:val="24"/>
          <w:szCs w:val="24"/>
          <w:lang w:eastAsia="it-IT"/>
          <w14:ligatures w14:val="none"/>
        </w:rPr>
      </w:pPr>
      <w:r w:rsidRPr="007B3803">
        <w:rPr>
          <w:rFonts w:ascii="Arial" w:eastAsia="Times New Roman" w:hAnsi="Arial" w:cs="Arial"/>
          <w:b/>
          <w:bCs/>
          <w:spacing w:val="-12"/>
          <w:kern w:val="0"/>
          <w:sz w:val="24"/>
          <w:szCs w:val="24"/>
          <w:lang w:eastAsia="it-IT"/>
          <w14:ligatures w14:val="none"/>
        </w:rPr>
        <w:t>Il dibattito pubblico nel nuovo codice dei contratti</w:t>
      </w:r>
    </w:p>
    <w:p w14:paraId="052773B9"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Un breve e doveroso cenno va fatto, inoltre, in riferimento alla disciplina del </w:t>
      </w:r>
      <w:r w:rsidRPr="007B3803">
        <w:rPr>
          <w:rFonts w:ascii="Arial" w:eastAsia="Times New Roman" w:hAnsi="Arial" w:cs="Arial"/>
          <w:b/>
          <w:bCs/>
          <w:kern w:val="0"/>
          <w:sz w:val="24"/>
          <w:szCs w:val="24"/>
          <w:lang w:eastAsia="it-IT"/>
          <w14:ligatures w14:val="none"/>
        </w:rPr>
        <w:t>dibattito pubblico</w:t>
      </w:r>
      <w:r w:rsidRPr="007B3803">
        <w:rPr>
          <w:rFonts w:ascii="Arial" w:eastAsia="Times New Roman" w:hAnsi="Arial" w:cs="Arial"/>
          <w:kern w:val="0"/>
          <w:sz w:val="24"/>
          <w:szCs w:val="24"/>
          <w:lang w:eastAsia="it-IT"/>
          <w14:ligatures w14:val="none"/>
        </w:rPr>
        <w:t>: come noto, l’art. 22 del Codice del 2016 disciplinava l’istituto in esame prevedendo la pubblicazione da parte delle amministrazioni aggiudicatrici e gli enti aggiudicatori nel proprio profilo del committente, dei progetti di fattibilità relativi alle grandi opere infrastrutturali e di architettura di rilevanza sociale, aventi impatto sull’ambiente, sulle città e sull’assetto del territorio, nonché degli esiti della consultazione pubblica, comprensivi dei resoconti degli incontri e dei dibattiti con i portatori di interesse. I contributi e i resoconti erano pubblicati, con pari evidenza, unitamente ai documenti predisposti dall’amministrazione e relativi agli stessi lavori.</w:t>
      </w:r>
    </w:p>
    <w:p w14:paraId="558F4644"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L’art. 40 del </w:t>
      </w:r>
      <w:proofErr w:type="spellStart"/>
      <w:r w:rsidRPr="007B3803">
        <w:rPr>
          <w:rFonts w:ascii="Arial" w:eastAsia="Times New Roman" w:hAnsi="Arial" w:cs="Arial"/>
          <w:b/>
          <w:bCs/>
          <w:kern w:val="0"/>
          <w:sz w:val="24"/>
          <w:szCs w:val="24"/>
          <w:lang w:eastAsia="it-IT"/>
          <w14:ligatures w14:val="none"/>
        </w:rPr>
        <w:t>D.Lgs.</w:t>
      </w:r>
      <w:proofErr w:type="spellEnd"/>
      <w:r w:rsidRPr="007B3803">
        <w:rPr>
          <w:rFonts w:ascii="Arial" w:eastAsia="Times New Roman" w:hAnsi="Arial" w:cs="Arial"/>
          <w:b/>
          <w:bCs/>
          <w:kern w:val="0"/>
          <w:sz w:val="24"/>
          <w:szCs w:val="24"/>
          <w:lang w:eastAsia="it-IT"/>
          <w14:ligatures w14:val="none"/>
        </w:rPr>
        <w:t xml:space="preserve"> n. 36/202</w:t>
      </w:r>
      <w:r w:rsidRPr="007B3803">
        <w:rPr>
          <w:rFonts w:ascii="Arial" w:eastAsia="Times New Roman" w:hAnsi="Arial" w:cs="Arial"/>
          <w:kern w:val="0"/>
          <w:sz w:val="24"/>
          <w:szCs w:val="24"/>
          <w:lang w:eastAsia="it-IT"/>
          <w14:ligatures w14:val="none"/>
        </w:rPr>
        <w:t>3, salvi i casi di dibattito pubblico obbligatorio indicati nell’Allegato I.6, attribuisce alla stazione appaltante</w:t>
      </w:r>
      <w:r w:rsidRPr="007B3803">
        <w:rPr>
          <w:rFonts w:ascii="Arial" w:eastAsia="Times New Roman" w:hAnsi="Arial" w:cs="Arial"/>
          <w:b/>
          <w:bCs/>
          <w:kern w:val="0"/>
          <w:sz w:val="24"/>
          <w:szCs w:val="24"/>
          <w:lang w:eastAsia="it-IT"/>
          <w14:ligatures w14:val="none"/>
        </w:rPr>
        <w:t> la facoltà di indire il dibattito pubblico nei casi in cui ne ravvisi l’opportunità</w:t>
      </w:r>
      <w:r w:rsidRPr="007B3803">
        <w:rPr>
          <w:rFonts w:ascii="Arial" w:eastAsia="Times New Roman" w:hAnsi="Arial" w:cs="Arial"/>
          <w:kern w:val="0"/>
          <w:sz w:val="24"/>
          <w:szCs w:val="24"/>
          <w:lang w:eastAsia="it-IT"/>
          <w14:ligatures w14:val="none"/>
        </w:rPr>
        <w:t> in ragione della particolare rilevanza sociale dell’intervento e del suo impatto sull’ambiente e sul territorio, garantendone in ogni caso la celerità.</w:t>
      </w:r>
    </w:p>
    <w:p w14:paraId="7487722C" w14:textId="77777777" w:rsidR="00485CCA" w:rsidRPr="007B3803" w:rsidRDefault="00485CCA" w:rsidP="00485CCA">
      <w:pPr>
        <w:shd w:val="clear" w:color="auto" w:fill="FFFFFF"/>
        <w:spacing w:after="30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dibattito pubblico si apre con la pubblicazione sul sito istituzionale della stazione appaltante o dell’ente concedente di una relazione contenente il progetto dell’opera e l’analisi di fattibilità delle eventuali alternative progettuali: entro i successivi 60 giorni, le amministrazioni interessate e i portatori di interessi diffusi costituiti in associazioni o comitati, che, in ragione degli scopi statutari, sono interessati dall’intervento, hanno facoltà di presentare osservazioni e proposte. Entro un termine compatibile con le esigenze di celerità, comunque non superiore a 120 giorni dalla pubblicazione del progetto dell’opera, il dibattito si conclude con una relazione redatta dal responsabile del dibattito pubblico e contenente una sintetica descrizione delle proposte e delle osservazioni pervenute, con l’eventuale indicazione di quelle ritenute meritevoli di accoglimento.</w:t>
      </w:r>
    </w:p>
    <w:p w14:paraId="7091B379" w14:textId="77777777" w:rsidR="00485CCA" w:rsidRPr="007B3803" w:rsidRDefault="00485CCA" w:rsidP="00485CCA">
      <w:pPr>
        <w:shd w:val="clear" w:color="auto" w:fill="FFFFFF"/>
        <w:spacing w:before="100" w:beforeAutospacing="1" w:after="100" w:afterAutospacing="1" w:line="240" w:lineRule="auto"/>
        <w:jc w:val="both"/>
        <w:rPr>
          <w:rFonts w:ascii="Arial" w:eastAsia="Times New Roman" w:hAnsi="Arial" w:cs="Arial"/>
          <w:kern w:val="0"/>
          <w:sz w:val="24"/>
          <w:szCs w:val="24"/>
          <w:lang w:eastAsia="it-IT"/>
          <w14:ligatures w14:val="none"/>
        </w:rPr>
      </w:pPr>
    </w:p>
    <w:p w14:paraId="37013B6C" w14:textId="77777777" w:rsidR="00B8638E" w:rsidRPr="007B3803" w:rsidRDefault="00B8638E" w:rsidP="00B8638E">
      <w:pPr>
        <w:pStyle w:val="NormaleWeb"/>
        <w:shd w:val="clear" w:color="auto" w:fill="FFFFFF"/>
        <w:spacing w:before="0" w:beforeAutospacing="0" w:after="0" w:afterAutospacing="0"/>
        <w:textAlignment w:val="baseline"/>
        <w:rPr>
          <w:rFonts w:ascii="Arial" w:hAnsi="Arial" w:cs="Arial"/>
        </w:rPr>
      </w:pPr>
      <w:r w:rsidRPr="007B3803">
        <w:rPr>
          <w:rFonts w:ascii="Arial" w:hAnsi="Arial" w:cs="Arial"/>
        </w:rPr>
        <w:t>livelli di progettazione</w:t>
      </w:r>
      <w:r w:rsidRPr="007B3803">
        <w:rPr>
          <w:rFonts w:ascii="Arial" w:hAnsi="Arial" w:cs="Arial"/>
        </w:rPr>
        <w:sym w:font="Wingdings" w:char="F0E0"/>
      </w:r>
      <w:r w:rsidRPr="007B3803">
        <w:rPr>
          <w:rFonts w:ascii="Arial" w:hAnsi="Arial" w:cs="Arial"/>
        </w:rPr>
        <w:t xml:space="preserve">l </w:t>
      </w:r>
      <w:proofErr w:type="spellStart"/>
      <w:r w:rsidRPr="007B3803">
        <w:rPr>
          <w:rFonts w:ascii="Arial" w:hAnsi="Arial" w:cs="Arial"/>
        </w:rPr>
        <w:t>dlgs</w:t>
      </w:r>
      <w:proofErr w:type="spellEnd"/>
      <w:r w:rsidRPr="007B3803">
        <w:rPr>
          <w:rFonts w:ascii="Arial" w:hAnsi="Arial" w:cs="Arial"/>
        </w:rPr>
        <w:t xml:space="preserve"> 36/2023 (nuovo </w:t>
      </w:r>
      <w:hyperlink r:id="rId8" w:tgtFrame="_blank" w:history="1">
        <w:r w:rsidRPr="007B3803">
          <w:rPr>
            <w:rFonts w:ascii="Arial" w:hAnsi="Arial" w:cs="Arial"/>
            <w:bdr w:val="none" w:sz="0" w:space="0" w:color="auto" w:frame="1"/>
          </w:rPr>
          <w:t>codice appalti</w:t>
        </w:r>
      </w:hyperlink>
      <w:r w:rsidRPr="007B3803">
        <w:rPr>
          <w:rFonts w:ascii="Arial" w:hAnsi="Arial" w:cs="Arial"/>
        </w:rPr>
        <w:t>) contiene un’importante novità circa i livelli di progettazione: si passa da 3 a 2: scompare il</w:t>
      </w:r>
      <w:r w:rsidRPr="007B3803">
        <w:rPr>
          <w:rFonts w:ascii="Arial" w:hAnsi="Arial" w:cs="Arial"/>
          <w:b/>
          <w:bCs/>
          <w:bdr w:val="none" w:sz="0" w:space="0" w:color="auto" w:frame="1"/>
        </w:rPr>
        <w:t> progetto definitivo</w:t>
      </w:r>
      <w:r w:rsidRPr="007B3803">
        <w:rPr>
          <w:rFonts w:ascii="Arial" w:hAnsi="Arial" w:cs="Arial"/>
        </w:rPr>
        <w:t>.</w:t>
      </w:r>
    </w:p>
    <w:p w14:paraId="455161F8"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Nell’art. 41 (</w:t>
      </w:r>
      <w:r w:rsidRPr="007B3803">
        <w:rPr>
          <w:rFonts w:ascii="Arial" w:eastAsia="Times New Roman" w:hAnsi="Arial" w:cs="Arial"/>
          <w:b/>
          <w:bCs/>
          <w:kern w:val="0"/>
          <w:sz w:val="24"/>
          <w:szCs w:val="24"/>
          <w:bdr w:val="none" w:sz="0" w:space="0" w:color="auto" w:frame="1"/>
          <w:lang w:eastAsia="it-IT"/>
          <w14:ligatures w14:val="none"/>
        </w:rPr>
        <w:t>livelli e contenuti di progettazione</w:t>
      </w:r>
      <w:r w:rsidRPr="007B3803">
        <w:rPr>
          <w:rFonts w:ascii="Arial" w:eastAsia="Times New Roman" w:hAnsi="Arial" w:cs="Arial"/>
          <w:kern w:val="0"/>
          <w:sz w:val="24"/>
          <w:szCs w:val="24"/>
          <w:lang w:eastAsia="it-IT"/>
          <w14:ligatures w14:val="none"/>
        </w:rPr>
        <w:t>), leggiamo che i livelli di progettazione sono 2:</w:t>
      </w:r>
    </w:p>
    <w:p w14:paraId="5E2848B9"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di fattibilità tecnico-economica</w:t>
      </w:r>
      <w:r w:rsidRPr="007B3803">
        <w:rPr>
          <w:rFonts w:ascii="Arial" w:eastAsia="Times New Roman" w:hAnsi="Arial" w:cs="Arial"/>
          <w:kern w:val="0"/>
          <w:sz w:val="24"/>
          <w:szCs w:val="24"/>
          <w:lang w:eastAsia="it-IT"/>
          <w14:ligatures w14:val="none"/>
        </w:rPr>
        <w:t>;</w:t>
      </w:r>
    </w:p>
    <w:p w14:paraId="4A7AD50C" w14:textId="77777777" w:rsidR="00B8638E" w:rsidRPr="007B3803" w:rsidRDefault="00B8638E" w:rsidP="00B8638E">
      <w:pPr>
        <w:numPr>
          <w:ilvl w:val="0"/>
          <w:numId w:val="6"/>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bdr w:val="none" w:sz="0" w:space="0" w:color="auto" w:frame="1"/>
          <w:lang w:eastAsia="it-IT"/>
          <w14:ligatures w14:val="none"/>
        </w:rPr>
        <w:t>progetto esecutivo</w:t>
      </w:r>
      <w:r w:rsidRPr="007B3803">
        <w:rPr>
          <w:rFonts w:ascii="Arial" w:eastAsia="Times New Roman" w:hAnsi="Arial" w:cs="Arial"/>
          <w:kern w:val="0"/>
          <w:sz w:val="24"/>
          <w:szCs w:val="24"/>
          <w:lang w:eastAsia="it-IT"/>
          <w14:ligatures w14:val="none"/>
        </w:rPr>
        <w:t>.</w:t>
      </w:r>
    </w:p>
    <w:p w14:paraId="654C0027"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indica alcuni parametri da rispettare in ogni fase della progettazione:</w:t>
      </w:r>
    </w:p>
    <w:p w14:paraId="2FAECD5B"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caratteristiche;</w:t>
      </w:r>
    </w:p>
    <w:p w14:paraId="6008F931"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requisiti;</w:t>
      </w:r>
    </w:p>
    <w:p w14:paraId="534CC489" w14:textId="77777777" w:rsidR="00B8638E" w:rsidRPr="007B3803" w:rsidRDefault="00B8638E" w:rsidP="00B8638E">
      <w:pPr>
        <w:numPr>
          <w:ilvl w:val="0"/>
          <w:numId w:val="7"/>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elaborati progettuali.</w:t>
      </w:r>
    </w:p>
    <w:p w14:paraId="431C9FA6"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gli interventi di manutenzione ordinaria e straordinaria può essere omesso il primo livello di progettazione a condizione che l’esecutivo includa tutti gli elementi previsti dal livello omesso.</w:t>
      </w:r>
    </w:p>
    <w:p w14:paraId="542402D1"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di fattibilità tecnico-economica ha la finalità di individuare la soluzione migliore in correlazione alle esigenze da soddisfare, che debba garantire un buon rapporto qualità-prezzo e di costi-benefici. Il progetto tiene conto delle linee guida adottate con provvedimento del Presidente del consiglio superiore dei lavori pubblici.</w:t>
      </w:r>
    </w:p>
    <w:p w14:paraId="048CF282"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Risponde ad alcune caratteristiche:</w:t>
      </w:r>
    </w:p>
    <w:p w14:paraId="2E400BE4"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include i richiami all’eventuale uso di metodi e strumenti di gestione informativa digitale delle costruzioni;</w:t>
      </w:r>
    </w:p>
    <w:p w14:paraId="6A14F92D"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le indagini e gli studi necessari per la definizione degli aspetti di cui all’art.41 comma 1;</w:t>
      </w:r>
    </w:p>
    <w:p w14:paraId="41A81AE6"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individua, con le relative stime economiche, le caratteristiche dimensionali, tipologiche, funzionali e tecnologiche dei lavori da realizzare, compresa la scelta in merito alla possibile suddivisione in lotti funzionali;</w:t>
      </w:r>
    </w:p>
    <w:p w14:paraId="691CC471"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consente, ove necessario, l’avvio della procedura espropriativa;</w:t>
      </w:r>
    </w:p>
    <w:p w14:paraId="0FA9098E" w14:textId="77777777" w:rsidR="00B8638E" w:rsidRPr="007B3803" w:rsidRDefault="00B8638E" w:rsidP="00B8638E">
      <w:pPr>
        <w:numPr>
          <w:ilvl w:val="0"/>
          <w:numId w:val="8"/>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contiene tutti gli elementi necessari per il rilascio delle autorizzazioni e approvazioni prescritte.</w:t>
      </w:r>
    </w:p>
    <w:p w14:paraId="62E052A4" w14:textId="77777777" w:rsidR="00B8638E" w:rsidRPr="007B3803"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le opere proposte in </w:t>
      </w:r>
      <w:r w:rsidRPr="007B3803">
        <w:rPr>
          <w:rFonts w:ascii="Arial" w:eastAsia="Times New Roman" w:hAnsi="Arial" w:cs="Arial"/>
          <w:b/>
          <w:bCs/>
          <w:kern w:val="0"/>
          <w:sz w:val="24"/>
          <w:szCs w:val="24"/>
          <w:bdr w:val="none" w:sz="0" w:space="0" w:color="auto" w:frame="1"/>
          <w:lang w:eastAsia="it-IT"/>
          <w14:ligatures w14:val="none"/>
        </w:rPr>
        <w:t>variante urbanistica</w:t>
      </w:r>
      <w:r w:rsidRPr="007B3803">
        <w:rPr>
          <w:rFonts w:ascii="Arial" w:eastAsia="Times New Roman" w:hAnsi="Arial" w:cs="Arial"/>
          <w:kern w:val="0"/>
          <w:sz w:val="24"/>
          <w:szCs w:val="24"/>
          <w:lang w:eastAsia="it-IT"/>
          <w14:ligatures w14:val="none"/>
        </w:rPr>
        <w:t> di cui all’articolo 19 del decreto del Presidente della Repubblica 8 giugno 2001, n. 327, il progetto di fattibilità tecnico-economica sostituisce il progetto preliminare e quello definitivo.</w:t>
      </w:r>
    </w:p>
    <w:p w14:paraId="1002FE5A"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p>
    <w:p w14:paraId="77593E51" w14:textId="072ACCE4"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progetto esecutivo, il secondo ed ultimo livello di progettazione, è sempre coerente al progetto d fattibilità tecnico-economica. Ha determinate caratteristiche, quali:</w:t>
      </w:r>
    </w:p>
    <w:p w14:paraId="35B8AE33"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sviluppa un livello di definizione degli elementi tale da individuarne compiutamente la funzione, i requisiti, la qualità e il prezzo di elenco;</w:t>
      </w:r>
    </w:p>
    <w:p w14:paraId="08FFAF46"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corredato dal </w:t>
      </w:r>
      <w:r w:rsidRPr="007B3803">
        <w:rPr>
          <w:rFonts w:ascii="Arial" w:eastAsia="Times New Roman" w:hAnsi="Arial" w:cs="Arial"/>
          <w:b/>
          <w:bCs/>
          <w:kern w:val="0"/>
          <w:sz w:val="24"/>
          <w:szCs w:val="24"/>
          <w:bdr w:val="none" w:sz="0" w:space="0" w:color="auto" w:frame="1"/>
          <w:lang w:eastAsia="it-IT"/>
          <w14:ligatures w14:val="none"/>
        </w:rPr>
        <w:t>piano di manutenzione dell’opera</w:t>
      </w:r>
      <w:r w:rsidRPr="007B3803">
        <w:rPr>
          <w:rFonts w:ascii="Arial" w:eastAsia="Times New Roman" w:hAnsi="Arial" w:cs="Arial"/>
          <w:kern w:val="0"/>
          <w:sz w:val="24"/>
          <w:szCs w:val="24"/>
          <w:lang w:eastAsia="it-IT"/>
          <w14:ligatures w14:val="none"/>
        </w:rPr>
        <w:t> per l’intero ciclo di vita e determina in dettaglio i lavori da realizzare, il loro costo e i loro tempi di realizzazione;</w:t>
      </w:r>
    </w:p>
    <w:p w14:paraId="53F3D49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sono utilizzati metodi e strumenti di gestione informativa digitale delle costruzioni, sviluppa un livello di definizione degli oggetti rispondente a quanto specificato nel capitolato informativo a corredo del progetto;</w:t>
      </w:r>
    </w:p>
    <w:p w14:paraId="4C30701D" w14:textId="77777777" w:rsidR="00B8638E" w:rsidRPr="007B3803" w:rsidRDefault="00B8638E" w:rsidP="00B8638E">
      <w:pPr>
        <w:numPr>
          <w:ilvl w:val="0"/>
          <w:numId w:val="9"/>
        </w:numPr>
        <w:shd w:val="clear" w:color="auto" w:fill="FFFFFF"/>
        <w:spacing w:after="0" w:line="240" w:lineRule="auto"/>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di regola, è redatto dallo stesso soggetto che ha predisposto il progetto di fattibilità tecnico-economica. Nel caso in cui motivate ragioni giustifichino l’affidamento disgiunto, il nuovo progettista accetta senza riserve l’attività progettuale svolta in precedenza.</w:t>
      </w:r>
    </w:p>
    <w:p w14:paraId="7949E3A5" w14:textId="77777777" w:rsidR="00B8638E" w:rsidRPr="007B3803" w:rsidRDefault="00B8638E" w:rsidP="00B8638E">
      <w:pPr>
        <w:shd w:val="clear" w:color="auto" w:fill="FFFFFF"/>
        <w:spacing w:after="15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 caso di affidamento esterno, sia del progetto di fattibilità tecnico economica che di quello esecutivo, l’avvio della progettazione esecutiva è condizionato dalla determinazione delle stazioni appaltanti e dagli enti concedenti sul progetto di fattibilità tecnico-economica.</w:t>
      </w:r>
    </w:p>
    <w:p w14:paraId="22AF2C5A" w14:textId="77777777" w:rsidR="00B8638E" w:rsidRDefault="00B8638E"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dettaglio dei contenuti dei 2 livelli di progettazione è contenuto nell’</w:t>
      </w:r>
      <w:r w:rsidRPr="007B3803">
        <w:rPr>
          <w:rFonts w:ascii="Arial" w:eastAsia="Times New Roman" w:hAnsi="Arial" w:cs="Arial"/>
          <w:b/>
          <w:bCs/>
          <w:kern w:val="0"/>
          <w:sz w:val="24"/>
          <w:szCs w:val="24"/>
          <w:bdr w:val="none" w:sz="0" w:space="0" w:color="auto" w:frame="1"/>
          <w:lang w:eastAsia="it-IT"/>
          <w14:ligatures w14:val="none"/>
        </w:rPr>
        <w:t>allegato I.7</w:t>
      </w:r>
      <w:r w:rsidRPr="007B3803">
        <w:rPr>
          <w:rFonts w:ascii="Arial" w:eastAsia="Times New Roman" w:hAnsi="Arial" w:cs="Arial"/>
          <w:kern w:val="0"/>
          <w:sz w:val="24"/>
          <w:szCs w:val="24"/>
          <w:lang w:eastAsia="it-IT"/>
          <w14:ligatures w14:val="none"/>
        </w:rPr>
        <w:t>.</w:t>
      </w:r>
    </w:p>
    <w:p w14:paraId="04D8B807"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12166C44" w14:textId="47B08F2D"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RUP</w:t>
      </w:r>
    </w:p>
    <w:p w14:paraId="2B61CFC1" w14:textId="77777777" w:rsidR="008C4AF4" w:rsidRDefault="008C4AF4" w:rsidP="00B8638E">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7786C65D" w14:textId="39E5647B"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Codice attribuisce un ruolo centrale al RUP, la cui figura viene profondamente valorizzata sin dalla modifica della denominazione che da responsabile unico del</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procedimento diviene responsabile unico del progetto. Questa innovazione è tesa </w:t>
      </w:r>
      <w:proofErr w:type="gramStart"/>
      <w:r w:rsidRPr="008C4AF4">
        <w:rPr>
          <w:rFonts w:ascii="Arial" w:eastAsia="Times New Roman" w:hAnsi="Arial" w:cs="Arial"/>
          <w:kern w:val="0"/>
          <w:sz w:val="24"/>
          <w:szCs w:val="24"/>
          <w:lang w:eastAsia="it-IT"/>
          <w14:ligatures w14:val="none"/>
        </w:rPr>
        <w:t xml:space="preserve">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sottolineare</w:t>
      </w:r>
      <w:proofErr w:type="gramEnd"/>
      <w:r w:rsidRPr="008C4AF4">
        <w:rPr>
          <w:rFonts w:ascii="Arial" w:eastAsia="Times New Roman" w:hAnsi="Arial" w:cs="Arial"/>
          <w:kern w:val="0"/>
          <w:sz w:val="24"/>
          <w:szCs w:val="24"/>
          <w:lang w:eastAsia="it-IT"/>
          <w14:ligatures w14:val="none"/>
        </w:rPr>
        <w:t xml:space="preserve"> che la responsabilità assunta dal RUP non riguarda uno o più procedimenti,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ma l’intero progetto, sin dalla sua fase di programmazione. Il principio di unicità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va quindi riferito all’insieme dei procedimenti, diversi e autonomi, volti alla</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realizzazione dell’intervento pubblico. </w:t>
      </w:r>
    </w:p>
    <w:p w14:paraId="08D37AAC" w14:textId="41BD5BBC"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RUP è nominato dal responsabile dell’unità organizzativa titolare del potere di </w:t>
      </w:r>
      <w:proofErr w:type="gramStart"/>
      <w:r w:rsidRPr="008C4AF4">
        <w:rPr>
          <w:rFonts w:ascii="Arial" w:eastAsia="Times New Roman" w:hAnsi="Arial" w:cs="Arial"/>
          <w:kern w:val="0"/>
          <w:sz w:val="24"/>
          <w:szCs w:val="24"/>
          <w:lang w:eastAsia="it-IT"/>
          <w14:ligatures w14:val="none"/>
        </w:rPr>
        <w:t xml:space="preserve">spesa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presso</w:t>
      </w:r>
      <w:proofErr w:type="gramEnd"/>
      <w:r w:rsidRPr="008C4AF4">
        <w:rPr>
          <w:rFonts w:ascii="Arial" w:eastAsia="Times New Roman" w:hAnsi="Arial" w:cs="Arial"/>
          <w:kern w:val="0"/>
          <w:sz w:val="24"/>
          <w:szCs w:val="24"/>
          <w:lang w:eastAsia="it-IT"/>
          <w14:ligatures w14:val="none"/>
        </w:rPr>
        <w:t xml:space="preserve"> la stazione appaltante o l’ente concedente. Esso è individuato tra i dipendenti, anche non aventi la qualifica dirigenziale, purché in possesso dei requisiti e </w:t>
      </w:r>
      <w:proofErr w:type="gramStart"/>
      <w:r w:rsidRPr="008C4AF4">
        <w:rPr>
          <w:rFonts w:ascii="Arial" w:eastAsia="Times New Roman" w:hAnsi="Arial" w:cs="Arial"/>
          <w:kern w:val="0"/>
          <w:sz w:val="24"/>
          <w:szCs w:val="24"/>
          <w:lang w:eastAsia="it-IT"/>
          <w14:ligatures w14:val="none"/>
        </w:rPr>
        <w:t xml:space="preserve">competenze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adeguate</w:t>
      </w:r>
      <w:proofErr w:type="gramEnd"/>
      <w:r w:rsidRPr="008C4AF4">
        <w:rPr>
          <w:rFonts w:ascii="Arial" w:eastAsia="Times New Roman" w:hAnsi="Arial" w:cs="Arial"/>
          <w:kern w:val="0"/>
          <w:sz w:val="24"/>
          <w:szCs w:val="24"/>
          <w:lang w:eastAsia="it-IT"/>
          <w14:ligatures w14:val="none"/>
        </w:rPr>
        <w:t xml:space="preserve"> all’incarico affidato (articolo 15). In particolare, l’allegato I.2 prevede che </w:t>
      </w:r>
      <w:proofErr w:type="gramStart"/>
      <w:r w:rsidRPr="008C4AF4">
        <w:rPr>
          <w:rFonts w:ascii="Arial" w:eastAsia="Times New Roman" w:hAnsi="Arial" w:cs="Arial"/>
          <w:kern w:val="0"/>
          <w:sz w:val="24"/>
          <w:szCs w:val="24"/>
          <w:lang w:eastAsia="it-IT"/>
          <w14:ligatures w14:val="none"/>
        </w:rPr>
        <w:t xml:space="preserve">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funzioni</w:t>
      </w:r>
      <w:proofErr w:type="gramEnd"/>
      <w:r w:rsidRPr="008C4AF4">
        <w:rPr>
          <w:rFonts w:ascii="Arial" w:eastAsia="Times New Roman" w:hAnsi="Arial" w:cs="Arial"/>
          <w:kern w:val="0"/>
          <w:sz w:val="24"/>
          <w:szCs w:val="24"/>
          <w:lang w:eastAsia="it-IT"/>
          <w14:ligatures w14:val="none"/>
        </w:rPr>
        <w:t xml:space="preserve"> di RUP non possono essere assunte da soggetti condannati, anche </w:t>
      </w:r>
      <w:proofErr w:type="gramStart"/>
      <w:r w:rsidRPr="008C4AF4">
        <w:rPr>
          <w:rFonts w:ascii="Arial" w:eastAsia="Times New Roman" w:hAnsi="Arial" w:cs="Arial"/>
          <w:kern w:val="0"/>
          <w:sz w:val="24"/>
          <w:szCs w:val="24"/>
          <w:lang w:eastAsia="it-IT"/>
          <w14:ligatures w14:val="none"/>
        </w:rPr>
        <w:t xml:space="preserve">con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sentenza</w:t>
      </w:r>
      <w:proofErr w:type="gramEnd"/>
      <w:r w:rsidRPr="008C4AF4">
        <w:rPr>
          <w:rFonts w:ascii="Arial" w:eastAsia="Times New Roman" w:hAnsi="Arial" w:cs="Arial"/>
          <w:kern w:val="0"/>
          <w:sz w:val="24"/>
          <w:szCs w:val="24"/>
          <w:lang w:eastAsia="it-IT"/>
          <w14:ligatures w14:val="none"/>
        </w:rPr>
        <w:t xml:space="preserve"> non passata in giudicato, per i reati contro la pubblica amministrazione di cui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al Capo I, titolo II del Libro II del </w:t>
      </w:r>
      <w:proofErr w:type="gramStart"/>
      <w:r w:rsidRPr="008C4AF4">
        <w:rPr>
          <w:rFonts w:ascii="Arial" w:eastAsia="Times New Roman" w:hAnsi="Arial" w:cs="Arial"/>
          <w:kern w:val="0"/>
          <w:sz w:val="24"/>
          <w:szCs w:val="24"/>
          <w:lang w:eastAsia="it-IT"/>
          <w14:ligatures w14:val="none"/>
        </w:rPr>
        <w:t>codice penale</w:t>
      </w:r>
      <w:proofErr w:type="gramEnd"/>
      <w:r w:rsidRPr="008C4AF4">
        <w:rPr>
          <w:rFonts w:ascii="Arial" w:eastAsia="Times New Roman" w:hAnsi="Arial" w:cs="Arial"/>
          <w:kern w:val="0"/>
          <w:sz w:val="24"/>
          <w:szCs w:val="24"/>
          <w:lang w:eastAsia="it-IT"/>
          <w14:ligatures w14:val="none"/>
        </w:rPr>
        <w:t xml:space="preserve">, quali ad esempio peculato, malversazione, concussione, corruzione, abuso d’ufficio, rifiuto di atti d’ufficio. </w:t>
      </w:r>
    </w:p>
    <w:p w14:paraId="06C2DC28" w14:textId="34366CB2"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Inoltre, l’allegato indica i requisiti di professionalità di cui il RUP deve essere in </w:t>
      </w:r>
      <w:proofErr w:type="gramStart"/>
      <w:r w:rsidRPr="008C4AF4">
        <w:rPr>
          <w:rFonts w:ascii="Arial" w:eastAsia="Times New Roman" w:hAnsi="Arial" w:cs="Arial"/>
          <w:kern w:val="0"/>
          <w:sz w:val="24"/>
          <w:szCs w:val="24"/>
          <w:lang w:eastAsia="it-IT"/>
          <w14:ligatures w14:val="none"/>
        </w:rPr>
        <w:t xml:space="preserve">possesso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w:t>
      </w:r>
      <w:proofErr w:type="gramEnd"/>
      <w:r w:rsidRPr="008C4AF4">
        <w:rPr>
          <w:rFonts w:ascii="Arial" w:eastAsia="Times New Roman" w:hAnsi="Arial" w:cs="Arial"/>
          <w:kern w:val="0"/>
          <w:sz w:val="24"/>
          <w:szCs w:val="24"/>
          <w:lang w:eastAsia="it-IT"/>
          <w14:ligatures w14:val="none"/>
        </w:rPr>
        <w:t xml:space="preserve"> seconda della tipologia e della complessità della procedura, distinguendo tra </w:t>
      </w:r>
      <w:proofErr w:type="spellStart"/>
      <w:proofErr w:type="gramStart"/>
      <w:r w:rsidRPr="008C4AF4">
        <w:rPr>
          <w:rFonts w:ascii="Arial" w:eastAsia="Times New Roman" w:hAnsi="Arial" w:cs="Arial"/>
          <w:kern w:val="0"/>
          <w:sz w:val="24"/>
          <w:szCs w:val="24"/>
          <w:lang w:eastAsia="it-IT"/>
          <w14:ligatures w14:val="none"/>
        </w:rPr>
        <w:t>appalti,concessioni</w:t>
      </w:r>
      <w:proofErr w:type="spellEnd"/>
      <w:proofErr w:type="gramEnd"/>
      <w:r w:rsidRPr="008C4AF4">
        <w:rPr>
          <w:rFonts w:ascii="Arial" w:eastAsia="Times New Roman" w:hAnsi="Arial" w:cs="Arial"/>
          <w:kern w:val="0"/>
          <w:sz w:val="24"/>
          <w:szCs w:val="24"/>
          <w:lang w:eastAsia="it-IT"/>
          <w14:ligatures w14:val="none"/>
        </w:rPr>
        <w:t xml:space="preserve"> e servizi attinenti all’ingegneria e all’architettura, e contratti di servizi forniture. In caso di mancata nomina, l’incarico è svolto dal responsabile </w:t>
      </w:r>
      <w:proofErr w:type="gramStart"/>
      <w:r w:rsidRPr="008C4AF4">
        <w:rPr>
          <w:rFonts w:ascii="Arial" w:eastAsia="Times New Roman" w:hAnsi="Arial" w:cs="Arial"/>
          <w:kern w:val="0"/>
          <w:sz w:val="24"/>
          <w:szCs w:val="24"/>
          <w:lang w:eastAsia="it-IT"/>
          <w14:ligatures w14:val="none"/>
        </w:rPr>
        <w:t xml:space="preserve">dell’unità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organizzativa</w:t>
      </w:r>
      <w:proofErr w:type="gramEnd"/>
      <w:r w:rsidRPr="008C4AF4">
        <w:rPr>
          <w:rFonts w:ascii="Arial" w:eastAsia="Times New Roman" w:hAnsi="Arial" w:cs="Arial"/>
          <w:kern w:val="0"/>
          <w:sz w:val="24"/>
          <w:szCs w:val="24"/>
          <w:lang w:eastAsia="it-IT"/>
          <w14:ligatures w14:val="none"/>
        </w:rPr>
        <w:t xml:space="preserve"> titolare del potere di spesa. </w:t>
      </w:r>
    </w:p>
    <w:p w14:paraId="086370BF" w14:textId="1549F26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Il nominativo del RUP deve essere indicato nei documenti di gara (bando o avviso </w:t>
      </w:r>
      <w:proofErr w:type="gramStart"/>
      <w:r w:rsidRPr="008C4AF4">
        <w:rPr>
          <w:rFonts w:ascii="Arial" w:eastAsia="Times New Roman" w:hAnsi="Arial" w:cs="Arial"/>
          <w:kern w:val="0"/>
          <w:sz w:val="24"/>
          <w:szCs w:val="24"/>
          <w:lang w:eastAsia="it-IT"/>
          <w14:ligatures w14:val="none"/>
        </w:rPr>
        <w:t xml:space="preserve">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indizione</w:t>
      </w:r>
      <w:proofErr w:type="gramEnd"/>
      <w:r w:rsidRPr="008C4AF4">
        <w:rPr>
          <w:rFonts w:ascii="Arial" w:eastAsia="Times New Roman" w:hAnsi="Arial" w:cs="Arial"/>
          <w:kern w:val="0"/>
          <w:sz w:val="24"/>
          <w:szCs w:val="24"/>
          <w:lang w:eastAsia="it-IT"/>
          <w14:ligatures w14:val="none"/>
        </w:rPr>
        <w:t xml:space="preserve"> della gara, invito a presentare un’offerta e provvedimento di aggiudicazione). </w:t>
      </w:r>
    </w:p>
    <w:p w14:paraId="29314034" w14:textId="6619942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Ferma restando l’unicità della responsabilità, la stazione appaltante o ente </w:t>
      </w:r>
      <w:proofErr w:type="gramStart"/>
      <w:r w:rsidRPr="008C4AF4">
        <w:rPr>
          <w:rFonts w:ascii="Arial" w:eastAsia="Times New Roman" w:hAnsi="Arial" w:cs="Arial"/>
          <w:kern w:val="0"/>
          <w:sz w:val="24"/>
          <w:szCs w:val="24"/>
          <w:lang w:eastAsia="it-IT"/>
          <w14:ligatures w14:val="none"/>
        </w:rPr>
        <w:t xml:space="preserve">concedente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può</w:t>
      </w:r>
      <w:proofErr w:type="gramEnd"/>
      <w:r w:rsidRPr="008C4AF4">
        <w:rPr>
          <w:rFonts w:ascii="Arial" w:eastAsia="Times New Roman" w:hAnsi="Arial" w:cs="Arial"/>
          <w:kern w:val="0"/>
          <w:sz w:val="24"/>
          <w:szCs w:val="24"/>
          <w:lang w:eastAsia="it-IT"/>
          <w14:ligatures w14:val="none"/>
        </w:rPr>
        <w:t xml:space="preserve"> scegliere di nominare un responsabile per la fase di programmazione e di </w:t>
      </w:r>
    </w:p>
    <w:p w14:paraId="452DD7CD" w14:textId="13641D3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progettazione, e un responsabile per la fase di affidamento. Questa soluzione offre </w:t>
      </w:r>
      <w:proofErr w:type="gramStart"/>
      <w:r w:rsidRPr="008C4AF4">
        <w:rPr>
          <w:rFonts w:ascii="Arial" w:eastAsia="Times New Roman" w:hAnsi="Arial" w:cs="Arial"/>
          <w:kern w:val="0"/>
          <w:sz w:val="24"/>
          <w:szCs w:val="24"/>
          <w:lang w:eastAsia="it-IT"/>
          <w14:ligatures w14:val="none"/>
        </w:rPr>
        <w:t xml:space="preserve">il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vantaggio</w:t>
      </w:r>
      <w:proofErr w:type="gramEnd"/>
      <w:r w:rsidRPr="008C4AF4">
        <w:rPr>
          <w:rFonts w:ascii="Arial" w:eastAsia="Times New Roman" w:hAnsi="Arial" w:cs="Arial"/>
          <w:kern w:val="0"/>
          <w:sz w:val="24"/>
          <w:szCs w:val="24"/>
          <w:lang w:eastAsia="it-IT"/>
          <w14:ligatures w14:val="none"/>
        </w:rPr>
        <w:t xml:space="preserve"> di evitare un’eccessiva concentrazione di funzioni in capo al RUP, </w:t>
      </w:r>
      <w:proofErr w:type="gramStart"/>
      <w:r w:rsidRPr="008C4AF4">
        <w:rPr>
          <w:rFonts w:ascii="Arial" w:eastAsia="Times New Roman" w:hAnsi="Arial" w:cs="Arial"/>
          <w:kern w:val="0"/>
          <w:sz w:val="24"/>
          <w:szCs w:val="24"/>
          <w:lang w:eastAsia="it-IT"/>
          <w14:ligatures w14:val="none"/>
        </w:rPr>
        <w:t xml:space="preserve">delegando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ad</w:t>
      </w:r>
      <w:proofErr w:type="gramEnd"/>
      <w:r w:rsidRPr="008C4AF4">
        <w:rPr>
          <w:rFonts w:ascii="Arial" w:eastAsia="Times New Roman" w:hAnsi="Arial" w:cs="Arial"/>
          <w:kern w:val="0"/>
          <w:sz w:val="24"/>
          <w:szCs w:val="24"/>
          <w:lang w:eastAsia="it-IT"/>
          <w14:ligatures w14:val="none"/>
        </w:rPr>
        <w:t xml:space="preserve"> altri lo svolgimento dei compiti che hanno natura più operativa. Ai fini del riparto </w:t>
      </w:r>
      <w:proofErr w:type="gramStart"/>
      <w:r w:rsidRPr="008C4AF4">
        <w:rPr>
          <w:rFonts w:ascii="Arial" w:eastAsia="Times New Roman" w:hAnsi="Arial" w:cs="Arial"/>
          <w:kern w:val="0"/>
          <w:sz w:val="24"/>
          <w:szCs w:val="24"/>
          <w:lang w:eastAsia="it-IT"/>
          <w14:ligatures w14:val="none"/>
        </w:rPr>
        <w:t xml:space="preserve">delle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responsabilità</w:t>
      </w:r>
      <w:proofErr w:type="gramEnd"/>
      <w:r w:rsidRPr="008C4AF4">
        <w:rPr>
          <w:rFonts w:ascii="Arial" w:eastAsia="Times New Roman" w:hAnsi="Arial" w:cs="Arial"/>
          <w:kern w:val="0"/>
          <w:sz w:val="24"/>
          <w:szCs w:val="24"/>
          <w:lang w:eastAsia="it-IT"/>
          <w14:ligatures w14:val="none"/>
        </w:rPr>
        <w:t xml:space="preserve">, i responsabili di fase rispondono dei compiti loro affidati, mentre al RUP sono attribuite le responsabilità derivanti dagli obblighi di supervisione, coordinamento, indirizzo e controllo. </w:t>
      </w:r>
    </w:p>
    <w:p w14:paraId="04573BF8" w14:textId="4600160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Il RUP ha l’obbligo di assicurare la realizzazione dell’intervento pubblico nei tempi</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 xml:space="preserve">previsti e nel rispetto degli obiettivi connessi al suo incarico. </w:t>
      </w:r>
    </w:p>
    <w:p w14:paraId="690B5D3A" w14:textId="56A5D504"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L’allegato I.2 individua nel dettaglio sia i compiti comuni a tutti i contratti e le fasi </w:t>
      </w:r>
      <w:proofErr w:type="gramStart"/>
      <w:r w:rsidRPr="008C4AF4">
        <w:rPr>
          <w:rFonts w:ascii="Arial" w:eastAsia="Times New Roman" w:hAnsi="Arial" w:cs="Arial"/>
          <w:kern w:val="0"/>
          <w:sz w:val="24"/>
          <w:szCs w:val="24"/>
          <w:lang w:eastAsia="it-IT"/>
          <w14:ligatures w14:val="none"/>
        </w:rPr>
        <w:t xml:space="preserve">della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procedura</w:t>
      </w:r>
      <w:proofErr w:type="gramEnd"/>
      <w:r w:rsidRPr="008C4AF4">
        <w:rPr>
          <w:rFonts w:ascii="Arial" w:eastAsia="Times New Roman" w:hAnsi="Arial" w:cs="Arial"/>
          <w:kern w:val="0"/>
          <w:sz w:val="24"/>
          <w:szCs w:val="24"/>
          <w:lang w:eastAsia="it-IT"/>
          <w14:ligatures w14:val="none"/>
        </w:rPr>
        <w:t xml:space="preserve"> sia i compiti specifici svolti per la fase di affidamento e per la fase </w:t>
      </w:r>
      <w:proofErr w:type="gramStart"/>
      <w:r w:rsidRPr="008C4AF4">
        <w:rPr>
          <w:rFonts w:ascii="Arial" w:eastAsia="Times New Roman" w:hAnsi="Arial" w:cs="Arial"/>
          <w:kern w:val="0"/>
          <w:sz w:val="24"/>
          <w:szCs w:val="24"/>
          <w:lang w:eastAsia="it-IT"/>
          <w14:ligatures w14:val="none"/>
        </w:rPr>
        <w:t xml:space="preserve">di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esecuzione</w:t>
      </w:r>
      <w:proofErr w:type="gramEnd"/>
      <w:r w:rsidRPr="008C4AF4">
        <w:rPr>
          <w:rFonts w:ascii="Arial" w:eastAsia="Times New Roman" w:hAnsi="Arial" w:cs="Arial"/>
          <w:kern w:val="0"/>
          <w:sz w:val="24"/>
          <w:szCs w:val="24"/>
          <w:lang w:eastAsia="it-IT"/>
          <w14:ligatures w14:val="none"/>
        </w:rPr>
        <w:t xml:space="preserve">. In particolare, il RUP: </w:t>
      </w:r>
    </w:p>
    <w:p w14:paraId="69EACB93" w14:textId="32E9E7B3"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formula proposte al fine della predisposizione del programma triennale dei lavori pubblici e degli acquisti di beni e servizi; </w:t>
      </w:r>
    </w:p>
    <w:p w14:paraId="6F90BAC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alla stazione </w:t>
      </w:r>
      <w:proofErr w:type="spellStart"/>
      <w:r w:rsidRPr="008C4AF4">
        <w:rPr>
          <w:rFonts w:ascii="Arial" w:eastAsia="Times New Roman" w:hAnsi="Arial" w:cs="Arial"/>
          <w:kern w:val="0"/>
          <w:sz w:val="24"/>
          <w:szCs w:val="24"/>
          <w:lang w:eastAsia="it-IT"/>
          <w14:ligatures w14:val="none"/>
        </w:rPr>
        <w:t>appaltatante</w:t>
      </w:r>
      <w:proofErr w:type="spellEnd"/>
      <w:r w:rsidRPr="008C4AF4">
        <w:rPr>
          <w:rFonts w:ascii="Arial" w:eastAsia="Times New Roman" w:hAnsi="Arial" w:cs="Arial"/>
          <w:kern w:val="0"/>
          <w:sz w:val="24"/>
          <w:szCs w:val="24"/>
          <w:lang w:eastAsia="it-IT"/>
          <w14:ligatures w14:val="none"/>
        </w:rPr>
        <w:t xml:space="preserve"> la conclusione di accordi di programma; </w:t>
      </w:r>
    </w:p>
    <w:p w14:paraId="1E59CE6B"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indice la conferenza di servizi; </w:t>
      </w:r>
    </w:p>
    <w:p w14:paraId="765090D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decide i sistemi di affidamento, la tipologia del contratto da stipulare e il criterio </w:t>
      </w:r>
    </w:p>
    <w:p w14:paraId="0BD1B49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di aggiudicazione. </w:t>
      </w:r>
    </w:p>
    <w:p w14:paraId="0709E41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Nella fase di affidamento, il RUP tra l’altro: </w:t>
      </w:r>
    </w:p>
    <w:p w14:paraId="21801B0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svolge la verifica di congruità delle offerte in caso di aggiudicazione con il </w:t>
      </w:r>
    </w:p>
    <w:p w14:paraId="4A9998C2"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criterio del prezzo più basso; </w:t>
      </w:r>
    </w:p>
    <w:p w14:paraId="018633A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dispone le esclusioni dalle gare; </w:t>
      </w:r>
    </w:p>
    <w:p w14:paraId="14794E97"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può adottare il provvedimento finale della procedura. </w:t>
      </w:r>
    </w:p>
    <w:p w14:paraId="0CC8A910"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Nel caso di esecuzione dei contratti di lavori, il RUP ad esempio: </w:t>
      </w:r>
    </w:p>
    <w:p w14:paraId="090A7E4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impartisce al direttore dei lavori le istruzioni occorrenti a garantire la regolarità </w:t>
      </w:r>
    </w:p>
    <w:p w14:paraId="729A3E9E"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dell’esecuzione; </w:t>
      </w:r>
    </w:p>
    <w:p w14:paraId="22612208"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vigila, insieme al direttore dei lavori, sul rispetto degli oneri della sicurezza </w:t>
      </w:r>
    </w:p>
    <w:p w14:paraId="03635B0F"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relativi alle prestazioni affidate in subappalti; </w:t>
      </w:r>
    </w:p>
    <w:p w14:paraId="15A9133C"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autorizza le modifiche dei contratti di appalto in corso di esecuzione anche su </w:t>
      </w:r>
    </w:p>
    <w:p w14:paraId="1253B4E6"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proposta del direttore dei lavori; </w:t>
      </w:r>
    </w:p>
    <w:p w14:paraId="304F95B3"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approva i prezzi relativi a nuove lavorazioni originariamente non previste; </w:t>
      </w:r>
    </w:p>
    <w:p w14:paraId="782ECC11"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irroga le penali per il ritardato adempimento degli obblighi contrattuali; </w:t>
      </w:r>
    </w:p>
    <w:p w14:paraId="3657926D"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 propone la risoluzione del contratto nei casi previsti; </w:t>
      </w:r>
    </w:p>
    <w:p w14:paraId="589928F4" w14:textId="7777777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rilascia il certificato di esecuzione dei lavori.</w:t>
      </w:r>
    </w:p>
    <w:p w14:paraId="4B9755DD" w14:textId="5F64E4E7" w:rsidR="008C4AF4" w:rsidRP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Nei casi di appalti di particolare complessità che richiedono competenze </w:t>
      </w:r>
      <w:proofErr w:type="gramStart"/>
      <w:r w:rsidRPr="008C4AF4">
        <w:rPr>
          <w:rFonts w:ascii="Arial" w:eastAsia="Times New Roman" w:hAnsi="Arial" w:cs="Arial"/>
          <w:kern w:val="0"/>
          <w:sz w:val="24"/>
          <w:szCs w:val="24"/>
          <w:lang w:eastAsia="it-IT"/>
          <w14:ligatures w14:val="none"/>
        </w:rPr>
        <w:t xml:space="preserve">altamente </w:t>
      </w:r>
      <w:r>
        <w:rPr>
          <w:rFonts w:ascii="Arial" w:eastAsia="Times New Roman" w:hAnsi="Arial" w:cs="Arial"/>
          <w:kern w:val="0"/>
          <w:sz w:val="24"/>
          <w:szCs w:val="24"/>
          <w:lang w:eastAsia="it-IT"/>
          <w14:ligatures w14:val="none"/>
        </w:rPr>
        <w:t xml:space="preserve"> </w:t>
      </w:r>
      <w:r w:rsidRPr="008C4AF4">
        <w:rPr>
          <w:rFonts w:ascii="Arial" w:eastAsia="Times New Roman" w:hAnsi="Arial" w:cs="Arial"/>
          <w:kern w:val="0"/>
          <w:sz w:val="24"/>
          <w:szCs w:val="24"/>
          <w:lang w:eastAsia="it-IT"/>
          <w14:ligatures w14:val="none"/>
        </w:rPr>
        <w:t>specialistiche</w:t>
      </w:r>
      <w:proofErr w:type="gramEnd"/>
      <w:r w:rsidRPr="008C4AF4">
        <w:rPr>
          <w:rFonts w:ascii="Arial" w:eastAsia="Times New Roman" w:hAnsi="Arial" w:cs="Arial"/>
          <w:kern w:val="0"/>
          <w:sz w:val="24"/>
          <w:szCs w:val="24"/>
          <w:lang w:eastAsia="it-IT"/>
          <w14:ligatures w14:val="none"/>
        </w:rPr>
        <w:t xml:space="preserve">, la stazione appaltante o l’ente concedente può istituire una struttura </w:t>
      </w:r>
    </w:p>
    <w:p w14:paraId="60A5580E" w14:textId="097FB668" w:rsidR="008C4AF4" w:rsidRDefault="008C4AF4"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C4AF4">
        <w:rPr>
          <w:rFonts w:ascii="Arial" w:eastAsia="Times New Roman" w:hAnsi="Arial" w:cs="Arial"/>
          <w:kern w:val="0"/>
          <w:sz w:val="24"/>
          <w:szCs w:val="24"/>
          <w:lang w:eastAsia="it-IT"/>
          <w14:ligatures w14:val="none"/>
        </w:rPr>
        <w:t xml:space="preserve">stabile a supporto del RUP </w:t>
      </w:r>
    </w:p>
    <w:p w14:paraId="1275FC91" w14:textId="77777777"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2FFC42D3" w14:textId="5EDC442F" w:rsidR="00880308" w:rsidRDefault="00880308" w:rsidP="008C4AF4">
      <w:pPr>
        <w:shd w:val="clear" w:color="auto" w:fill="FFFFFF"/>
        <w:spacing w:after="0" w:line="240" w:lineRule="auto"/>
        <w:textAlignment w:val="baseline"/>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SOGLIE COMUNITARIE</w:t>
      </w:r>
    </w:p>
    <w:p w14:paraId="72E02EA6" w14:textId="53F982B1"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L’art. 14 del </w:t>
      </w:r>
      <w:proofErr w:type="spellStart"/>
      <w:r w:rsidRPr="00880308">
        <w:rPr>
          <w:rFonts w:ascii="Arial" w:eastAsia="Times New Roman" w:hAnsi="Arial" w:cs="Arial"/>
          <w:kern w:val="0"/>
          <w:sz w:val="24"/>
          <w:szCs w:val="24"/>
          <w:lang w:eastAsia="it-IT"/>
          <w14:ligatures w14:val="none"/>
        </w:rPr>
        <w:t>D.Lgs.</w:t>
      </w:r>
      <w:proofErr w:type="spellEnd"/>
      <w:r w:rsidRPr="00880308">
        <w:rPr>
          <w:rFonts w:ascii="Arial" w:eastAsia="Times New Roman" w:hAnsi="Arial" w:cs="Arial"/>
          <w:kern w:val="0"/>
          <w:sz w:val="24"/>
          <w:szCs w:val="24"/>
          <w:lang w:eastAsia="it-IT"/>
          <w14:ligatures w14:val="none"/>
        </w:rPr>
        <w:t xml:space="preserve"> n. 36/2023 prevede, ai fini dell’applicazione del Codice dei Contratti </w:t>
      </w:r>
      <w:proofErr w:type="gramStart"/>
      <w:r w:rsidRPr="00880308">
        <w:rPr>
          <w:rFonts w:ascii="Arial" w:eastAsia="Times New Roman" w:hAnsi="Arial" w:cs="Arial"/>
          <w:kern w:val="0"/>
          <w:sz w:val="24"/>
          <w:szCs w:val="24"/>
          <w:lang w:eastAsia="it-IT"/>
          <w14:ligatures w14:val="none"/>
        </w:rPr>
        <w:t xml:space="preserve">pubblici,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le</w:t>
      </w:r>
      <w:proofErr w:type="gramEnd"/>
      <w:r w:rsidRPr="00880308">
        <w:rPr>
          <w:rFonts w:ascii="Arial" w:eastAsia="Times New Roman" w:hAnsi="Arial" w:cs="Arial"/>
          <w:kern w:val="0"/>
          <w:sz w:val="24"/>
          <w:szCs w:val="24"/>
          <w:lang w:eastAsia="it-IT"/>
          <w14:ligatures w14:val="none"/>
        </w:rPr>
        <w:t xml:space="preserve"> soglie di rilevanza comunitaria, che sono soggette ad aggiornamento periodico ed </w:t>
      </w:r>
    </w:p>
    <w:p w14:paraId="1A81E8FB" w14:textId="765DFC42" w:rsidR="00880308" w:rsidRPr="00880308" w:rsidRDefault="00880308" w:rsidP="00880308">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automatico con appositi provvedimenti adottati dalla Commissione Europea, pubblicati </w:t>
      </w:r>
      <w:proofErr w:type="gramStart"/>
      <w:r w:rsidRPr="00880308">
        <w:rPr>
          <w:rFonts w:ascii="Arial" w:eastAsia="Times New Roman" w:hAnsi="Arial" w:cs="Arial"/>
          <w:kern w:val="0"/>
          <w:sz w:val="24"/>
          <w:szCs w:val="24"/>
          <w:lang w:eastAsia="it-IT"/>
          <w14:ligatures w14:val="none"/>
        </w:rPr>
        <w:t xml:space="preserve">nella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Gazzetta</w:t>
      </w:r>
      <w:proofErr w:type="gramEnd"/>
      <w:r w:rsidRPr="00880308">
        <w:rPr>
          <w:rFonts w:ascii="Arial" w:eastAsia="Times New Roman" w:hAnsi="Arial" w:cs="Arial"/>
          <w:kern w:val="0"/>
          <w:sz w:val="24"/>
          <w:szCs w:val="24"/>
          <w:lang w:eastAsia="it-IT"/>
          <w14:ligatures w14:val="none"/>
        </w:rPr>
        <w:t xml:space="preserve"> Ufficiale dell’Unione Europea.</w:t>
      </w:r>
    </w:p>
    <w:p w14:paraId="4FC53F18" w14:textId="4E9274A4" w:rsidR="009A5311" w:rsidRDefault="00880308"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880308">
        <w:rPr>
          <w:rFonts w:ascii="Arial" w:eastAsia="Times New Roman" w:hAnsi="Arial" w:cs="Arial"/>
          <w:kern w:val="0"/>
          <w:sz w:val="24"/>
          <w:szCs w:val="24"/>
          <w:lang w:eastAsia="it-IT"/>
          <w14:ligatures w14:val="none"/>
        </w:rPr>
        <w:t xml:space="preserve">Le soglie previste dall’art. 14, comma 1, del Codice, in adeguamento rispetto a quanto </w:t>
      </w:r>
      <w:proofErr w:type="gramStart"/>
      <w:r w:rsidRPr="00880308">
        <w:rPr>
          <w:rFonts w:ascii="Arial" w:eastAsia="Times New Roman" w:hAnsi="Arial" w:cs="Arial"/>
          <w:kern w:val="0"/>
          <w:sz w:val="24"/>
          <w:szCs w:val="24"/>
          <w:lang w:eastAsia="it-IT"/>
          <w14:ligatures w14:val="none"/>
        </w:rPr>
        <w:t xml:space="preserve">previsto </w:t>
      </w:r>
      <w:r>
        <w:rPr>
          <w:rFonts w:ascii="Arial" w:eastAsia="Times New Roman" w:hAnsi="Arial" w:cs="Arial"/>
          <w:kern w:val="0"/>
          <w:sz w:val="24"/>
          <w:szCs w:val="24"/>
          <w:lang w:eastAsia="it-IT"/>
          <w14:ligatures w14:val="none"/>
        </w:rPr>
        <w:t xml:space="preserve"> </w:t>
      </w:r>
      <w:r w:rsidRPr="00880308">
        <w:rPr>
          <w:rFonts w:ascii="Arial" w:eastAsia="Times New Roman" w:hAnsi="Arial" w:cs="Arial"/>
          <w:kern w:val="0"/>
          <w:sz w:val="24"/>
          <w:szCs w:val="24"/>
          <w:lang w:eastAsia="it-IT"/>
          <w14:ligatures w14:val="none"/>
        </w:rPr>
        <w:t>dai</w:t>
      </w:r>
      <w:proofErr w:type="gramEnd"/>
      <w:r w:rsidRPr="00880308">
        <w:rPr>
          <w:rFonts w:ascii="Arial" w:eastAsia="Times New Roman" w:hAnsi="Arial" w:cs="Arial"/>
          <w:kern w:val="0"/>
          <w:sz w:val="24"/>
          <w:szCs w:val="24"/>
          <w:lang w:eastAsia="it-IT"/>
          <w14:ligatures w14:val="none"/>
        </w:rPr>
        <w:t xml:space="preserve"> Regolamenti UE n. (UE) </w:t>
      </w:r>
    </w:p>
    <w:p w14:paraId="3BD984D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SETTORI ORDINARI</w:t>
      </w:r>
    </w:p>
    <w:p w14:paraId="1F23EB3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140.000 euro per gli appalti pubblici di forniture e di servizi aggiudicati dalle autorità governative centrali e per i concorsi di progettazione organizzati da tali autorità;</w:t>
      </w:r>
    </w:p>
    <w:p w14:paraId="4002A85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216.000 euro per gli appalti pubblici di forniture e di servizi aggiudicati da amministrazioni aggiudicatrici sub-centrali e concorsi di progettazione organizzati da tali amministrazioni;</w:t>
      </w:r>
    </w:p>
    <w:p w14:paraId="41000C62"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 per gli appalti di lavori pubblici.</w:t>
      </w:r>
    </w:p>
    <w:p w14:paraId="0DBE280C" w14:textId="77777777" w:rsid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39E7E717" w14:textId="6E9CBAFB"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SETTORI SPECIALI</w:t>
      </w:r>
    </w:p>
    <w:p w14:paraId="10992EE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5FA83931"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432.000 euro per gli appalti di forniture e di servizi nonché per i concorsi di progettazione;</w:t>
      </w:r>
    </w:p>
    <w:p w14:paraId="53A6E344"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 per gli appalti di lavori.</w:t>
      </w:r>
    </w:p>
    <w:p w14:paraId="1C0F2F31" w14:textId="77777777" w:rsid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44699912" w14:textId="53130762"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CONCESSIONI</w:t>
      </w:r>
    </w:p>
    <w:p w14:paraId="22221A90" w14:textId="77777777" w:rsidR="001867F0" w:rsidRPr="001867F0"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p>
    <w:p w14:paraId="61429607" w14:textId="1161C3AF" w:rsidR="001867F0" w:rsidRPr="007B3803" w:rsidRDefault="001867F0" w:rsidP="001867F0">
      <w:pPr>
        <w:shd w:val="clear" w:color="auto" w:fill="FFFFFF"/>
        <w:spacing w:after="0" w:line="240" w:lineRule="auto"/>
        <w:textAlignment w:val="baseline"/>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5.404.000 euro.</w:t>
      </w:r>
    </w:p>
    <w:p w14:paraId="3D43B190" w14:textId="77777777" w:rsidR="001867F0" w:rsidRDefault="001867F0" w:rsidP="009A5311">
      <w:pPr>
        <w:spacing w:line="240" w:lineRule="auto"/>
        <w:rPr>
          <w:rFonts w:ascii="Arial" w:hAnsi="Arial" w:cs="Arial"/>
          <w:sz w:val="24"/>
          <w:szCs w:val="24"/>
        </w:rPr>
      </w:pPr>
    </w:p>
    <w:p w14:paraId="662125F7" w14:textId="0D92368F"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PROCEDURE SCELTA CONTRAENTE</w:t>
      </w:r>
    </w:p>
    <w:p w14:paraId="20BA6187" w14:textId="5FE50D9B" w:rsidR="009A5311" w:rsidRPr="007B3803" w:rsidRDefault="007B3803" w:rsidP="009A5311">
      <w:pPr>
        <w:spacing w:line="240" w:lineRule="auto"/>
        <w:rPr>
          <w:rFonts w:ascii="Arial" w:hAnsi="Arial" w:cs="Arial"/>
          <w:sz w:val="24"/>
          <w:szCs w:val="24"/>
        </w:rPr>
      </w:pPr>
      <w:r w:rsidRPr="007B3803">
        <w:rPr>
          <w:rFonts w:ascii="Arial" w:hAnsi="Arial" w:cs="Arial"/>
          <w:sz w:val="24"/>
          <w:szCs w:val="24"/>
        </w:rPr>
        <w:t>Il codice</w:t>
      </w:r>
      <w:r w:rsidR="009A5311" w:rsidRPr="007B3803">
        <w:rPr>
          <w:rFonts w:ascii="Arial" w:hAnsi="Arial" w:cs="Arial"/>
          <w:sz w:val="24"/>
          <w:szCs w:val="24"/>
        </w:rPr>
        <w:t xml:space="preserve">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w:t>
      </w:r>
      <w:proofErr w:type="spellStart"/>
      <w:r w:rsidR="009A5311" w:rsidRPr="007B3803">
        <w:rPr>
          <w:rFonts w:ascii="Arial" w:hAnsi="Arial" w:cs="Arial"/>
          <w:sz w:val="24"/>
          <w:szCs w:val="24"/>
        </w:rPr>
        <w:t>congiungot</w:t>
      </w:r>
      <w:proofErr w:type="spellEnd"/>
      <w:r w:rsidR="009A5311" w:rsidRPr="007B3803">
        <w:rPr>
          <w:rFonts w:ascii="Arial" w:hAnsi="Arial" w:cs="Arial"/>
          <w:sz w:val="24"/>
          <w:szCs w:val="24"/>
        </w:rPr>
        <w:t xml:space="preserve"> della progettazione e dell’esecuzione dei lavori ad esclusione dei casi di affidamento a contraente </w:t>
      </w:r>
      <w:proofErr w:type="gramStart"/>
      <w:r w:rsidR="009A5311" w:rsidRPr="007B3803">
        <w:rPr>
          <w:rFonts w:ascii="Arial" w:hAnsi="Arial" w:cs="Arial"/>
          <w:sz w:val="24"/>
          <w:szCs w:val="24"/>
        </w:rPr>
        <w:t>generale  ,</w:t>
      </w:r>
      <w:proofErr w:type="gramEnd"/>
      <w:r w:rsidR="009A5311" w:rsidRPr="007B3803">
        <w:rPr>
          <w:rFonts w:ascii="Arial" w:hAnsi="Arial" w:cs="Arial"/>
          <w:sz w:val="24"/>
          <w:szCs w:val="24"/>
        </w:rPr>
        <w:t xml:space="preserve"> finanza di </w:t>
      </w:r>
      <w:proofErr w:type="gramStart"/>
      <w:r w:rsidR="009A5311" w:rsidRPr="007B3803">
        <w:rPr>
          <w:rFonts w:ascii="Arial" w:hAnsi="Arial" w:cs="Arial"/>
          <w:sz w:val="24"/>
          <w:szCs w:val="24"/>
        </w:rPr>
        <w:t>progetto ,</w:t>
      </w:r>
      <w:proofErr w:type="gramEnd"/>
      <w:r w:rsidR="009A5311" w:rsidRPr="007B3803">
        <w:rPr>
          <w:rFonts w:ascii="Arial" w:hAnsi="Arial" w:cs="Arial"/>
          <w:sz w:val="24"/>
          <w:szCs w:val="24"/>
        </w:rPr>
        <w:t xml:space="preserve"> affidamento in </w:t>
      </w:r>
      <w:proofErr w:type="gramStart"/>
      <w:r w:rsidR="009A5311" w:rsidRPr="007B3803">
        <w:rPr>
          <w:rFonts w:ascii="Arial" w:hAnsi="Arial" w:cs="Arial"/>
          <w:sz w:val="24"/>
          <w:szCs w:val="24"/>
        </w:rPr>
        <w:t>concessione ,</w:t>
      </w:r>
      <w:proofErr w:type="gramEnd"/>
      <w:r w:rsidR="009A5311" w:rsidRPr="007B3803">
        <w:rPr>
          <w:rFonts w:ascii="Arial" w:hAnsi="Arial" w:cs="Arial"/>
          <w:sz w:val="24"/>
          <w:szCs w:val="24"/>
        </w:rPr>
        <w:t xml:space="preserve"> partenariato pubblico e privato.  </w:t>
      </w:r>
    </w:p>
    <w:p w14:paraId="046DB7E4" w14:textId="1294EF11" w:rsidR="002C5369" w:rsidRPr="002C5369" w:rsidRDefault="009A5311" w:rsidP="002C5369">
      <w:pPr>
        <w:spacing w:line="240" w:lineRule="auto"/>
        <w:rPr>
          <w:rFonts w:ascii="Arial" w:hAnsi="Arial" w:cs="Arial"/>
          <w:sz w:val="24"/>
          <w:szCs w:val="24"/>
        </w:rPr>
      </w:pPr>
      <w:r w:rsidRPr="007B3803">
        <w:rPr>
          <w:rFonts w:ascii="Arial" w:hAnsi="Arial" w:cs="Arial"/>
          <w:sz w:val="24"/>
          <w:szCs w:val="24"/>
        </w:rPr>
        <w:t>Procedura aperta</w:t>
      </w:r>
      <w:r w:rsidRPr="007B3803">
        <w:rPr>
          <w:rFonts w:ascii="Arial" w:hAnsi="Arial" w:cs="Arial"/>
          <w:sz w:val="24"/>
          <w:szCs w:val="24"/>
        </w:rPr>
        <w:sym w:font="Wingdings" w:char="F0E0"/>
      </w:r>
      <w:r w:rsidRPr="007B3803">
        <w:rPr>
          <w:rFonts w:ascii="Arial" w:hAnsi="Arial" w:cs="Arial"/>
          <w:sz w:val="24"/>
          <w:szCs w:val="24"/>
        </w:rPr>
        <w:t xml:space="preserve"> Qualsiasi operatore economico presenta </w:t>
      </w:r>
      <w:proofErr w:type="gramStart"/>
      <w:r w:rsidRPr="007B3803">
        <w:rPr>
          <w:rFonts w:ascii="Arial" w:hAnsi="Arial" w:cs="Arial"/>
          <w:sz w:val="24"/>
          <w:szCs w:val="24"/>
        </w:rPr>
        <w:t xml:space="preserve">un'offerta  </w:t>
      </w:r>
      <w:r w:rsidR="002C5369">
        <w:rPr>
          <w:rFonts w:ascii="Arial" w:hAnsi="Arial" w:cs="Arial"/>
          <w:sz w:val="24"/>
          <w:szCs w:val="24"/>
        </w:rPr>
        <w:t>.</w:t>
      </w:r>
      <w:proofErr w:type="gramEnd"/>
      <w:r w:rsidR="002C5369">
        <w:rPr>
          <w:rFonts w:ascii="Arial" w:hAnsi="Arial" w:cs="Arial"/>
          <w:sz w:val="24"/>
          <w:szCs w:val="24"/>
        </w:rPr>
        <w:t xml:space="preserve"> </w:t>
      </w:r>
      <w:r w:rsidR="002C5369" w:rsidRPr="002C5369">
        <w:rPr>
          <w:rFonts w:ascii="Arial" w:hAnsi="Arial" w:cs="Arial"/>
          <w:sz w:val="24"/>
          <w:szCs w:val="24"/>
        </w:rPr>
        <w:t>Trattasi di una procedura nella quale qualsiasi operatore economico interessato può presentare un’offerta in risposta a un avviso di indizione di gara.</w:t>
      </w:r>
    </w:p>
    <w:p w14:paraId="00346692"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 xml:space="preserve">I principali step che caratterizzano la procedura aperta sono i seguenti: </w:t>
      </w:r>
    </w:p>
    <w:p w14:paraId="754FA01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1. Indizione della procedura</w:t>
      </w:r>
    </w:p>
    <w:p w14:paraId="0ABE77C5"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2. Pubblicazione della documentazione di gara</w:t>
      </w:r>
    </w:p>
    <w:p w14:paraId="48056C66"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3. Presentazione delle offerte</w:t>
      </w:r>
    </w:p>
    <w:p w14:paraId="131C68DD"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4. Svolgimento delle sedute di gara</w:t>
      </w:r>
    </w:p>
    <w:p w14:paraId="43EF97AA" w14:textId="77777777" w:rsidR="002C5369" w:rsidRPr="002C5369" w:rsidRDefault="002C5369" w:rsidP="002C5369">
      <w:pPr>
        <w:spacing w:line="240" w:lineRule="auto"/>
        <w:rPr>
          <w:rFonts w:ascii="Arial" w:hAnsi="Arial" w:cs="Arial"/>
          <w:sz w:val="24"/>
          <w:szCs w:val="24"/>
        </w:rPr>
      </w:pPr>
      <w:r w:rsidRPr="002C5369">
        <w:rPr>
          <w:rFonts w:ascii="Arial" w:hAnsi="Arial" w:cs="Arial"/>
          <w:sz w:val="24"/>
          <w:szCs w:val="24"/>
        </w:rPr>
        <w:t>5. Verifica dei requisiti</w:t>
      </w:r>
    </w:p>
    <w:p w14:paraId="599A2322" w14:textId="77777777" w:rsidR="002C5369" w:rsidRDefault="002C5369" w:rsidP="002C5369">
      <w:pPr>
        <w:spacing w:line="240" w:lineRule="auto"/>
        <w:rPr>
          <w:rFonts w:ascii="Arial" w:hAnsi="Arial" w:cs="Arial"/>
          <w:sz w:val="24"/>
          <w:szCs w:val="24"/>
        </w:rPr>
      </w:pPr>
      <w:r w:rsidRPr="002C5369">
        <w:rPr>
          <w:rFonts w:ascii="Arial" w:hAnsi="Arial" w:cs="Arial"/>
          <w:sz w:val="24"/>
          <w:szCs w:val="24"/>
        </w:rPr>
        <w:t>6. Stipula del contratto</w:t>
      </w:r>
    </w:p>
    <w:p w14:paraId="6D36AC39" w14:textId="1877288F" w:rsidR="0027039F" w:rsidRPr="002C5369" w:rsidRDefault="0027039F" w:rsidP="002C5369">
      <w:pPr>
        <w:spacing w:line="240" w:lineRule="auto"/>
        <w:rPr>
          <w:rFonts w:ascii="Arial" w:hAnsi="Arial" w:cs="Arial"/>
          <w:sz w:val="24"/>
          <w:szCs w:val="24"/>
        </w:rPr>
      </w:pPr>
      <w:r>
        <w:rPr>
          <w:rFonts w:ascii="Arial" w:hAnsi="Arial" w:cs="Arial"/>
          <w:sz w:val="24"/>
          <w:szCs w:val="24"/>
        </w:rPr>
        <w:t>Ma quali sono queste modalità di scelta del contraente?</w:t>
      </w:r>
    </w:p>
    <w:p w14:paraId="08A2ADD9" w14:textId="5AA7ED0A" w:rsidR="009A5311" w:rsidRDefault="009A5311" w:rsidP="009A5311">
      <w:pPr>
        <w:spacing w:line="240" w:lineRule="auto"/>
        <w:rPr>
          <w:rFonts w:ascii="Arial" w:hAnsi="Arial" w:cs="Arial"/>
          <w:sz w:val="24"/>
          <w:szCs w:val="24"/>
        </w:rPr>
      </w:pPr>
      <w:r w:rsidRPr="002C5369">
        <w:rPr>
          <w:rFonts w:ascii="Arial" w:hAnsi="Arial" w:cs="Arial"/>
          <w:b/>
          <w:bCs/>
          <w:sz w:val="24"/>
          <w:szCs w:val="24"/>
        </w:rPr>
        <w:t>Procedura ristretta</w:t>
      </w:r>
      <w:r w:rsidRPr="007B3803">
        <w:rPr>
          <w:rFonts w:ascii="Arial" w:hAnsi="Arial" w:cs="Arial"/>
          <w:sz w:val="24"/>
          <w:szCs w:val="24"/>
        </w:rPr>
        <w:sym w:font="Wingdings" w:char="F0E0"/>
      </w:r>
      <w:r w:rsidRPr="007B3803">
        <w:rPr>
          <w:rFonts w:ascii="Arial" w:hAnsi="Arial" w:cs="Arial"/>
          <w:sz w:val="24"/>
          <w:szCs w:val="24"/>
        </w:rPr>
        <w:t>Qualsiasi operatore economico può presentare una domanda di partecipazione in risposta a un avviso di indizione di gara. P</w:t>
      </w:r>
      <w:r w:rsidR="002C5369">
        <w:rPr>
          <w:rFonts w:ascii="Arial" w:hAnsi="Arial" w:cs="Arial"/>
          <w:sz w:val="24"/>
          <w:szCs w:val="24"/>
        </w:rPr>
        <w:t>rocedura&gt;Av</w:t>
      </w:r>
      <w:r w:rsidRPr="007B3803">
        <w:rPr>
          <w:rFonts w:ascii="Arial" w:hAnsi="Arial" w:cs="Arial"/>
          <w:sz w:val="24"/>
          <w:szCs w:val="24"/>
        </w:rPr>
        <w:t xml:space="preserve">viso di indizione di gara contenente le informazioni richieste dall’amministrazione aggiudicatrice ai fini della selezione qualitativa Domande di partecipazione (trenta giorni) Individuazione degli operatori da invitare, sulla base della selezione qualitativa 61 </w:t>
      </w:r>
    </w:p>
    <w:p w14:paraId="1B132371"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La procedura ristretta è una gara in due fasi:</w:t>
      </w:r>
    </w:p>
    <w:p w14:paraId="5EB6B4B5"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Selezione degli operatori economici</w:t>
      </w:r>
    </w:p>
    <w:p w14:paraId="777179C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Tutti gli interessati possono presentare domanda di partecipazione.</w:t>
      </w:r>
    </w:p>
    <w:p w14:paraId="4539EE80"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La stazione appaltante valuta i requisiti generali e speciali (idoneità tecnica, capacità economica e finanziaria, esperienza).</w:t>
      </w:r>
    </w:p>
    <w:p w14:paraId="6A2CA99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Viene stilata una short list dei candidati ammessi.</w:t>
      </w:r>
    </w:p>
    <w:p w14:paraId="46A10068"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Invito alla gara vera e propria</w:t>
      </w:r>
    </w:p>
    <w:p w14:paraId="7D67A36C" w14:textId="77777777" w:rsidR="00863602" w:rsidRPr="00863602" w:rsidRDefault="00863602" w:rsidP="00863602">
      <w:pPr>
        <w:spacing w:line="240" w:lineRule="auto"/>
        <w:rPr>
          <w:rFonts w:ascii="Arial" w:hAnsi="Arial" w:cs="Arial"/>
          <w:sz w:val="24"/>
          <w:szCs w:val="24"/>
        </w:rPr>
      </w:pPr>
      <w:r w:rsidRPr="00863602">
        <w:rPr>
          <w:rFonts w:ascii="Arial" w:hAnsi="Arial" w:cs="Arial"/>
          <w:sz w:val="24"/>
          <w:szCs w:val="24"/>
        </w:rPr>
        <w:t>Solo gli operatori selezionati ricevono l’invito a presentare le offerte.</w:t>
      </w:r>
    </w:p>
    <w:p w14:paraId="640DD51C" w14:textId="61170078" w:rsidR="00863602" w:rsidRPr="007B3803" w:rsidRDefault="00863602" w:rsidP="00863602">
      <w:pPr>
        <w:spacing w:line="240" w:lineRule="auto"/>
        <w:rPr>
          <w:rFonts w:ascii="Arial" w:hAnsi="Arial" w:cs="Arial"/>
          <w:sz w:val="24"/>
          <w:szCs w:val="24"/>
        </w:rPr>
      </w:pPr>
      <w:r w:rsidRPr="00863602">
        <w:rPr>
          <w:rFonts w:ascii="Arial" w:hAnsi="Arial" w:cs="Arial"/>
          <w:sz w:val="24"/>
          <w:szCs w:val="24"/>
        </w:rPr>
        <w:t>Viene valutata solo l’offerta economica o tecnica, in base ai criteri di aggiudicazione.</w:t>
      </w:r>
    </w:p>
    <w:p w14:paraId="63F417C0"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Invito e ricezione offerte (trenta giorni) </w:t>
      </w:r>
    </w:p>
    <w:p w14:paraId="26400A40" w14:textId="77777777" w:rsidR="009A5311" w:rsidRPr="007B3803" w:rsidRDefault="009A5311" w:rsidP="009A5311">
      <w:pPr>
        <w:spacing w:line="240" w:lineRule="auto"/>
        <w:rPr>
          <w:rFonts w:ascii="Arial" w:hAnsi="Arial" w:cs="Arial"/>
          <w:sz w:val="24"/>
          <w:szCs w:val="24"/>
        </w:rPr>
      </w:pPr>
      <w:r w:rsidRPr="002C5369">
        <w:rPr>
          <w:rFonts w:ascii="Arial" w:hAnsi="Arial" w:cs="Arial"/>
          <w:b/>
          <w:bCs/>
          <w:sz w:val="24"/>
          <w:szCs w:val="24"/>
        </w:rPr>
        <w:t>Procedura competitiva con negoziazione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14:paraId="01D60981" w14:textId="77777777" w:rsidR="009A5311" w:rsidRPr="007B3803" w:rsidRDefault="009A5311" w:rsidP="009A5311">
      <w:pPr>
        <w:spacing w:line="240" w:lineRule="auto"/>
        <w:rPr>
          <w:rFonts w:ascii="Arial" w:hAnsi="Arial" w:cs="Arial"/>
          <w:sz w:val="24"/>
          <w:szCs w:val="24"/>
        </w:rPr>
      </w:pPr>
      <w:r w:rsidRPr="007B3803">
        <w:rPr>
          <w:rFonts w:ascii="Arial" w:hAnsi="Arial" w:cs="Arial"/>
          <w:sz w:val="24"/>
          <w:szCs w:val="24"/>
        </w:rPr>
        <w:t xml:space="preserve">Avviso di indizione di gara contenente le informazioni richieste dall’amministrazione aggiudicatrice ai fini della selezione qualitativa </w:t>
      </w:r>
      <w:r w:rsidRPr="007B3803">
        <w:rPr>
          <w:rFonts w:ascii="Arial" w:hAnsi="Arial" w:cs="Arial"/>
          <w:sz w:val="24"/>
          <w:szCs w:val="24"/>
        </w:rPr>
        <w:sym w:font="Wingdings" w:char="F0E0"/>
      </w:r>
      <w:r w:rsidRPr="007B3803">
        <w:rPr>
          <w:rFonts w:ascii="Arial" w:hAnsi="Arial" w:cs="Arial"/>
          <w:sz w:val="24"/>
          <w:szCs w:val="24"/>
        </w:rPr>
        <w:t>Domande di partecipazione (trenta giorni)</w:t>
      </w:r>
      <w:r w:rsidRPr="007B3803">
        <w:rPr>
          <w:rFonts w:ascii="Arial" w:hAnsi="Arial" w:cs="Arial"/>
          <w:sz w:val="24"/>
          <w:szCs w:val="24"/>
        </w:rPr>
        <w:sym w:font="Wingdings" w:char="F0E0"/>
      </w:r>
      <w:r w:rsidRPr="007B3803">
        <w:rPr>
          <w:rFonts w:ascii="Arial" w:hAnsi="Arial" w:cs="Arial"/>
          <w:sz w:val="24"/>
          <w:szCs w:val="24"/>
        </w:rPr>
        <w:t xml:space="preserve"> Individuazione degli operatori da invitare, sulla base della selezione qualitativa</w:t>
      </w:r>
      <w:r w:rsidRPr="007B3803">
        <w:rPr>
          <w:rFonts w:ascii="Arial" w:hAnsi="Arial" w:cs="Arial"/>
          <w:sz w:val="24"/>
          <w:szCs w:val="24"/>
        </w:rPr>
        <w:sym w:font="Wingdings" w:char="F0E0"/>
      </w:r>
      <w:r w:rsidRPr="007B3803">
        <w:rPr>
          <w:rFonts w:ascii="Arial" w:hAnsi="Arial" w:cs="Arial"/>
          <w:sz w:val="24"/>
          <w:szCs w:val="24"/>
        </w:rPr>
        <w:t xml:space="preserve"> Invito e ricezione offerte (trenta giorni)</w:t>
      </w:r>
      <w:r w:rsidRPr="007B3803">
        <w:rPr>
          <w:rFonts w:ascii="Arial" w:hAnsi="Arial" w:cs="Arial"/>
          <w:sz w:val="24"/>
          <w:szCs w:val="24"/>
        </w:rPr>
        <w:sym w:font="Wingdings" w:char="F0E0"/>
      </w:r>
      <w:r w:rsidRPr="007B3803">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Pr="007B3803">
        <w:rPr>
          <w:rFonts w:ascii="Arial" w:hAnsi="Arial" w:cs="Arial"/>
          <w:sz w:val="24"/>
          <w:szCs w:val="24"/>
        </w:rPr>
        <w:sym w:font="Wingdings" w:char="F0E0"/>
      </w:r>
      <w:r w:rsidRPr="007B3803">
        <w:rPr>
          <w:rFonts w:ascii="Arial" w:hAnsi="Arial" w:cs="Arial"/>
          <w:sz w:val="24"/>
          <w:szCs w:val="24"/>
        </w:rPr>
        <w:t xml:space="preserve">Informazione della volontà di conclusione delle negoziazioni, con fissazione di termine per offerte finali. </w:t>
      </w:r>
    </w:p>
    <w:p w14:paraId="0B373B96" w14:textId="77777777" w:rsidR="009A5311" w:rsidRPr="007B3803" w:rsidRDefault="009A5311" w:rsidP="009A5311">
      <w:pPr>
        <w:spacing w:line="240" w:lineRule="auto"/>
        <w:rPr>
          <w:rFonts w:ascii="Arial" w:hAnsi="Arial" w:cs="Arial"/>
          <w:sz w:val="24"/>
          <w:szCs w:val="24"/>
        </w:rPr>
      </w:pPr>
    </w:p>
    <w:p w14:paraId="60F592EE" w14:textId="2133E997" w:rsidR="009A5311" w:rsidRPr="002C5369" w:rsidRDefault="009A5311" w:rsidP="009A5311">
      <w:pPr>
        <w:pStyle w:val="has-text-align-justify"/>
        <w:shd w:val="clear" w:color="auto" w:fill="FFFFFF"/>
        <w:spacing w:before="0" w:beforeAutospacing="0"/>
        <w:jc w:val="both"/>
        <w:rPr>
          <w:rFonts w:ascii="Arial" w:hAnsi="Arial" w:cs="Arial"/>
          <w:b/>
          <w:bCs/>
        </w:rPr>
      </w:pPr>
      <w:r w:rsidRPr="002C5369">
        <w:rPr>
          <w:rFonts w:ascii="Arial" w:hAnsi="Arial" w:cs="Arial"/>
          <w:b/>
          <w:bCs/>
        </w:rPr>
        <w:t>Procedura negoziata senza bando di gara</w:t>
      </w:r>
    </w:p>
    <w:p w14:paraId="48129017"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appalti di lavori, forniture e servizi, la procedura in esame può essere utilizzata in presenza delle seguenti circostanze:</w:t>
      </w:r>
    </w:p>
    <w:p w14:paraId="0B2E9288"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trasmessa una relazione alla Commissione europea, su sua richiesta;</w:t>
      </w:r>
    </w:p>
    <w:p w14:paraId="14B82C86" w14:textId="77777777" w:rsidR="009A5311" w:rsidRPr="00880308" w:rsidRDefault="009A5311" w:rsidP="009A5311">
      <w:pPr>
        <w:numPr>
          <w:ilvl w:val="0"/>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quando i lavori, le forniture o i servizi possono essere forniti unicamente da un determinato operatore economico per una delle seguenti ragioni:</w:t>
      </w:r>
    </w:p>
    <w:p w14:paraId="7890BE3C"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lo scopo dell’appalto consiste nella creazione o nell’acquisizione di un’opera d’arte o rappresentazione artistica unica;</w:t>
      </w:r>
    </w:p>
    <w:p w14:paraId="63DEEE6B"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concorrenza è assente per motivi tecnici;</w:t>
      </w:r>
    </w:p>
    <w:p w14:paraId="7A6D6AFD" w14:textId="77777777" w:rsidR="009A5311" w:rsidRPr="00880308" w:rsidRDefault="009A5311" w:rsidP="009A5311">
      <w:pPr>
        <w:numPr>
          <w:ilvl w:val="1"/>
          <w:numId w:val="27"/>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la tutela di diritti esclusivi, inclusi i diritti di proprietà intellettuale.</w:t>
      </w:r>
    </w:p>
    <w:p w14:paraId="52AE703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eccezioni di cui ai punti 2) e 3) si applicano solo allorquando non esistano altri operatori economici o soluzioni alternative ragionevoli e l’assenza di concorrenza non sia il risultato di una limitazione artificiale dei parametri dell’appalto</w:t>
      </w:r>
    </w:p>
    <w:p w14:paraId="09147F3F"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può essere utilizzata nella misura strettamente necessaria quando, per ragioni di estrema urgenza derivante da eventi imprevedibili dall’amministrazione aggiudicatrice, i termini previsti dalle ulteriori procedure (ovverosia quelle aperte, ristrette o competitive con negoziazione) non possono essere rispettati.</w:t>
      </w:r>
    </w:p>
    <w:p w14:paraId="7262585E"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circostanze invocate a giustificazione del ricorso alla procedura in parola, tuttavia, non devono essere in alcun caso imputabili alle amministrazioni aggiudicatrici.</w:t>
      </w:r>
    </w:p>
    <w:p w14:paraId="41E50F1A"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Unitamente alle circostanze di cui al paragrafo che precede, nel caso di appalti pubblici aventi ad oggetto la fornitura di lavori o servizi, la procedura negoziata senza previa pubblicazione del bando è altresì consentita nelle seguenti ipotesi:</w:t>
      </w:r>
    </w:p>
    <w:p w14:paraId="0B81232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qualora i prodotti oggetto dell’appalto siano fabbricati esclusivamente a scopo di ricerca, di sperimentazione, di studio o di sviluppo, salvo che si tratti di produzione in quantità volta ad accertare la redditività commerciale del prodotto o ad ammortizzare i costi di ricerca e di sviluppo;</w:t>
      </w:r>
    </w:p>
    <w:p w14:paraId="742E4650"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w:t>
      </w:r>
    </w:p>
    <w:p w14:paraId="2E4C5F47"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forniture quotate e acquistate sul mercato delle materie prime;</w:t>
      </w:r>
    </w:p>
    <w:p w14:paraId="42EFF624" w14:textId="77777777" w:rsidR="009A5311" w:rsidRPr="00880308" w:rsidRDefault="009A5311" w:rsidP="009A5311">
      <w:pPr>
        <w:numPr>
          <w:ilvl w:val="0"/>
          <w:numId w:val="28"/>
        </w:numPr>
        <w:spacing w:after="0" w:line="240" w:lineRule="auto"/>
        <w:jc w:val="both"/>
        <w:textAlignment w:val="baseline"/>
        <w:rPr>
          <w:rFonts w:ascii="Arial" w:eastAsia="Times New Roman" w:hAnsi="Arial" w:cs="Arial"/>
          <w:sz w:val="24"/>
          <w:szCs w:val="24"/>
          <w:lang w:eastAsia="it-IT"/>
        </w:rPr>
      </w:pPr>
      <w:r w:rsidRPr="00880308">
        <w:rPr>
          <w:rFonts w:ascii="Arial" w:eastAsia="Times New Roman" w:hAnsi="Arial" w:cs="Arial"/>
          <w:sz w:val="24"/>
          <w:szCs w:val="24"/>
          <w:lang w:eastAsia="it-IT"/>
        </w:rPr>
        <w:t>per l’acquisto di forniture o servizi a condizioni particolarmente vantaggiose, da un fornitore che cessa definitivamente l’attività commerciale oppure dagli organi delle procedure concorsuali.</w:t>
      </w:r>
    </w:p>
    <w:p w14:paraId="0AC2AAA2"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Altresì, ai sensi del medesimo dettato codicistico, tale procedura è</w:t>
      </w:r>
      <w:r w:rsidRPr="00880308">
        <w:rPr>
          <w:rFonts w:ascii="Arial" w:eastAsia="Times New Roman" w:hAnsi="Arial" w:cs="Arial"/>
          <w:i/>
          <w:iCs/>
          <w:sz w:val="24"/>
          <w:szCs w:val="24"/>
          <w:lang w:eastAsia="it-IT"/>
        </w:rPr>
        <w:t> “consentita negli appalti pubblici relativi ai servizi qualora l’appalto faccia seguito ad un concorso di progettazione e debba, in base alle norme applicabili, essere aggiudicato al vincitore o ad uno dei vincitori del concorso. In quest’ultimo caso, tutti i vincitori devono essere invitati a partecipare ai negoziati</w:t>
      </w:r>
      <w:r w:rsidRPr="00880308">
        <w:rPr>
          <w:rFonts w:ascii="Arial" w:eastAsia="Times New Roman" w:hAnsi="Arial" w:cs="Arial"/>
          <w:sz w:val="24"/>
          <w:szCs w:val="24"/>
          <w:lang w:eastAsia="it-IT"/>
        </w:rPr>
        <w:t>”.</w:t>
      </w:r>
    </w:p>
    <w:p w14:paraId="6918BD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Ed ancora, tale procedura può essere utilizzata per nuovi lavori o servizi consistenti nella ripetizione di lavori o servizi analoghi, già affidati all’operatore economico aggiudicatario dell’appalto iniziale dalle medesime amministrazioni aggiudicatrici, a condizione che tali lavori o servizi siano conformi al progetto a base di gara, il quale deve aver indicato eventuali lavori o servizi complementari, nonché le condizioni alle quali essi verranno aggiudicati.</w:t>
      </w:r>
    </w:p>
    <w:p w14:paraId="7525F26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Le amministrazioni aggiudicatrici, pertanto, individuano gli operatori economici da consultare sulla base di informazioni afferenti alle caratteristiche economico/finanziarie, tecniche e professionali desunte dal mercato, selezionando almeno cinque operatori economici, se esistenti (pur sempre nel rispetto dei principi di trasparenza, concorrenza e rotazione).</w:t>
      </w:r>
    </w:p>
    <w:p w14:paraId="4BD0394C"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Sarà selezionato, dunque, l’operatore economico che avrà offerto le condizioni più vantaggiose, previa verifica del possesso dei relativi requisiti di partecipazione previsti per l’affidamento di contratti di uguale importo.</w:t>
      </w:r>
    </w:p>
    <w:p w14:paraId="0E32EC28"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La Stazione Appaltante, dopo aver adottato delibera o determina a contrarre – all’interno della quale viene motivata la sussistenza dei presupposti per l’utilizzo di tale procedura – individua, consulta e seleziona gli operatori economici sulla base delle relative caratteristiche economico/finanziarie e tecnico/organizzative.</w:t>
      </w:r>
    </w:p>
    <w:p w14:paraId="529A8250"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Dunque, con apposita comunicazione nella quale sono indicati gli elementi essenziali della prestazione richiesta, la Stazione Appaltante invita gli operatori economici selezionati a presentare le offerte che saranno oggetto della medesima negoziazione.</w:t>
      </w:r>
    </w:p>
    <w:p w14:paraId="0C86115B" w14:textId="77777777" w:rsidR="009A5311" w:rsidRPr="00880308" w:rsidRDefault="009A5311" w:rsidP="009A5311">
      <w:pPr>
        <w:shd w:val="clear" w:color="auto" w:fill="FFFFFF"/>
        <w:spacing w:after="100" w:afterAutospacing="1" w:line="240" w:lineRule="auto"/>
        <w:jc w:val="both"/>
        <w:rPr>
          <w:rFonts w:ascii="Arial" w:eastAsia="Times New Roman" w:hAnsi="Arial" w:cs="Arial"/>
          <w:sz w:val="24"/>
          <w:szCs w:val="24"/>
          <w:lang w:eastAsia="it-IT"/>
        </w:rPr>
      </w:pPr>
      <w:r w:rsidRPr="00880308">
        <w:rPr>
          <w:rFonts w:ascii="Arial" w:eastAsia="Times New Roman" w:hAnsi="Arial" w:cs="Arial"/>
          <w:sz w:val="24"/>
          <w:szCs w:val="24"/>
          <w:lang w:eastAsia="it-IT"/>
        </w:rPr>
        <w:t>Infine, l’offerta migliore sarà selezionata secondo i criteri del minor prezzo e dell’offerta economicamente più vantaggiosa.</w:t>
      </w:r>
    </w:p>
    <w:p w14:paraId="0E547ED1" w14:textId="77777777" w:rsidR="009A5311" w:rsidRPr="007B3803" w:rsidRDefault="00000000" w:rsidP="009A5311">
      <w:pPr>
        <w:spacing w:after="0" w:line="240" w:lineRule="auto"/>
        <w:rPr>
          <w:rFonts w:ascii="Arial" w:eastAsia="Times New Roman" w:hAnsi="Arial" w:cs="Arial"/>
          <w:b/>
          <w:bCs/>
          <w:sz w:val="24"/>
          <w:szCs w:val="24"/>
          <w:lang w:eastAsia="it-IT"/>
        </w:rPr>
      </w:pPr>
      <w:r>
        <w:rPr>
          <w:rFonts w:ascii="Arial" w:eastAsia="Times New Roman" w:hAnsi="Arial" w:cs="Arial"/>
          <w:b/>
          <w:bCs/>
          <w:sz w:val="24"/>
          <w:szCs w:val="24"/>
          <w:lang w:eastAsia="it-IT"/>
        </w:rPr>
        <w:pict w14:anchorId="7A2B135F">
          <v:rect id="_x0000_i1025" style="width:0;height:0" o:hrstd="t" o:hrnoshade="t" o:hr="t" fillcolor="#333" stroked="f"/>
        </w:pict>
      </w:r>
    </w:p>
    <w:p w14:paraId="7504E6E4" w14:textId="77777777" w:rsidR="009A5311" w:rsidRPr="007B3803" w:rsidRDefault="009A5311" w:rsidP="009A5311">
      <w:pPr>
        <w:spacing w:line="240" w:lineRule="auto"/>
        <w:rPr>
          <w:rFonts w:ascii="Arial" w:hAnsi="Arial" w:cs="Arial"/>
          <w:sz w:val="24"/>
          <w:szCs w:val="24"/>
        </w:rPr>
      </w:pPr>
    </w:p>
    <w:p w14:paraId="581AB07D" w14:textId="77777777" w:rsidR="009A5311" w:rsidRPr="007B3803" w:rsidRDefault="009A5311" w:rsidP="009A5311">
      <w:pPr>
        <w:spacing w:line="240" w:lineRule="auto"/>
        <w:rPr>
          <w:rFonts w:ascii="Arial" w:hAnsi="Arial" w:cs="Arial"/>
          <w:sz w:val="24"/>
          <w:szCs w:val="24"/>
        </w:rPr>
      </w:pPr>
      <w:r w:rsidRPr="007B3803">
        <w:rPr>
          <w:rFonts w:ascii="Arial" w:hAnsi="Arial" w:cs="Arial"/>
          <w:b/>
          <w:sz w:val="24"/>
          <w:szCs w:val="24"/>
        </w:rPr>
        <w:t>Dialogo competitivo</w:t>
      </w:r>
      <w:r w:rsidRPr="007B3803">
        <w:rPr>
          <w:rFonts w:ascii="Arial" w:hAnsi="Arial" w:cs="Arial"/>
          <w:sz w:val="24"/>
          <w:szCs w:val="24"/>
        </w:rPr>
        <w:sym w:font="Wingdings" w:char="F0E0"/>
      </w:r>
      <w:r w:rsidRPr="007B3803">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Pr="007B3803">
        <w:rPr>
          <w:rFonts w:ascii="Arial" w:hAnsi="Arial" w:cs="Arial"/>
          <w:sz w:val="24"/>
          <w:szCs w:val="24"/>
        </w:rPr>
        <w:sym w:font="Wingdings" w:char="F0E0"/>
      </w:r>
      <w:r w:rsidRPr="007B3803">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Pr="007B3803">
        <w:rPr>
          <w:rFonts w:ascii="Arial" w:hAnsi="Arial" w:cs="Arial"/>
          <w:sz w:val="24"/>
          <w:szCs w:val="24"/>
        </w:rPr>
        <w:sym w:font="Wingdings" w:char="F0E0"/>
      </w:r>
      <w:r w:rsidRPr="007B3803">
        <w:rPr>
          <w:rFonts w:ascii="Arial" w:hAnsi="Arial" w:cs="Arial"/>
          <w:sz w:val="24"/>
          <w:szCs w:val="24"/>
        </w:rPr>
        <w:t>Durante il dialogo, deve essere garantita parità di trattamento e non devono essere fornite informazioni avvantaggianti solo taluni partecipanti</w:t>
      </w:r>
      <w:r w:rsidRPr="007B3803">
        <w:rPr>
          <w:rFonts w:ascii="Arial" w:hAnsi="Arial" w:cs="Arial"/>
          <w:sz w:val="24"/>
          <w:szCs w:val="24"/>
        </w:rPr>
        <w:sym w:font="Wingdings" w:char="F0E0"/>
      </w:r>
      <w:r w:rsidRPr="007B3803">
        <w:rPr>
          <w:rFonts w:ascii="Arial" w:hAnsi="Arial" w:cs="Arial"/>
          <w:sz w:val="24"/>
          <w:szCs w:val="24"/>
        </w:rPr>
        <w:t xml:space="preserve"> Concluso il dialogo, gli operatori presentano le offerte finali</w:t>
      </w:r>
      <w:r w:rsidRPr="007B3803">
        <w:rPr>
          <w:rFonts w:ascii="Arial" w:hAnsi="Arial" w:cs="Arial"/>
          <w:sz w:val="24"/>
          <w:szCs w:val="24"/>
        </w:rPr>
        <w:sym w:font="Wingdings" w:char="F0E0"/>
      </w:r>
      <w:r w:rsidRPr="007B3803">
        <w:rPr>
          <w:rFonts w:ascii="Arial" w:hAnsi="Arial" w:cs="Arial"/>
          <w:sz w:val="24"/>
          <w:szCs w:val="24"/>
        </w:rPr>
        <w:t xml:space="preserve"> Le stazioni appaltanti valutano le offerte ricevute sulla base dei criteri prefissati.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14:paraId="12F18866" w14:textId="77777777" w:rsidR="009A5311" w:rsidRDefault="009A5311" w:rsidP="009A5311">
      <w:pPr>
        <w:spacing w:line="240" w:lineRule="auto"/>
        <w:rPr>
          <w:rFonts w:ascii="Arial" w:hAnsi="Arial" w:cs="Arial"/>
          <w:sz w:val="24"/>
          <w:szCs w:val="24"/>
          <w:shd w:val="clear" w:color="auto" w:fill="FFFFFF"/>
        </w:rPr>
      </w:pPr>
      <w:r w:rsidRPr="007B3803">
        <w:rPr>
          <w:rFonts w:ascii="Arial" w:hAnsi="Arial" w:cs="Arial"/>
          <w:b/>
          <w:sz w:val="24"/>
          <w:szCs w:val="24"/>
        </w:rPr>
        <w:t>Partenariato per l'innovazione</w:t>
      </w:r>
      <w:r w:rsidRPr="007B3803">
        <w:rPr>
          <w:rFonts w:ascii="Arial" w:hAnsi="Arial" w:cs="Arial"/>
          <w:sz w:val="24"/>
          <w:szCs w:val="24"/>
        </w:rPr>
        <w:t xml:space="preserve"> </w:t>
      </w:r>
      <w:r w:rsidRPr="007B3803">
        <w:rPr>
          <w:rFonts w:ascii="Arial" w:hAnsi="Arial" w:cs="Arial"/>
          <w:sz w:val="24"/>
          <w:szCs w:val="24"/>
        </w:rPr>
        <w:sym w:font="Wingdings" w:char="F0E0"/>
      </w:r>
      <w:r w:rsidRPr="007B3803">
        <w:rPr>
          <w:rFonts w:ascii="Arial" w:hAnsi="Arial" w:cs="Arial"/>
          <w:sz w:val="24"/>
          <w:szCs w:val="24"/>
        </w:rPr>
        <w:t xml:space="preserve">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 prestazioni e ai costi massimi concordati tra le stazioni appaltanti e i partecipanti. </w:t>
      </w:r>
      <w:r w:rsidRPr="007B3803">
        <w:rPr>
          <w:rFonts w:ascii="Arial" w:hAnsi="Arial" w:cs="Arial"/>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14:paraId="0B51DE26" w14:textId="77777777" w:rsidR="002C5369" w:rsidRDefault="002C5369" w:rsidP="009A5311">
      <w:pPr>
        <w:spacing w:line="240" w:lineRule="auto"/>
        <w:rPr>
          <w:rFonts w:ascii="Arial" w:hAnsi="Arial" w:cs="Arial"/>
          <w:sz w:val="24"/>
          <w:szCs w:val="24"/>
          <w:shd w:val="clear" w:color="auto" w:fill="FFFFFF"/>
        </w:rPr>
      </w:pPr>
    </w:p>
    <w:p w14:paraId="245E7EE5" w14:textId="110E7EC2" w:rsidR="002C5369" w:rsidRDefault="002C5369" w:rsidP="009A5311">
      <w:pPr>
        <w:spacing w:line="240" w:lineRule="auto"/>
        <w:rPr>
          <w:rFonts w:ascii="Arial" w:hAnsi="Arial" w:cs="Arial"/>
          <w:sz w:val="24"/>
          <w:szCs w:val="24"/>
          <w:shd w:val="clear" w:color="auto" w:fill="FFFFFF"/>
        </w:rPr>
      </w:pPr>
      <w:r>
        <w:rPr>
          <w:rFonts w:ascii="Arial" w:hAnsi="Arial" w:cs="Arial"/>
          <w:sz w:val="24"/>
          <w:szCs w:val="24"/>
          <w:shd w:val="clear" w:color="auto" w:fill="FFFFFF"/>
        </w:rPr>
        <w:t>xxxxxxxxxxxxxxxxxxxxxxxxxxxxxxxxxxxxxxxxxxxxxxxxxxxxxxxxxxxxxxxxxxxxxxxxxxxxxxxxxxxxxxxxxxxxxxxxxxxxxxxxxxxxxxxxxxxxxxxxxxxxxxxxxxxxx</w:t>
      </w:r>
    </w:p>
    <w:p w14:paraId="4D8D5FCE" w14:textId="77777777" w:rsidR="002C5369" w:rsidRPr="007B3803" w:rsidRDefault="002C5369" w:rsidP="009A5311">
      <w:pPr>
        <w:spacing w:line="240" w:lineRule="auto"/>
        <w:rPr>
          <w:rFonts w:ascii="Arial" w:hAnsi="Arial" w:cs="Arial"/>
          <w:sz w:val="24"/>
          <w:szCs w:val="24"/>
        </w:rPr>
      </w:pPr>
    </w:p>
    <w:p w14:paraId="570A747D" w14:textId="77777777" w:rsidR="009A5311" w:rsidRPr="007B3803" w:rsidRDefault="009A5311" w:rsidP="009A5311">
      <w:pPr>
        <w:pStyle w:val="NormaleWeb"/>
        <w:shd w:val="clear" w:color="auto" w:fill="FFFFFF"/>
        <w:spacing w:before="0" w:beforeAutospacing="0" w:after="101" w:afterAutospacing="0"/>
        <w:rPr>
          <w:rFonts w:ascii="Arial" w:hAnsi="Arial" w:cs="Arial"/>
        </w:rPr>
      </w:pPr>
      <w:r w:rsidRPr="007B3803">
        <w:rPr>
          <w:rFonts w:ascii="Arial" w:hAnsi="Arial" w:cs="Arial"/>
          <w:b/>
        </w:rPr>
        <w:t>Accordi quadro</w:t>
      </w:r>
      <w:r w:rsidRPr="007B3803">
        <w:rPr>
          <w:rFonts w:ascii="Arial" w:hAnsi="Arial" w:cs="Arial"/>
          <w:b/>
        </w:rPr>
        <w:sym w:font="Wingdings" w:char="F0E0"/>
      </w:r>
      <w:r w:rsidRPr="007B3803">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w:t>
      </w:r>
      <w:proofErr w:type="gramStart"/>
      <w:r w:rsidRPr="007B3803">
        <w:rPr>
          <w:rFonts w:ascii="Arial" w:hAnsi="Arial" w:cs="Arial"/>
        </w:rPr>
        <w:t>"  ,</w:t>
      </w:r>
      <w:proofErr w:type="gramEnd"/>
      <w:r w:rsidRPr="007B3803">
        <w:rPr>
          <w:rFonts w:ascii="Arial" w:hAnsi="Arial" w:cs="Arial"/>
        </w:rPr>
        <w:t xml:space="preserve"> dettando dunque "le regole che saranno vincolanti per i loro eventuali futuri rapporti, senza che ne sorgano immediatamente legami di diritto-obbligo. Hanno durata massima di 4 anni eccetto particolari settori (8)</w:t>
      </w:r>
    </w:p>
    <w:p w14:paraId="4723CB88"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b/>
        </w:rPr>
        <w:t>Sistema dinamico di acquisizione</w:t>
      </w:r>
      <w:r w:rsidRPr="007B3803">
        <w:rPr>
          <w:rFonts w:ascii="Arial" w:hAnsi="Arial" w:cs="Arial"/>
          <w:b/>
        </w:rPr>
        <w:sym w:font="Wingdings" w:char="F0E0"/>
      </w:r>
      <w:r w:rsidRPr="007B3803">
        <w:rPr>
          <w:rFonts w:ascii="Arial" w:hAnsi="Arial" w:cs="Arial"/>
          <w:b/>
        </w:rPr>
        <w:t xml:space="preserve"> </w:t>
      </w:r>
      <w:proofErr w:type="spellStart"/>
      <w:r w:rsidRPr="007B3803">
        <w:rPr>
          <w:rStyle w:val="Enfasigrassetto"/>
          <w:rFonts w:ascii="Arial" w:eastAsiaTheme="majorEastAsia" w:hAnsi="Arial" w:cs="Arial"/>
        </w:rPr>
        <w:t>Acquisizione</w:t>
      </w:r>
      <w:proofErr w:type="spellEnd"/>
      <w:r w:rsidRPr="007B3803">
        <w:rPr>
          <w:rStyle w:val="Enfasigrassetto"/>
          <w:rFonts w:ascii="Arial" w:eastAsiaTheme="majorEastAsia" w:hAnsi="Arial" w:cs="Arial"/>
        </w:rPr>
        <w:t xml:space="preserve"> della P.A.</w:t>
      </w:r>
      <w:r w:rsidRPr="007B3803">
        <w:rPr>
          <w:rFonts w:ascii="Arial" w:hAnsi="Arial" w:cs="Arial"/>
        </w:rPr>
        <w:t> (SDAPA) è un processo di acquisizione interamente elettronico, aperto per tutto il periodo di validità dello stesso a qualsivoglia operatore economico che soddisfi i criteri di selezione.</w:t>
      </w:r>
    </w:p>
    <w:p w14:paraId="4343FE5E"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14:paraId="22822D73"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Il Sistema dinamico è caratterizzato da una procedura bifasica:</w:t>
      </w:r>
    </w:p>
    <w:p w14:paraId="77164B52" w14:textId="77777777" w:rsidR="009A5311" w:rsidRPr="007B3803"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1 - pubblicazione da parte di Consip di un bando istitutivo per una o più categorie merceologiche a cui i fornitori possono abilitarsi.</w:t>
      </w:r>
    </w:p>
    <w:p w14:paraId="2D5491FC" w14:textId="77777777" w:rsidR="009A5311" w:rsidRDefault="009A5311" w:rsidP="009A5311">
      <w:pPr>
        <w:pStyle w:val="NormaleWeb"/>
        <w:shd w:val="clear" w:color="auto" w:fill="FFFFFF"/>
        <w:spacing w:before="0" w:beforeAutospacing="0" w:after="101" w:afterAutospacing="0"/>
        <w:jc w:val="both"/>
        <w:rPr>
          <w:rFonts w:ascii="Arial" w:hAnsi="Arial" w:cs="Arial"/>
        </w:rPr>
      </w:pPr>
      <w:r w:rsidRPr="007B3803">
        <w:rPr>
          <w:rFonts w:ascii="Arial" w:hAnsi="Arial" w:cs="Arial"/>
        </w:rPr>
        <w:t>Fase 2 – indizione e aggiudicazione di appalti specifici in cui le Amministrazioni, definendo i quantitativi, il valore e le caratteristiche specifiche dell’appalto, invitano tutti i partecipanti ammessi a presentare un’offerta</w:t>
      </w:r>
    </w:p>
    <w:p w14:paraId="0F4897B6" w14:textId="654048E8" w:rsidR="0027039F" w:rsidRDefault="0027039F" w:rsidP="009A5311">
      <w:pPr>
        <w:pStyle w:val="NormaleWeb"/>
        <w:shd w:val="clear" w:color="auto" w:fill="FFFFFF"/>
        <w:spacing w:before="0" w:beforeAutospacing="0" w:after="101" w:afterAutospacing="0"/>
        <w:jc w:val="both"/>
        <w:rPr>
          <w:rFonts w:ascii="Arial" w:hAnsi="Arial" w:cs="Arial"/>
          <w:b/>
          <w:bCs/>
        </w:rPr>
      </w:pPr>
      <w:r w:rsidRPr="0027039F">
        <w:rPr>
          <w:rFonts w:ascii="Arial" w:hAnsi="Arial" w:cs="Arial"/>
          <w:b/>
          <w:bCs/>
        </w:rPr>
        <w:t>MEPA</w:t>
      </w:r>
    </w:p>
    <w:p w14:paraId="69D20965" w14:textId="62E77923" w:rsidR="0027039F" w:rsidRDefault="0027039F" w:rsidP="009A5311">
      <w:pPr>
        <w:pStyle w:val="NormaleWeb"/>
        <w:shd w:val="clear" w:color="auto" w:fill="FFFFFF"/>
        <w:spacing w:before="0" w:beforeAutospacing="0" w:after="101" w:afterAutospacing="0"/>
        <w:jc w:val="both"/>
        <w:rPr>
          <w:rFonts w:ascii="Arial" w:hAnsi="Arial" w:cs="Arial"/>
        </w:rPr>
      </w:pPr>
      <w:r w:rsidRPr="0027039F">
        <w:rPr>
          <w:rFonts w:ascii="Arial" w:hAnsi="Arial" w:cs="Arial"/>
        </w:rPr>
        <w:t xml:space="preserve">Il </w:t>
      </w:r>
      <w:proofErr w:type="spellStart"/>
      <w:r w:rsidRPr="0027039F">
        <w:rPr>
          <w:rFonts w:ascii="Arial" w:hAnsi="Arial" w:cs="Arial"/>
        </w:rPr>
        <w:t>MePA</w:t>
      </w:r>
      <w:proofErr w:type="spellEnd"/>
      <w:r w:rsidRPr="0027039F">
        <w:rPr>
          <w:rFonts w:ascii="Arial" w:hAnsi="Arial" w:cs="Arial"/>
        </w:rPr>
        <w:t xml:space="preserve"> è il Mercato elettronico della Pubblica amministrazione gestito da Consip per conto del Ministero dell’Economia e delle Finanze, è un mercato digitale dove si incontrano la domanda della PA e l’offerta di fornitori abilitati per l’acquisto di beni, servizi e lavori, con importi inferiori alla soglia comunitaria.</w:t>
      </w:r>
    </w:p>
    <w:p w14:paraId="4B7C46C8" w14:textId="3AD7A838" w:rsidR="0027039F" w:rsidRPr="0027039F" w:rsidRDefault="0027039F" w:rsidP="0027039F">
      <w:pPr>
        <w:pStyle w:val="NormaleWeb"/>
        <w:shd w:val="clear" w:color="auto" w:fill="FFFFFF"/>
        <w:spacing w:after="101"/>
        <w:jc w:val="both"/>
        <w:rPr>
          <w:rFonts w:ascii="Arial" w:hAnsi="Arial" w:cs="Arial"/>
        </w:rPr>
      </w:pPr>
      <w:r w:rsidRPr="0027039F">
        <w:rPr>
          <w:rFonts w:ascii="Arial" w:hAnsi="Arial" w:cs="Arial"/>
        </w:rPr>
        <w:t xml:space="preserve">Il mercato elettronico offre alle Amministrazioni registrate la possibilità di concludere contratti attraverso </w:t>
      </w:r>
      <w:proofErr w:type="gramStart"/>
      <w:r>
        <w:rPr>
          <w:rFonts w:ascii="Arial" w:hAnsi="Arial" w:cs="Arial"/>
        </w:rPr>
        <w:t>3</w:t>
      </w:r>
      <w:proofErr w:type="gramEnd"/>
      <w:r w:rsidRPr="0027039F">
        <w:rPr>
          <w:rFonts w:ascii="Arial" w:hAnsi="Arial" w:cs="Arial"/>
        </w:rPr>
        <w:t xml:space="preserve"> diverse procedure di acquisto:</w:t>
      </w:r>
    </w:p>
    <w:p w14:paraId="13FE2F98" w14:textId="77777777" w:rsidR="0027039F" w:rsidRPr="0027039F" w:rsidRDefault="0027039F" w:rsidP="0027039F">
      <w:pPr>
        <w:pStyle w:val="NormaleWeb"/>
        <w:numPr>
          <w:ilvl w:val="0"/>
          <w:numId w:val="42"/>
        </w:numPr>
        <w:shd w:val="clear" w:color="auto" w:fill="FFFFFF"/>
        <w:spacing w:after="101"/>
        <w:jc w:val="both"/>
        <w:rPr>
          <w:rFonts w:ascii="Arial" w:hAnsi="Arial" w:cs="Arial"/>
        </w:rPr>
      </w:pPr>
      <w:r w:rsidRPr="0027039F">
        <w:rPr>
          <w:rFonts w:ascii="Arial" w:hAnsi="Arial" w:cs="Arial"/>
        </w:rPr>
        <w:t>l'ordine d'acquisto: (</w:t>
      </w:r>
      <w:proofErr w:type="spellStart"/>
      <w:r w:rsidRPr="0027039F">
        <w:rPr>
          <w:rFonts w:ascii="Arial" w:hAnsi="Arial" w:cs="Arial"/>
        </w:rPr>
        <w:t>OdA</w:t>
      </w:r>
      <w:proofErr w:type="spellEnd"/>
      <w:r w:rsidRPr="0027039F">
        <w:rPr>
          <w:rFonts w:ascii="Arial" w:hAnsi="Arial" w:cs="Arial"/>
        </w:rPr>
        <w:t>)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14:paraId="44109839" w14:textId="1974A107" w:rsid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la richiesta d'offerta (</w:t>
      </w:r>
      <w:proofErr w:type="spellStart"/>
      <w:r w:rsidRPr="0027039F">
        <w:rPr>
          <w:rFonts w:ascii="Arial" w:hAnsi="Arial" w:cs="Arial"/>
        </w:rPr>
        <w:t>RdO</w:t>
      </w:r>
      <w:proofErr w:type="spellEnd"/>
      <w:r w:rsidRPr="0027039F">
        <w:rPr>
          <w:rFonts w:ascii="Arial" w:hAnsi="Arial" w:cs="Arial"/>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14:paraId="788D963F" w14:textId="3AE08E15" w:rsidR="0027039F" w:rsidRPr="0027039F" w:rsidRDefault="0027039F" w:rsidP="0027039F">
      <w:pPr>
        <w:pStyle w:val="NormaleWeb"/>
        <w:numPr>
          <w:ilvl w:val="0"/>
          <w:numId w:val="42"/>
        </w:numPr>
        <w:shd w:val="clear" w:color="auto" w:fill="FFFFFF"/>
        <w:spacing w:before="0" w:beforeAutospacing="0" w:after="101" w:afterAutospacing="0"/>
        <w:jc w:val="both"/>
        <w:rPr>
          <w:rFonts w:ascii="Arial" w:hAnsi="Arial" w:cs="Arial"/>
        </w:rPr>
      </w:pPr>
      <w:r w:rsidRPr="0027039F">
        <w:rPr>
          <w:rFonts w:ascii="Arial" w:hAnsi="Arial" w:cs="Arial"/>
        </w:rPr>
        <w:t xml:space="preserve">La Trattativa Diretta è una modalità di acquisto del Mercato Elettronico </w:t>
      </w:r>
      <w:proofErr w:type="spellStart"/>
      <w:r w:rsidRPr="0027039F">
        <w:rPr>
          <w:rFonts w:ascii="Arial" w:hAnsi="Arial" w:cs="Arial"/>
        </w:rPr>
        <w:t>MePa</w:t>
      </w:r>
      <w:proofErr w:type="spellEnd"/>
      <w:r w:rsidRPr="0027039F">
        <w:rPr>
          <w:rFonts w:ascii="Arial" w:hAnsi="Arial" w:cs="Arial"/>
        </w:rPr>
        <w:t xml:space="preserve"> che ti consente di avviare Negoziazioni dirette con un unico Operatore Economico (OE).</w:t>
      </w:r>
    </w:p>
    <w:p w14:paraId="3E466D53" w14:textId="77777777" w:rsidR="0027039F" w:rsidRPr="007B3803" w:rsidRDefault="0027039F" w:rsidP="009A5311">
      <w:pPr>
        <w:pStyle w:val="NormaleWeb"/>
        <w:shd w:val="clear" w:color="auto" w:fill="FFFFFF"/>
        <w:spacing w:before="0" w:beforeAutospacing="0" w:after="101" w:afterAutospacing="0"/>
        <w:jc w:val="both"/>
        <w:rPr>
          <w:rFonts w:ascii="Arial" w:hAnsi="Arial" w:cs="Arial"/>
        </w:rPr>
      </w:pPr>
    </w:p>
    <w:p w14:paraId="20713A81"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r w:rsidRPr="007B3803">
        <w:rPr>
          <w:rFonts w:ascii="Arial" w:hAnsi="Arial" w:cs="Arial"/>
          <w:shd w:val="clear" w:color="auto" w:fill="F2EFE7"/>
        </w:rPr>
        <w:t>lo </w:t>
      </w:r>
      <w:r w:rsidRPr="007B3803">
        <w:rPr>
          <w:rStyle w:val="Enfasigrassetto"/>
          <w:rFonts w:ascii="Arial" w:eastAsiaTheme="majorEastAsia" w:hAnsi="Arial" w:cs="Arial"/>
          <w:shd w:val="clear" w:color="auto" w:fill="F2EFE7"/>
        </w:rPr>
        <w:t>SDAPA</w:t>
      </w:r>
      <w:r w:rsidRPr="007B3803">
        <w:rPr>
          <w:rFonts w:ascii="Arial" w:hAnsi="Arial" w:cs="Arial"/>
          <w:shd w:val="clear" w:color="auto" w:fill="F2EFE7"/>
        </w:rPr>
        <w:t> rappresenta uno strumento d’acquisto che ha subito nell’ultimo periodo un sempre più frequente utilizzo da parte delle amministrazioni pubbliche, principalmente per il fatto che </w:t>
      </w:r>
      <w:r w:rsidRPr="007B3803">
        <w:rPr>
          <w:rFonts w:ascii="Arial" w:hAnsi="Arial" w:cs="Arial"/>
          <w:u w:val="single"/>
          <w:shd w:val="clear" w:color="auto" w:fill="F2EFE7"/>
        </w:rPr>
        <w:t>consente di gestire mediante procedura informatica anche appalti di valore superiore alla soglia comunitaria</w:t>
      </w:r>
      <w:r w:rsidRPr="007B3803">
        <w:rPr>
          <w:rFonts w:ascii="Arial" w:hAnsi="Arial" w:cs="Arial"/>
          <w:shd w:val="clear" w:color="auto" w:fill="F2EFE7"/>
        </w:rPr>
        <w:t>.</w:t>
      </w:r>
    </w:p>
    <w:p w14:paraId="32DE250E" w14:textId="77777777" w:rsidR="009A5311" w:rsidRPr="007B3803" w:rsidRDefault="009A5311" w:rsidP="009A5311">
      <w:pPr>
        <w:pStyle w:val="NormaleWeb"/>
        <w:shd w:val="clear" w:color="auto" w:fill="FFFFFF"/>
        <w:spacing w:before="0" w:beforeAutospacing="0" w:after="101" w:afterAutospacing="0"/>
        <w:rPr>
          <w:rFonts w:ascii="Arial" w:hAnsi="Arial" w:cs="Arial"/>
          <w:shd w:val="clear" w:color="auto" w:fill="F2EFE7"/>
        </w:rPr>
      </w:pPr>
    </w:p>
    <w:p w14:paraId="0F405AC9" w14:textId="46926F25"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
        </w:rPr>
        <w:t>Asta elettronica</w:t>
      </w:r>
      <w:r w:rsidRPr="007B3803">
        <w:rPr>
          <w:rFonts w:ascii="Arial" w:hAnsi="Arial" w:cs="Arial"/>
          <w:b/>
        </w:rPr>
        <w:sym w:font="Wingdings" w:char="F0E0"/>
      </w:r>
      <w:r w:rsidRPr="007B3803">
        <w:rPr>
          <w:rFonts w:ascii="Arial" w:hAnsi="Arial" w:cs="Arial"/>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w:t>
      </w:r>
      <w:r w:rsidRPr="007B3803">
        <w:rPr>
          <w:rFonts w:ascii="Arial" w:hAnsi="Arial" w:cs="Arial"/>
          <w:bdr w:val="none" w:sz="0" w:space="0" w:color="auto" w:frame="1"/>
        </w:rPr>
        <w:t xml:space="preserve">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w:t>
      </w:r>
      <w:proofErr w:type="gramStart"/>
      <w:r w:rsidRPr="007B3803">
        <w:rPr>
          <w:rFonts w:ascii="Arial" w:hAnsi="Arial" w:cs="Arial"/>
          <w:bdr w:val="none" w:sz="0" w:space="0" w:color="auto" w:frame="1"/>
        </w:rPr>
        <w:t>riguardare :</w:t>
      </w:r>
      <w:proofErr w:type="gramEnd"/>
      <w:r w:rsidRPr="007B3803">
        <w:rPr>
          <w:rFonts w:ascii="Arial" w:hAnsi="Arial" w:cs="Arial"/>
          <w:bdr w:val="none" w:sz="0" w:space="0" w:color="auto" w:frame="1"/>
        </w:rPr>
        <w:br/>
        <w:t>1) solo i prezzi, quando la gara di appalto prevede che per l’aggiudicazione verrà utilizzato il criterio del prezzo più basso;</w:t>
      </w:r>
    </w:p>
    <w:p w14:paraId="32E79C8C" w14:textId="77777777" w:rsidR="009A5311" w:rsidRPr="007B3803" w:rsidRDefault="009A5311" w:rsidP="009A5311">
      <w:pPr>
        <w:pStyle w:val="NormaleWeb"/>
        <w:shd w:val="clear" w:color="auto" w:fill="FFFFFF"/>
        <w:spacing w:before="0" w:beforeAutospacing="0" w:after="0" w:afterAutospacing="0"/>
        <w:jc w:val="both"/>
        <w:textAlignment w:val="baseline"/>
        <w:rPr>
          <w:rFonts w:ascii="Arial" w:hAnsi="Arial" w:cs="Arial"/>
        </w:rPr>
      </w:pPr>
      <w:r w:rsidRPr="007B3803">
        <w:rPr>
          <w:rFonts w:ascii="Arial" w:hAnsi="Arial" w:cs="Arial"/>
          <w:bdr w:val="none" w:sz="0" w:space="0" w:color="auto" w:frame="1"/>
        </w:rPr>
        <w:t>2) il rapporto che esiste fra prezzi/valori, se il criterio di aggiudicazione del contratto di appalto si basa sul metodo dell’offerta economicamente più vantaggiosa.</w:t>
      </w:r>
    </w:p>
    <w:p w14:paraId="7A6D844B" w14:textId="77777777" w:rsidR="009A5311" w:rsidRPr="007B3803" w:rsidRDefault="009A5311" w:rsidP="009A5311">
      <w:pPr>
        <w:pStyle w:val="NormaleWeb"/>
        <w:shd w:val="clear" w:color="auto" w:fill="FFFFFF"/>
        <w:spacing w:before="0" w:beforeAutospacing="0" w:after="101" w:afterAutospacing="0"/>
        <w:rPr>
          <w:rFonts w:ascii="Arial" w:hAnsi="Arial" w:cs="Arial"/>
          <w:b/>
        </w:rPr>
      </w:pPr>
    </w:p>
    <w:p w14:paraId="71C4A830" w14:textId="09E72E4F" w:rsidR="009A5311" w:rsidRDefault="009A5311"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Affidamento </w:t>
      </w:r>
      <w:proofErr w:type="gramStart"/>
      <w:r w:rsidRPr="007B3803">
        <w:rPr>
          <w:rFonts w:ascii="Arial" w:eastAsia="Times New Roman" w:hAnsi="Arial" w:cs="Arial"/>
          <w:b/>
          <w:bCs/>
          <w:sz w:val="24"/>
          <w:szCs w:val="24"/>
          <w:lang w:eastAsia="it-IT"/>
        </w:rPr>
        <w:t>sotto soglia</w:t>
      </w:r>
      <w:proofErr w:type="gramEnd"/>
      <w:r w:rsidRPr="007B3803">
        <w:rPr>
          <w:rFonts w:ascii="Arial" w:eastAsia="Times New Roman" w:hAnsi="Arial" w:cs="Arial"/>
          <w:b/>
          <w:bCs/>
          <w:sz w:val="24"/>
          <w:szCs w:val="24"/>
          <w:lang w:eastAsia="it-IT"/>
        </w:rPr>
        <w:t xml:space="preserve"> comunitaria</w:t>
      </w:r>
    </w:p>
    <w:p w14:paraId="40B3948C" w14:textId="52D3BDA8" w:rsidR="00A01866" w:rsidRDefault="00A01866"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A01866">
        <w:rPr>
          <w:rFonts w:ascii="Arial" w:eastAsia="Times New Roman" w:hAnsi="Arial" w:cs="Arial"/>
          <w:b/>
          <w:bCs/>
          <w:sz w:val="24"/>
          <w:szCs w:val="24"/>
          <w:lang w:eastAsia="it-IT"/>
        </w:rPr>
        <w:t>Salvo quanto previsto dagli articoli 62 e 63, le stazioni appaltanti procedono all'affidamento dei contratti di lavori, servizi e forniture di importo inferiore alle soglie con le seguenti modalità:</w:t>
      </w:r>
    </w:p>
    <w:p w14:paraId="00ADBF79" w14:textId="77777777" w:rsidR="00A01866" w:rsidRPr="007B3803" w:rsidRDefault="00A01866" w:rsidP="002C5369">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5CE42DF1" w14:textId="77777777"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lavori, alla lett. c) del comma 1 dell’art. 50, si prevedono due differenti soglie (con diverso numero di inviti):</w:t>
      </w:r>
    </w:p>
    <w:p w14:paraId="3CA167F1"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prima compresa tra 150.000 € e 1.000.000 € </w:t>
      </w:r>
      <w:r w:rsidRPr="007B3803">
        <w:rPr>
          <w:rFonts w:ascii="Arial" w:eastAsia="Times New Roman" w:hAnsi="Arial" w:cs="Arial"/>
          <w:b/>
          <w:bCs/>
          <w:sz w:val="24"/>
          <w:szCs w:val="24"/>
          <w:lang w:eastAsia="it-IT"/>
        </w:rPr>
        <w:t> in questo caso il RUP, attraverso indagini di mercato o attraverso un elenco/albo interno, dovrà invitare alla procedura almeno 5 operatori.</w:t>
      </w:r>
    </w:p>
    <w:p w14:paraId="08D12ECC" w14:textId="77777777"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p>
    <w:p w14:paraId="171D65B1" w14:textId="1DE4BACC"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seconda compresa tra 1.000.000 € e 5.</w:t>
      </w:r>
      <w:r w:rsidR="007B3803" w:rsidRPr="007B3803">
        <w:rPr>
          <w:rFonts w:ascii="Arial" w:eastAsia="Times New Roman" w:hAnsi="Arial" w:cs="Arial"/>
          <w:b/>
          <w:bCs/>
          <w:sz w:val="24"/>
          <w:szCs w:val="24"/>
          <w:lang w:eastAsia="it-IT"/>
        </w:rPr>
        <w:t>538</w:t>
      </w:r>
      <w:r w:rsidRPr="007B3803">
        <w:rPr>
          <w:rFonts w:ascii="Arial" w:eastAsia="Times New Roman" w:hAnsi="Arial" w:cs="Arial"/>
          <w:b/>
          <w:bCs/>
          <w:sz w:val="24"/>
          <w:szCs w:val="24"/>
          <w:lang w:eastAsia="it-IT"/>
        </w:rPr>
        <w:t xml:space="preserve">.000 € </w:t>
      </w:r>
      <w:r w:rsidRPr="007B3803">
        <w:rPr>
          <w:rFonts w:ascii="Arial" w:eastAsia="Times New Roman" w:hAnsi="Arial" w:cs="Arial"/>
          <w:b/>
          <w:bCs/>
          <w:sz w:val="24"/>
          <w:szCs w:val="24"/>
          <w:lang w:eastAsia="it-IT"/>
        </w:rPr>
        <w:t xml:space="preserve"> in questo caso gli inviti devono essere estesi ad almeno 10 operatori (sempre che siano oggettivamente reperibili). </w:t>
      </w:r>
    </w:p>
    <w:p w14:paraId="5DD2E24F" w14:textId="6E9B5F53" w:rsidR="00E126D7" w:rsidRPr="007B3803" w:rsidRDefault="00E126D7" w:rsidP="00E126D7">
      <w:pPr>
        <w:shd w:val="clear" w:color="auto" w:fill="FFFFFF"/>
        <w:spacing w:beforeAutospacing="1" w:after="0" w:afterAutospacing="1" w:line="240" w:lineRule="auto"/>
        <w:ind w:left="360"/>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 beni/servizi, invece, la lett. e) dello stesso comma 1 stabilisce che:</w:t>
      </w:r>
    </w:p>
    <w:p w14:paraId="562E5F7C" w14:textId="42C39975" w:rsidR="00E126D7"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per importi pari o superiori a 140.000 € e fino a 2</w:t>
      </w:r>
      <w:r w:rsidR="007B3803" w:rsidRPr="007B3803">
        <w:rPr>
          <w:rFonts w:ascii="Arial" w:eastAsia="Times New Roman" w:hAnsi="Arial" w:cs="Arial"/>
          <w:b/>
          <w:bCs/>
          <w:sz w:val="24"/>
          <w:szCs w:val="24"/>
          <w:lang w:eastAsia="it-IT"/>
        </w:rPr>
        <w:t>21</w:t>
      </w:r>
      <w:r w:rsidRPr="007B3803">
        <w:rPr>
          <w:rFonts w:ascii="Arial" w:eastAsia="Times New Roman" w:hAnsi="Arial" w:cs="Arial"/>
          <w:b/>
          <w:bCs/>
          <w:sz w:val="24"/>
          <w:szCs w:val="24"/>
          <w:lang w:eastAsia="it-IT"/>
        </w:rPr>
        <w:t xml:space="preserve">.000 € (ovvero 750.000 € per servizi sociali) </w:t>
      </w:r>
      <w:r w:rsidRPr="007B3803">
        <w:rPr>
          <w:rFonts w:ascii="Arial" w:eastAsia="Times New Roman" w:hAnsi="Arial" w:cs="Arial"/>
          <w:b/>
          <w:bCs/>
          <w:sz w:val="24"/>
          <w:szCs w:val="24"/>
          <w:lang w:eastAsia="it-IT"/>
        </w:rPr>
        <w:t> è previsto l’invito ad almeno 5 operatori, individuati sempre secondo indagini di mercato o attraverso elenco/albo interno.</w:t>
      </w:r>
    </w:p>
    <w:p w14:paraId="169E49E7" w14:textId="6C0294B0" w:rsidR="00E126D7" w:rsidRPr="007B3803" w:rsidRDefault="00E126D7" w:rsidP="00E126D7">
      <w:pPr>
        <w:numPr>
          <w:ilvl w:val="0"/>
          <w:numId w:val="25"/>
        </w:num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 IN TUTTI GLI ALTRI CASI (LAVORI INFERIORI A 150000 E SERVIZI E FORNITURE INFERIORI A 140000 SI PARLA DI AFFIDAMENTO DIRETTO</w:t>
      </w:r>
    </w:p>
    <w:p w14:paraId="6E32D58E" w14:textId="66596C18"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 rotazione rimane infatti obbligatoria salvo le limitatissime ipotesi di micro-acquisti (infra 5mila euro), in cui si potrà derogare al principio nel caso in cui l’ente si doti di apposito regolamento o il RUP avvii una procedura ad inviti sostanzialmente “aperta” a tutti; in tutti gli altri casi l’affidatario del pregresso appalto, che abbia ad “oggetto una commessa rientrante nello stesso settore merceologico, oppure nella stessa categoria di opere, oppure nello stesso settore di servizi”, non può partecipare alla gara; la novità rispetto alle Linee Guida ANAC n. 4, quindi, è che il principio di rotazione non coinvolge più l’operatore che sia stato solo invitato alla precedente procedura, bensì solo l’aggiudicatario.4</w:t>
      </w:r>
    </w:p>
    <w:p w14:paraId="58E4D3FF" w14:textId="5C4E3EB4"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Una novità interessante è che, in relazione alla procedura negoziata per lavori tra il milione e la soglia comunitaria, la norma fa “salva la possibilità di ricorrere alle procedure di scelta del contraente di cui alla Parte IV del presente Libro”; si tratta di un’importante modifica tenuto conto che la norma pregressa prevedeva che, in caso d’utilizzo di procedura aperta, il RUP ne desse adeguata motivazione; l’inciso è scomparso ma si ritiene che la motivazione d’adottare una gara ad evidenza pubblica in luogo di una semplificata (salvo che insista, ovviamente, un interesse transfrontaliero) debba comunque essere presente, in modo da specificare le ragioni che hanno indotto alla scelta di una procedura aggravata.</w:t>
      </w:r>
    </w:p>
    <w:p w14:paraId="55F18F64"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 novità di maggior rilievo è però indicata nel comma 2 dell’articolo 50, secondo periodo, ove risulta esplicitata l’impossibilità d’utilizzare ordinariamente il sorteggio o metodi di estrazione casuale per la scelta degli operatori da invitare; più nel dettaglio il comma citato prevede che “Per la selezione degli operatori da invitare alle procedure negoziate, le stazioni appaltanti non possono utilizzare il sorteggio o altro metodo di estrazione casuale dei nominativi, se non in presenza di situazioni particolari e specificamente motivate, nei casi in cui non risulti praticabile nessun altro metodo di selezione degli operatori”. </w:t>
      </w:r>
    </w:p>
    <w:p w14:paraId="1B3B4540"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Ciò induce a ritenere la necessità di stabilire dei criteri di sbarramento fin dall’Avviso pubblico per scremare la partecipazione; la norma, infatti, sembra veicolare la scelta sugli operatori in senso “qualitativo” ovvero imponendo un vaglio propedeutico sugli operatori poi da far competere.</w:t>
      </w:r>
    </w:p>
    <w:p w14:paraId="62952CC6" w14:textId="5F02A863"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 xml:space="preserve">L’art. 50 prosegue poi chiarendo al comma 4 come, </w:t>
      </w:r>
      <w:proofErr w:type="gramStart"/>
      <w:r w:rsidRPr="007B3803">
        <w:rPr>
          <w:rFonts w:ascii="Arial" w:eastAsia="Times New Roman" w:hAnsi="Arial" w:cs="Arial"/>
          <w:b/>
          <w:bCs/>
          <w:sz w:val="24"/>
          <w:szCs w:val="24"/>
          <w:lang w:eastAsia="it-IT"/>
        </w:rPr>
        <w:t>nei sottosoglia</w:t>
      </w:r>
      <w:proofErr w:type="gramEnd"/>
      <w:r w:rsidRPr="007B3803">
        <w:rPr>
          <w:rFonts w:ascii="Arial" w:eastAsia="Times New Roman" w:hAnsi="Arial" w:cs="Arial"/>
          <w:b/>
          <w:bCs/>
          <w:sz w:val="24"/>
          <w:szCs w:val="24"/>
          <w:lang w:eastAsia="it-IT"/>
        </w:rPr>
        <w:t>, il RUP possa scegliere i criteri d’aggiudicazione (fermi restando i limiti di cui all’art. 108 comma 2 per il criterio del prezzo più basso); da notare anche che, nel caso d‘utilizzo del criterio dell’offerta economicamente più vantaggiosa, l’articolo 51 preveda, in modo assolutamente inedito, che la Commissione di gara possa essere presieduta anche dal RUP (pur non essendo dirigente/responsabile del servizio).</w:t>
      </w:r>
    </w:p>
    <w:p w14:paraId="2276D639" w14:textId="7777777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L’articolo 52 prevede invece che, per appalti d’importo inferiore ai 40.000 euro, il possesso dei requisiti possa essere certificato con semplice dichiarazione oggetto di controllo a campione; se in seguito a verifica non venisse confermato il possesso di detti requisiti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14:paraId="7BAA9975" w14:textId="10D22BA7" w:rsidR="00E126D7" w:rsidRPr="007B3803" w:rsidRDefault="00E126D7" w:rsidP="00E126D7">
      <w:pPr>
        <w:shd w:val="clear" w:color="auto" w:fill="FFFFFF"/>
        <w:spacing w:beforeAutospacing="1" w:after="0" w:afterAutospacing="1" w:line="240" w:lineRule="auto"/>
        <w:textAlignment w:val="baseline"/>
        <w:rPr>
          <w:rFonts w:ascii="Arial" w:eastAsia="Times New Roman" w:hAnsi="Arial" w:cs="Arial"/>
          <w:b/>
          <w:bCs/>
          <w:sz w:val="24"/>
          <w:szCs w:val="24"/>
          <w:lang w:eastAsia="it-IT"/>
        </w:rPr>
      </w:pPr>
      <w:r w:rsidRPr="007B3803">
        <w:rPr>
          <w:rFonts w:ascii="Arial" w:eastAsia="Times New Roman" w:hAnsi="Arial" w:cs="Arial"/>
          <w:b/>
          <w:bCs/>
          <w:sz w:val="24"/>
          <w:szCs w:val="24"/>
          <w:lang w:eastAsia="it-IT"/>
        </w:rPr>
        <w:t>Degno di menzione anche l’articolo 53 in base al quale la cauzione provvisoria diventa facoltativa e, se richiesta, non può superare l’1% dell’importo di gara, mentre relativamente alla cauzione definitiva il RUP, in situazioni motivate, può non richiederla ma, quando lo fa, detta è al massimo pari al 5% dell’importo di gara.</w:t>
      </w:r>
    </w:p>
    <w:p w14:paraId="4ABCBB46" w14:textId="0F18AE03" w:rsidR="0066405B" w:rsidRPr="007B3803" w:rsidRDefault="0066405B" w:rsidP="009A5311">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CONCLUSIONE DEL PROCEDIMENTO DI SELEZIONE DEL CONTRAENTE</w:t>
      </w:r>
    </w:p>
    <w:p w14:paraId="03188AA2" w14:textId="28EC714B"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Le procedure di gara devono concludersi entro un determinato periodo di tempo. L’allegato 1.3 specifica i termini massimi ove venga utilizzato il criterio dell’offerta economicamente più vantaggiosa:</w:t>
      </w:r>
    </w:p>
    <w:p w14:paraId="74A80A5A"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9 mesi</w:t>
      </w:r>
    </w:p>
    <w:p w14:paraId="091894E5"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10 mesi</w:t>
      </w:r>
    </w:p>
    <w:p w14:paraId="1CE2B586"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7 mesi</w:t>
      </w:r>
    </w:p>
    <w:p w14:paraId="5CA3D083"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di un bando di gara: 4 mesi</w:t>
      </w:r>
    </w:p>
    <w:p w14:paraId="06058D1B"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dialogo competitivo: 7 mesi</w:t>
      </w:r>
    </w:p>
    <w:p w14:paraId="493295E8" w14:textId="77777777" w:rsidR="0066405B" w:rsidRPr="007B3803" w:rsidRDefault="0066405B" w:rsidP="0066405B">
      <w:pPr>
        <w:pStyle w:val="Paragrafoelenco"/>
        <w:numPr>
          <w:ilvl w:val="0"/>
          <w:numId w:val="35"/>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partenariato per </w:t>
      </w:r>
      <w:proofErr w:type="gramStart"/>
      <w:r w:rsidRPr="007B3803">
        <w:rPr>
          <w:rFonts w:ascii="Arial" w:eastAsia="Times New Roman" w:hAnsi="Arial" w:cs="Arial"/>
          <w:sz w:val="24"/>
          <w:szCs w:val="24"/>
          <w:lang w:eastAsia="it-IT"/>
        </w:rPr>
        <w:t>l’innovazione :</w:t>
      </w:r>
      <w:proofErr w:type="gramEnd"/>
      <w:r w:rsidRPr="007B3803">
        <w:rPr>
          <w:rFonts w:ascii="Arial" w:eastAsia="Times New Roman" w:hAnsi="Arial" w:cs="Arial"/>
          <w:sz w:val="24"/>
          <w:szCs w:val="24"/>
          <w:lang w:eastAsia="it-IT"/>
        </w:rPr>
        <w:t xml:space="preserve"> 9 mesi</w:t>
      </w:r>
    </w:p>
    <w:p w14:paraId="5B9CB720" w14:textId="77777777" w:rsidR="0066405B" w:rsidRPr="007B3803" w:rsidRDefault="0066405B"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On caso di gare concluse con il prezzo più basso i termini sono i seguenti:</w:t>
      </w:r>
    </w:p>
    <w:p w14:paraId="53579E15" w14:textId="19739A90" w:rsidR="0066405B"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aperta: 5 mesi</w:t>
      </w:r>
    </w:p>
    <w:p w14:paraId="48FA9C68" w14:textId="57B08C11"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ristretta: 6 mesi</w:t>
      </w:r>
    </w:p>
    <w:p w14:paraId="5D088D88" w14:textId="1FB9FC7A"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competitiva con negoziazione: 4 mesi</w:t>
      </w:r>
    </w:p>
    <w:p w14:paraId="4E36C6F3" w14:textId="5EEAF196" w:rsidR="00D67433" w:rsidRPr="007B3803" w:rsidRDefault="00D67433" w:rsidP="0066405B">
      <w:pPr>
        <w:pStyle w:val="Paragrafoelenco"/>
        <w:numPr>
          <w:ilvl w:val="0"/>
          <w:numId w:val="36"/>
        </w:num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procedura negoziata senza previa pubblicazione del bando di gara: 3 mesi</w:t>
      </w:r>
    </w:p>
    <w:p w14:paraId="43FA3230"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I termini decorrono dalla pubblicazione del bando di gara o dall’invio degli inviti </w:t>
      </w:r>
      <w:proofErr w:type="gramStart"/>
      <w:r w:rsidRPr="007B3803">
        <w:rPr>
          <w:rFonts w:ascii="Arial" w:eastAsia="Times New Roman" w:hAnsi="Arial" w:cs="Arial"/>
          <w:sz w:val="24"/>
          <w:szCs w:val="24"/>
          <w:lang w:eastAsia="it-IT"/>
        </w:rPr>
        <w:t>a  offrire</w:t>
      </w:r>
      <w:proofErr w:type="gramEnd"/>
      <w:r w:rsidRPr="007B3803">
        <w:rPr>
          <w:rFonts w:ascii="Arial" w:eastAsia="Times New Roman" w:hAnsi="Arial" w:cs="Arial"/>
          <w:sz w:val="24"/>
          <w:szCs w:val="24"/>
          <w:lang w:eastAsia="it-IT"/>
        </w:rPr>
        <w:t xml:space="preserve"> fino all’aggiudicazione e non possono esser sospesi se non a seguito di provvedimento cautelare del giudice amministrativo. </w:t>
      </w:r>
    </w:p>
    <w:p w14:paraId="2C83B553" w14:textId="77777777" w:rsidR="00D67433" w:rsidRPr="007B3803" w:rsidRDefault="00D67433"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Ogni concorrente può presentare una sola </w:t>
      </w:r>
      <w:proofErr w:type="gramStart"/>
      <w:r w:rsidRPr="007B3803">
        <w:rPr>
          <w:rFonts w:ascii="Arial" w:eastAsia="Times New Roman" w:hAnsi="Arial" w:cs="Arial"/>
          <w:sz w:val="24"/>
          <w:szCs w:val="24"/>
          <w:lang w:eastAsia="it-IT"/>
        </w:rPr>
        <w:t>offerta ,</w:t>
      </w:r>
      <w:proofErr w:type="gramEnd"/>
      <w:r w:rsidRPr="007B3803">
        <w:rPr>
          <w:rFonts w:ascii="Arial" w:eastAsia="Times New Roman" w:hAnsi="Arial" w:cs="Arial"/>
          <w:sz w:val="24"/>
          <w:szCs w:val="24"/>
          <w:lang w:eastAsia="it-IT"/>
        </w:rPr>
        <w:t xml:space="preserve"> vincolante per il periodo indicato dal bando o nell’invito, e </w:t>
      </w:r>
      <w:proofErr w:type="spellStart"/>
      <w:r w:rsidRPr="007B3803">
        <w:rPr>
          <w:rFonts w:ascii="Arial" w:eastAsia="Times New Roman" w:hAnsi="Arial" w:cs="Arial"/>
          <w:sz w:val="24"/>
          <w:szCs w:val="24"/>
          <w:lang w:eastAsia="it-IT"/>
        </w:rPr>
        <w:t>incaso</w:t>
      </w:r>
      <w:proofErr w:type="spellEnd"/>
      <w:r w:rsidRPr="007B3803">
        <w:rPr>
          <w:rFonts w:ascii="Arial" w:eastAsia="Times New Roman" w:hAnsi="Arial" w:cs="Arial"/>
          <w:sz w:val="24"/>
          <w:szCs w:val="24"/>
          <w:lang w:eastAsia="it-IT"/>
        </w:rPr>
        <w:t xml:space="preserve"> di mancata indicazione per 180 g dalla scadenza del termine per la sua presentazione</w:t>
      </w:r>
      <w:r w:rsidR="0066405B" w:rsidRPr="007B3803">
        <w:rPr>
          <w:rFonts w:ascii="Arial" w:eastAsia="Times New Roman" w:hAnsi="Arial" w:cs="Arial"/>
          <w:sz w:val="24"/>
          <w:szCs w:val="24"/>
          <w:lang w:eastAsia="it-IT"/>
        </w:rPr>
        <w:t xml:space="preserve"> </w:t>
      </w:r>
    </w:p>
    <w:p w14:paraId="202B41E9" w14:textId="3EA6A902"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L’ente </w:t>
      </w:r>
      <w:proofErr w:type="spellStart"/>
      <w:r w:rsidRPr="007B3803">
        <w:rPr>
          <w:rFonts w:ascii="Arial" w:eastAsia="Times New Roman" w:hAnsi="Arial" w:cs="Arial"/>
          <w:sz w:val="24"/>
          <w:szCs w:val="24"/>
          <w:lang w:eastAsia="it-IT"/>
        </w:rPr>
        <w:t>comptente</w:t>
      </w:r>
      <w:proofErr w:type="spellEnd"/>
      <w:r w:rsidRPr="007B3803">
        <w:rPr>
          <w:rFonts w:ascii="Arial" w:eastAsia="Times New Roman" w:hAnsi="Arial" w:cs="Arial"/>
          <w:sz w:val="24"/>
          <w:szCs w:val="24"/>
          <w:lang w:eastAsia="it-IT"/>
        </w:rPr>
        <w:t xml:space="preserve"> a fare l’aggiudicazione, ritenuta legittima la stessa e dopo aver verificato il possesso dei requisiti </w:t>
      </w:r>
      <w:proofErr w:type="gramStart"/>
      <w:r w:rsidRPr="007B3803">
        <w:rPr>
          <w:rFonts w:ascii="Arial" w:eastAsia="Times New Roman" w:hAnsi="Arial" w:cs="Arial"/>
          <w:sz w:val="24"/>
          <w:szCs w:val="24"/>
          <w:lang w:eastAsia="it-IT"/>
        </w:rPr>
        <w:t>dell’offerente ,</w:t>
      </w:r>
      <w:proofErr w:type="gramEnd"/>
      <w:r w:rsidRPr="007B3803">
        <w:rPr>
          <w:rFonts w:ascii="Arial" w:eastAsia="Times New Roman" w:hAnsi="Arial" w:cs="Arial"/>
          <w:sz w:val="24"/>
          <w:szCs w:val="24"/>
          <w:lang w:eastAsia="it-IT"/>
        </w:rPr>
        <w:t xml:space="preserve"> dispone </w:t>
      </w:r>
      <w:proofErr w:type="spellStart"/>
      <w:r w:rsidRPr="007B3803">
        <w:rPr>
          <w:rFonts w:ascii="Arial" w:eastAsia="Times New Roman" w:hAnsi="Arial" w:cs="Arial"/>
          <w:sz w:val="24"/>
          <w:szCs w:val="24"/>
          <w:lang w:eastAsia="it-IT"/>
        </w:rPr>
        <w:t>lìaggiudicazione</w:t>
      </w:r>
      <w:proofErr w:type="spellEnd"/>
      <w:r w:rsidRPr="007B3803">
        <w:rPr>
          <w:rFonts w:ascii="Arial" w:eastAsia="Times New Roman" w:hAnsi="Arial" w:cs="Arial"/>
          <w:sz w:val="24"/>
          <w:szCs w:val="24"/>
          <w:lang w:eastAsia="it-IT"/>
        </w:rPr>
        <w:t xml:space="preserve"> che è immediatamente efficace </w:t>
      </w:r>
    </w:p>
    <w:p w14:paraId="0D20AC3C" w14:textId="6A56A17D" w:rsidR="00E26289" w:rsidRPr="007B3803" w:rsidRDefault="00E26289" w:rsidP="0066405B">
      <w:pPr>
        <w:shd w:val="clear" w:color="auto" w:fill="FFFFFF"/>
        <w:spacing w:after="100" w:afterAutospacing="1" w:line="240" w:lineRule="auto"/>
        <w:rPr>
          <w:rFonts w:ascii="Arial" w:eastAsia="Times New Roman" w:hAnsi="Arial" w:cs="Arial"/>
          <w:sz w:val="24"/>
          <w:szCs w:val="24"/>
          <w:lang w:eastAsia="it-IT"/>
        </w:rPr>
      </w:pPr>
      <w:r w:rsidRPr="007B3803">
        <w:rPr>
          <w:rFonts w:ascii="Arial" w:eastAsia="Times New Roman" w:hAnsi="Arial" w:cs="Arial"/>
          <w:sz w:val="24"/>
          <w:szCs w:val="24"/>
          <w:lang w:eastAsia="it-IT"/>
        </w:rPr>
        <w:t xml:space="preserve">L’aggiudicazione non equivale ad accettazione dell’offerta; l’offerta   </w:t>
      </w:r>
      <w:proofErr w:type="gramStart"/>
      <w:r w:rsidRPr="007B3803">
        <w:rPr>
          <w:rFonts w:ascii="Arial" w:eastAsia="Times New Roman" w:hAnsi="Arial" w:cs="Arial"/>
          <w:sz w:val="24"/>
          <w:szCs w:val="24"/>
          <w:lang w:eastAsia="it-IT"/>
        </w:rPr>
        <w:t>è</w:t>
      </w:r>
      <w:proofErr w:type="gramEnd"/>
      <w:r w:rsidRPr="007B3803">
        <w:rPr>
          <w:rFonts w:ascii="Arial" w:eastAsia="Times New Roman" w:hAnsi="Arial" w:cs="Arial"/>
          <w:sz w:val="24"/>
          <w:szCs w:val="24"/>
          <w:lang w:eastAsia="it-IT"/>
        </w:rPr>
        <w:t xml:space="preserve"> abbiamo detto, irrevocabile fino al termine stabilito per la stipulazione del contratto</w:t>
      </w:r>
    </w:p>
    <w:p w14:paraId="47A63763" w14:textId="09A317F0" w:rsidR="00B10465" w:rsidRPr="007B3803" w:rsidRDefault="0066405B" w:rsidP="0066405B">
      <w:pPr>
        <w:shd w:val="clear" w:color="auto" w:fill="FFFFFF"/>
        <w:spacing w:after="100" w:afterAutospacing="1" w:line="240" w:lineRule="auto"/>
        <w:rPr>
          <w:rFonts w:ascii="Arial" w:eastAsia="Times New Roman" w:hAnsi="Arial" w:cs="Arial"/>
          <w:b/>
          <w:bCs/>
          <w:kern w:val="36"/>
          <w:sz w:val="24"/>
          <w:szCs w:val="24"/>
          <w:lang w:eastAsia="it-IT"/>
          <w14:ligatures w14:val="none"/>
        </w:rPr>
      </w:pPr>
      <w:r w:rsidRPr="007B3803">
        <w:rPr>
          <w:rFonts w:ascii="Arial" w:eastAsia="Times New Roman" w:hAnsi="Arial" w:cs="Arial"/>
          <w:b/>
          <w:bCs/>
          <w:kern w:val="36"/>
          <w:sz w:val="24"/>
          <w:szCs w:val="24"/>
          <w:lang w:eastAsia="it-IT"/>
          <w14:ligatures w14:val="none"/>
        </w:rPr>
        <w:t>I</w:t>
      </w:r>
      <w:r w:rsidR="00B10465" w:rsidRPr="007B3803">
        <w:rPr>
          <w:rFonts w:ascii="Arial" w:eastAsia="Times New Roman" w:hAnsi="Arial" w:cs="Arial"/>
          <w:b/>
          <w:bCs/>
          <w:kern w:val="36"/>
          <w:sz w:val="24"/>
          <w:szCs w:val="24"/>
          <w:lang w:eastAsia="it-IT"/>
          <w14:ligatures w14:val="none"/>
        </w:rPr>
        <w:t xml:space="preserve"> criteri di aggiudicazione</w:t>
      </w:r>
    </w:p>
    <w:p w14:paraId="774E8F88" w14:textId="100944AA" w:rsidR="00B10465" w:rsidRPr="007B3803" w:rsidRDefault="00B10465" w:rsidP="00E26289">
      <w:pPr>
        <w:shd w:val="clear" w:color="auto" w:fill="FFFFFF"/>
        <w:spacing w:after="0" w:line="420" w:lineRule="atLeast"/>
        <w:textAlignment w:val="baseline"/>
        <w:rPr>
          <w:rFonts w:ascii="Arial" w:eastAsia="Times New Roman" w:hAnsi="Arial" w:cs="Arial"/>
          <w:b/>
          <w:bCs/>
          <w:kern w:val="0"/>
          <w:sz w:val="24"/>
          <w:szCs w:val="24"/>
          <w:lang w:eastAsia="it-IT"/>
          <w14:ligatures w14:val="none"/>
        </w:rPr>
      </w:pPr>
      <w:r w:rsidRPr="007B3803">
        <w:rPr>
          <w:rFonts w:ascii="Arial" w:eastAsia="Times New Roman" w:hAnsi="Arial" w:cs="Arial"/>
          <w:kern w:val="0"/>
          <w:sz w:val="24"/>
          <w:szCs w:val="24"/>
          <w:lang w:eastAsia="it-IT"/>
          <w14:ligatures w14:val="none"/>
        </w:rPr>
        <w:t>L’</w:t>
      </w:r>
      <w:r w:rsidRPr="007B3803">
        <w:rPr>
          <w:rFonts w:ascii="Arial" w:eastAsia="Times New Roman" w:hAnsi="Arial" w:cs="Arial"/>
          <w:b/>
          <w:bCs/>
          <w:kern w:val="0"/>
          <w:sz w:val="24"/>
          <w:szCs w:val="24"/>
          <w:bdr w:val="none" w:sz="0" w:space="0" w:color="auto" w:frame="1"/>
          <w:lang w:eastAsia="it-IT"/>
          <w14:ligatures w14:val="none"/>
        </w:rPr>
        <w:t>art. 108</w:t>
      </w:r>
      <w:r w:rsidRPr="007B3803">
        <w:rPr>
          <w:rFonts w:ascii="Arial" w:eastAsia="Times New Roman" w:hAnsi="Arial" w:cs="Arial"/>
          <w:kern w:val="0"/>
          <w:sz w:val="24"/>
          <w:szCs w:val="24"/>
          <w:lang w:eastAsia="it-IT"/>
          <w14:ligatures w14:val="none"/>
        </w:rPr>
        <w:t> del nuovo codice appalti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norma i </w:t>
      </w:r>
      <w:r w:rsidRPr="007B3803">
        <w:rPr>
          <w:rFonts w:ascii="Arial" w:eastAsia="Times New Roman" w:hAnsi="Arial" w:cs="Arial"/>
          <w:b/>
          <w:bCs/>
          <w:kern w:val="0"/>
          <w:sz w:val="24"/>
          <w:szCs w:val="24"/>
          <w:bdr w:val="none" w:sz="0" w:space="0" w:color="auto" w:frame="1"/>
          <w:lang w:eastAsia="it-IT"/>
          <w14:ligatures w14:val="none"/>
        </w:rPr>
        <w:t>criteri di aggiudicazione</w:t>
      </w:r>
      <w:r w:rsidR="00E26289" w:rsidRPr="007B3803">
        <w:rPr>
          <w:rFonts w:ascii="Arial" w:eastAsia="Times New Roman" w:hAnsi="Arial" w:cs="Arial"/>
          <w:b/>
          <w:bCs/>
          <w:kern w:val="0"/>
          <w:sz w:val="24"/>
          <w:szCs w:val="24"/>
          <w:bdr w:val="none" w:sz="0" w:space="0" w:color="auto" w:frame="1"/>
          <w:lang w:eastAsia="it-IT"/>
          <w14:ligatures w14:val="none"/>
        </w:rPr>
        <w:t>:</w:t>
      </w:r>
      <w:r w:rsidRPr="007B3803">
        <w:rPr>
          <w:rFonts w:ascii="Arial" w:eastAsia="Times New Roman" w:hAnsi="Arial" w:cs="Arial"/>
          <w:kern w:val="0"/>
          <w:sz w:val="24"/>
          <w:szCs w:val="24"/>
          <w:lang w:eastAsia="it-IT"/>
          <w14:ligatures w14:val="none"/>
        </w:rPr>
        <w:t xml:space="preserve"> sono l’offerta economicamente più vantaggiosa, basata sul miglior rapporto qualità prezzo delle offerte ricevute, e il minor prezzo. </w:t>
      </w:r>
    </w:p>
    <w:p w14:paraId="1BE5413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procedono all’aggiudicazione degli appalti sulla base del criterio dell’offerta economicamente più vantaggiosa (OEPV) che si basa sul miglior rapporto qualità/costi o sulla base del minore prezzo, seguendo un criterio di comparazione costo/efficacia quale il </w:t>
      </w:r>
      <w:r w:rsidRPr="007B3803">
        <w:rPr>
          <w:rFonts w:ascii="Arial" w:eastAsia="Times New Roman" w:hAnsi="Arial" w:cs="Arial"/>
          <w:b/>
          <w:bCs/>
          <w:kern w:val="0"/>
          <w:sz w:val="24"/>
          <w:szCs w:val="24"/>
          <w:bdr w:val="none" w:sz="0" w:space="0" w:color="auto" w:frame="1"/>
          <w:lang w:eastAsia="it-IT"/>
          <w14:ligatures w14:val="none"/>
        </w:rPr>
        <w:t>costo del ciclo di vita</w:t>
      </w:r>
      <w:r w:rsidRPr="007B3803">
        <w:rPr>
          <w:rFonts w:ascii="Arial" w:eastAsia="Times New Roman" w:hAnsi="Arial" w:cs="Arial"/>
          <w:kern w:val="0"/>
          <w:sz w:val="24"/>
          <w:szCs w:val="24"/>
          <w:lang w:eastAsia="it-IT"/>
          <w14:ligatures w14:val="none"/>
        </w:rPr>
        <w:t>, conformemente a quanto previsto dall’</w:t>
      </w:r>
      <w:r w:rsidRPr="007B3803">
        <w:rPr>
          <w:rFonts w:ascii="Arial" w:eastAsia="Times New Roman" w:hAnsi="Arial" w:cs="Arial"/>
          <w:b/>
          <w:bCs/>
          <w:kern w:val="0"/>
          <w:sz w:val="24"/>
          <w:szCs w:val="24"/>
          <w:bdr w:val="none" w:sz="0" w:space="0" w:color="auto" w:frame="1"/>
          <w:lang w:eastAsia="it-IT"/>
          <w14:ligatures w14:val="none"/>
        </w:rPr>
        <w:t>allegato II.8</w:t>
      </w:r>
      <w:r w:rsidRPr="007B3803">
        <w:rPr>
          <w:rFonts w:ascii="Arial" w:eastAsia="Times New Roman" w:hAnsi="Arial" w:cs="Arial"/>
          <w:kern w:val="0"/>
          <w:sz w:val="24"/>
          <w:szCs w:val="24"/>
          <w:lang w:eastAsia="it-IT"/>
          <w14:ligatures w14:val="none"/>
        </w:rPr>
        <w:t>, con riguardo al costo del ciclo di vita.</w:t>
      </w:r>
    </w:p>
    <w:p w14:paraId="278205AE"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Nel comma 2 dell’art. 108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possiamo rilevare alcune novità sul criterio OEPV e in particolare sui contratti che devono essere aggiudicati per forza con esso.</w:t>
      </w:r>
    </w:p>
    <w:p w14:paraId="42209E21"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 specifico, sono aggiudicati esclusivamente sulla base del criterio dell’offerta economicamente più vantaggiosa:</w:t>
      </w:r>
    </w:p>
    <w:p w14:paraId="785F417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ai </w:t>
      </w:r>
      <w:r w:rsidRPr="007B3803">
        <w:rPr>
          <w:rFonts w:ascii="Arial" w:eastAsia="Times New Roman" w:hAnsi="Arial" w:cs="Arial"/>
          <w:b/>
          <w:bCs/>
          <w:kern w:val="0"/>
          <w:sz w:val="24"/>
          <w:szCs w:val="24"/>
          <w:bdr w:val="none" w:sz="0" w:space="0" w:color="auto" w:frame="1"/>
          <w:lang w:eastAsia="it-IT"/>
          <w14:ligatures w14:val="none"/>
        </w:rPr>
        <w:t>servizi sociali</w:t>
      </w:r>
      <w:r w:rsidRPr="007B3803">
        <w:rPr>
          <w:rFonts w:ascii="Arial" w:eastAsia="Times New Roman" w:hAnsi="Arial" w:cs="Arial"/>
          <w:kern w:val="0"/>
          <w:sz w:val="24"/>
          <w:szCs w:val="24"/>
          <w:lang w:eastAsia="it-IT"/>
          <w14:ligatures w14:val="none"/>
        </w:rPr>
        <w:t> e di ristorazione ospedaliera, assistenziale e scolastica, nonché ai servizi ad alta intensità di manodopera. </w:t>
      </w:r>
      <w:r w:rsidRPr="007B3803">
        <w:rPr>
          <w:rFonts w:ascii="Arial" w:eastAsia="Times New Roman" w:hAnsi="Arial" w:cs="Arial"/>
          <w:b/>
          <w:bCs/>
          <w:kern w:val="0"/>
          <w:sz w:val="24"/>
          <w:szCs w:val="24"/>
          <w:bdr w:val="none" w:sz="0" w:space="0" w:color="auto" w:frame="1"/>
          <w:lang w:eastAsia="it-IT"/>
          <w14:ligatures w14:val="none"/>
        </w:rPr>
        <w:t>Nessuna novità rispetto al vecchio codice</w:t>
      </w:r>
      <w:r w:rsidRPr="007B3803">
        <w:rPr>
          <w:rFonts w:ascii="Arial" w:eastAsia="Times New Roman" w:hAnsi="Arial" w:cs="Arial"/>
          <w:kern w:val="0"/>
          <w:sz w:val="24"/>
          <w:szCs w:val="24"/>
          <w:lang w:eastAsia="it-IT"/>
          <w14:ligatures w14:val="none"/>
        </w:rPr>
        <w:t>;</w:t>
      </w:r>
    </w:p>
    <w:p w14:paraId="796028A8"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relativi all’affidamento dei servizi di </w:t>
      </w:r>
      <w:r w:rsidRPr="007B3803">
        <w:rPr>
          <w:rFonts w:ascii="Arial" w:eastAsia="Times New Roman" w:hAnsi="Arial" w:cs="Arial"/>
          <w:b/>
          <w:bCs/>
          <w:kern w:val="0"/>
          <w:sz w:val="24"/>
          <w:szCs w:val="24"/>
          <w:bdr w:val="none" w:sz="0" w:space="0" w:color="auto" w:frame="1"/>
          <w:lang w:eastAsia="it-IT"/>
          <w14:ligatures w14:val="none"/>
        </w:rPr>
        <w:t>ingegneria e architettura</w:t>
      </w:r>
      <w:r w:rsidRPr="007B3803">
        <w:rPr>
          <w:rFonts w:ascii="Arial" w:eastAsia="Times New Roman" w:hAnsi="Arial" w:cs="Arial"/>
          <w:kern w:val="0"/>
          <w:sz w:val="24"/>
          <w:szCs w:val="24"/>
          <w:lang w:eastAsia="it-IT"/>
          <w14:ligatures w14:val="none"/>
        </w:rPr>
        <w:t> e degli altri servizi di natura tecnica e intellettuale di importo pari o superiore a </w:t>
      </w:r>
      <w:r w:rsidRPr="007B3803">
        <w:rPr>
          <w:rFonts w:ascii="Arial" w:eastAsia="Times New Roman" w:hAnsi="Arial" w:cs="Arial"/>
          <w:b/>
          <w:bCs/>
          <w:kern w:val="0"/>
          <w:sz w:val="24"/>
          <w:szCs w:val="24"/>
          <w:bdr w:val="none" w:sz="0" w:space="0" w:color="auto" w:frame="1"/>
          <w:lang w:eastAsia="it-IT"/>
          <w14:ligatures w14:val="none"/>
        </w:rPr>
        <w:t>140.000 €</w:t>
      </w:r>
      <w:r w:rsidRPr="007B3803">
        <w:rPr>
          <w:rFonts w:ascii="Arial" w:eastAsia="Times New Roman" w:hAnsi="Arial" w:cs="Arial"/>
          <w:kern w:val="0"/>
          <w:sz w:val="24"/>
          <w:szCs w:val="24"/>
          <w:lang w:eastAsia="it-IT"/>
          <w14:ligatures w14:val="none"/>
        </w:rPr>
        <w:t>.</w:t>
      </w:r>
      <w:r w:rsidRPr="007B3803">
        <w:rPr>
          <w:rFonts w:ascii="Arial" w:eastAsia="Times New Roman" w:hAnsi="Arial" w:cs="Arial"/>
          <w:b/>
          <w:bCs/>
          <w:kern w:val="0"/>
          <w:sz w:val="24"/>
          <w:szCs w:val="24"/>
          <w:bdr w:val="none" w:sz="0" w:space="0" w:color="auto" w:frame="1"/>
          <w:lang w:eastAsia="it-IT"/>
          <w14:ligatures w14:val="none"/>
        </w:rPr>
        <w:t> In questo caso notiamo un innalzamento della soglia prima fissata a 40.000 €</w:t>
      </w:r>
      <w:r w:rsidRPr="007B3803">
        <w:rPr>
          <w:rFonts w:ascii="Arial" w:eastAsia="Times New Roman" w:hAnsi="Arial" w:cs="Arial"/>
          <w:kern w:val="0"/>
          <w:sz w:val="24"/>
          <w:szCs w:val="24"/>
          <w:lang w:eastAsia="it-IT"/>
          <w14:ligatures w14:val="none"/>
        </w:rPr>
        <w:t>;</w:t>
      </w:r>
    </w:p>
    <w:p w14:paraId="7904A38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di </w:t>
      </w:r>
      <w:r w:rsidRPr="007B3803">
        <w:rPr>
          <w:rFonts w:ascii="Arial" w:eastAsia="Times New Roman" w:hAnsi="Arial" w:cs="Arial"/>
          <w:b/>
          <w:bCs/>
          <w:kern w:val="0"/>
          <w:sz w:val="24"/>
          <w:szCs w:val="24"/>
          <w:bdr w:val="none" w:sz="0" w:space="0" w:color="auto" w:frame="1"/>
          <w:lang w:eastAsia="it-IT"/>
          <w14:ligatures w14:val="none"/>
        </w:rPr>
        <w:t>servizi e forniture</w:t>
      </w:r>
      <w:r w:rsidRPr="007B3803">
        <w:rPr>
          <w:rFonts w:ascii="Arial" w:eastAsia="Times New Roman" w:hAnsi="Arial" w:cs="Arial"/>
          <w:kern w:val="0"/>
          <w:sz w:val="24"/>
          <w:szCs w:val="24"/>
          <w:lang w:eastAsia="it-IT"/>
          <w14:ligatures w14:val="none"/>
        </w:rPr>
        <w:t> di importo pari o superiore a 140.000 € caratterizzati da </w:t>
      </w:r>
      <w:r w:rsidRPr="007B3803">
        <w:rPr>
          <w:rFonts w:ascii="Arial" w:eastAsia="Times New Roman" w:hAnsi="Arial" w:cs="Arial"/>
          <w:b/>
          <w:bCs/>
          <w:kern w:val="0"/>
          <w:sz w:val="24"/>
          <w:szCs w:val="24"/>
          <w:bdr w:val="none" w:sz="0" w:space="0" w:color="auto" w:frame="1"/>
          <w:lang w:eastAsia="it-IT"/>
          <w14:ligatures w14:val="none"/>
        </w:rPr>
        <w:t>notevole contenuto tecnologico</w:t>
      </w:r>
      <w:r w:rsidRPr="007B3803">
        <w:rPr>
          <w:rFonts w:ascii="Arial" w:eastAsia="Times New Roman" w:hAnsi="Arial" w:cs="Arial"/>
          <w:kern w:val="0"/>
          <w:sz w:val="24"/>
          <w:szCs w:val="24"/>
          <w:lang w:eastAsia="it-IT"/>
          <w14:ligatures w14:val="none"/>
        </w:rPr>
        <w:t> o che hanno un carattere innovativo. </w:t>
      </w:r>
      <w:r w:rsidRPr="007B3803">
        <w:rPr>
          <w:rFonts w:ascii="Arial" w:eastAsia="Times New Roman" w:hAnsi="Arial" w:cs="Arial"/>
          <w:b/>
          <w:bCs/>
          <w:kern w:val="0"/>
          <w:sz w:val="24"/>
          <w:szCs w:val="24"/>
          <w:bdr w:val="none" w:sz="0" w:space="0" w:color="auto" w:frame="1"/>
          <w:lang w:eastAsia="it-IT"/>
          <w14:ligatures w14:val="none"/>
        </w:rPr>
        <w:t>Anche in questo caso registriamo un innalzamento della soglia che prima era fissata a 40.000</w:t>
      </w:r>
      <w:r w:rsidRPr="007B3803">
        <w:rPr>
          <w:rFonts w:ascii="Arial" w:eastAsia="Times New Roman" w:hAnsi="Arial" w:cs="Arial"/>
          <w:kern w:val="0"/>
          <w:sz w:val="24"/>
          <w:szCs w:val="24"/>
          <w:u w:val="single"/>
          <w:bdr w:val="none" w:sz="0" w:space="0" w:color="auto" w:frame="1"/>
          <w:lang w:eastAsia="it-IT"/>
          <w14:ligatures w14:val="none"/>
        </w:rPr>
        <w:t> </w:t>
      </w:r>
      <w:r w:rsidRPr="007B3803">
        <w:rPr>
          <w:rFonts w:ascii="Arial" w:eastAsia="Times New Roman" w:hAnsi="Arial" w:cs="Arial"/>
          <w:kern w:val="0"/>
          <w:sz w:val="24"/>
          <w:szCs w:val="24"/>
          <w:lang w:eastAsia="it-IT"/>
          <w14:ligatures w14:val="none"/>
        </w:rPr>
        <w:t>€;</w:t>
      </w:r>
    </w:p>
    <w:p w14:paraId="42032F11"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in caso di </w:t>
      </w:r>
      <w:r w:rsidRPr="007B3803">
        <w:rPr>
          <w:rFonts w:ascii="Arial" w:eastAsia="Times New Roman" w:hAnsi="Arial" w:cs="Arial"/>
          <w:b/>
          <w:bCs/>
          <w:kern w:val="0"/>
          <w:sz w:val="24"/>
          <w:szCs w:val="24"/>
          <w:bdr w:val="none" w:sz="0" w:space="0" w:color="auto" w:frame="1"/>
          <w:lang w:eastAsia="it-IT"/>
          <w14:ligatures w14:val="none"/>
        </w:rPr>
        <w:t>dialogo competitivo</w:t>
      </w:r>
      <w:r w:rsidRPr="007B3803">
        <w:rPr>
          <w:rFonts w:ascii="Arial" w:eastAsia="Times New Roman" w:hAnsi="Arial" w:cs="Arial"/>
          <w:kern w:val="0"/>
          <w:sz w:val="24"/>
          <w:szCs w:val="24"/>
          <w:lang w:eastAsia="it-IT"/>
          <w14:ligatures w14:val="none"/>
        </w:rPr>
        <w:t> e di </w:t>
      </w:r>
      <w:r w:rsidRPr="007B3803">
        <w:rPr>
          <w:rFonts w:ascii="Arial" w:eastAsia="Times New Roman" w:hAnsi="Arial" w:cs="Arial"/>
          <w:b/>
          <w:bCs/>
          <w:kern w:val="0"/>
          <w:sz w:val="24"/>
          <w:szCs w:val="24"/>
          <w:bdr w:val="none" w:sz="0" w:space="0" w:color="auto" w:frame="1"/>
          <w:lang w:eastAsia="it-IT"/>
          <w14:ligatures w14:val="none"/>
        </w:rPr>
        <w:t>partenariato per l’innovazione. Il vecchio codice non prevedeva questo punto</w:t>
      </w:r>
      <w:r w:rsidRPr="007B3803">
        <w:rPr>
          <w:rFonts w:ascii="Arial" w:eastAsia="Times New Roman" w:hAnsi="Arial" w:cs="Arial"/>
          <w:kern w:val="0"/>
          <w:sz w:val="24"/>
          <w:szCs w:val="24"/>
          <w:lang w:eastAsia="it-IT"/>
          <w14:ligatures w14:val="none"/>
        </w:rPr>
        <w:t>;</w:t>
      </w:r>
    </w:p>
    <w:p w14:paraId="0F3166BC" w14:textId="77777777" w:rsidR="00B10465" w:rsidRPr="007B3803" w:rsidRDefault="00B10465" w:rsidP="00B10465">
      <w:pPr>
        <w:numPr>
          <w:ilvl w:val="0"/>
          <w:numId w:val="29"/>
        </w:numPr>
        <w:shd w:val="clear" w:color="auto" w:fill="FFFFFF"/>
        <w:spacing w:after="0" w:line="420" w:lineRule="atLeast"/>
        <w:ind w:left="118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affidamenti di </w:t>
      </w:r>
      <w:hyperlink r:id="rId9" w:history="1">
        <w:r w:rsidRPr="007B3803">
          <w:rPr>
            <w:rFonts w:ascii="Arial" w:eastAsia="Times New Roman" w:hAnsi="Arial" w:cs="Arial"/>
            <w:b/>
            <w:bCs/>
            <w:kern w:val="0"/>
            <w:sz w:val="24"/>
            <w:szCs w:val="24"/>
            <w:bdr w:val="none" w:sz="0" w:space="0" w:color="auto" w:frame="1"/>
            <w:lang w:eastAsia="it-IT"/>
            <w14:ligatures w14:val="none"/>
          </w:rPr>
          <w:t>appalto integrato</w:t>
        </w:r>
      </w:hyperlink>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bdr w:val="none" w:sz="0" w:space="0" w:color="auto" w:frame="1"/>
          <w:lang w:eastAsia="it-IT"/>
          <w14:ligatures w14:val="none"/>
        </w:rPr>
        <w:t>Il vecchio codice non prevedeva questo punto.</w:t>
      </w:r>
    </w:p>
    <w:p w14:paraId="753EFFA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Come era già stato precisato nella relazione illustrativa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le suddette soglie sono state alzate da 40.000 € a 140.000 € per </w:t>
      </w:r>
      <w:r w:rsidRPr="007B3803">
        <w:rPr>
          <w:rFonts w:ascii="Arial" w:eastAsia="Times New Roman" w:hAnsi="Arial" w:cs="Arial"/>
          <w:b/>
          <w:bCs/>
          <w:kern w:val="0"/>
          <w:sz w:val="24"/>
          <w:szCs w:val="24"/>
          <w:bdr w:val="none" w:sz="0" w:space="0" w:color="auto" w:frame="1"/>
          <w:lang w:eastAsia="it-IT"/>
          <w14:ligatures w14:val="none"/>
        </w:rPr>
        <w:t>3 motivi</w:t>
      </w:r>
      <w:r w:rsidRPr="007B3803">
        <w:rPr>
          <w:rFonts w:ascii="Arial" w:eastAsia="Times New Roman" w:hAnsi="Arial" w:cs="Arial"/>
          <w:kern w:val="0"/>
          <w:sz w:val="24"/>
          <w:szCs w:val="24"/>
          <w:lang w:eastAsia="it-IT"/>
          <w14:ligatures w14:val="none"/>
        </w:rPr>
        <w:t>:</w:t>
      </w:r>
    </w:p>
    <w:p w14:paraId="0CE397B2"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esigenze di carattere sistematico;</w:t>
      </w:r>
    </w:p>
    <w:p w14:paraId="123F4748"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mutamento del quadro economico e sociale;</w:t>
      </w:r>
    </w:p>
    <w:p w14:paraId="209E50CD" w14:textId="77777777" w:rsidR="00B10465" w:rsidRPr="007B3803" w:rsidRDefault="00B10465" w:rsidP="00B10465">
      <w:pPr>
        <w:numPr>
          <w:ilvl w:val="0"/>
          <w:numId w:val="30"/>
        </w:numPr>
        <w:shd w:val="clear" w:color="auto" w:fill="FFFFFF"/>
        <w:spacing w:after="0" w:line="420" w:lineRule="atLeast"/>
        <w:ind w:left="1065" w:firstLine="0"/>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limitato ambito applicativo residuo per le procedure diverse dall’affidamento diretto in tali ipotesi.</w:t>
      </w:r>
    </w:p>
    <w:p w14:paraId="748E926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lettere</w:t>
      </w:r>
      <w:r w:rsidRPr="007B3803">
        <w:rPr>
          <w:rFonts w:ascii="Arial" w:eastAsia="Times New Roman" w:hAnsi="Arial" w:cs="Arial"/>
          <w:i/>
          <w:iCs/>
          <w:kern w:val="0"/>
          <w:sz w:val="24"/>
          <w:szCs w:val="24"/>
          <w:bdr w:val="none" w:sz="0" w:space="0" w:color="auto" w:frame="1"/>
          <w:lang w:eastAsia="it-IT"/>
          <w14:ligatures w14:val="none"/>
        </w:rPr>
        <w:t> d.</w:t>
      </w:r>
      <w:r w:rsidRPr="007B3803">
        <w:rPr>
          <w:rFonts w:ascii="Arial" w:eastAsia="Times New Roman" w:hAnsi="Arial" w:cs="Arial"/>
          <w:kern w:val="0"/>
          <w:sz w:val="24"/>
          <w:szCs w:val="24"/>
          <w:lang w:eastAsia="it-IT"/>
          <w14:ligatures w14:val="none"/>
        </w:rPr>
        <w:t> ed </w:t>
      </w:r>
      <w:r w:rsidRPr="007B3803">
        <w:rPr>
          <w:rFonts w:ascii="Arial" w:eastAsia="Times New Roman" w:hAnsi="Arial" w:cs="Arial"/>
          <w:i/>
          <w:iCs/>
          <w:kern w:val="0"/>
          <w:sz w:val="24"/>
          <w:szCs w:val="24"/>
          <w:bdr w:val="none" w:sz="0" w:space="0" w:color="auto" w:frame="1"/>
          <w:lang w:eastAsia="it-IT"/>
          <w14:ligatures w14:val="none"/>
        </w:rPr>
        <w:t>e.</w:t>
      </w:r>
      <w:r w:rsidRPr="007B3803">
        <w:rPr>
          <w:rFonts w:ascii="Arial" w:eastAsia="Times New Roman" w:hAnsi="Arial" w:cs="Arial"/>
          <w:kern w:val="0"/>
          <w:sz w:val="24"/>
          <w:szCs w:val="24"/>
          <w:lang w:eastAsia="it-IT"/>
          <w14:ligatures w14:val="none"/>
        </w:rPr>
        <w:t> sono state aggiunte dal nuovo codice.</w:t>
      </w:r>
    </w:p>
    <w:p w14:paraId="38E9F10D" w14:textId="77777777" w:rsidR="00B10465" w:rsidRPr="007B3803" w:rsidRDefault="00B10465" w:rsidP="00B10465">
      <w:pPr>
        <w:shd w:val="clear" w:color="auto" w:fill="FFFFFF"/>
        <w:spacing w:before="30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Art. 108 nuovo codice appalti: minor prezzo</w:t>
      </w:r>
    </w:p>
    <w:p w14:paraId="01D143FD"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criterio di aggiudicazione del </w:t>
      </w:r>
      <w:r w:rsidRPr="007B3803">
        <w:rPr>
          <w:rFonts w:ascii="Arial" w:eastAsia="Times New Roman" w:hAnsi="Arial" w:cs="Arial"/>
          <w:b/>
          <w:bCs/>
          <w:kern w:val="0"/>
          <w:sz w:val="24"/>
          <w:szCs w:val="24"/>
          <w:bdr w:val="none" w:sz="0" w:space="0" w:color="auto" w:frame="1"/>
          <w:lang w:eastAsia="it-IT"/>
          <w14:ligatures w14:val="none"/>
        </w:rPr>
        <w:t>minor prezzo</w:t>
      </w:r>
      <w:r w:rsidRPr="007B3803">
        <w:rPr>
          <w:rFonts w:ascii="Arial" w:eastAsia="Times New Roman" w:hAnsi="Arial" w:cs="Arial"/>
          <w:kern w:val="0"/>
          <w:sz w:val="24"/>
          <w:szCs w:val="24"/>
          <w:lang w:eastAsia="it-IT"/>
          <w14:ligatures w14:val="none"/>
        </w:rPr>
        <w:t xml:space="preserve">, non si registrano differenze rispetto al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Secondo il comma 3 dell’art. 108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il criterio del minor prezzo può essere utilizzato per i servizi e le forniture con </w:t>
      </w:r>
      <w:r w:rsidRPr="007B3803">
        <w:rPr>
          <w:rFonts w:ascii="Arial" w:eastAsia="Times New Roman" w:hAnsi="Arial" w:cs="Arial"/>
          <w:b/>
          <w:bCs/>
          <w:kern w:val="0"/>
          <w:sz w:val="24"/>
          <w:szCs w:val="24"/>
          <w:bdr w:val="none" w:sz="0" w:space="0" w:color="auto" w:frame="1"/>
          <w:lang w:eastAsia="it-IT"/>
          <w14:ligatures w14:val="none"/>
        </w:rPr>
        <w:t>caratteristiche standardizzate</w:t>
      </w:r>
      <w:r w:rsidRPr="007B3803">
        <w:rPr>
          <w:rFonts w:ascii="Arial" w:eastAsia="Times New Roman" w:hAnsi="Arial" w:cs="Arial"/>
          <w:kern w:val="0"/>
          <w:sz w:val="24"/>
          <w:szCs w:val="24"/>
          <w:lang w:eastAsia="it-IT"/>
          <w14:ligatures w14:val="none"/>
        </w:rPr>
        <w:t> o le cui condizioni sono </w:t>
      </w:r>
      <w:r w:rsidRPr="007B3803">
        <w:rPr>
          <w:rFonts w:ascii="Arial" w:eastAsia="Times New Roman" w:hAnsi="Arial" w:cs="Arial"/>
          <w:b/>
          <w:bCs/>
          <w:kern w:val="0"/>
          <w:sz w:val="24"/>
          <w:szCs w:val="24"/>
          <w:bdr w:val="none" w:sz="0" w:space="0" w:color="auto" w:frame="1"/>
          <w:lang w:eastAsia="it-IT"/>
          <w14:ligatures w14:val="none"/>
        </w:rPr>
        <w:t>definite dal mercato</w:t>
      </w:r>
      <w:r w:rsidRPr="007B3803">
        <w:rPr>
          <w:rFonts w:ascii="Arial" w:eastAsia="Times New Roman" w:hAnsi="Arial" w:cs="Arial"/>
          <w:kern w:val="0"/>
          <w:sz w:val="24"/>
          <w:szCs w:val="24"/>
          <w:lang w:eastAsia="it-IT"/>
          <w14:ligatures w14:val="none"/>
        </w:rPr>
        <w:t>, fatta eccezione per i servizi ad alta intensità di manodopera.</w:t>
      </w:r>
    </w:p>
    <w:p w14:paraId="5429E03B"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criterio del minor prezzo, come lascia intendere il termine stesso, confronta le varie offerte presentate dagli operatori economici, con la selezione di quella con l’importo più basso.</w:t>
      </w:r>
    </w:p>
    <w:p w14:paraId="658C0E6D"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I documenti di gara</w:t>
      </w:r>
    </w:p>
    <w:p w14:paraId="4912580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stabiliscono i </w:t>
      </w:r>
      <w:r w:rsidRPr="007B3803">
        <w:rPr>
          <w:rFonts w:ascii="Arial" w:eastAsia="Times New Roman" w:hAnsi="Arial" w:cs="Arial"/>
          <w:b/>
          <w:bCs/>
          <w:kern w:val="0"/>
          <w:sz w:val="24"/>
          <w:szCs w:val="24"/>
          <w:bdr w:val="none" w:sz="0" w:space="0" w:color="auto" w:frame="1"/>
          <w:lang w:eastAsia="it-IT"/>
          <w14:ligatures w14:val="none"/>
        </w:rPr>
        <w:t>criteri di aggiudicazione dell’offerta</w:t>
      </w:r>
      <w:r w:rsidRPr="007B3803">
        <w:rPr>
          <w:rFonts w:ascii="Arial" w:eastAsia="Times New Roman" w:hAnsi="Arial" w:cs="Arial"/>
          <w:kern w:val="0"/>
          <w:sz w:val="24"/>
          <w:szCs w:val="24"/>
          <w:lang w:eastAsia="it-IT"/>
          <w14:ligatures w14:val="none"/>
        </w:rPr>
        <w:t>, pertinenti alla natura, all’oggetto e alle caratteristiche del contratto. In particolare, l’offerta economicamente più vantaggiosa viene valutata sulla base di </w:t>
      </w:r>
      <w:r w:rsidRPr="007B3803">
        <w:rPr>
          <w:rFonts w:ascii="Arial" w:eastAsia="Times New Roman" w:hAnsi="Arial" w:cs="Arial"/>
          <w:b/>
          <w:bCs/>
          <w:kern w:val="0"/>
          <w:sz w:val="24"/>
          <w:szCs w:val="24"/>
          <w:bdr w:val="none" w:sz="0" w:space="0" w:color="auto" w:frame="1"/>
          <w:lang w:eastAsia="it-IT"/>
          <w14:ligatures w14:val="none"/>
        </w:rPr>
        <w:t>criteri oggettivi</w:t>
      </w:r>
      <w:r w:rsidRPr="007B3803">
        <w:rPr>
          <w:rFonts w:ascii="Arial" w:eastAsia="Times New Roman" w:hAnsi="Arial" w:cs="Arial"/>
          <w:kern w:val="0"/>
          <w:sz w:val="24"/>
          <w:szCs w:val="24"/>
          <w:lang w:eastAsia="it-IT"/>
          <w14:ligatures w14:val="none"/>
        </w:rPr>
        <w:t>, quali gli aspetti qualitativi, ambientali o sociali, connessi all’oggetto dell’appalto.</w:t>
      </w:r>
    </w:p>
    <w:p w14:paraId="5FC78B49" w14:textId="77777777" w:rsidR="00B10465" w:rsidRPr="007B3803" w:rsidRDefault="00B10465" w:rsidP="00B10465">
      <w:pPr>
        <w:shd w:val="clear" w:color="auto" w:fill="FFFFFF"/>
        <w:spacing w:after="15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differenza della formulazione del comma 6 dell’art. 95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50/2016, è stata eliminata l’elencazione esemplificativa dei criteri utilizzati, che potrebbero trovare spazio in norme attuative di carattere secondario.</w:t>
      </w:r>
    </w:p>
    <w:p w14:paraId="053756B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È previsto che l’elemento relativo al costo possa assumere la forma di un</w:t>
      </w:r>
      <w:r w:rsidRPr="007B3803">
        <w:rPr>
          <w:rFonts w:ascii="Arial" w:eastAsia="Times New Roman" w:hAnsi="Arial" w:cs="Arial"/>
          <w:b/>
          <w:bCs/>
          <w:kern w:val="0"/>
          <w:sz w:val="24"/>
          <w:szCs w:val="24"/>
          <w:bdr w:val="none" w:sz="0" w:space="0" w:color="auto" w:frame="1"/>
          <w:lang w:eastAsia="it-IT"/>
          <w14:ligatures w14:val="none"/>
        </w:rPr>
        <w:t> prezzo o costo fisso</w:t>
      </w:r>
      <w:r w:rsidRPr="007B3803">
        <w:rPr>
          <w:rFonts w:ascii="Arial" w:eastAsia="Times New Roman" w:hAnsi="Arial" w:cs="Arial"/>
          <w:kern w:val="0"/>
          <w:sz w:val="24"/>
          <w:szCs w:val="24"/>
          <w:lang w:eastAsia="it-IT"/>
          <w14:ligatures w14:val="none"/>
        </w:rPr>
        <w:t> sulla base del quale gli operatori economici competeranno solo in base a </w:t>
      </w:r>
      <w:r w:rsidRPr="007B3803">
        <w:rPr>
          <w:rFonts w:ascii="Arial" w:eastAsia="Times New Roman" w:hAnsi="Arial" w:cs="Arial"/>
          <w:b/>
          <w:bCs/>
          <w:kern w:val="0"/>
          <w:sz w:val="24"/>
          <w:szCs w:val="24"/>
          <w:bdr w:val="none" w:sz="0" w:space="0" w:color="auto" w:frame="1"/>
          <w:lang w:eastAsia="it-IT"/>
          <w14:ligatures w14:val="none"/>
        </w:rPr>
        <w:t>criteri qualitativi</w:t>
      </w:r>
      <w:r w:rsidRPr="007B3803">
        <w:rPr>
          <w:rFonts w:ascii="Arial" w:eastAsia="Times New Roman" w:hAnsi="Arial" w:cs="Arial"/>
          <w:kern w:val="0"/>
          <w:sz w:val="24"/>
          <w:szCs w:val="24"/>
          <w:lang w:eastAsia="it-IT"/>
          <w14:ligatures w14:val="none"/>
        </w:rPr>
        <w:t>.</w:t>
      </w:r>
    </w:p>
    <w:p w14:paraId="3705C913"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La ponderazione</w:t>
      </w:r>
    </w:p>
    <w:p w14:paraId="73FFB2A5"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documenti di gara riportano i criteri di valutazione e il relativo </w:t>
      </w:r>
      <w:r w:rsidRPr="007B3803">
        <w:rPr>
          <w:rFonts w:ascii="Arial" w:eastAsia="Times New Roman" w:hAnsi="Arial" w:cs="Arial"/>
          <w:b/>
          <w:bCs/>
          <w:kern w:val="0"/>
          <w:sz w:val="24"/>
          <w:szCs w:val="24"/>
          <w:bdr w:val="none" w:sz="0" w:space="0" w:color="auto" w:frame="1"/>
          <w:lang w:eastAsia="it-IT"/>
          <w14:ligatures w14:val="none"/>
        </w:rPr>
        <w:t>sistema di ponderazione</w:t>
      </w:r>
      <w:r w:rsidRPr="007B3803">
        <w:rPr>
          <w:rFonts w:ascii="Arial" w:eastAsia="Times New Roman" w:hAnsi="Arial" w:cs="Arial"/>
          <w:kern w:val="0"/>
          <w:sz w:val="24"/>
          <w:szCs w:val="24"/>
          <w:lang w:eastAsia="it-IT"/>
          <w14:ligatures w14:val="none"/>
        </w:rPr>
        <w:t>, anche prevedendo una forcella in cui lo scarto tra il minimo e il massimo deve essere adeguato. Per ciascun criterio di valutazione prescelto possono essere previsti</w:t>
      </w:r>
      <w:r w:rsidRPr="007B3803">
        <w:rPr>
          <w:rFonts w:ascii="Arial" w:eastAsia="Times New Roman" w:hAnsi="Arial" w:cs="Arial"/>
          <w:b/>
          <w:bCs/>
          <w:kern w:val="0"/>
          <w:sz w:val="24"/>
          <w:szCs w:val="24"/>
          <w:bdr w:val="none" w:sz="0" w:space="0" w:color="auto" w:frame="1"/>
          <w:lang w:eastAsia="it-IT"/>
          <w14:ligatures w14:val="none"/>
        </w:rPr>
        <w:t> sub-criteri</w:t>
      </w:r>
      <w:r w:rsidRPr="007B3803">
        <w:rPr>
          <w:rFonts w:ascii="Arial" w:eastAsia="Times New Roman" w:hAnsi="Arial" w:cs="Arial"/>
          <w:kern w:val="0"/>
          <w:sz w:val="24"/>
          <w:szCs w:val="24"/>
          <w:lang w:eastAsia="it-IT"/>
          <w14:ligatures w14:val="none"/>
        </w:rPr>
        <w:t> e </w:t>
      </w:r>
      <w:r w:rsidRPr="007B3803">
        <w:rPr>
          <w:rFonts w:ascii="Arial" w:eastAsia="Times New Roman" w:hAnsi="Arial" w:cs="Arial"/>
          <w:b/>
          <w:bCs/>
          <w:kern w:val="0"/>
          <w:sz w:val="24"/>
          <w:szCs w:val="24"/>
          <w:bdr w:val="none" w:sz="0" w:space="0" w:color="auto" w:frame="1"/>
          <w:lang w:eastAsia="it-IT"/>
          <w14:ligatures w14:val="none"/>
        </w:rPr>
        <w:t>sub-pesi</w:t>
      </w:r>
      <w:r w:rsidRPr="007B3803">
        <w:rPr>
          <w:rFonts w:ascii="Arial" w:eastAsia="Times New Roman" w:hAnsi="Arial" w:cs="Arial"/>
          <w:kern w:val="0"/>
          <w:sz w:val="24"/>
          <w:szCs w:val="24"/>
          <w:lang w:eastAsia="it-IT"/>
          <w14:ligatures w14:val="none"/>
        </w:rPr>
        <w:t> o </w:t>
      </w:r>
      <w:r w:rsidRPr="007B3803">
        <w:rPr>
          <w:rFonts w:ascii="Arial" w:eastAsia="Times New Roman" w:hAnsi="Arial" w:cs="Arial"/>
          <w:b/>
          <w:bCs/>
          <w:kern w:val="0"/>
          <w:sz w:val="24"/>
          <w:szCs w:val="24"/>
          <w:bdr w:val="none" w:sz="0" w:space="0" w:color="auto" w:frame="1"/>
          <w:lang w:eastAsia="it-IT"/>
          <w14:ligatures w14:val="none"/>
        </w:rPr>
        <w:t>sub-punteggi</w:t>
      </w:r>
      <w:r w:rsidRPr="007B3803">
        <w:rPr>
          <w:rFonts w:ascii="Arial" w:eastAsia="Times New Roman" w:hAnsi="Arial" w:cs="Arial"/>
          <w:kern w:val="0"/>
          <w:sz w:val="24"/>
          <w:szCs w:val="24"/>
          <w:lang w:eastAsia="it-IT"/>
          <w14:ligatures w14:val="none"/>
        </w:rPr>
        <w:t>.</w:t>
      </w:r>
    </w:p>
    <w:p w14:paraId="33754E7E"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la ponderazione non sia possibile, le stazioni appaltanti indicano già nel bando di gara l’importanza dei criteri in ordine decrescente. Per attuare la ponderazione o comunque attribuire il punteggio a ciascun elemento dell’offerta, le stazioni appaltanti utilizzano metodologie che individuino con un </w:t>
      </w:r>
      <w:r w:rsidRPr="007B3803">
        <w:rPr>
          <w:rFonts w:ascii="Arial" w:eastAsia="Times New Roman" w:hAnsi="Arial" w:cs="Arial"/>
          <w:b/>
          <w:bCs/>
          <w:kern w:val="0"/>
          <w:sz w:val="24"/>
          <w:szCs w:val="24"/>
          <w:bdr w:val="none" w:sz="0" w:space="0" w:color="auto" w:frame="1"/>
          <w:lang w:eastAsia="it-IT"/>
          <w14:ligatures w14:val="none"/>
        </w:rPr>
        <w:t>unico parametro numerico</w:t>
      </w:r>
      <w:r w:rsidRPr="007B3803">
        <w:rPr>
          <w:rFonts w:ascii="Arial" w:eastAsia="Times New Roman" w:hAnsi="Arial" w:cs="Arial"/>
          <w:kern w:val="0"/>
          <w:sz w:val="24"/>
          <w:szCs w:val="24"/>
          <w:lang w:eastAsia="it-IT"/>
          <w14:ligatures w14:val="none"/>
        </w:rPr>
        <w:t> finale l’offerta più vantaggiosa.</w:t>
      </w:r>
    </w:p>
    <w:p w14:paraId="3650F6A4"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Nell’offerta economica l’operatore deve indicare i </w:t>
      </w:r>
      <w:r w:rsidRPr="007B3803">
        <w:rPr>
          <w:rFonts w:ascii="Arial" w:eastAsia="Times New Roman" w:hAnsi="Arial" w:cs="Arial"/>
          <w:b/>
          <w:bCs/>
          <w:kern w:val="0"/>
          <w:sz w:val="24"/>
          <w:szCs w:val="24"/>
          <w:bdr w:val="none" w:sz="0" w:space="0" w:color="auto" w:frame="1"/>
          <w:lang w:eastAsia="it-IT"/>
          <w14:ligatures w14:val="none"/>
        </w:rPr>
        <w:t>costi della manodopera</w:t>
      </w:r>
      <w:r w:rsidRPr="007B3803">
        <w:rPr>
          <w:rFonts w:ascii="Arial" w:eastAsia="Times New Roman" w:hAnsi="Arial" w:cs="Arial"/>
          <w:kern w:val="0"/>
          <w:sz w:val="24"/>
          <w:szCs w:val="24"/>
          <w:lang w:eastAsia="it-IT"/>
          <w14:ligatures w14:val="none"/>
        </w:rPr>
        <w:t> e gli </w:t>
      </w:r>
      <w:r w:rsidRPr="007B3803">
        <w:rPr>
          <w:rFonts w:ascii="Arial" w:eastAsia="Times New Roman" w:hAnsi="Arial" w:cs="Arial"/>
          <w:b/>
          <w:bCs/>
          <w:kern w:val="0"/>
          <w:sz w:val="24"/>
          <w:szCs w:val="24"/>
          <w:bdr w:val="none" w:sz="0" w:space="0" w:color="auto" w:frame="1"/>
          <w:lang w:eastAsia="it-IT"/>
          <w14:ligatures w14:val="none"/>
        </w:rPr>
        <w:t>oneri aziendali per la sicurezza</w:t>
      </w:r>
      <w:r w:rsidRPr="007B3803">
        <w:rPr>
          <w:rFonts w:ascii="Arial" w:eastAsia="Times New Roman" w:hAnsi="Arial" w:cs="Arial"/>
          <w:kern w:val="0"/>
          <w:sz w:val="24"/>
          <w:szCs w:val="24"/>
          <w:lang w:eastAsia="it-IT"/>
          <w14:ligatures w14:val="none"/>
        </w:rPr>
        <w:t>, eccetto che nelle forniture senza posa in opera e nei servizi di natura intellettuale. La disposizione è presente anche nel vecchio codice ed è una conferma dell’orientamento giurisprudenziale volto a descrivere l’omissione in questione quale causa di esclusione. Proprio per questo è stato espressamente inserito l’inciso “</w:t>
      </w:r>
      <w:r w:rsidRPr="007B3803">
        <w:rPr>
          <w:rFonts w:ascii="Arial" w:eastAsia="Times New Roman" w:hAnsi="Arial" w:cs="Arial"/>
          <w:b/>
          <w:bCs/>
          <w:kern w:val="0"/>
          <w:sz w:val="24"/>
          <w:szCs w:val="24"/>
          <w:bdr w:val="none" w:sz="0" w:space="0" w:color="auto" w:frame="1"/>
          <w:lang w:eastAsia="it-IT"/>
          <w14:ligatures w14:val="none"/>
        </w:rPr>
        <w:t>a pena di esclusione</w:t>
      </w:r>
      <w:r w:rsidRPr="007B3803">
        <w:rPr>
          <w:rFonts w:ascii="Arial" w:eastAsia="Times New Roman" w:hAnsi="Arial" w:cs="Arial"/>
          <w:kern w:val="0"/>
          <w:sz w:val="24"/>
          <w:szCs w:val="24"/>
          <w:lang w:eastAsia="it-IT"/>
          <w14:ligatures w14:val="none"/>
        </w:rPr>
        <w:t>” per dare maggiore forza e maggiore certezza alla norma.</w:t>
      </w:r>
    </w:p>
    <w:p w14:paraId="4F67E309" w14:textId="77777777" w:rsidR="00B10465" w:rsidRPr="007B3803" w:rsidRDefault="00B10465" w:rsidP="00B10465">
      <w:pPr>
        <w:shd w:val="clear" w:color="auto" w:fill="FFFFFF"/>
        <w:spacing w:before="360" w:after="150" w:line="360" w:lineRule="atLeast"/>
        <w:textAlignment w:val="baseline"/>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Approvvigionamento di servizi informatici e cybersicurezza</w:t>
      </w:r>
    </w:p>
    <w:p w14:paraId="5F7DC2C2"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comma 4 del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contiene una precisazione circa l’approvvigionamento di</w:t>
      </w:r>
      <w:r w:rsidRPr="007B3803">
        <w:rPr>
          <w:rFonts w:ascii="Arial" w:eastAsia="Times New Roman" w:hAnsi="Arial" w:cs="Arial"/>
          <w:b/>
          <w:bCs/>
          <w:kern w:val="0"/>
          <w:sz w:val="24"/>
          <w:szCs w:val="24"/>
          <w:bdr w:val="none" w:sz="0" w:space="0" w:color="auto" w:frame="1"/>
          <w:lang w:eastAsia="it-IT"/>
          <w14:ligatures w14:val="none"/>
        </w:rPr>
        <w:t> beni e servizi informatici</w:t>
      </w:r>
      <w:r w:rsidRPr="007B3803">
        <w:rPr>
          <w:rFonts w:ascii="Arial" w:eastAsia="Times New Roman" w:hAnsi="Arial" w:cs="Arial"/>
          <w:kern w:val="0"/>
          <w:sz w:val="24"/>
          <w:szCs w:val="24"/>
          <w:lang w:eastAsia="it-IT"/>
          <w14:ligatures w14:val="none"/>
        </w:rPr>
        <w:t>. In queste attività, le stazioni appaltanti devono tenere in considerazione gli elementi di </w:t>
      </w:r>
      <w:r w:rsidRPr="007B3803">
        <w:rPr>
          <w:rFonts w:ascii="Arial" w:eastAsia="Times New Roman" w:hAnsi="Arial" w:cs="Arial"/>
          <w:b/>
          <w:bCs/>
          <w:kern w:val="0"/>
          <w:sz w:val="24"/>
          <w:szCs w:val="24"/>
          <w:bdr w:val="none" w:sz="0" w:space="0" w:color="auto" w:frame="1"/>
          <w:lang w:eastAsia="it-IT"/>
          <w14:ligatures w14:val="none"/>
        </w:rPr>
        <w:t>cybersicurezza</w:t>
      </w:r>
      <w:r w:rsidRPr="007B3803">
        <w:rPr>
          <w:rFonts w:ascii="Arial" w:eastAsia="Times New Roman" w:hAnsi="Arial" w:cs="Arial"/>
          <w:kern w:val="0"/>
          <w:sz w:val="24"/>
          <w:szCs w:val="24"/>
          <w:lang w:eastAsia="it-IT"/>
          <w14:ligatures w14:val="none"/>
        </w:rPr>
        <w:t>, sempre circa la valutazione dell’elemento qualitativo ai fini dell’individuazione del miglior rapporto qualità prezzo. Devono attribuire ad esso </w:t>
      </w:r>
      <w:r w:rsidRPr="007B3803">
        <w:rPr>
          <w:rFonts w:ascii="Arial" w:eastAsia="Times New Roman" w:hAnsi="Arial" w:cs="Arial"/>
          <w:b/>
          <w:bCs/>
          <w:kern w:val="0"/>
          <w:sz w:val="24"/>
          <w:szCs w:val="24"/>
          <w:bdr w:val="none" w:sz="0" w:space="0" w:color="auto" w:frame="1"/>
          <w:lang w:eastAsia="it-IT"/>
          <w14:ligatures w14:val="none"/>
        </w:rPr>
        <w:t>grande rilievo</w:t>
      </w:r>
      <w:r w:rsidRPr="007B3803">
        <w:rPr>
          <w:rFonts w:ascii="Arial" w:eastAsia="Times New Roman" w:hAnsi="Arial" w:cs="Arial"/>
          <w:kern w:val="0"/>
          <w:sz w:val="24"/>
          <w:szCs w:val="24"/>
          <w:lang w:eastAsia="it-IT"/>
          <w14:ligatures w14:val="none"/>
        </w:rPr>
        <w:t> nei casi in cui il contesto di impiego è connesso alla tutela degli interessi nazionali strategici.</w:t>
      </w:r>
    </w:p>
    <w:p w14:paraId="76A57B4B"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Nei casi in cui i </w:t>
      </w:r>
      <w:r w:rsidRPr="007B3803">
        <w:rPr>
          <w:rFonts w:ascii="Arial" w:eastAsia="Times New Roman" w:hAnsi="Arial" w:cs="Arial"/>
          <w:b/>
          <w:bCs/>
          <w:kern w:val="0"/>
          <w:sz w:val="24"/>
          <w:szCs w:val="24"/>
          <w:bdr w:val="none" w:sz="0" w:space="0" w:color="auto" w:frame="1"/>
          <w:lang w:eastAsia="it-IT"/>
          <w14:ligatures w14:val="none"/>
        </w:rPr>
        <w:t>beni e servizi informatici</w:t>
      </w:r>
      <w:r w:rsidRPr="007B3803">
        <w:rPr>
          <w:rFonts w:ascii="Arial" w:eastAsia="Times New Roman" w:hAnsi="Arial" w:cs="Arial"/>
          <w:kern w:val="0"/>
          <w:sz w:val="24"/>
          <w:szCs w:val="24"/>
          <w:lang w:eastAsia="it-IT"/>
          <w14:ligatures w14:val="none"/>
        </w:rPr>
        <w:t> oggetto di appalto siano impiegati in un contesto connesso alla tutela degli interessi nazionali strategici,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(max al 10%)</w:t>
      </w:r>
      <w:r w:rsidRPr="007B3803">
        <w:rPr>
          <w:rFonts w:ascii="Arial" w:eastAsia="Times New Roman" w:hAnsi="Arial" w:cs="Arial"/>
          <w:kern w:val="0"/>
          <w:sz w:val="24"/>
          <w:szCs w:val="24"/>
          <w:lang w:eastAsia="it-IT"/>
          <w14:ligatures w14:val="none"/>
        </w:rPr>
        <w:t>.</w:t>
      </w:r>
    </w:p>
    <w:p w14:paraId="4577DEE3" w14:textId="77777777" w:rsidR="00B10465" w:rsidRPr="007B3803" w:rsidRDefault="00B10465" w:rsidP="00B10465">
      <w:pPr>
        <w:shd w:val="clear" w:color="auto" w:fill="FFFFFF"/>
        <w:spacing w:after="0" w:line="420" w:lineRule="atLeast"/>
        <w:textAlignment w:val="baseline"/>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i </w:t>
      </w:r>
      <w:r w:rsidRPr="007B3803">
        <w:rPr>
          <w:rFonts w:ascii="Arial" w:eastAsia="Times New Roman" w:hAnsi="Arial" w:cs="Arial"/>
          <w:b/>
          <w:bCs/>
          <w:kern w:val="0"/>
          <w:sz w:val="24"/>
          <w:szCs w:val="24"/>
          <w:bdr w:val="none" w:sz="0" w:space="0" w:color="auto" w:frame="1"/>
          <w:lang w:eastAsia="it-IT"/>
          <w14:ligatures w14:val="none"/>
        </w:rPr>
        <w:t>contratti ad alta intensità di manodopera</w:t>
      </w:r>
      <w:r w:rsidRPr="007B3803">
        <w:rPr>
          <w:rFonts w:ascii="Arial" w:eastAsia="Times New Roman" w:hAnsi="Arial" w:cs="Arial"/>
          <w:kern w:val="0"/>
          <w:sz w:val="24"/>
          <w:szCs w:val="24"/>
          <w:lang w:eastAsia="it-IT"/>
          <w14:ligatures w14:val="none"/>
        </w:rPr>
        <w:t>, la stazione appaltante stabilisce un tetto massimo per il </w:t>
      </w:r>
      <w:r w:rsidRPr="007B3803">
        <w:rPr>
          <w:rFonts w:ascii="Arial" w:eastAsia="Times New Roman" w:hAnsi="Arial" w:cs="Arial"/>
          <w:b/>
          <w:bCs/>
          <w:kern w:val="0"/>
          <w:sz w:val="24"/>
          <w:szCs w:val="24"/>
          <w:bdr w:val="none" w:sz="0" w:space="0" w:color="auto" w:frame="1"/>
          <w:lang w:eastAsia="it-IT"/>
          <w14:ligatures w14:val="none"/>
        </w:rPr>
        <w:t>punteggio economico entro il limite del 30%</w:t>
      </w:r>
      <w:r w:rsidRPr="007B3803">
        <w:rPr>
          <w:rFonts w:ascii="Arial" w:eastAsia="Times New Roman" w:hAnsi="Arial" w:cs="Arial"/>
          <w:kern w:val="0"/>
          <w:sz w:val="24"/>
          <w:szCs w:val="24"/>
          <w:lang w:eastAsia="it-IT"/>
          <w14:ligatures w14:val="none"/>
        </w:rPr>
        <w:t>.</w:t>
      </w:r>
    </w:p>
    <w:p w14:paraId="3CB59BAF"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Alle Stazioni Appaltanti spetta il compito di </w:t>
      </w:r>
      <w:r w:rsidRPr="007B3803">
        <w:rPr>
          <w:rFonts w:ascii="Arial" w:eastAsia="Times New Roman" w:hAnsi="Arial" w:cs="Arial"/>
          <w:b/>
          <w:bCs/>
          <w:kern w:val="0"/>
          <w:sz w:val="24"/>
          <w:szCs w:val="24"/>
          <w:lang w:eastAsia="it-IT"/>
          <w14:ligatures w14:val="none"/>
        </w:rPr>
        <w:t>individuare le offerte che sollevano dubbi di congruità</w:t>
      </w:r>
      <w:r w:rsidRPr="007B3803">
        <w:rPr>
          <w:rFonts w:ascii="Arial" w:eastAsia="Times New Roman" w:hAnsi="Arial" w:cs="Arial"/>
          <w:kern w:val="0"/>
          <w:sz w:val="24"/>
          <w:szCs w:val="24"/>
          <w:lang w:eastAsia="it-IT"/>
          <w14:ligatures w14:val="none"/>
        </w:rPr>
        <w:t>, tenendo in considerazione non soltanto il prezzo, ma il contesto complessivo (mercato di riferimento, risultati di gara, ecc.).</w:t>
      </w:r>
    </w:p>
    <w:p w14:paraId="1E22530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Questa verifica preliminare delle offerte anomale concede un largo margine di discrezionalità alla S.A., che tuttavia ha il dovere di </w:t>
      </w:r>
      <w:r w:rsidRPr="007B3803">
        <w:rPr>
          <w:rFonts w:ascii="Arial" w:eastAsia="Times New Roman" w:hAnsi="Arial" w:cs="Arial"/>
          <w:b/>
          <w:bCs/>
          <w:kern w:val="0"/>
          <w:sz w:val="24"/>
          <w:szCs w:val="24"/>
          <w:lang w:eastAsia="it-IT"/>
          <w14:ligatures w14:val="none"/>
        </w:rPr>
        <w:t>richiedere spiegazioni “per iscritto” all’operatore economico sul prezzo o sui costi proposti</w:t>
      </w:r>
      <w:r w:rsidRPr="007B3803">
        <w:rPr>
          <w:rFonts w:ascii="Arial" w:eastAsia="Times New Roman" w:hAnsi="Arial" w:cs="Arial"/>
          <w:kern w:val="0"/>
          <w:sz w:val="24"/>
          <w:szCs w:val="24"/>
          <w:lang w:eastAsia="it-IT"/>
          <w14:ligatures w14:val="none"/>
        </w:rPr>
        <w:t>. L’OE avrà 15 giorni per rispondere.</w:t>
      </w:r>
    </w:p>
    <w:p w14:paraId="25D908B2"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Una volta ricevute le spiegazioni, la S.A. potrà escludere l’offerta se non </w:t>
      </w:r>
      <w:proofErr w:type="spellStart"/>
      <w:r w:rsidRPr="007B3803">
        <w:rPr>
          <w:rFonts w:ascii="Arial" w:eastAsia="Times New Roman" w:hAnsi="Arial" w:cs="Arial"/>
          <w:kern w:val="0"/>
          <w:sz w:val="24"/>
          <w:szCs w:val="24"/>
          <w:lang w:eastAsia="it-IT"/>
          <w14:ligatures w14:val="none"/>
        </w:rPr>
        <w:t>riscontra</w:t>
      </w:r>
      <w:proofErr w:type="spellEnd"/>
      <w:r w:rsidRPr="007B3803">
        <w:rPr>
          <w:rFonts w:ascii="Arial" w:eastAsia="Times New Roman" w:hAnsi="Arial" w:cs="Arial"/>
          <w:kern w:val="0"/>
          <w:sz w:val="24"/>
          <w:szCs w:val="24"/>
          <w:lang w:eastAsia="it-IT"/>
          <w14:ligatures w14:val="none"/>
        </w:rPr>
        <w:t xml:space="preserve"> coerenza tra motivazioni addotte e offerta anormalmente bassa.</w:t>
      </w:r>
    </w:p>
    <w:p w14:paraId="122F4884"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 xml:space="preserve">Esclusione automatica delle offerte anomale (art. 54 </w:t>
      </w:r>
      <w:proofErr w:type="spellStart"/>
      <w:r w:rsidRPr="007B3803">
        <w:rPr>
          <w:rFonts w:ascii="Arial" w:eastAsia="Times New Roman" w:hAnsi="Arial" w:cs="Arial"/>
          <w:b/>
          <w:bCs/>
          <w:kern w:val="0"/>
          <w:sz w:val="24"/>
          <w:szCs w:val="24"/>
          <w:lang w:eastAsia="it-IT"/>
          <w14:ligatures w14:val="none"/>
        </w:rPr>
        <w:t>D.Lgs.</w:t>
      </w:r>
      <w:proofErr w:type="spellEnd"/>
      <w:r w:rsidRPr="007B3803">
        <w:rPr>
          <w:rFonts w:ascii="Arial" w:eastAsia="Times New Roman" w:hAnsi="Arial" w:cs="Arial"/>
          <w:b/>
          <w:bCs/>
          <w:kern w:val="0"/>
          <w:sz w:val="24"/>
          <w:szCs w:val="24"/>
          <w:lang w:eastAsia="it-IT"/>
          <w14:ligatures w14:val="none"/>
        </w:rPr>
        <w:t xml:space="preserve"> 36/2023)</w:t>
      </w:r>
    </w:p>
    <w:p w14:paraId="3AFDBE1B"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L’applicazione dell’art. 54 riguarda unicamente le procedure di affidamento che:</w:t>
      </w:r>
    </w:p>
    <w:p w14:paraId="3372D698"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Vengono aggiudicate con il criterio del </w:t>
      </w:r>
      <w:r w:rsidRPr="007B3803">
        <w:rPr>
          <w:rFonts w:ascii="Arial" w:eastAsia="Times New Roman" w:hAnsi="Arial" w:cs="Arial"/>
          <w:b/>
          <w:bCs/>
          <w:kern w:val="0"/>
          <w:sz w:val="24"/>
          <w:szCs w:val="24"/>
          <w:lang w:eastAsia="it-IT"/>
          <w14:ligatures w14:val="none"/>
        </w:rPr>
        <w:t>prezzo più basso</w:t>
      </w:r>
    </w:p>
    <w:p w14:paraId="579F5551"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Hanno un </w:t>
      </w:r>
      <w:r w:rsidRPr="007B3803">
        <w:rPr>
          <w:rFonts w:ascii="Arial" w:eastAsia="Times New Roman" w:hAnsi="Arial" w:cs="Arial"/>
          <w:b/>
          <w:bCs/>
          <w:kern w:val="0"/>
          <w:sz w:val="24"/>
          <w:szCs w:val="24"/>
          <w:lang w:eastAsia="it-IT"/>
          <w14:ligatures w14:val="none"/>
        </w:rPr>
        <w:t>importo inferiore alle soglie di rilevanza europea</w:t>
      </w:r>
    </w:p>
    <w:p w14:paraId="1698E4F0" w14:textId="77777777" w:rsidR="005D119D" w:rsidRPr="007B3803" w:rsidRDefault="005D119D" w:rsidP="005D119D">
      <w:pPr>
        <w:numPr>
          <w:ilvl w:val="0"/>
          <w:numId w:val="31"/>
        </w:numPr>
        <w:shd w:val="clear" w:color="auto" w:fill="FFFFFF"/>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b/>
          <w:bCs/>
          <w:kern w:val="0"/>
          <w:sz w:val="24"/>
          <w:szCs w:val="24"/>
          <w:lang w:eastAsia="it-IT"/>
          <w14:ligatures w14:val="none"/>
        </w:rPr>
        <w:t>Non presentano un interesse transfrontaliero certo</w:t>
      </w:r>
    </w:p>
    <w:p w14:paraId="02937CDE"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la procedura risponde a </w:t>
      </w:r>
      <w:r w:rsidRPr="007B3803">
        <w:rPr>
          <w:rFonts w:ascii="Arial" w:eastAsia="Times New Roman" w:hAnsi="Arial" w:cs="Arial"/>
          <w:b/>
          <w:bCs/>
          <w:kern w:val="0"/>
          <w:sz w:val="24"/>
          <w:szCs w:val="24"/>
          <w:lang w:eastAsia="it-IT"/>
          <w14:ligatures w14:val="none"/>
        </w:rPr>
        <w:t>tutti e tre i criteri,</w:t>
      </w:r>
      <w:r w:rsidRPr="007B3803">
        <w:rPr>
          <w:rFonts w:ascii="Arial" w:eastAsia="Times New Roman" w:hAnsi="Arial" w:cs="Arial"/>
          <w:kern w:val="0"/>
          <w:sz w:val="24"/>
          <w:szCs w:val="24"/>
          <w:lang w:eastAsia="it-IT"/>
          <w14:ligatures w14:val="none"/>
        </w:rPr>
        <w:t> la Stazione Appaltante deve inserire negli atti di gara le modalità di esclusione delle offerte anomale, nel caso le offerte ammesse siano cinque o più di cinque.</w:t>
      </w:r>
    </w:p>
    <w:p w14:paraId="6F2A1488"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Gli atti di gara dovranno inoltre </w:t>
      </w:r>
      <w:r w:rsidRPr="007B3803">
        <w:rPr>
          <w:rFonts w:ascii="Arial" w:eastAsia="Times New Roman" w:hAnsi="Arial" w:cs="Arial"/>
          <w:b/>
          <w:bCs/>
          <w:kern w:val="0"/>
          <w:sz w:val="24"/>
          <w:szCs w:val="24"/>
          <w:lang w:eastAsia="it-IT"/>
          <w14:ligatures w14:val="none"/>
        </w:rPr>
        <w:t>dichiarare il metodo di calcolo della soglia di anomalia che verrà impiegato per escludere in automatico le offerte anormalmente basse</w:t>
      </w:r>
      <w:r w:rsidRPr="007B3803">
        <w:rPr>
          <w:rFonts w:ascii="Arial" w:eastAsia="Times New Roman" w:hAnsi="Arial" w:cs="Arial"/>
          <w:kern w:val="0"/>
          <w:sz w:val="24"/>
          <w:szCs w:val="24"/>
          <w:lang w:eastAsia="it-IT"/>
          <w14:ligatures w14:val="none"/>
        </w:rPr>
        <w:t>, selezionando uno dei tre metodi contenuti nell’allegato II.2 del Codice.</w:t>
      </w:r>
    </w:p>
    <w:p w14:paraId="3C6294FA" w14:textId="77777777" w:rsidR="005D119D" w:rsidRPr="007B3803"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 stesso articolo 54, in via residuale, consente alle Stazioni Appaltanti la facoltà </w:t>
      </w:r>
      <w:r w:rsidRPr="007B3803">
        <w:rPr>
          <w:rFonts w:ascii="Arial" w:eastAsia="Times New Roman" w:hAnsi="Arial" w:cs="Arial"/>
          <w:b/>
          <w:bCs/>
          <w:kern w:val="0"/>
          <w:sz w:val="24"/>
          <w:szCs w:val="24"/>
          <w:lang w:eastAsia="it-IT"/>
          <w14:ligatures w14:val="none"/>
        </w:rPr>
        <w:t>di non indicare il metodo di calcolo negli atti di gara sorteggiandolo</w:t>
      </w:r>
      <w:r w:rsidRPr="007B3803">
        <w:rPr>
          <w:rFonts w:ascii="Arial" w:eastAsia="Times New Roman" w:hAnsi="Arial" w:cs="Arial"/>
          <w:kern w:val="0"/>
          <w:sz w:val="24"/>
          <w:szCs w:val="24"/>
          <w:lang w:eastAsia="it-IT"/>
          <w14:ligatures w14:val="none"/>
        </w:rPr>
        <w:t>, tra quelli compatibili, in sede di valutazione delle offerte.</w:t>
      </w:r>
    </w:p>
    <w:p w14:paraId="2CFA170F" w14:textId="77777777" w:rsidR="005D119D" w:rsidRPr="007B3803" w:rsidRDefault="005D119D" w:rsidP="005D119D">
      <w:pPr>
        <w:shd w:val="clear" w:color="auto" w:fill="FFFFFF"/>
        <w:spacing w:after="100" w:afterAutospacing="1" w:line="348" w:lineRule="atLeast"/>
        <w:outlineLvl w:val="1"/>
        <w:rPr>
          <w:rFonts w:ascii="Arial" w:eastAsia="Times New Roman" w:hAnsi="Arial" w:cs="Arial"/>
          <w:b/>
          <w:bCs/>
          <w:kern w:val="0"/>
          <w:sz w:val="24"/>
          <w:szCs w:val="24"/>
          <w:lang w:eastAsia="it-IT"/>
          <w14:ligatures w14:val="none"/>
        </w:rPr>
      </w:pPr>
      <w:r w:rsidRPr="007B3803">
        <w:rPr>
          <w:rFonts w:ascii="Arial" w:eastAsia="Times New Roman" w:hAnsi="Arial" w:cs="Arial"/>
          <w:b/>
          <w:bCs/>
          <w:kern w:val="0"/>
          <w:sz w:val="24"/>
          <w:szCs w:val="24"/>
          <w:lang w:eastAsia="it-IT"/>
          <w14:ligatures w14:val="none"/>
        </w:rPr>
        <w:t>Adeguamento al nuovo Codice Appalti: le novità di Acquisti Telematici 10.7</w:t>
      </w:r>
    </w:p>
    <w:p w14:paraId="115364EE" w14:textId="77777777" w:rsidR="005D119D" w:rsidRDefault="005D119D"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w:t>
      </w:r>
      <w:proofErr w:type="spellStart"/>
      <w:r w:rsidRPr="007B3803">
        <w:rPr>
          <w:rFonts w:ascii="Arial" w:eastAsia="Times New Roman" w:hAnsi="Arial" w:cs="Arial"/>
          <w:kern w:val="0"/>
          <w:sz w:val="24"/>
          <w:szCs w:val="24"/>
          <w:lang w:eastAsia="it-IT"/>
          <w14:ligatures w14:val="none"/>
        </w:rPr>
        <w:t>D.Lgs.</w:t>
      </w:r>
      <w:proofErr w:type="spellEnd"/>
      <w:r w:rsidRPr="007B3803">
        <w:rPr>
          <w:rFonts w:ascii="Arial" w:eastAsia="Times New Roman" w:hAnsi="Arial" w:cs="Arial"/>
          <w:kern w:val="0"/>
          <w:sz w:val="24"/>
          <w:szCs w:val="24"/>
          <w:lang w:eastAsia="it-IT"/>
          <w14:ligatures w14:val="none"/>
        </w:rPr>
        <w:t xml:space="preserve"> 36/2023 dedica uno specifico articolo, l’art. 25, all</w:t>
      </w:r>
      <w:hyperlink r:id="rId10" w:history="1">
        <w:r w:rsidRPr="007B3803">
          <w:rPr>
            <w:rFonts w:ascii="Arial" w:eastAsia="Times New Roman" w:hAnsi="Arial" w:cs="Arial"/>
            <w:b/>
            <w:bCs/>
            <w:kern w:val="0"/>
            <w:sz w:val="24"/>
            <w:szCs w:val="24"/>
            <w:lang w:eastAsia="it-IT"/>
            <w14:ligatures w14:val="none"/>
          </w:rPr>
          <w:t>’obbligo di utilizzare piattaforme di approvvigionamento digitale</w:t>
        </w:r>
      </w:hyperlink>
      <w:r w:rsidRPr="007B3803">
        <w:rPr>
          <w:rFonts w:ascii="Arial" w:eastAsia="Times New Roman" w:hAnsi="Arial" w:cs="Arial"/>
          <w:kern w:val="0"/>
          <w:sz w:val="24"/>
          <w:szCs w:val="24"/>
          <w:lang w:eastAsia="it-IT"/>
          <w14:ligatures w14:val="none"/>
        </w:rPr>
        <w:t> da parte delle Pubbliche Amministrazioni per gestire e monitorare le fasi di programmazione, progettazione, pubblicazione, affidamento ed esecuzione dei contratti pubblici. Tale obbligo viene confermato anche dal nuovo Codice degli Appalti, con il duplice obiettivo di costruire l’ecosistema nazionale di e-procurement e di consentire la piena attuazione del sistema di qualificazione delle Stazioni Appaltanti.</w:t>
      </w:r>
    </w:p>
    <w:p w14:paraId="36C9CCAF" w14:textId="12DE0EBF" w:rsidR="001867F0" w:rsidRPr="001867F0" w:rsidRDefault="001867F0" w:rsidP="005D119D">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1867F0">
        <w:rPr>
          <w:rFonts w:ascii="Arial" w:eastAsia="Times New Roman" w:hAnsi="Arial" w:cs="Arial"/>
          <w:b/>
          <w:bCs/>
          <w:kern w:val="0"/>
          <w:sz w:val="24"/>
          <w:szCs w:val="24"/>
          <w:lang w:eastAsia="it-IT"/>
          <w14:ligatures w14:val="none"/>
        </w:rPr>
        <w:t xml:space="preserve">Stand </w:t>
      </w:r>
      <w:proofErr w:type="spellStart"/>
      <w:r w:rsidRPr="001867F0">
        <w:rPr>
          <w:rFonts w:ascii="Arial" w:eastAsia="Times New Roman" w:hAnsi="Arial" w:cs="Arial"/>
          <w:b/>
          <w:bCs/>
          <w:kern w:val="0"/>
          <w:sz w:val="24"/>
          <w:szCs w:val="24"/>
          <w:lang w:eastAsia="it-IT"/>
          <w14:ligatures w14:val="none"/>
        </w:rPr>
        <w:t>still</w:t>
      </w:r>
      <w:proofErr w:type="spellEnd"/>
    </w:p>
    <w:p w14:paraId="4FC3842B" w14:textId="57418703" w:rsidR="001867F0" w:rsidRPr="007B3803" w:rsidRDefault="001867F0"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867F0">
        <w:rPr>
          <w:rFonts w:ascii="Arial" w:eastAsia="Times New Roman" w:hAnsi="Arial" w:cs="Arial"/>
          <w:kern w:val="0"/>
          <w:sz w:val="24"/>
          <w:szCs w:val="24"/>
          <w:lang w:eastAsia="it-IT"/>
          <w14:ligatures w14:val="none"/>
        </w:rPr>
        <w:t xml:space="preserve">Il principio di stand </w:t>
      </w:r>
      <w:proofErr w:type="spellStart"/>
      <w:r w:rsidRPr="001867F0">
        <w:rPr>
          <w:rFonts w:ascii="Arial" w:eastAsia="Times New Roman" w:hAnsi="Arial" w:cs="Arial"/>
          <w:kern w:val="0"/>
          <w:sz w:val="24"/>
          <w:szCs w:val="24"/>
          <w:lang w:eastAsia="it-IT"/>
          <w14:ligatures w14:val="none"/>
        </w:rPr>
        <w:t>still</w:t>
      </w:r>
      <w:proofErr w:type="spellEnd"/>
      <w:r w:rsidRPr="001867F0">
        <w:rPr>
          <w:rFonts w:ascii="Arial" w:eastAsia="Times New Roman" w:hAnsi="Arial" w:cs="Arial"/>
          <w:kern w:val="0"/>
          <w:sz w:val="24"/>
          <w:szCs w:val="24"/>
          <w:lang w:eastAsia="it-IT"/>
          <w14:ligatures w14:val="none"/>
        </w:rPr>
        <w:t>, recepito dall’art. 18 del D.lgs. 36/2023, impone un intervallo minimo (32 giorni) tra l’aggiudicazione e la stipula del contratto. Questo periodo consente agli operatori economici non vincitori di accedere agli atti e, se necessario, proporre ricorso. È uno strumento volto a garantire trasparenza, imparzialità e parità di trattamento nella fase più delicata della procedura.</w:t>
      </w:r>
    </w:p>
    <w:p w14:paraId="4E316BF7" w14:textId="4B180A9B" w:rsidR="00E26289" w:rsidRPr="007B3803" w:rsidRDefault="00C31FB7"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SUBAPPALTO</w:t>
      </w:r>
    </w:p>
    <w:p w14:paraId="4F5916A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L’art. 119 del Dlgs 36/2023 definisce subappalto “il contratto con il quale l’appaltatore affida a terzi l’esecuzione di parte delle prestazioni o lavorazioni oggetto del contratto di appalto, con organizzazione di mezzi e rischi a carico del subappaltatore. Costituisce, comunque, subappalto di lavori qualsiasi contratto stipulato dall’appaltatore con terzi avente ad oggetto attività ovunque espletate che richiedono l’impiego di manodopera, quali le forniture con posa in opera e i noli a caldo, se singolarmente di importo superiore al 2 per cento dell’importo delle prestazioni affidate o di importo superiore a 100.000 euro e qualora l’incidenza del costo della manodopera e del personale sia superiore al 50 per cento dell’importo del contratto da affidare…” Si tratta, dunque, di un contratto “derivato” che – rientrando nella più ampia categoria del “subcontratto” –  ha ad oggetto una parte delle prestazioni del contratto principale, ovvero del contratto di appalto. Da notare, inoltre, che al comma 2 del </w:t>
      </w:r>
      <w:proofErr w:type="gramStart"/>
      <w:r w:rsidRPr="007B3803">
        <w:rPr>
          <w:rFonts w:ascii="Arial" w:eastAsia="Times New Roman" w:hAnsi="Arial" w:cs="Arial"/>
          <w:kern w:val="0"/>
          <w:sz w:val="24"/>
          <w:szCs w:val="24"/>
          <w:lang w:eastAsia="it-IT"/>
          <w14:ligatures w14:val="none"/>
        </w:rPr>
        <w:t>summenzionato</w:t>
      </w:r>
      <w:proofErr w:type="gramEnd"/>
      <w:r w:rsidRPr="007B3803">
        <w:rPr>
          <w:rFonts w:ascii="Arial" w:eastAsia="Times New Roman" w:hAnsi="Arial" w:cs="Arial"/>
          <w:kern w:val="0"/>
          <w:sz w:val="24"/>
          <w:szCs w:val="24"/>
          <w:lang w:eastAsia="it-IT"/>
          <w14:ligatures w14:val="none"/>
        </w:rPr>
        <w:t xml:space="preserve"> articolo è stato inserito un inciso volto proprio a differenziale il subappalto dalle oltre tipologie contrattuali, laddove si ribadisce che l’organizzazione di mezzi e di rischi a è carico del subappaltatore. </w:t>
      </w:r>
    </w:p>
    <w:p w14:paraId="4D1C2A77" w14:textId="7777777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Il primo comma dell’art. 119 precisa che la cessione del contratto è nulla. La disposizione normativa in parola specifica, altresì, che è nullo l’accordo con cui viene affidata a terzi l’integrale esecuzione delle prestazioni/lavorazioni oggetto di appalto (non si può subappaltare il 100% del contratto, sia che si tratti di lavori, forniture o servizi) nonché la prevalente esecuzione delle lavorazioni (riferito agli appalti di lavori) relative alla categoria prevalente e dei contratti ad alta intensità di manodopera. Vediamo come permangano, comunque, alcune limitazioni per la categoria prevalente nel caso di lavori e per i servizi se caratterizzati dalla presenza di manodopera superiore al 50%. </w:t>
      </w:r>
    </w:p>
    <w:p w14:paraId="42BDF109" w14:textId="25A885A7" w:rsidR="00C31FB7" w:rsidRPr="007B3803" w:rsidRDefault="00C31FB7" w:rsidP="00C31FB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riferimento a contratti per l’acquisto di beni e di servizi, il comma 3 dell’art. 119 stabilisce che non configurano subappalto:</w:t>
      </w:r>
    </w:p>
    <w:p w14:paraId="7DB50E80"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attività secondarie, accessorie o sussidiarie a lavoratori autonomi;</w:t>
      </w:r>
    </w:p>
    <w:p w14:paraId="25FA4ED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Subfornitura a catalogo di prodotti informatici; </w:t>
      </w:r>
    </w:p>
    <w:p w14:paraId="0EAE8DC2"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l’affidamento di servizi di importo inferiore a 20.000 euro annui a imprenditori agricoli nei comuni classificati totalmente montani di cui all’elenco dei comuni italiani predisposto dall’ISTAT, oppure ricompresi nella circolare del Ministero delle finanze n. 9 del 14 giugno 1993, nonché nei comuni delle isole minori di cui all’allegato A annesso alla legge 28 dicembre 2001, n. 448;</w:t>
      </w:r>
    </w:p>
    <w:p w14:paraId="5980F92E" w14:textId="77777777" w:rsidR="00C31FB7" w:rsidRPr="007B3803" w:rsidRDefault="00C31FB7" w:rsidP="00D05ABB">
      <w:pPr>
        <w:pStyle w:val="Paragrafoelenco"/>
        <w:numPr>
          <w:ilvl w:val="0"/>
          <w:numId w:val="37"/>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prestazioni secondarie, accessorie o sussidiarie rese in favore dei soggetti affidatari in forza di contratti continuativi di cooperazione, servizio o fornitura sottoscritti in epoca precedente alla indizione della procedura di gara. </w:t>
      </w:r>
    </w:p>
    <w:p w14:paraId="7F6EC3C7" w14:textId="52C36554" w:rsidR="00D05ABB" w:rsidRPr="007B3803" w:rsidRDefault="00D05ABB" w:rsidP="00D05AB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Al subappaltatore è richiesto che sia qualificato per le lavorazioni da svolgere, o le </w:t>
      </w:r>
      <w:proofErr w:type="gramStart"/>
      <w:r w:rsidRPr="007B3803">
        <w:rPr>
          <w:rFonts w:ascii="Arial" w:eastAsia="Times New Roman" w:hAnsi="Arial" w:cs="Arial"/>
          <w:kern w:val="0"/>
          <w:sz w:val="24"/>
          <w:szCs w:val="24"/>
          <w:lang w:eastAsia="it-IT"/>
          <w14:ligatures w14:val="none"/>
        </w:rPr>
        <w:t>prestazioni ,</w:t>
      </w:r>
      <w:proofErr w:type="gramEnd"/>
      <w:r w:rsidRPr="007B3803">
        <w:rPr>
          <w:rFonts w:ascii="Arial" w:eastAsia="Times New Roman" w:hAnsi="Arial" w:cs="Arial"/>
          <w:kern w:val="0"/>
          <w:sz w:val="24"/>
          <w:szCs w:val="24"/>
          <w:lang w:eastAsia="it-IT"/>
          <w14:ligatures w14:val="none"/>
        </w:rPr>
        <w:t xml:space="preserve"> che non sia soggetto a cause di esclusione e che all’atto di offerta sia ben indicati i lavori, i servizi, o le forniture che si intendono appaltare </w:t>
      </w:r>
    </w:p>
    <w:p w14:paraId="6BDCF2FD" w14:textId="699098F0" w:rsidR="00EA3A5E" w:rsidRPr="007B3803" w:rsidRDefault="00D95483"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GARANZIA</w:t>
      </w:r>
    </w:p>
    <w:p w14:paraId="142A762B"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Con riguardo a questi ultimi, di seguito si riportano le caratteristiche principali della disciplina dettata dal </w:t>
      </w:r>
      <w:r w:rsidRPr="007B3803">
        <w:rPr>
          <w:rFonts w:ascii="Arial" w:hAnsi="Arial" w:cs="Arial"/>
          <w:b/>
          <w:bCs/>
        </w:rPr>
        <w:t>nuovo art. 106</w:t>
      </w:r>
      <w:r w:rsidRPr="007B3803">
        <w:rPr>
          <w:rFonts w:ascii="Arial" w:hAnsi="Arial" w:cs="Arial"/>
        </w:rPr>
        <w:t>.</w:t>
      </w:r>
    </w:p>
    <w:p w14:paraId="3C040F9C" w14:textId="356D1434"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La garanzia provvisoria (serve a garantire la stipulazione del contratto), calcolata in relazione al valore complessivo della procedura, può essere costituita sotto forma di cauzione oppure di fideiussione. Ai sensi dell’art. 106 c. 2, la </w:t>
      </w:r>
      <w:r w:rsidRPr="007B3803">
        <w:rPr>
          <w:rFonts w:ascii="Arial" w:hAnsi="Arial" w:cs="Arial"/>
          <w:b/>
          <w:bCs/>
        </w:rPr>
        <w:t>cauzione</w:t>
      </w:r>
      <w:r w:rsidRPr="007B3803">
        <w:rPr>
          <w:rFonts w:ascii="Arial" w:hAnsi="Arial" w:cs="Arial"/>
        </w:rPr>
        <w:t> è costituita, presso l’istituto incaricato del servizio di tesoreria o presso le aziende autorizzate, a titolo di pegno a favore della stazione appaltante, </w:t>
      </w:r>
      <w:r w:rsidRPr="007B3803">
        <w:rPr>
          <w:rFonts w:ascii="Arial" w:hAnsi="Arial" w:cs="Arial"/>
          <w:b/>
          <w:bCs/>
        </w:rPr>
        <w:t>esclusivamente con bonifico o con altri strumenti e canali di pagamento elettronici</w:t>
      </w:r>
      <w:r w:rsidRPr="007B3803">
        <w:rPr>
          <w:rFonts w:ascii="Arial" w:hAnsi="Arial" w:cs="Arial"/>
        </w:rPr>
        <w:t> previsti dall’ordinamento vigente. Si recepisce quindi quanto già previsto dalla legge 122/2022.</w:t>
      </w:r>
    </w:p>
    <w:p w14:paraId="02D7B229" w14:textId="77777777" w:rsidR="00D95483" w:rsidRPr="007B3803" w:rsidRDefault="00D95483" w:rsidP="00D95483">
      <w:pPr>
        <w:pStyle w:val="NormaleWeb"/>
        <w:spacing w:before="240" w:beforeAutospacing="0" w:after="0" w:afterAutospacing="0"/>
        <w:rPr>
          <w:rFonts w:ascii="Arial" w:hAnsi="Arial" w:cs="Arial"/>
        </w:rPr>
      </w:pPr>
      <w:r w:rsidRPr="007B3803">
        <w:rPr>
          <w:rFonts w:ascii="Arial" w:hAnsi="Arial" w:cs="Arial"/>
        </w:rPr>
        <w:t>Se costituita sotto forma di </w:t>
      </w:r>
      <w:r w:rsidRPr="007B3803">
        <w:rPr>
          <w:rFonts w:ascii="Arial" w:hAnsi="Arial" w:cs="Arial"/>
          <w:b/>
          <w:bCs/>
        </w:rPr>
        <w:t>fideiussione</w:t>
      </w:r>
      <w:r w:rsidRPr="007B3803">
        <w:rPr>
          <w:rFonts w:ascii="Arial" w:hAnsi="Arial" w:cs="Arial"/>
        </w:rPr>
        <w:t>, tale garanzia deve obbligatoriamente essere </w:t>
      </w:r>
      <w:r w:rsidRPr="007B3803">
        <w:rPr>
          <w:rFonts w:ascii="Arial" w:hAnsi="Arial" w:cs="Arial"/>
          <w:b/>
          <w:bCs/>
        </w:rPr>
        <w:t>emessa e firmata digitalmente</w:t>
      </w:r>
      <w:r w:rsidRPr="007B3803">
        <w:rPr>
          <w:rFonts w:ascii="Arial" w:hAnsi="Arial" w:cs="Arial"/>
        </w:rPr>
        <w:t>, nonché verificabile telematicamente presso l’emittente, ovvero gestita mediante ricorso alle piattaforme di cui all’art.106 c.3 del codice.</w:t>
      </w:r>
    </w:p>
    <w:p w14:paraId="27DA843F" w14:textId="77777777" w:rsidR="00D95483" w:rsidRPr="007B3803" w:rsidRDefault="00D95483" w:rsidP="00D95483">
      <w:pPr>
        <w:pStyle w:val="NormaleWeb"/>
        <w:spacing w:before="0" w:beforeAutospacing="0" w:after="0" w:afterAutospacing="0"/>
        <w:rPr>
          <w:rFonts w:ascii="Arial" w:hAnsi="Arial" w:cs="Arial"/>
        </w:rPr>
      </w:pPr>
      <w:r w:rsidRPr="007B3803">
        <w:rPr>
          <w:rFonts w:ascii="Arial" w:hAnsi="Arial" w:cs="Arial"/>
        </w:rPr>
        <w:t>La garanzia provvisoria dell’aggiudicatario è svincolata automaticamente al momento della stipula del contratto, mentre quella degli altri concorrenti è svincolata con il provvedimento di aggiudicazione e perde in ogni caso efficacia alla scadenza del termine di 30 (trenta) giorni dall’aggiudicazione stessa.</w:t>
      </w:r>
    </w:p>
    <w:p w14:paraId="55EF086C" w14:textId="6C1149D6" w:rsidR="00D95483" w:rsidRPr="007B3803" w:rsidRDefault="00D95483" w:rsidP="00D95483">
      <w:pPr>
        <w:shd w:val="clear" w:color="auto" w:fill="F4F4F4"/>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L’art. 53 del nuovo codice prevede che nelle procedure di </w:t>
      </w:r>
      <w:r w:rsidRPr="007B3803">
        <w:rPr>
          <w:rFonts w:ascii="Arial" w:eastAsia="Times New Roman" w:hAnsi="Arial" w:cs="Arial"/>
          <w:b/>
          <w:bCs/>
          <w:kern w:val="0"/>
          <w:sz w:val="24"/>
          <w:szCs w:val="24"/>
          <w:lang w:eastAsia="it-IT"/>
          <w14:ligatures w14:val="none"/>
        </w:rPr>
        <w:t xml:space="preserve">affidamento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w:t>
      </w:r>
      <w:r w:rsidRPr="007B3803">
        <w:rPr>
          <w:rFonts w:ascii="Arial" w:eastAsia="Times New Roman" w:hAnsi="Arial" w:cs="Arial"/>
          <w:b/>
          <w:bCs/>
          <w:kern w:val="0"/>
          <w:sz w:val="24"/>
          <w:szCs w:val="24"/>
          <w:lang w:eastAsia="it-IT"/>
          <w14:ligatures w14:val="none"/>
        </w:rPr>
        <w:t>di cui all’art. 50 c.1</w:t>
      </w:r>
      <w:r w:rsidRPr="007B3803">
        <w:rPr>
          <w:rFonts w:ascii="Arial" w:eastAsia="Times New Roman" w:hAnsi="Arial" w:cs="Arial"/>
          <w:kern w:val="0"/>
          <w:sz w:val="24"/>
          <w:szCs w:val="24"/>
          <w:lang w:eastAsia="it-IT"/>
          <w14:ligatures w14:val="none"/>
        </w:rPr>
        <w:t>, la stazione appaltante non richiede al concorrente la garanzia a corredo dell’offerta (c.d. </w:t>
      </w:r>
      <w:r w:rsidRPr="007B3803">
        <w:rPr>
          <w:rFonts w:ascii="Arial" w:eastAsia="Times New Roman" w:hAnsi="Arial" w:cs="Arial"/>
          <w:b/>
          <w:bCs/>
          <w:kern w:val="0"/>
          <w:sz w:val="24"/>
          <w:szCs w:val="24"/>
          <w:lang w:eastAsia="it-IT"/>
          <w14:ligatures w14:val="none"/>
        </w:rPr>
        <w:t>garanzia provvisoria</w:t>
      </w:r>
      <w:r w:rsidRPr="007B3803">
        <w:rPr>
          <w:rFonts w:ascii="Arial" w:eastAsia="Times New Roman" w:hAnsi="Arial" w:cs="Arial"/>
          <w:kern w:val="0"/>
          <w:sz w:val="24"/>
          <w:szCs w:val="24"/>
          <w:lang w:eastAsia="it-IT"/>
          <w14:ligatures w14:val="none"/>
        </w:rPr>
        <w:t>). In deroga a quanto previsto, lo stesso art. 53 c.1 fa salva la possibilità, in caso di procedure negoziate, di richiedere la garanzia provvisoria alle seguenti condizioni:</w:t>
      </w:r>
    </w:p>
    <w:p w14:paraId="4E22E89B"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richiesta deve essere giustificata dalla tipologia e specificità della singola procedura;</w:t>
      </w:r>
    </w:p>
    <w:p w14:paraId="2C426631"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particolari esigenze devono essere indicate nella decisione a contrarre, nell’avviso di indizione della procedura oppure in altro atto equivalente;</w:t>
      </w:r>
    </w:p>
    <w:p w14:paraId="0A571E27" w14:textId="77777777" w:rsidR="00D95483" w:rsidRPr="007B3803" w:rsidRDefault="00D95483" w:rsidP="00D95483">
      <w:pPr>
        <w:numPr>
          <w:ilvl w:val="0"/>
          <w:numId w:val="32"/>
        </w:numPr>
        <w:shd w:val="clear" w:color="auto" w:fill="F4F4F4"/>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relativo ammontare deve essere al massimo pari all’1% dell’importo previsto nell’avviso o nell’invito per il contratto oggetto di affidamento. In questi casi, la garanzia provvisoria è costituita nelle medesime modalità che l’art. 106 prescrive per gli affidamenti sopra-soglia.</w:t>
      </w:r>
    </w:p>
    <w:p w14:paraId="2AFB5719" w14:textId="54532E42" w:rsidR="00D95483" w:rsidRPr="007B3803" w:rsidRDefault="00D95483" w:rsidP="00D95483">
      <w:pPr>
        <w:shd w:val="clear" w:color="auto" w:fill="FFFFFF"/>
        <w:spacing w:after="0" w:line="720" w:lineRule="atLeas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Anche per quanto attiene la </w:t>
      </w:r>
      <w:r w:rsidRPr="007B3803">
        <w:rPr>
          <w:rFonts w:ascii="Arial" w:eastAsia="Times New Roman" w:hAnsi="Arial" w:cs="Arial"/>
          <w:b/>
          <w:bCs/>
          <w:kern w:val="0"/>
          <w:sz w:val="24"/>
          <w:szCs w:val="24"/>
          <w:lang w:eastAsia="it-IT"/>
          <w14:ligatures w14:val="none"/>
        </w:rPr>
        <w:t xml:space="preserve">garanzia </w:t>
      </w:r>
      <w:proofErr w:type="gramStart"/>
      <w:r w:rsidRPr="007B3803">
        <w:rPr>
          <w:rFonts w:ascii="Arial" w:eastAsia="Times New Roman" w:hAnsi="Arial" w:cs="Arial"/>
          <w:b/>
          <w:bCs/>
          <w:kern w:val="0"/>
          <w:sz w:val="24"/>
          <w:szCs w:val="24"/>
          <w:lang w:eastAsia="it-IT"/>
          <w14:ligatures w14:val="none"/>
        </w:rPr>
        <w:t>definitiva</w:t>
      </w:r>
      <w:r w:rsidRPr="007B3803">
        <w:rPr>
          <w:rFonts w:ascii="Arial" w:eastAsia="Times New Roman" w:hAnsi="Arial" w:cs="Arial"/>
          <w:kern w:val="0"/>
          <w:sz w:val="24"/>
          <w:szCs w:val="24"/>
          <w:lang w:eastAsia="it-IT"/>
          <w14:ligatures w14:val="none"/>
        </w:rPr>
        <w:t>  (</w:t>
      </w:r>
      <w:proofErr w:type="gramEnd"/>
      <w:r w:rsidRPr="007B3803">
        <w:rPr>
          <w:rFonts w:ascii="Arial" w:eastAsia="Times New Roman" w:hAnsi="Arial" w:cs="Arial"/>
          <w:kern w:val="0"/>
          <w:sz w:val="24"/>
          <w:szCs w:val="24"/>
          <w:lang w:eastAsia="it-IT"/>
          <w14:ligatures w14:val="none"/>
        </w:rPr>
        <w:t xml:space="preserve">serve a garantire </w:t>
      </w:r>
      <w:proofErr w:type="gramStart"/>
      <w:r w:rsidRPr="007B3803">
        <w:rPr>
          <w:rFonts w:ascii="Arial" w:eastAsia="Times New Roman" w:hAnsi="Arial" w:cs="Arial"/>
          <w:kern w:val="0"/>
          <w:sz w:val="24"/>
          <w:szCs w:val="24"/>
          <w:lang w:eastAsia="it-IT"/>
          <w14:ligatures w14:val="none"/>
        </w:rPr>
        <w:t>l’esecuzione)il</w:t>
      </w:r>
      <w:proofErr w:type="gramEnd"/>
      <w:r w:rsidRPr="007B3803">
        <w:rPr>
          <w:rFonts w:ascii="Arial" w:eastAsia="Times New Roman" w:hAnsi="Arial" w:cs="Arial"/>
          <w:kern w:val="0"/>
          <w:sz w:val="24"/>
          <w:szCs w:val="24"/>
          <w:lang w:eastAsia="it-IT"/>
          <w14:ligatures w14:val="none"/>
        </w:rPr>
        <w:t xml:space="preserve"> nuovo codice prevede due discipline diverse a seconda del tipo di procedura.</w:t>
      </w:r>
    </w:p>
    <w:p w14:paraId="07492251" w14:textId="77777777" w:rsidR="00D95483" w:rsidRPr="007B3803" w:rsidRDefault="00D95483" w:rsidP="00D95483">
      <w:pPr>
        <w:shd w:val="clear" w:color="auto" w:fill="FFFFFF"/>
        <w:spacing w:after="0" w:line="0" w:lineRule="auto"/>
        <w:jc w:val="right"/>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w:t>
      </w:r>
    </w:p>
    <w:p w14:paraId="1BB634CD"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In particolare, per gli </w:t>
      </w:r>
      <w:r w:rsidRPr="007B3803">
        <w:rPr>
          <w:rFonts w:ascii="Arial" w:eastAsia="Times New Roman" w:hAnsi="Arial" w:cs="Arial"/>
          <w:b/>
          <w:bCs/>
          <w:kern w:val="0"/>
          <w:sz w:val="24"/>
          <w:szCs w:val="24"/>
          <w:lang w:eastAsia="it-IT"/>
          <w14:ligatures w14:val="none"/>
        </w:rPr>
        <w:t xml:space="preserve">appalti </w:t>
      </w:r>
      <w:proofErr w:type="gramStart"/>
      <w:r w:rsidRPr="007B3803">
        <w:rPr>
          <w:rFonts w:ascii="Arial" w:eastAsia="Times New Roman" w:hAnsi="Arial" w:cs="Arial"/>
          <w:b/>
          <w:bCs/>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l’art. 53 c.4 prevede che:</w:t>
      </w:r>
    </w:p>
    <w:p w14:paraId="381458D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garanzia definitiva è pari al 5% dell’importo contrattuale;</w:t>
      </w:r>
    </w:p>
    <w:p w14:paraId="7FA1FF8E" w14:textId="77777777" w:rsidR="00D95483" w:rsidRPr="007B3803" w:rsidRDefault="00D95483" w:rsidP="00D95483">
      <w:pPr>
        <w:numPr>
          <w:ilvl w:val="0"/>
          <w:numId w:val="33"/>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la stazione appaltante può non richiedere la garanzia definitiva, anche in caso di affidamenti </w:t>
      </w:r>
      <w:proofErr w:type="gramStart"/>
      <w:r w:rsidRPr="007B3803">
        <w:rPr>
          <w:rFonts w:ascii="Arial" w:eastAsia="Times New Roman" w:hAnsi="Arial" w:cs="Arial"/>
          <w:kern w:val="0"/>
          <w:sz w:val="24"/>
          <w:szCs w:val="24"/>
          <w:lang w:eastAsia="it-IT"/>
          <w14:ligatures w14:val="none"/>
        </w:rPr>
        <w:t>sotto-soglia</w:t>
      </w:r>
      <w:proofErr w:type="gramEnd"/>
      <w:r w:rsidRPr="007B3803">
        <w:rPr>
          <w:rFonts w:ascii="Arial" w:eastAsia="Times New Roman" w:hAnsi="Arial" w:cs="Arial"/>
          <w:kern w:val="0"/>
          <w:sz w:val="24"/>
          <w:szCs w:val="24"/>
          <w:lang w:eastAsia="it-IT"/>
          <w14:ligatures w14:val="none"/>
        </w:rPr>
        <w:t xml:space="preserve"> in Accordo Quadro, previa debita motivazione.</w:t>
      </w:r>
    </w:p>
    <w:p w14:paraId="04D5F2A9" w14:textId="77777777" w:rsidR="00D95483" w:rsidRPr="007B3803" w:rsidRDefault="00D95483" w:rsidP="00D95483">
      <w:pPr>
        <w:spacing w:after="0"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attiene invece agli appalti </w:t>
      </w:r>
      <w:r w:rsidRPr="007B3803">
        <w:rPr>
          <w:rFonts w:ascii="Arial" w:eastAsia="Times New Roman" w:hAnsi="Arial" w:cs="Arial"/>
          <w:b/>
          <w:bCs/>
          <w:kern w:val="0"/>
          <w:sz w:val="24"/>
          <w:szCs w:val="24"/>
          <w:lang w:eastAsia="it-IT"/>
          <w14:ligatures w14:val="none"/>
        </w:rPr>
        <w:t>sopra-soglia</w:t>
      </w:r>
      <w:r w:rsidRPr="007B3803">
        <w:rPr>
          <w:rFonts w:ascii="Arial" w:eastAsia="Times New Roman" w:hAnsi="Arial" w:cs="Arial"/>
          <w:kern w:val="0"/>
          <w:sz w:val="24"/>
          <w:szCs w:val="24"/>
          <w:lang w:eastAsia="it-IT"/>
          <w14:ligatures w14:val="none"/>
        </w:rPr>
        <w:t>, l’art. 117 del nuovo codice introduce le seguenti principali novità:</w:t>
      </w:r>
    </w:p>
    <w:p w14:paraId="1ECAEB7A"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nelle procedure ad oggetto Accordi Quadro l’importo della garanzia definitiva non può superare il 2% del valore dell’Accordo Quadro stesso;</w:t>
      </w:r>
    </w:p>
    <w:p w14:paraId="69B875FE" w14:textId="77777777" w:rsidR="00D95483" w:rsidRPr="007B3803" w:rsidRDefault="00D95483" w:rsidP="00D95483">
      <w:pPr>
        <w:numPr>
          <w:ilvl w:val="0"/>
          <w:numId w:val="34"/>
        </w:numPr>
        <w:spacing w:before="100" w:beforeAutospacing="1" w:after="100" w:afterAutospacing="1" w:line="240" w:lineRule="auto"/>
        <w:ind w:left="360"/>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negli appalti di lavori l’aggiudicatario può richiedere – prima della stipulazione del contratto -di sostituire la garanzia definitiva con l’applicazione di una ritenuta a valere sugli stati di avanzamento pari al 10 % degli stessi; </w:t>
      </w:r>
      <w:proofErr w:type="gramStart"/>
      <w:r w:rsidRPr="007B3803">
        <w:rPr>
          <w:rFonts w:ascii="Arial" w:eastAsia="Times New Roman" w:hAnsi="Arial" w:cs="Arial"/>
          <w:kern w:val="0"/>
          <w:sz w:val="24"/>
          <w:szCs w:val="24"/>
          <w:lang w:eastAsia="it-IT"/>
          <w14:ligatures w14:val="none"/>
        </w:rPr>
        <w:t>tuttavia</w:t>
      </w:r>
      <w:proofErr w:type="gramEnd"/>
      <w:r w:rsidRPr="007B3803">
        <w:rPr>
          <w:rFonts w:ascii="Arial" w:eastAsia="Times New Roman" w:hAnsi="Arial" w:cs="Arial"/>
          <w:kern w:val="0"/>
          <w:sz w:val="24"/>
          <w:szCs w:val="24"/>
          <w:lang w:eastAsia="it-IT"/>
          <w14:ligatures w14:val="none"/>
        </w:rPr>
        <w:t xml:space="preserve"> per motivate ragioni la stazione appaltante può opporsi a tale richiesta.</w:t>
      </w:r>
    </w:p>
    <w:p w14:paraId="6819F229" w14:textId="17F88EF8" w:rsidR="00EA3A5E" w:rsidRPr="007B3803" w:rsidRDefault="00EA3A5E" w:rsidP="005A6B16">
      <w:pPr>
        <w:spacing w:before="100" w:beforeAutospacing="1"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ESECUZIONE</w:t>
      </w:r>
      <w:r w:rsidR="005A6B16" w:rsidRPr="007B3803">
        <w:rPr>
          <w:rFonts w:ascii="Arial" w:eastAsia="Times New Roman" w:hAnsi="Arial" w:cs="Arial"/>
          <w:kern w:val="0"/>
          <w:sz w:val="24"/>
          <w:szCs w:val="24"/>
          <w:lang w:eastAsia="it-IT"/>
          <w14:ligatures w14:val="none"/>
        </w:rPr>
        <w:t xml:space="preserve"> </w:t>
      </w:r>
    </w:p>
    <w:p w14:paraId="16B465C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contratto di appalto è un contratto con il quale una parte, detta committente, incarica un’altra, l’appaltatore, per l’esecuzione di un’opera dietro corrispettivo. Sull’appaltatore ricadono il rischio e il compito di organizzare i mezzi necessari per l’adempimento. Salvo che non sia disposto diversamente, l’appaltatore non può dare l’esecuzione dell’opera in subappalto.</w:t>
      </w:r>
    </w:p>
    <w:p w14:paraId="21B10924" w14:textId="690974AE"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 mezzi necessari per eseguire l’opera devono essere forniti dall’appaltatore, tranne che non sia stabilito diversamente dal contratto o che sia previsto altrimenti dalle convenzioni o dagli usi.</w:t>
      </w:r>
    </w:p>
    <w:p w14:paraId="1FB86400"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 non può apportare variazioni al modo in cui l’opera viene eseguita, tranne che non sia stato autorizzato dal committente e in modo scritto. Anche nel caso in cui egli abbia ricevuto la dovuta autorizzazione, non ha diritto a maggiore compenso per le variazioni o aggiunte, salvo diversa pattuizione, qualora il prezzo sia stato determinato globalmente. Nel caso in cui per l’esecuzione di un’opera a regola d’arte sia necessario apportare variazioni e le parti non si accordino sulle condizioni, spetterà a un giudice determinare le eventuali variazioni del prezzo. Se il costo delle variazioni apportate supera il sesto del prezzo complessivamente concordato, l’appaltatore può recedere dal contratto e, a seconda delle circostanze, può richiedere un’equa indennità. Se dette variazioni risultano di notevole entità, il committente può recedere dal contratto e risulta essere tenuto a indennizzare equamente l’appaltatore.</w:t>
      </w:r>
    </w:p>
    <w:p w14:paraId="7FE11722"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Anche il committente può apportare variazioni al progetto, sempre che il loro costo non superi il sesto del prezzo precedentemente e globalmente concordato. L’appaltatore ha diritto al compenso per le aggiunte eseguite, anche se il prezzo dell’opera era stato determinato globalmente.</w:t>
      </w:r>
    </w:p>
    <w:p w14:paraId="794169F6"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diritto di controllare l’esecuzione dei lavori a proprie spese e, se accerta che lo svolgimento non procede nelle condizioni stipulate, ha diritto di fissare un congruo termine entro il quale l’appaltatore dovrà adeguarsi, superato il quale infruttuosamente il contratto può essere risolto, fermo restando che il committente mantiene il diritto al risarcimento del danno. Allo stesso tempo l’appaltatore è tenuto a comunicare al committente il difetto dei mezzi forniti per l’esecuzione dell’opera, se scopre che ciò possa comprometterne lo svolgimento regolare e alle condizioni stipulate.</w:t>
      </w:r>
    </w:p>
    <w:p w14:paraId="5D8AF0E3"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per l’avvenimento di circostanze imprevedibili si verificano variazioni nel costo dei materiali o della mano d’opera, i quali incidono per oltre un decimo del prezzo globalmente convenuto, l’appaltatore o il committente possono chiedere la revisione del prezzo concordato. La revisione può essere accordata solo per la parte del maggiore al decimo del prezzo precedentemente pattuito. Se, invece, nel corso dell’esecuzione dell’opera si materializzano difficoltà di natura geologica, idrica e simile, che non erano state previste dalle parti e che possono rendere molto più costosa la prestazione, l’appaltatore ha diritto a un equo compenso.</w:t>
      </w:r>
    </w:p>
    <w:p w14:paraId="36480B4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Prima della consegna dei lavori, il committente ha il diritto di verificare l’opera. La verifica deve essere eseguita dal committente non appena l’appaltatore lo mette nelle condizioni di farlo. Se il committente rifiuta di eseguire la verifica senza un valido motivo o se la esegue, ma non comunica i risultati entro un tempo breve, l’opera si considera accettata. Lo stesso dicasi se il committente riceva la consegna e non la contesta, anche nel caso in cui non abbia proceduto ad effettuare la verifica.</w:t>
      </w:r>
    </w:p>
    <w:p w14:paraId="04E69D2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In genere, salvo diversa pattuizione, l’appaltatore ha diritto al compenso all’accettazione della consegna, mentre se l’appalto viene eseguito per partite, la verifica può essere prevista al termine di ciascuna partita e di conseguenza anche il pagamento del corrispettivo si ha al termine di ogni fase, in proporzione all’opera eseguita. Il pagamento fa presumere l’accettazione dell’opera e non è da intendersi quale acconto rispetto al prezzo complessivo pattuito.</w:t>
      </w:r>
    </w:p>
    <w:p w14:paraId="1E28D27E" w14:textId="2750F63B"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L’appaltatore</w:t>
      </w:r>
      <w:r w:rsidR="00DC3176" w:rsidRPr="007B3803">
        <w:rPr>
          <w:rFonts w:ascii="Arial" w:hAnsi="Arial" w:cs="Arial"/>
        </w:rPr>
        <w:t xml:space="preserve"> come abbiamo visto</w:t>
      </w:r>
      <w:r w:rsidRPr="007B3803">
        <w:rPr>
          <w:rFonts w:ascii="Arial" w:hAnsi="Arial" w:cs="Arial"/>
        </w:rPr>
        <w:t xml:space="preserve"> è tenuto ad offrire una garanzia per le difformità e i vizi dell’opera, tranne che nel caso in cui il committente abbia accettato l’opera e le difformità e i vizi fossero a lui noti. A pena di decadenza, il committente è tenuto a denunziare i vizi e le difformità entro i 60 giorni dalla scoperta. La denuncia non è necessaria se l’appaltatore ha riconosciuti i vizi o le difformità o se li ha taciuti in malafede. L’azione contro l’appaltatore è esperibile entro i due anni dalla data di consegna dell’opera. Il committente può fare valere, dunque, la garanzia, entro il termine di 60 giorni dalla scoperta e sempre che non siano trascorsi due anni dalla consegna, salvo le eccezioni sopra citate per i casi di riconoscimento dei vizi e delle difformità da parte dell’appaltatore o di loro tacimento in malafede.</w:t>
      </w:r>
    </w:p>
    <w:p w14:paraId="1F1FEB04"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può chiedere che tali vizi e difformità vengano rimossi a spese dell’appaltatore, oppure che il prezzo stipulato per l’esecuzione dell’opera venga ridotto proporzionalmente, salvo il risarcimento del danno per i casi di colpa dell’appaltatore. Se i vizi e le difformità sono tali da rendere l’opera non usufruibile, il committente ha diritto alla risoluzione del contratto. Nel caso di edifici o altre cose immobili, se l’opera presenta vizi del suolo o per difetto della costruzione, rovinando in tutto o in parte l’opera eseguita o se presenta il pericolo di rovina o altri gravi difetti, l’appaltatore è responsabile verso il committente per il periodo di dieci anni, sempre che questo faccia denuncia entro un anno dalla scoperta. L’appaltatore può agire nei confronti degli eventuali subappaltatori, sempre che comunichi loro la denuncia entro 60 giorni dal ricevimento.</w:t>
      </w:r>
    </w:p>
    <w:p w14:paraId="2687B79F"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Il committente ha il diritto di recedere dal contratto di appalto anche quando l’esecuzione dell’opera sia stata iniziata, fermo restando l’obbligo di rimborsare all’appaltatore le spese sostenute e il mancato guadagno. Se, invece, il contratto viene sciolto a causa dell’impossibilità sopravvenuta per causa non imputabile alle parti, il committente deve versare all’appaltatore la parte dell’opera compiuta, in proporzione al prezzo pattuito complessivamente e all’utilità.</w:t>
      </w:r>
    </w:p>
    <w:p w14:paraId="3F9C06F5" w14:textId="77777777" w:rsidR="00EA3A5E" w:rsidRPr="007B3803" w:rsidRDefault="00EA3A5E" w:rsidP="00EA3A5E">
      <w:pPr>
        <w:pStyle w:val="NormaleWeb"/>
        <w:shd w:val="clear" w:color="auto" w:fill="FFFFFF"/>
        <w:spacing w:before="0" w:beforeAutospacing="0" w:after="360" w:afterAutospacing="0"/>
        <w:rPr>
          <w:rFonts w:ascii="Arial" w:hAnsi="Arial" w:cs="Arial"/>
        </w:rPr>
      </w:pPr>
      <w:r w:rsidRPr="007B3803">
        <w:rPr>
          <w:rFonts w:ascii="Arial" w:hAnsi="Arial" w:cs="Arial"/>
        </w:rPr>
        <w:t>Se l’opera eseguita si deteriora per cause non imputabili alle parti e prima che venga accettata dal committente o che egli l’abbia verificata, il perimento o il deterioramento è a carico dell’appaltatore, se la materia è stata da lui fornita. Se la materia è stata fornita, invece, in tutto o in parte dal committente, il perimento o il deterioramento è a suo carico per la materia da lui fornita, per il resto è a carico dell’appaltatore.</w:t>
      </w:r>
    </w:p>
    <w:p w14:paraId="157CC34C" w14:textId="4DDFE9AA" w:rsidR="00EA3A5E" w:rsidRPr="007B3803" w:rsidRDefault="00DC3176" w:rsidP="005D119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COLLAUDO E VERIFICA DI CONFORMITA’</w:t>
      </w:r>
    </w:p>
    <w:p w14:paraId="5638AA8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 contratti sono soggetti a collaudo per i lavori e a verifica di conformità per i servizi e per le forniture per certificare il rispetto delle caratteristiche tecniche, economiche e qualitative dei lavori e delle prestazioni, nonché degli obiettivi e dei tempi, in conformità delle previsioni e pattuizioni contrattuali.</w:t>
      </w:r>
    </w:p>
    <w:p w14:paraId="38EF4CCC"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Entrambi devono essere completati non oltre sei mesi dall’ultimazione dei lavori o delle prestazioni, salvi i casi, di particolare complessità, per i quali il termine può essere elevato sino ad un anno. Nella lettera d’incarico, in presenza di opere o servizi di limitata complessità, i tempi possono essere ridotti. </w:t>
      </w:r>
    </w:p>
    <w:p w14:paraId="56F39DD1" w14:textId="02D177D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certificato di collaudo ha carattere provvisorio e assume carattere definitivo dopo due anni dalla sua emissione. Decorso tale termine, il collaudo si intende tacitamente approvato ancorché l’atto formale di approvazione non sia stato emesso entro due mesi dalla scadenza del medesimo termine.</w:t>
      </w:r>
    </w:p>
    <w:p w14:paraId="4C065208" w14:textId="2746A438"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Salvo quanto disposto dall’articolo 1669 del </w:t>
      </w:r>
      <w:proofErr w:type="gramStart"/>
      <w:r w:rsidRPr="007B3803">
        <w:rPr>
          <w:rFonts w:ascii="Arial" w:eastAsia="Times New Roman" w:hAnsi="Arial" w:cs="Arial"/>
          <w:kern w:val="0"/>
          <w:sz w:val="24"/>
          <w:szCs w:val="24"/>
          <w:lang w:eastAsia="it-IT"/>
          <w14:ligatures w14:val="none"/>
        </w:rPr>
        <w:t>codice civile</w:t>
      </w:r>
      <w:proofErr w:type="gramEnd"/>
      <w:r w:rsidRPr="007B3803">
        <w:rPr>
          <w:rFonts w:ascii="Arial" w:eastAsia="Times New Roman" w:hAnsi="Arial" w:cs="Arial"/>
          <w:kern w:val="0"/>
          <w:sz w:val="24"/>
          <w:szCs w:val="24"/>
          <w:lang w:eastAsia="it-IT"/>
          <w14:ligatures w14:val="none"/>
        </w:rPr>
        <w:t>, l’appaltatore risponde per la difformità e i vizi dell’opera, ancorché riconoscibili, purché denunciati dalla stazione appaltante prima che il certificato di collaudo assuma carattere definitivo.</w:t>
      </w:r>
    </w:p>
    <w:p w14:paraId="0C6447E5" w14:textId="2364B3AF"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 Per effettuare le attività di collaudo dei lavori le stazioni appaltanti che sono amministrazioni pubbliche nominano da uno a tre collaudatori scelti tra i propri dipendenti o tra i dipendenti di altre amministrazioni pubbliche, con qualificazione rapportata alla tipologia e caratteristica del contratto, in possesso dei requisiti di moralità, competenza e professionalità. </w:t>
      </w:r>
    </w:p>
    <w:p w14:paraId="1E919122" w14:textId="694E0A14"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Per i contratti di servizi e forniture la verifica di conformità è effettuata dal RUP o, se nominato, dal direttore dell’esecuzione. Per servizi e forniture caratterizzati da elevato contenuto tecnologico oppure da elevata complessità o innovazione, le stazioni appaltanti possono prevedere la nomina di uno o più verificatori della conformità diversi dal RUP o dal direttore dell’esecuzione del contratto. </w:t>
      </w:r>
    </w:p>
    <w:p w14:paraId="1B89BDF0"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RISOLUZIONE DEL CONTRATTO</w:t>
      </w:r>
    </w:p>
    <w:p w14:paraId="69380E5A"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le stazioni appaltanti possono risolvere un contratto di appalto senza limiti di tempo, se si verificano una o più delle seguenti condizioni: </w:t>
      </w:r>
    </w:p>
    <w:p w14:paraId="513C4DFF"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a) modifica sostanziale del contratto, che richiede una nuova procedura di appalto ai sensi dell’articolo 120; </w:t>
      </w:r>
    </w:p>
    <w:p w14:paraId="5287F01E"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b) con riferimento alle modificazioni di cui all’articolo 120, comma 1, lettere b) e c), superamento delle soglie di cui al comma 2 del </w:t>
      </w:r>
      <w:proofErr w:type="gramStart"/>
      <w:r w:rsidRPr="007B3803">
        <w:rPr>
          <w:rFonts w:ascii="Arial" w:eastAsia="Times New Roman" w:hAnsi="Arial" w:cs="Arial"/>
          <w:kern w:val="0"/>
          <w:sz w:val="24"/>
          <w:szCs w:val="24"/>
          <w:lang w:eastAsia="it-IT"/>
          <w14:ligatures w14:val="none"/>
        </w:rPr>
        <w:t>predetto</w:t>
      </w:r>
      <w:proofErr w:type="gramEnd"/>
      <w:r w:rsidRPr="007B3803">
        <w:rPr>
          <w:rFonts w:ascii="Arial" w:eastAsia="Times New Roman" w:hAnsi="Arial" w:cs="Arial"/>
          <w:kern w:val="0"/>
          <w:sz w:val="24"/>
          <w:szCs w:val="24"/>
          <w:lang w:eastAsia="it-IT"/>
          <w14:ligatures w14:val="none"/>
        </w:rPr>
        <w:t xml:space="preserve"> articolo 120 e, con riferimento alle modificazioni di cui all’articolo 120, comma 3, superamento delle soglie di cui al medesimo articolo 120, comma 3, lettere a) e b); </w:t>
      </w:r>
    </w:p>
    <w:p w14:paraId="4017C24D" w14:textId="7777777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c) l’aggiudicatario si è trovato, al momento dell’aggiudicazione dell’appalto, in una delle situazioni di cui all’articolo 94, comma 1, e avrebbe dovuto pertanto essere escluso dalla procedura di gara; </w:t>
      </w:r>
    </w:p>
    <w:p w14:paraId="535D7D60" w14:textId="4413A117"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d) l’appalto non avrebbe dovuto essere aggiudicato in considerazione di una grave violazione degli obblighi derivanti dai trattati, come riconosciuto dalla Corte di giustizia dell’Unione europea in un procedimento ai sensi dell’articolo 258 del Trattato sul funzionamento dell’Unione europea.</w:t>
      </w:r>
    </w:p>
    <w:p w14:paraId="3D293DB2" w14:textId="289C66ED"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Le stazioni appaltanti risolvono un contratto di appalto qualora nei confronti dell’appaltatore: a) sia intervenuta la decadenza dell’attestazione di qualificazione per aver prodotto falsa documentazione o dichiarazioni mendaci; b) sia intervenuto un provvedimento definitivo che dispone l’applicazione di una o più misure di prevenzione di cui al codice delle leggi antimafia e delle relative misure di prevenzione, di cui al decreto legislativo 6 settembre 2011, n. 159, ovvero sia intervenuta sentenza di condanna passata in giudicato per i reati di cui al Capo II del Titolo IV della Parte V del presente Libro.</w:t>
      </w:r>
    </w:p>
    <w:p w14:paraId="4DD5BB8C" w14:textId="65233FEB"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Il contratto di appalto può inoltre essere risolto per grave inadempimento delle obbligazioni contrattuali da parte dell’appaltatore, tale da compromettere la buona riuscita delle prestazioni. Il direttore dei lavori o il direttore dell’esecuzione, se nominato, quando accerta un grave inadempimento ai sensi del primo periodo avvia in contraddittorio con l’appaltatore il procedimento disciplinato dall’articolo 10 dell’allegato II.14. All’esito del procedimento, la stazione appaltante, su proposta del RUP, dichiara risolto il contratto con atto scritto comunicato all’appaltatore.</w:t>
      </w:r>
    </w:p>
    <w:p w14:paraId="0CC75FF0" w14:textId="4D22A649" w:rsidR="00AD7E6A" w:rsidRPr="007B3803" w:rsidRDefault="00AD7E6A"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 xml:space="preserve">In tutti i casi di risoluzione del contratto l’appaltatore ha diritto soltanto al pagamento delle prestazioni relative ai lavori, servizi o forniture regolarmente eseguiti, le somme sono decurtate degli oneri aggiuntivi derivanti dallo scioglimento del contratto, e in sede di liquidazione finale dei lavori, servizi o forniture riferita all’appalto risolto, l’onere da porre a carico dell’appaltatore è determinato anche in relazione alla maggiore spesa sostenuta per il nuovo affidamento </w:t>
      </w:r>
    </w:p>
    <w:p w14:paraId="751B1A33" w14:textId="71019B4E" w:rsidR="00D1315B" w:rsidRPr="007B3803" w:rsidRDefault="00D1315B" w:rsidP="00AD7E6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APPALTO INTEGRATO</w:t>
      </w:r>
    </w:p>
    <w:p w14:paraId="340BEEC6" w14:textId="71E27333"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L’appalto integrato è l’affidamento della progettazione e dell’esecuzione dei lavori allo stesso operatore economico. Nasce con lo scopo di accelerare il procedimento di aggiudicazione dei lavori e, allo stesso tempo, garantirne l’esecuzione corretta sulla base di tecniche-operative (progetto esecutivo) avanzate dall’impresa appaltatrice.</w:t>
      </w:r>
    </w:p>
    <w:p w14:paraId="48D3F0C1"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Per quanto riguarda il nuovo codice dobbiamo far riferimento all’articolo 44. Secondo il comma 1:</w:t>
      </w:r>
    </w:p>
    <w:p w14:paraId="63B1DD9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negli appalti di lavori, con la decisione di contrarre, la stazione appaltante o l’ente concedente, se qualificati, possono stabilire che il contratto abbia per oggetto la progettazione esecutiva e l’esecuzione dei lavori sulla base di un progetto di fattibilità tecnico-economica approvato. Tale facoltà non può essere esercitata per gli appalti di opere di manutenzione ordinaria.</w:t>
      </w:r>
    </w:p>
    <w:p w14:paraId="6475724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Appare subito evidente, quindi, che al netto delle opere di manutenzione ordinaria, non si delineano limitazioni e/o divieti.</w:t>
      </w:r>
    </w:p>
    <w:p w14:paraId="218557C8"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La stazione appaltante da un lato deve motivare adeguatamente la scelta, inserendo specifici riferimenti alle esigenze tecniche, dall’altro deve tener conto del rischio di variazione di costo tra quanto preventivato e la fase esecutiva.</w:t>
      </w:r>
    </w:p>
    <w:p w14:paraId="7CEF5F09"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Se si sceglie l’appalto integrato, gli operatori economici devono avere una delle seguenti opzioni:</w:t>
      </w:r>
    </w:p>
    <w:p w14:paraId="410D71CF"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possedere i requisiti prescritti per i progettisti;</w:t>
      </w:r>
    </w:p>
    <w:p w14:paraId="3BD3F40E"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avvalersi di progettisti qualificati (da indicare nell’offerta);</w:t>
      </w:r>
    </w:p>
    <w:p w14:paraId="4D469F77" w14:textId="77777777" w:rsidR="00D1315B" w:rsidRPr="007B3803"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partecipare in raggruppamento con soggetti qualificati per la progettazione.</w:t>
      </w:r>
    </w:p>
    <w:p w14:paraId="29608507" w14:textId="77777777" w:rsidR="00D1315B" w:rsidRDefault="00D1315B"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B3803">
        <w:rPr>
          <w:rFonts w:ascii="Arial" w:eastAsia="Times New Roman" w:hAnsi="Arial" w:cs="Arial"/>
          <w:kern w:val="0"/>
          <w:sz w:val="24"/>
          <w:szCs w:val="24"/>
          <w:lang w:eastAsia="it-IT"/>
          <w14:ligatures w14:val="none"/>
        </w:rPr>
        <w:t>L’offerta è valutata con il criterio dell’O.E.P.V. (offerta economicamente più vantaggiosa) individuata sulla base del miglior rapporto qualità/prezzo. L’offerta deve indicare il corrispettivo richiesto per la progettazione e per l’esecuzione dei lavori.</w:t>
      </w:r>
    </w:p>
    <w:p w14:paraId="4255C88B" w14:textId="07FF6074"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E-PROCUREMENT</w:t>
      </w:r>
    </w:p>
    <w:p w14:paraId="24FBF0D6" w14:textId="285773B1" w:rsidR="00F212FA" w:rsidRDefault="00F212FA" w:rsidP="00D1315B">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È un processo di approvvigionamento elettronico per il cui tramite vengono acquistati prodotti e servizi. Sarà necessario tanto alle imprese private quanto dalla Pubblica amministrazione. Un processo completamente digitale, senza più l’intermediazione di moduli, cataloghi e listini prezzi cartacei: i fornitori autorizzati aderiscono alla piattaforma mediante la quale imprese e PA si approvvigionano.</w:t>
      </w:r>
    </w:p>
    <w:p w14:paraId="00829F50"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promuove la domanda pubblica di innovazione mirando alla semplificazione, digitalizzazione e trasparenza delle procedure di aggiudicazione e gestione dei contratti pubblici.</w:t>
      </w:r>
    </w:p>
    <w:p w14:paraId="133F916A"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L’e-procurement rappresenta una fondamentale leva per la crescita dell’economia, per la modernizzazione ed una maggiore efficienza dei processi amministrativi, per il controllo e la riduzione della spesa pubblica.</w:t>
      </w:r>
    </w:p>
    <w:p w14:paraId="6D36D8D1"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La digitalizzazione dei processi di approvvigionamento di beni e servizi delle pubbliche amministrazioni (</w:t>
      </w:r>
      <w:proofErr w:type="spellStart"/>
      <w:r w:rsidRPr="00F212FA">
        <w:rPr>
          <w:rFonts w:ascii="Arial" w:eastAsia="Times New Roman" w:hAnsi="Arial" w:cs="Arial"/>
          <w:kern w:val="0"/>
          <w:sz w:val="24"/>
          <w:szCs w:val="24"/>
          <w:lang w:eastAsia="it-IT"/>
          <w14:ligatures w14:val="none"/>
        </w:rPr>
        <w:t>electronic</w:t>
      </w:r>
      <w:proofErr w:type="spellEnd"/>
      <w:r w:rsidRPr="00F212FA">
        <w:rPr>
          <w:rFonts w:ascii="Arial" w:eastAsia="Times New Roman" w:hAnsi="Arial" w:cs="Arial"/>
          <w:kern w:val="0"/>
          <w:sz w:val="24"/>
          <w:szCs w:val="24"/>
          <w:lang w:eastAsia="it-IT"/>
          <w14:ligatures w14:val="none"/>
        </w:rPr>
        <w:t xml:space="preserve"> public procurement) è uno dei principali driver delle politiche della Commissione Europea; l’obiettivo, nel medio periodo, è quello di digitalizzare l’intero processo di approvvigionamento delle pubbliche amministrazioni nelle due fasi di </w:t>
      </w:r>
      <w:proofErr w:type="spellStart"/>
      <w:r w:rsidRPr="00F212FA">
        <w:rPr>
          <w:rFonts w:ascii="Arial" w:eastAsia="Times New Roman" w:hAnsi="Arial" w:cs="Arial"/>
          <w:kern w:val="0"/>
          <w:sz w:val="24"/>
          <w:szCs w:val="24"/>
          <w:lang w:eastAsia="it-IT"/>
          <w14:ligatures w14:val="none"/>
        </w:rPr>
        <w:t>pre</w:t>
      </w:r>
      <w:proofErr w:type="spellEnd"/>
      <w:r w:rsidRPr="00F212FA">
        <w:rPr>
          <w:rFonts w:ascii="Arial" w:eastAsia="Times New Roman" w:hAnsi="Arial" w:cs="Arial"/>
          <w:kern w:val="0"/>
          <w:sz w:val="24"/>
          <w:szCs w:val="24"/>
          <w:lang w:eastAsia="it-IT"/>
          <w14:ligatures w14:val="none"/>
        </w:rPr>
        <w:t xml:space="preserve"> e post aggiudicazione, ovvero dalla pubblicazione dei bandi fino al pagamento (appalti elettronici end-to-end).</w:t>
      </w:r>
    </w:p>
    <w:p w14:paraId="6F1AECAB" w14:textId="77777777" w:rsid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Programma per la Razionalizzazione degli acquisti nella P.A prevede che la spesa pubblica per beni e servizi, che si stima pari a circa 87 miliardi di euro,  dovrà essere gradualmente razionalizzata indirizzando  le 32.000 stazioni appaltanti verso l’utilizzo delle procedure di acquisto fornite dai soggetti aggregatori, che costituiscono un "sistema a rete" per il perseguimento dei piani di razionalizzazione della spesa pubblica e per la realizzazione di sinergie nell’utilizzo di strumenti informatici per l’acquisto di beni e servizi.</w:t>
      </w:r>
    </w:p>
    <w:p w14:paraId="14AB6E8D"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Il nuovo Codice appalti, introdotto dal decreto legislativo 36/2023 e, in vigore dal primo aprile, si concentra anche sulla digitalizzazione del ciclo di vita dei contratti, aprendo così di fatto le porte a un sistema di e-procurement nazionale, ossia un sistema formato dalle piattaforme e dai servizi digitali abilitati alla gestione dei contratti pubblici. Il nuovo Codice appalti e l’infrastruttura digitale hanno principalmente tre obiettivi:</w:t>
      </w:r>
    </w:p>
    <w:p w14:paraId="591222B0"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tempestività negli approvvigionamenti rispettando la ratio tra qualità e prezzo</w:t>
      </w:r>
    </w:p>
    <w:p w14:paraId="27C9AD07"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legalità, trasparenza e concorrenza</w:t>
      </w:r>
    </w:p>
    <w:p w14:paraId="7EFFBF61" w14:textId="77777777" w:rsidR="00F212FA" w:rsidRPr="00F212FA" w:rsidRDefault="00F212FA" w:rsidP="00F212FA">
      <w:pPr>
        <w:pStyle w:val="Paragrafoelenco"/>
        <w:numPr>
          <w:ilvl w:val="0"/>
          <w:numId w:val="40"/>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fiducia nel rapporto tra Pa e operatori economici.</w:t>
      </w:r>
    </w:p>
    <w:p w14:paraId="345DE446"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Spostando il focus soltanto sulla digitalizzazione degli approvvigionamenti, gli obiettivi principali sono:</w:t>
      </w:r>
    </w:p>
    <w:p w14:paraId="747C4841"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allestimento del fascicolo virtuale di chi partecipa ai bandi pubblici</w:t>
      </w:r>
    </w:p>
    <w:p w14:paraId="5EECCF7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aggiornamento continuo della Banca dati nazionale dei contratti pubblici</w:t>
      </w:r>
    </w:p>
    <w:p w14:paraId="3DE0BB36"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introduzione di piattaforme per l’approvvigionamento digitale</w:t>
      </w:r>
    </w:p>
    <w:p w14:paraId="717AE76C" w14:textId="77777777" w:rsidR="00F212FA" w:rsidRPr="00F212FA" w:rsidRDefault="00F212FA" w:rsidP="00F212FA">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F212FA">
        <w:rPr>
          <w:rFonts w:ascii="Arial" w:eastAsia="Times New Roman" w:hAnsi="Arial" w:cs="Arial"/>
          <w:kern w:val="0"/>
          <w:sz w:val="24"/>
          <w:szCs w:val="24"/>
          <w:lang w:eastAsia="it-IT"/>
          <w14:ligatures w14:val="none"/>
        </w:rPr>
        <w:t>procedure automatizzate del ciclo di vita dei contratti pubblici</w:t>
      </w:r>
    </w:p>
    <w:p w14:paraId="39565D5D" w14:textId="52BD2163" w:rsidR="00B50687" w:rsidRDefault="00F212FA" w:rsidP="00860F2D">
      <w:pPr>
        <w:pStyle w:val="Paragrafoelenco"/>
        <w:numPr>
          <w:ilvl w:val="0"/>
          <w:numId w:val="41"/>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diritto di accesso per i cittadini che possono richiedere dati e comunicazioni relativi ai bandi</w:t>
      </w:r>
    </w:p>
    <w:p w14:paraId="0C612A1F" w14:textId="107D018B"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XXXXXXXXXXXXXXXXXXXXXXXXXXXXXXXXXXXXXXXXXXXXXXXXXXXXXXXXXXXXXXXXXXXXXXXXXXXXXXXXXXXXXXXXXXXXXXXXXXXXXXXXXXXXXXXXXXXXXXXX</w:t>
      </w:r>
    </w:p>
    <w:p w14:paraId="50BA2047" w14:textId="434239A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L’operatore economico che intende partecipare ad una procedura per l’aggiudicazione di un appalto utilizza la piattaforma di approvvigionamento digitale messa a disposizione dalla stazione appaltante per compilare i seguenti atti:</w:t>
      </w:r>
    </w:p>
    <w:p w14:paraId="1C6E90F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la domanda di partecipazione;</w:t>
      </w:r>
    </w:p>
    <w:p w14:paraId="58BC5D1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il documento di gara unico europeo;</w:t>
      </w:r>
    </w:p>
    <w:p w14:paraId="4D4B79B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l’offerta;</w:t>
      </w:r>
    </w:p>
    <w:p w14:paraId="63895D2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ogni altro documento richiesto per la partecipazione alla procedura di gara.</w:t>
      </w:r>
    </w:p>
    <w:p w14:paraId="296600D8" w14:textId="7777777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 domanda di partecipazione contiene gli elementi di identificazione del concorrente e l’indicazione della forma giuridica con la quale si presenta in gara, l’eventuale dichiarazione della volontà di avvalersi di impresa ausiliaria, nonché l’indicazione dei dati e dei documenti relativi ai requisiti speciali di </w:t>
      </w:r>
      <w:proofErr w:type="gramStart"/>
      <w:r w:rsidRPr="00B50687">
        <w:rPr>
          <w:rFonts w:ascii="Arial" w:eastAsia="Times New Roman" w:hAnsi="Arial" w:cs="Arial"/>
          <w:kern w:val="0"/>
          <w:sz w:val="24"/>
          <w:szCs w:val="24"/>
          <w:lang w:eastAsia="it-IT"/>
          <w14:ligatures w14:val="none"/>
        </w:rPr>
        <w:t xml:space="preserve">partecipazione </w:t>
      </w:r>
      <w:r>
        <w:rPr>
          <w:rFonts w:ascii="Arial" w:eastAsia="Times New Roman" w:hAnsi="Arial" w:cs="Arial"/>
          <w:kern w:val="0"/>
          <w:sz w:val="24"/>
          <w:szCs w:val="24"/>
          <w:lang w:eastAsia="it-IT"/>
          <w14:ligatures w14:val="none"/>
        </w:rPr>
        <w:t>.</w:t>
      </w:r>
      <w:proofErr w:type="gramEnd"/>
    </w:p>
    <w:p w14:paraId="5BE3ABE4" w14:textId="07B8BEAE"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Con il documento di gara unico europeo, redatto in forma digitale in conformità al modello di formulario approvato con regolamento della Commissione europea</w:t>
      </w:r>
      <w:proofErr w:type="gramStart"/>
      <w:r w:rsidRPr="000442C0">
        <w:rPr>
          <w:rFonts w:ascii="Arial" w:eastAsia="Times New Roman" w:hAnsi="Arial" w:cs="Arial"/>
          <w:kern w:val="0"/>
          <w:sz w:val="24"/>
          <w:szCs w:val="24"/>
          <w:lang w:eastAsia="it-IT"/>
          <w14:ligatures w14:val="none"/>
        </w:rPr>
        <w:t>, ,</w:t>
      </w:r>
      <w:proofErr w:type="gramEnd"/>
      <w:r w:rsidRPr="000442C0">
        <w:rPr>
          <w:rFonts w:ascii="Arial" w:eastAsia="Times New Roman" w:hAnsi="Arial" w:cs="Arial"/>
          <w:kern w:val="0"/>
          <w:sz w:val="24"/>
          <w:szCs w:val="24"/>
          <w:lang w:eastAsia="it-IT"/>
          <w14:ligatures w14:val="none"/>
        </w:rPr>
        <w:t xml:space="preserve"> l’operatore economico e le imprese ausiliarie dichiarano:</w:t>
      </w:r>
    </w:p>
    <w:p w14:paraId="4731D904"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di essere in possesso dei requisiti di ordine generale di cui al Titolo IV, Capo II, della presente Parte;</w:t>
      </w:r>
    </w:p>
    <w:p w14:paraId="6B7AF40F" w14:textId="5E5F43CC" w:rsidR="00B50687"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di essere in possesso dei requisiti di ordine speciale di cui all’articolo 100 e, se richiesto, dei requisiti di cui all’articolo 10</w:t>
      </w:r>
      <w:r w:rsidR="00B50687" w:rsidRPr="00B50687">
        <w:rPr>
          <w:rFonts w:ascii="Arial" w:eastAsia="Times New Roman" w:hAnsi="Arial" w:cs="Arial"/>
          <w:kern w:val="0"/>
          <w:sz w:val="24"/>
          <w:szCs w:val="24"/>
          <w:lang w:eastAsia="it-IT"/>
          <w14:ligatures w14:val="none"/>
        </w:rPr>
        <w:t xml:space="preserve"> </w:t>
      </w:r>
    </w:p>
    <w:p w14:paraId="461EB75F" w14:textId="3253623A" w:rsidR="00B50687"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PARTECIPAZIONE GENERALI</w:t>
      </w:r>
    </w:p>
    <w:p w14:paraId="7FCE13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seguito dell’entrata in vigore del d. lgs. n. 36/23, gli operatori economici, al fine della partecipazione ad una procedura di selezione per l’affidamento di contratti pubblici, devono dimostrare di essere in possesso di precisi requisiti, idonei a comprovare il possesso di moralità adeguata (requisiti generali).</w:t>
      </w:r>
    </w:p>
    <w:p w14:paraId="29C9754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 requisiti di prescritti dalla legge devono essere posseduti dai candidati non solo alla data di scadenza del termine per la presentazione della richiesta di partecipazione alla procedura di affidamento, ma anche per tutta la durata della procedura, fino all’aggiudicazione definitiva ed alla stipula del contratto, nonché per tutto il periodo di esecuzione del contratto, senza soluzione di continuità.</w:t>
      </w:r>
    </w:p>
    <w:p w14:paraId="3ED7A0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a differenza del Codice abrogato, che prevedeva una disciplina </w:t>
      </w:r>
      <w:proofErr w:type="gramStart"/>
      <w:r w:rsidRPr="00B50687">
        <w:rPr>
          <w:rFonts w:ascii="Arial" w:eastAsia="Times New Roman" w:hAnsi="Arial" w:cs="Arial"/>
          <w:kern w:val="0"/>
          <w:sz w:val="24"/>
          <w:szCs w:val="24"/>
          <w:lang w:eastAsia="it-IT"/>
          <w14:ligatures w14:val="none"/>
        </w:rPr>
        <w:t>molto  scarna</w:t>
      </w:r>
      <w:proofErr w:type="gramEnd"/>
      <w:r w:rsidRPr="00B50687">
        <w:rPr>
          <w:rFonts w:ascii="Arial" w:eastAsia="Times New Roman" w:hAnsi="Arial" w:cs="Arial"/>
          <w:kern w:val="0"/>
          <w:sz w:val="24"/>
          <w:szCs w:val="24"/>
          <w:lang w:eastAsia="it-IT"/>
          <w14:ligatures w14:val="none"/>
        </w:rPr>
        <w:t xml:space="preserve"> al riguardo, regolamenta i requisiti generali in maniera più ampia e articolata, attraverso i seguenti articoli:</w:t>
      </w:r>
    </w:p>
    <w:p w14:paraId="3B207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94 - Cause di esclusione “automatica”;</w:t>
      </w:r>
    </w:p>
    <w:p w14:paraId="004CB1B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95 - Cause di esclusione “non automatica”;</w:t>
      </w:r>
    </w:p>
    <w:p w14:paraId="3223B03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96 - Disciplina dell’esclusione;</w:t>
      </w:r>
    </w:p>
    <w:p w14:paraId="2E5335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97 – Cause di esclusione di partecipanti a raggruppamenti;</w:t>
      </w:r>
    </w:p>
    <w:p w14:paraId="2E2B647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art. 98 - Illecito professionale grave.</w:t>
      </w:r>
    </w:p>
    <w:p w14:paraId="0EB25A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“automatiche” (art. 94)</w:t>
      </w:r>
    </w:p>
    <w:p w14:paraId="400D44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94 disciplina le cause di esclusione “automatiche”, cioè quelle che impongono all’Amministrazione l’esclusione del partecipante, all’esito del mero accertamento del fatto previsto dalla norma.</w:t>
      </w:r>
    </w:p>
    <w:p w14:paraId="2AC6A3C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Fra gli eventi rilevanti (commi 1-4), rientra, in estrema sintesi, una serie di reati penali di una certa gravità (es. Associazione a delinquere di stampo mafioso, contrabbando, corruzione, concussione, etc.), rispetto ai quali non c’è alcuna discrezionalità circa l’esclusione – o meno – dell’operatore economico.</w:t>
      </w:r>
    </w:p>
    <w:p w14:paraId="13B00DE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Per i reati sopra elencati, con una innovazione rispetto alla norma previgente, il nuovo Codice prevede che il patteggiamento non impedisca più la partecipazione ad una gara pubblica e non costituisca causa di esclusione dalla medesima.</w:t>
      </w:r>
    </w:p>
    <w:p w14:paraId="40F83EE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Un’ulteriore novità è rappresentata dall’eliminazione di ogni riferimento ai soggetti c.d. “cessati” dalla carica.</w:t>
      </w:r>
    </w:p>
    <w:p w14:paraId="67A5721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Nel caso in cui il socio sia una persona giuridica l’esclusione va disposta se la sentenza o il decreto ovvero la misura interdittiva sono stati emessi nei confronti degli amministratori di quest’ultima.</w:t>
      </w:r>
    </w:p>
    <w:p w14:paraId="42C24674" w14:textId="508F5D42"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94, al comma 3, lett. f), inserisce poi, tra i nuovi soggetti nei cui confronti viene effettuato l’accertamento, anche il c.d. “amministratore di fatto”, allargando il campo di indagine in </w:t>
      </w:r>
      <w:proofErr w:type="spellStart"/>
      <w:r>
        <w:rPr>
          <w:rFonts w:ascii="Arial" w:eastAsia="Times New Roman" w:hAnsi="Arial" w:cs="Arial"/>
          <w:kern w:val="0"/>
          <w:sz w:val="24"/>
          <w:szCs w:val="24"/>
          <w:lang w:eastAsia="it-IT"/>
          <w14:ligatures w14:val="none"/>
        </w:rPr>
        <w:t>MA</w:t>
      </w:r>
      <w:r w:rsidRPr="00B50687">
        <w:rPr>
          <w:rFonts w:ascii="Arial" w:eastAsia="Times New Roman" w:hAnsi="Arial" w:cs="Arial"/>
          <w:kern w:val="0"/>
          <w:sz w:val="24"/>
          <w:szCs w:val="24"/>
          <w:lang w:eastAsia="it-IT"/>
          <w14:ligatures w14:val="none"/>
        </w:rPr>
        <w:t>niera</w:t>
      </w:r>
      <w:proofErr w:type="spellEnd"/>
      <w:r w:rsidRPr="00B50687">
        <w:rPr>
          <w:rFonts w:ascii="Arial" w:eastAsia="Times New Roman" w:hAnsi="Arial" w:cs="Arial"/>
          <w:kern w:val="0"/>
          <w:sz w:val="24"/>
          <w:szCs w:val="24"/>
          <w:lang w:eastAsia="it-IT"/>
          <w14:ligatures w14:val="none"/>
        </w:rPr>
        <w:t xml:space="preserve"> non facilmente determinata o determinabile.</w:t>
      </w:r>
    </w:p>
    <w:p w14:paraId="37D31AA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“non automatiche” (art. 95)</w:t>
      </w:r>
    </w:p>
    <w:p w14:paraId="47004F40"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L’art. 95 del nuovo Codice disciplina le cause di esclusione “non automatiche”. Tale dicitura trae spunto dalla giurisprudenza amministrativa (cfr. Consiglio di Stato ad. </w:t>
      </w:r>
      <w:proofErr w:type="spellStart"/>
      <w:r w:rsidRPr="00B50687">
        <w:rPr>
          <w:rFonts w:ascii="Arial" w:eastAsia="Times New Roman" w:hAnsi="Arial" w:cs="Arial"/>
          <w:kern w:val="0"/>
          <w:sz w:val="24"/>
          <w:szCs w:val="24"/>
          <w:lang w:eastAsia="it-IT"/>
          <w14:ligatures w14:val="none"/>
        </w:rPr>
        <w:t>plen</w:t>
      </w:r>
      <w:proofErr w:type="spellEnd"/>
      <w:r w:rsidRPr="00B50687">
        <w:rPr>
          <w:rFonts w:ascii="Arial" w:eastAsia="Times New Roman" w:hAnsi="Arial" w:cs="Arial"/>
          <w:kern w:val="0"/>
          <w:sz w:val="24"/>
          <w:szCs w:val="24"/>
          <w:lang w:eastAsia="it-IT"/>
          <w14:ligatures w14:val="none"/>
        </w:rPr>
        <w:t>., 27 maggio 2021, n. 9) In precedenza, tali cause di esclusione erano normate dal comma 5 dell’art. 80 del d.lgs. n. 50/2016.</w:t>
      </w:r>
    </w:p>
    <w:p w14:paraId="6CA746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dalla partecipazione alla procedura un operatore economico qualora accerti:</w:t>
      </w:r>
    </w:p>
    <w:p w14:paraId="75985A9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1934257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che la partecipazione dell'operatore economico determini una situazione di conflitto di interesse di cui all’articolo 16 non diversamente risolvibile;</w:t>
      </w:r>
    </w:p>
    <w:p w14:paraId="6190E1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sussistere una distorsione della concorrenza derivante dal precedente coinvolgimento degli operatori economici nella preparazione della procedura d'appalto che non possa essere risolta con misure meno intrusive;</w:t>
      </w:r>
    </w:p>
    <w:p w14:paraId="684D277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sussistere rilevanti indizi tali da far ritenere che le offerte degli operatori economici siano imputabili ad un unico centro decisionale a cagione di accordi intercorsi con altri operatori economici partecipanti alla stessa gara;</w:t>
      </w:r>
    </w:p>
    <w:p w14:paraId="72F0DC4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715028A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 stazione appaltante esclude altresì un operatore economico qualora ritenga, sulla base di qualunque mezzo di prova adeguato, che lo stesso abbia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w:t>
      </w:r>
    </w:p>
    <w:p w14:paraId="4452AF5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non opera quando l’operatore economico ha adempiuto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C4FC51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Disciplina dell’esclusione (art. 96)</w:t>
      </w:r>
    </w:p>
    <w:p w14:paraId="41CE696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 stazioni appaltanti escludono un operatore economico in qualunque momento della procedura d’appalto, qualora risulti che questi si trovi, a causa di atti compiuti od omessi prima o nel corso della procedura, in una delle situazioni di cui agli articoli 94 e 95 sopra menzionati.</w:t>
      </w:r>
    </w:p>
    <w:p w14:paraId="1D38EE51"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Il nuovo Codice introduce per la prima volta una disposizione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 per mezzo della quale i concorrenti possono sempre dimostrare di aver posto in essere misure atte a garantire la loro affidabilità, anche con riferimento alle cause di esclusione automatiche, a patto che tali misure siano state tempestivamente adottate e siano idonee. In tali casi, non si verifica l’esclusione.</w:t>
      </w:r>
    </w:p>
    <w:p w14:paraId="017B1F2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In caso di violazioni definitivamente accertate in materia fiscale e tributaria, non è possibile l’applicazione delle dette misure di “self </w:t>
      </w:r>
      <w:proofErr w:type="spellStart"/>
      <w:r w:rsidRPr="00B50687">
        <w:rPr>
          <w:rFonts w:ascii="Arial" w:eastAsia="Times New Roman" w:hAnsi="Arial" w:cs="Arial"/>
          <w:kern w:val="0"/>
          <w:sz w:val="24"/>
          <w:szCs w:val="24"/>
          <w:lang w:eastAsia="it-IT"/>
          <w14:ligatures w14:val="none"/>
        </w:rPr>
        <w:t>cleaning</w:t>
      </w:r>
      <w:proofErr w:type="spellEnd"/>
      <w:r w:rsidRPr="00B50687">
        <w:rPr>
          <w:rFonts w:ascii="Arial" w:eastAsia="Times New Roman" w:hAnsi="Arial" w:cs="Arial"/>
          <w:kern w:val="0"/>
          <w:sz w:val="24"/>
          <w:szCs w:val="24"/>
          <w:lang w:eastAsia="it-IT"/>
          <w14:ligatures w14:val="none"/>
        </w:rPr>
        <w:t>”.</w:t>
      </w:r>
    </w:p>
    <w:p w14:paraId="26DED099"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Cause di esclusione di partecipanti a raggruppamenti (art. 97)</w:t>
      </w:r>
    </w:p>
    <w:p w14:paraId="7B2036D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raggruppamento temporaneo di imprese non è escluso qualora un suo partecipante sia interessato da una causa automatica o non automatica di esclusione o dal venir meno di un requisito di qualificazione, se si sono verificate le condizioni di cui al comma 2 e ha adempiuto ai seguenti oneri:</w:t>
      </w:r>
    </w:p>
    <w:p w14:paraId="60D50E7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in sede di presentazione dell’offerta:</w:t>
      </w:r>
    </w:p>
    <w:p w14:paraId="0B09402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1) ha comunicato alla stazione appaltante la causa escludente verificatasi prima della presentazione dell’offerta e il venir meno, prima della presentazione dell’offerta, del requisito di qualificazione, nonché il soggetto che ne è interessato;</w:t>
      </w:r>
    </w:p>
    <w:p w14:paraId="0291151A"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ha comprovato le misure adottate ai sensi del comma 2 o l’impossibilità di adottarle prima di quella data;</w:t>
      </w:r>
    </w:p>
    <w:p w14:paraId="2561EFC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ha adottato e comunicato le misure di cui al comma 2 prima dell’aggiudicazione, se la causa escludente si è verificata successivamente alla presentazione dell’offerta o il requisito di qualificazione è venuto meno successivamente alla presentazione dell’offerta.</w:t>
      </w:r>
    </w:p>
    <w:p w14:paraId="507E19D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Illecito professionale grave (art. 98)</w:t>
      </w:r>
    </w:p>
    <w:p w14:paraId="2009F96D"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L’art. 98, comma 3, stabilisce quali siano le fattispecie che danno luogo all’esclusione per illecito professionale grave.</w:t>
      </w:r>
    </w:p>
    <w:p w14:paraId="136704DD" w14:textId="71C62EF1"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B50687">
        <w:rPr>
          <w:rFonts w:ascii="Arial" w:eastAsia="Times New Roman" w:hAnsi="Arial" w:cs="Arial"/>
          <w:kern w:val="0"/>
          <w:sz w:val="24"/>
          <w:szCs w:val="24"/>
          <w:lang w:eastAsia="it-IT"/>
          <w14:ligatures w14:val="none"/>
        </w:rPr>
        <w:t>n particolare:</w:t>
      </w:r>
    </w:p>
    <w:p w14:paraId="11936E8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sanzione esecutiva irrogata dall’Autorità garante della concorrenza e del mercato o da altra autorità di settore, rilevante in relazione all’oggetto specifico dell’appalto;</w:t>
      </w:r>
    </w:p>
    <w:p w14:paraId="60033C1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condotta dell’operatore economico che abbia tentato di influenzare indebitamente il processo decisionale della stazione appaltante o di ottenere informazioni riservate a proprio vantaggio oppure che abbia fornito, anche per negligenza, informazioni false o fuorvianti suscettibili di influenzare le decisioni sull’esclusione, la selezione o l’aggiudicazione;</w:t>
      </w:r>
    </w:p>
    <w:p w14:paraId="7724B6B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condotta dell’operatore economico che abbia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p w14:paraId="5682501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condotta dell’operatore economico che abbia commesso grave inadempimento nei confronti di uno o più subappaltatori;</w:t>
      </w:r>
    </w:p>
    <w:p w14:paraId="60475274"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condotta dell’operatore economico che abbia violato il divieto di intestazione fiduciaria di cui all'articolo 17 della legge 19 marzo 1990, n. 55, laddove la violazione non sia stata rimossa;</w:t>
      </w:r>
    </w:p>
    <w:p w14:paraId="2B330CA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f) omessa denuncia all’autorità giudiziaria da parte dell'operatore economico persona offesa dei reati previsti e puniti dagli articoli 317 e 629 del </w:t>
      </w:r>
      <w:proofErr w:type="gramStart"/>
      <w:r w:rsidRPr="00B50687">
        <w:rPr>
          <w:rFonts w:ascii="Arial" w:eastAsia="Times New Roman" w:hAnsi="Arial" w:cs="Arial"/>
          <w:kern w:val="0"/>
          <w:sz w:val="24"/>
          <w:szCs w:val="24"/>
          <w:lang w:eastAsia="it-IT"/>
          <w14:ligatures w14:val="none"/>
        </w:rPr>
        <w:t>codice penale</w:t>
      </w:r>
      <w:proofErr w:type="gramEnd"/>
      <w:r w:rsidRPr="00B50687">
        <w:rPr>
          <w:rFonts w:ascii="Arial" w:eastAsia="Times New Roman" w:hAnsi="Arial" w:cs="Arial"/>
          <w:kern w:val="0"/>
          <w:sz w:val="24"/>
          <w:szCs w:val="24"/>
          <w:lang w:eastAsia="it-IT"/>
          <w14:ligatures w14:val="none"/>
        </w:rPr>
        <w:t xml:space="preserve"> aggravati ai sensi dell’articolo 416-bis.1 del medesimo codice salvo che ricorrano i casi previsti dall'articolo 4, primo comma, della legge 24 novembre 1981, n. 689. Tale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w:t>
      </w:r>
      <w:proofErr w:type="gramStart"/>
      <w:r w:rsidRPr="00B50687">
        <w:rPr>
          <w:rFonts w:ascii="Arial" w:eastAsia="Times New Roman" w:hAnsi="Arial" w:cs="Arial"/>
          <w:kern w:val="0"/>
          <w:sz w:val="24"/>
          <w:szCs w:val="24"/>
          <w:lang w:eastAsia="it-IT"/>
          <w14:ligatures w14:val="none"/>
        </w:rPr>
        <w:t>predetta</w:t>
      </w:r>
      <w:proofErr w:type="gramEnd"/>
      <w:r w:rsidRPr="00B50687">
        <w:rPr>
          <w:rFonts w:ascii="Arial" w:eastAsia="Times New Roman" w:hAnsi="Arial" w:cs="Arial"/>
          <w:kern w:val="0"/>
          <w:sz w:val="24"/>
          <w:szCs w:val="24"/>
          <w:lang w:eastAsia="it-IT"/>
          <w14:ligatures w14:val="none"/>
        </w:rPr>
        <w:t xml:space="preserve"> denuncia, dal procuratore della Repubblica procedente all'ANAC, la quale ne cura la pubblicazione;</w:t>
      </w:r>
    </w:p>
    <w:p w14:paraId="6079145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contestata commissione da parte dell’operatore economico, ovvero dei soggetti di cui al comma 3 dell’articolo 94 di taluno dei reati consumati o tentati di cui al comma 1 del medesimo articolo 94;</w:t>
      </w:r>
    </w:p>
    <w:p w14:paraId="200E5E38"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contestata o accertata commissione, da parte dell’operatore economico oppure dei soggetti di cui al comma 3 dell’articolo 94, di taluno dei seguenti reati consumati:</w:t>
      </w:r>
    </w:p>
    <w:p w14:paraId="4B2415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1) abusivo esercizio di una professione, ai sensi dell’articolo 348 del </w:t>
      </w:r>
      <w:proofErr w:type="gramStart"/>
      <w:r w:rsidRPr="00B50687">
        <w:rPr>
          <w:rFonts w:ascii="Arial" w:eastAsia="Times New Roman" w:hAnsi="Arial" w:cs="Arial"/>
          <w:kern w:val="0"/>
          <w:sz w:val="24"/>
          <w:szCs w:val="24"/>
          <w:lang w:eastAsia="it-IT"/>
          <w14:ligatures w14:val="none"/>
        </w:rPr>
        <w:t>codice penale</w:t>
      </w:r>
      <w:proofErr w:type="gramEnd"/>
      <w:r w:rsidRPr="00B50687">
        <w:rPr>
          <w:rFonts w:ascii="Arial" w:eastAsia="Times New Roman" w:hAnsi="Arial" w:cs="Arial"/>
          <w:kern w:val="0"/>
          <w:sz w:val="24"/>
          <w:szCs w:val="24"/>
          <w:lang w:eastAsia="it-IT"/>
          <w14:ligatures w14:val="none"/>
        </w:rPr>
        <w:t>;</w:t>
      </w:r>
    </w:p>
    <w:p w14:paraId="6CEE1E0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2) bancarotta semplice, bancarotta fraudolenta, omessa dichiarazione di beni da comprendere nell’inventario fallimentare o ricorso abusivo al credito, di cui agli articoli 216, 217, 218 e 220 del regio decreto 16 marzo 1942, n. 267;</w:t>
      </w:r>
    </w:p>
    <w:p w14:paraId="2D54AED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 xml:space="preserve">3) i reati tributari ai sensi del decreto legislativo 10 marzo 2000, n. 74, i delitti societari di cui agli articoli 2621 e seguenti del </w:t>
      </w:r>
      <w:proofErr w:type="gramStart"/>
      <w:r w:rsidRPr="00B50687">
        <w:rPr>
          <w:rFonts w:ascii="Arial" w:eastAsia="Times New Roman" w:hAnsi="Arial" w:cs="Arial"/>
          <w:kern w:val="0"/>
          <w:sz w:val="24"/>
          <w:szCs w:val="24"/>
          <w:lang w:eastAsia="it-IT"/>
          <w14:ligatures w14:val="none"/>
        </w:rPr>
        <w:t>codice civile</w:t>
      </w:r>
      <w:proofErr w:type="gramEnd"/>
      <w:r w:rsidRPr="00B50687">
        <w:rPr>
          <w:rFonts w:ascii="Arial" w:eastAsia="Times New Roman" w:hAnsi="Arial" w:cs="Arial"/>
          <w:kern w:val="0"/>
          <w:sz w:val="24"/>
          <w:szCs w:val="24"/>
          <w:lang w:eastAsia="it-IT"/>
          <w14:ligatures w14:val="none"/>
        </w:rPr>
        <w:t xml:space="preserve"> o i delitti contro l’industria e il commercio di cui agli articoli da 513 a 517 del </w:t>
      </w:r>
      <w:proofErr w:type="gramStart"/>
      <w:r w:rsidRPr="00B50687">
        <w:rPr>
          <w:rFonts w:ascii="Arial" w:eastAsia="Times New Roman" w:hAnsi="Arial" w:cs="Arial"/>
          <w:kern w:val="0"/>
          <w:sz w:val="24"/>
          <w:szCs w:val="24"/>
          <w:lang w:eastAsia="it-IT"/>
          <w14:ligatures w14:val="none"/>
        </w:rPr>
        <w:t>codice penale</w:t>
      </w:r>
      <w:proofErr w:type="gramEnd"/>
      <w:r w:rsidRPr="00B50687">
        <w:rPr>
          <w:rFonts w:ascii="Arial" w:eastAsia="Times New Roman" w:hAnsi="Arial" w:cs="Arial"/>
          <w:kern w:val="0"/>
          <w:sz w:val="24"/>
          <w:szCs w:val="24"/>
          <w:lang w:eastAsia="it-IT"/>
          <w14:ligatures w14:val="none"/>
        </w:rPr>
        <w:t>;</w:t>
      </w:r>
    </w:p>
    <w:p w14:paraId="0126D3AB"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39F540C"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L’esclusione di un operatore economico ai sensi dell’articolo 95, comma 1, lettera e) è disposta e comunicata dalla stazione appaltante quando ricorrono tutte le seguenti condizioni:</w:t>
      </w:r>
    </w:p>
    <w:p w14:paraId="7C9BF1D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elementi sufficienti ad integrare il grave illecito professionale;</w:t>
      </w:r>
    </w:p>
    <w:p w14:paraId="71793B66"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idoneità del grave illecito professionale ad incidere sull’affidabilità e integrità dell’operatore;</w:t>
      </w:r>
    </w:p>
    <w:p w14:paraId="44AF709F"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adeguati mezzi di prova di cui al comma 6.</w:t>
      </w:r>
    </w:p>
    <w:p w14:paraId="03CAFF4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Il comma 6 menzionato prevede, quali mezzi di prova adeguati, in relazione al comma 3:</w:t>
      </w:r>
    </w:p>
    <w:p w14:paraId="6CBE1DF7"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a) quanto alla lettera a), i provvedimenti sanzionatori esecutivi resi dall’Autorità garante della concorrenza e del mercato o da altra autorità di settore;</w:t>
      </w:r>
    </w:p>
    <w:p w14:paraId="47422CBE"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b) quanto alla lettera b), la presenza di indizi gravi, precisi e concordanti che rendano evidente il ricorrere della situazione escludente;</w:t>
      </w:r>
    </w:p>
    <w:p w14:paraId="3D2661F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c) quanto alla lettera c), l’intervenuta risoluzione per inadempimento o la condanna al risarcimento del danno o ad altre conseguenze comparabili;</w:t>
      </w:r>
    </w:p>
    <w:p w14:paraId="01D7243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d) quanto alla lettera d), la emissione di provvedimenti giurisdizionali anche non definitivi;</w:t>
      </w:r>
    </w:p>
    <w:p w14:paraId="24465DB5"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e) quanto alla lettera e), l'accertamento definitivo della violazione;</w:t>
      </w:r>
    </w:p>
    <w:p w14:paraId="347C4173"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f) quanto alla lettera f), gli elementi ivi indicati;</w:t>
      </w:r>
    </w:p>
    <w:p w14:paraId="5AC7FF92" w14:textId="77777777" w:rsidR="00B50687" w:rsidRP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g) quanto alla lettera g), gli atti di cui all’articolo 407-bis, comma 1, del codice di procedura penale, il decreto che dispone il giudizio ai sensi dell’articolo 429 del codice di procedura penale, o eventuali provvedimenti cautelari reali o personali emessi dal giudice penale, la sentenza di condanna non definitiva, il decreto penale di condanna non irrevocabile, la sentenza non irrevocabile di applicazione della pena su richiesta ai sensi dell'articolo 444 del codice di procedura penale;</w:t>
      </w:r>
    </w:p>
    <w:p w14:paraId="19B87A07" w14:textId="519AA567" w:rsidR="00B50687" w:rsidRDefault="00B50687"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50687">
        <w:rPr>
          <w:rFonts w:ascii="Arial" w:eastAsia="Times New Roman" w:hAnsi="Arial" w:cs="Arial"/>
          <w:kern w:val="0"/>
          <w:sz w:val="24"/>
          <w:szCs w:val="24"/>
          <w:lang w:eastAsia="it-IT"/>
          <w14:ligatures w14:val="none"/>
        </w:rPr>
        <w:t>h) quanto alla lettera h), la sentenza di condanna definitiva, il decreto penale di condanna irrevocabile, e la condanna non definitiva, i provvedimenti cautelari reali o personali, ove emessi dal giudice penale.</w:t>
      </w:r>
    </w:p>
    <w:p w14:paraId="52349424" w14:textId="017293D5" w:rsidR="000442C0" w:rsidRDefault="000442C0" w:rsidP="00B50687">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REQUISITI DI ORDINE SPECIALE</w:t>
      </w:r>
    </w:p>
    <w:p w14:paraId="15079A62" w14:textId="0C3BD0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Sono requisiti di ordine speciale:</w:t>
      </w:r>
    </w:p>
    <w:p w14:paraId="0A2254A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l’idoneità professionale;</w:t>
      </w:r>
    </w:p>
    <w:p w14:paraId="62166DDF"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la capacità economica e finanziaria;</w:t>
      </w:r>
    </w:p>
    <w:p w14:paraId="1181F0B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le capacità tecniche e professionali.</w:t>
      </w:r>
    </w:p>
    <w:p w14:paraId="4A8BEB7C" w14:textId="77DEA70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Le stazioni appaltanti richiedono requisiti di partecipazione proporzionati e attinenti all’oggetto dell’appalto.</w:t>
      </w:r>
    </w:p>
    <w:p w14:paraId="111589AD" w14:textId="77777777"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P</w:t>
      </w:r>
      <w:r w:rsidRPr="000442C0">
        <w:rPr>
          <w:rFonts w:ascii="Arial" w:eastAsia="Times New Roman" w:hAnsi="Arial" w:cs="Arial"/>
          <w:kern w:val="0"/>
          <w:sz w:val="24"/>
          <w:szCs w:val="24"/>
          <w:lang w:eastAsia="it-IT"/>
          <w14:ligatures w14:val="none"/>
        </w:rPr>
        <w:t>er le procedure di aggiudicazione di appalti di servizi e forniture le stazioni appaltanti richiedono l’iscrizione nel registro della camera di commercio, industria, artigianato e agricoltura o nel registro delle commissioni provinciali per l’artigianato (le commissioni provinciali per l’artigianato e il relativo registro sono stati soppressi dalle leggi regionali in attuazione della legge 8 agosto 1985 , n. 443, ora l'unica iscrizione è quella al registro delle imprese delle CCIAA - n.d.r.) o presso i competenti ordini professionali per un’attività pertinente anche se non coincidente con l’oggetto dell’appalto.</w:t>
      </w:r>
    </w:p>
    <w:p w14:paraId="4A3124A9" w14:textId="024F5DF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All’operatore economico di altro Stato membro non residente in Italia è richiesto di dichiarare ai sensi del testo unico delle disposizioni legislative e regolamentari in materia di documentazione amministrativa, di essere iscritto in uno dei registri professionali o commerciali di cui all’allegato II.11. In sede di prima applicazione del codice, l’allegato II.11 è abrogato a decorrere dalla data di entrata in vigore di un corrispondente regolamento adottato ai sensi dell’articolo 17, comma 3, della legge 23 agosto 1988, n. 400, con decreto del Presidente del Consiglio dei ministri su proposta del Ministro per gli affari europei, ove nominato, che lo sostituisce integralmente anche in qualità di allegato al codice.</w:t>
      </w:r>
    </w:p>
    <w:p w14:paraId="0874D955" w14:textId="05494495"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Per le procedure di aggiudicazione di appalti di lavori </w:t>
      </w:r>
      <w:r w:rsidRPr="000442C0">
        <w:rPr>
          <w:rFonts w:ascii="Arial" w:eastAsia="Times New Roman" w:hAnsi="Arial" w:cs="Arial"/>
          <w:b/>
          <w:bCs/>
          <w:kern w:val="0"/>
          <w:sz w:val="24"/>
          <w:szCs w:val="24"/>
          <w:lang w:eastAsia="it-IT"/>
          <w14:ligatures w14:val="none"/>
        </w:rPr>
        <w:t>di importo pari o superiore a 150.000 euro</w:t>
      </w:r>
      <w:r w:rsidRPr="000442C0">
        <w:rPr>
          <w:rFonts w:ascii="Arial" w:eastAsia="Times New Roman" w:hAnsi="Arial" w:cs="Arial"/>
          <w:kern w:val="0"/>
          <w:sz w:val="24"/>
          <w:szCs w:val="24"/>
          <w:lang w:eastAsia="it-IT"/>
          <w14:ligatures w14:val="none"/>
        </w:rPr>
        <w:t xml:space="preserve"> le stazioni appaltanti richiedono che gli </w:t>
      </w:r>
      <w:r w:rsidRPr="000442C0">
        <w:rPr>
          <w:rFonts w:ascii="Arial" w:eastAsia="Times New Roman" w:hAnsi="Arial" w:cs="Arial"/>
          <w:color w:val="FF0000"/>
          <w:kern w:val="0"/>
          <w:sz w:val="24"/>
          <w:szCs w:val="24"/>
          <w:lang w:eastAsia="it-IT"/>
          <w14:ligatures w14:val="none"/>
        </w:rPr>
        <w:t>operatori economici siano qualificati</w:t>
      </w:r>
      <w:r w:rsidRPr="000442C0">
        <w:rPr>
          <w:rFonts w:ascii="Arial" w:eastAsia="Times New Roman" w:hAnsi="Arial" w:cs="Arial"/>
          <w:kern w:val="0"/>
          <w:sz w:val="24"/>
          <w:szCs w:val="24"/>
          <w:lang w:eastAsia="it-IT"/>
          <w14:ligatures w14:val="none"/>
        </w:rPr>
        <w:t xml:space="preserve">. </w:t>
      </w:r>
      <w:r w:rsidRPr="000442C0">
        <w:rPr>
          <w:rFonts w:ascii="Arial" w:eastAsia="Times New Roman" w:hAnsi="Arial" w:cs="Arial"/>
          <w:kern w:val="0"/>
          <w:sz w:val="24"/>
          <w:szCs w:val="24"/>
          <w:u w:val="single"/>
          <w:lang w:eastAsia="it-IT"/>
          <w14:ligatures w14:val="none"/>
        </w:rPr>
        <w:t>L’attestazione di qualificazione è rilasciata da organismi di diritto privato autorizzati dall’ANAC.</w:t>
      </w:r>
      <w:r w:rsidRPr="000442C0">
        <w:rPr>
          <w:rFonts w:ascii="Arial" w:eastAsia="Times New Roman" w:hAnsi="Arial" w:cs="Arial"/>
          <w:kern w:val="0"/>
          <w:sz w:val="24"/>
          <w:szCs w:val="24"/>
          <w:lang w:eastAsia="it-IT"/>
          <w14:ligatures w14:val="none"/>
        </w:rPr>
        <w:t xml:space="preserve"> Il sistema di qualificazione per gli esecutori di lavori pubblici, articolato in rapporto alle categorie di opere ed all'importo delle stesse è disciplinato dall’allegato II.12. </w:t>
      </w:r>
    </w:p>
    <w:p w14:paraId="1F1D374C" w14:textId="235A7110"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ottenere o rinnovare l’attestazione di qualificazione gli operatori economici devono:</w:t>
      </w:r>
    </w:p>
    <w:p w14:paraId="0F9D3DF8"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essere iscritti nel registro della camera di commercio, industria, artigianato e agricoltura o nel registro delle commissioni provinciali per l’artigianato o presso i competenti ordini professionali per un’attività, prevista dall’oggetto sociale e compresa nella categoria per la quale è richiesta l’attestazione;</w:t>
      </w:r>
    </w:p>
    <w:p w14:paraId="1E5F03F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non essere incorsi nelle cause di esclusione di cui al Capo II del presente Titolo nel triennio precedente alla data della domanda di rilascio o di rinnovo dell’attestazione di qualificazione;</w:t>
      </w:r>
    </w:p>
    <w:p w14:paraId="3E27453D"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c) essere in possesso di certificazioni di sistemi di qualità conformi alle norme europee e alla vigente normativa nazionale, rilasciate da soggetti accreditati.</w:t>
      </w:r>
    </w:p>
    <w:p w14:paraId="7A11755A" w14:textId="16204768"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L’organismo di attestazione rilascia l’attestazione di qualificazione per la categoria di opere generali o specializzate per l’esecuzione delle quali l’operatore economico risulti essere in possesso di adeguata capacità economica e finanziaria, di adeguata dotazione di attrezzature tecniche e risorse umane, e dispone la classificazione per importi in ragione della documentata pregressa esperienza professionale.</w:t>
      </w:r>
    </w:p>
    <w:p w14:paraId="0ACFF7FB"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64045D2F" w14:textId="4FB70BC9"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Soccorso istruttorio</w:t>
      </w:r>
    </w:p>
    <w:p w14:paraId="1677B376" w14:textId="3B0C910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Salvo che al momento della scadenza del termine per la presentazione dell’offerta il documento sia presente nel fascicolo virtuale dell’operatore economico, la stazione appaltante assegna un termine non inferiore a cinque giorni e non superiore a dieci giorni per:</w:t>
      </w:r>
    </w:p>
    <w:p w14:paraId="09227783"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integrare di ogni elemento mancante la documentazione trasmessa alla stazione appaltante nel termine per la presentazione delle offerte con la domanda di partecipazione alla procedura di gara o con il documento di gara unico europeo, con esclusione della documentazione che compone l’offerta tecnica e l’offerta economica; la mancata presentazione della garanzia provvisoria, del contratto di avvalimento e dell’impegno a conferire mandato collettivo speciale in caso di raggruppamenti di concorrenti non ancora costituiti è sanabile mediante documenti aventi data certa anteriore al termine fissato per la presentazione delle offerte;</w:t>
      </w:r>
    </w:p>
    <w:p w14:paraId="0A4FA02E"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sanare ogni omissione, inesattezza o irregolarità della domanda di partecipazione, del documento di gara unico europeo e di ogni altro documento richiesto dalla stazione appaltante per la partecipazione alla procedura di gara, con esclusione della documentazione che compone l’offerta tecnica e l’offerta economica. Non sono sanabili le omissioni, inesattezze e irregolarità che rendono assolutamente incerta l’identità del concorrente.</w:t>
      </w:r>
    </w:p>
    <w:p w14:paraId="1A7B25B7" w14:textId="1FE0381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che non adempie alle richieste della stazione appaltante nel termine stabilito è escluso dalla procedura di gara.</w:t>
      </w:r>
    </w:p>
    <w:p w14:paraId="41F4A3E9" w14:textId="006F7A34"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può sempre richiedere chiarimenti sui contenuti dell’offerta tecnica e dell’offerta economica e su ogni loro allegato. L’operatore economico è tenuto a fornire risposta nel termine fissato dalla stazione appaltante, che non può essere inferiore a cinque giorni e superiore a dieci giorni. I chiarimenti resi dall’operatore economico non possono modificare il contenuto dell’offerta tecnica e dell’offerta economica.</w:t>
      </w:r>
    </w:p>
    <w:p w14:paraId="15E85695" w14:textId="70805A86"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Fino al giorno fissato per la loro apertura, l’operatore economico, con le stesse modalità di presentazione della domanda di partecipazione, può richiedere la rettifica di un errore materiale contenuto nell’offerta tecnica o nell’offerta economica di cui si sia avveduto dopo la scadenza del termine per la loro presentazione a condizione che la rettifica non comporti la presentazione di una nuova offerta, o comunque la sua modifica sostanziale, e che resti comunque assicurato l’anonimato.</w:t>
      </w:r>
    </w:p>
    <w:p w14:paraId="0D4E447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p>
    <w:p w14:paraId="0D662FFF" w14:textId="186CEB94"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Requisiti di partecipazione a procedure di lavori di rilevante importo</w:t>
      </w:r>
    </w:p>
    <w:p w14:paraId="14E6346E" w14:textId="4AB8425B"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Per gli appalti di lavori di importo pari o superiore ai 20 milioni di euro, oltre ai requisiti di cui all'articolo 100, la stazione appaltante può richiedere requisiti aggiuntivi:</w:t>
      </w:r>
    </w:p>
    <w:p w14:paraId="7541656C"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a) per verificare la capacità economico-finanziaria dell’operatore economico; in tal caso quest’ultimo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in alternativa, la stazione appaltante può richiedere un volume d'affari in lavori pari a due volte l'importo a base di gara, che l’operatore economico deve aver realizzato nei migliori cinque dei dieci anni antecedenti alla data di pubblicazione del bando;</w:t>
      </w:r>
    </w:p>
    <w:p w14:paraId="68DCD831" w14:textId="7777777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b) per verificare la capacità professionale per gli appalti per i quali è richiesta la classifica illimitata; in tal caso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tale requisito si applica solo agli appalti di lavori di importo pari o superiore a 100 milioni di euro.</w:t>
      </w:r>
    </w:p>
    <w:p w14:paraId="7E44D4B5" w14:textId="370C5938" w:rsidR="000442C0" w:rsidRPr="00BE0EA6" w:rsidRDefault="000442C0" w:rsidP="000442C0">
      <w:pPr>
        <w:shd w:val="clear" w:color="auto" w:fill="FFFFFF"/>
        <w:spacing w:after="100" w:afterAutospacing="1" w:line="240" w:lineRule="auto"/>
        <w:rPr>
          <w:rFonts w:ascii="Arial" w:eastAsia="Times New Roman" w:hAnsi="Arial" w:cs="Arial"/>
          <w:b/>
          <w:bCs/>
          <w:kern w:val="0"/>
          <w:sz w:val="24"/>
          <w:szCs w:val="24"/>
          <w:lang w:eastAsia="it-IT"/>
          <w14:ligatures w14:val="none"/>
        </w:rPr>
      </w:pPr>
      <w:r w:rsidRPr="00BE0EA6">
        <w:rPr>
          <w:rFonts w:ascii="Arial" w:eastAsia="Times New Roman" w:hAnsi="Arial" w:cs="Arial"/>
          <w:b/>
          <w:bCs/>
          <w:kern w:val="0"/>
          <w:sz w:val="24"/>
          <w:szCs w:val="24"/>
          <w:lang w:eastAsia="it-IT"/>
          <w14:ligatures w14:val="none"/>
        </w:rPr>
        <w:t>Avvalimento</w:t>
      </w:r>
    </w:p>
    <w:p w14:paraId="0B245FD4" w14:textId="7366626D"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L’avvalimento è il contratto con il quale una o più imprese ausiliarie si obbligano a mettere a disposizione di un operatore economico che concorre in una procedura di gara dotazioni tecniche e risorse umane e strumentali per tutta la durata dell’appalto. Il contratto di avvalimento è concluso in forma scritta a pena di nullità con indicazione specifica delle risorse messe a disposizione dell’operatore economico. Il contratto di avvalimento è normalmente oneroso, salvo che risponda anche a un interesse dell’impresa ausiliaria, e può essere concluso a prescindere dalla natura giuridica dei legami tra le parti.</w:t>
      </w:r>
    </w:p>
    <w:p w14:paraId="0DB20EFE" w14:textId="1BAAA5C7"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concluso per acquisire un requisito necessario alla partecipazione a una procedura di aggiudicazione di un appalto di lavori di importo pari o superiore a euro 150.000, o di un appalto di servizi e forniture, esso ha per oggetto le dotazioni tecniche e le risorse che avrebbero consentito all’operatore economico di ottenere l’attestazione di qualificazione richiesta.</w:t>
      </w:r>
    </w:p>
    <w:p w14:paraId="2F083165" w14:textId="1901D6EC" w:rsidR="000442C0" w:rsidRP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 xml:space="preserve"> Qualora il contratto di avvalimento sia stipulato con impresa ausiliaria in possesso di autorizzazione o altro titolo abilitativo richiesto per la partecipazione alla procedura di aggiudicazione ai sensi dell’articolo 100, comma 3, o con un soggetto in possesso di titoli di studio o professionali necessari all’esecuzione della prestazione oggetto dell’appalto, i lavori o i servizi sono eseguiti direttamente dall’impresa ausiliaria. Si applicano le disposizioni in materia di subappalto.</w:t>
      </w:r>
    </w:p>
    <w:p w14:paraId="21A60DBC" w14:textId="5A593179"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allega alla domanda di partecipazione il contratto di avvalimento in originale o copia autentica, specificando se intende avvalersi delle risorse altrui per acquisire un requisito di partecipazione o per migliorare la propria offerta, e allega, nel caso di cui al comma 2, la certificazione rilasciata dalla SOA o dall’ANAC</w:t>
      </w:r>
    </w:p>
    <w:p w14:paraId="4F28493B" w14:textId="7E4B667B" w:rsidR="00BE0EA6" w:rsidRPr="000442C0" w:rsidRDefault="000442C0" w:rsidP="00BE0EA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La stazione appaltante verifica se l’impresa ausiliaria è in possesso dei requisiti dichiarati</w:t>
      </w:r>
      <w:r w:rsidR="00BE0EA6">
        <w:rPr>
          <w:rFonts w:ascii="Arial" w:eastAsia="Times New Roman" w:hAnsi="Arial" w:cs="Arial"/>
          <w:kern w:val="0"/>
          <w:sz w:val="24"/>
          <w:szCs w:val="24"/>
          <w:lang w:eastAsia="it-IT"/>
          <w14:ligatures w14:val="none"/>
        </w:rPr>
        <w:t xml:space="preserve"> </w:t>
      </w:r>
    </w:p>
    <w:p w14:paraId="06858471" w14:textId="3F67C5A8" w:rsidR="000442C0" w:rsidRDefault="000442C0"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0442C0">
        <w:rPr>
          <w:rFonts w:ascii="Arial" w:eastAsia="Times New Roman" w:hAnsi="Arial" w:cs="Arial"/>
          <w:kern w:val="0"/>
          <w:sz w:val="24"/>
          <w:szCs w:val="24"/>
          <w:lang w:eastAsia="it-IT"/>
          <w14:ligatures w14:val="none"/>
        </w:rPr>
        <w:t>L’operatore economico e l'impresa ausiliaria sono responsabili in solido nei confronti della stazione appaltante in relazione alle prestazioni oggetto del contratto. Gli obblighi previsti dalla normativa antimafia a carico dell’operatore economico si applicano anche nei confronti del soggetto ausiliario, in ragione dell'importo dell'appalto posto a base di gara.</w:t>
      </w:r>
    </w:p>
    <w:p w14:paraId="6D4ABFE0" w14:textId="568DB392" w:rsidR="00127C6D" w:rsidRDefault="00127C6D" w:rsidP="000442C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CONFLITTO DI INTERESSI ART 16</w:t>
      </w:r>
    </w:p>
    <w:p w14:paraId="46F35C1B" w14:textId="757A870F"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Si ha conflitto di interessi quando un soggetto che, a qualsiasi titolo, interviene con compiti funzionali nella procedura di aggiudicazione o nella fase di esecuzione degli appalti o delle concessioni e ne può influenzare, in qualsiasi modo, il risultato, gli esiti e la gestione, ha direttamente o indirettamente un interesse finanziario, economico o altro interesse personale che può essere percepito come una minaccia alla sua imparzialità e indipendenza nel contesto della procedura di aggiudicazione o nella fase di esecuzione.</w:t>
      </w:r>
    </w:p>
    <w:p w14:paraId="124F3E4D" w14:textId="44D86D13"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In coerenza con il principio della fiducia e per preservare la funzionalità dell’azione amministrativa, la percepita minaccia all’imparzialità e indipendenza deve essere provata da chi invoca il conflitto sulla base di presupposti specifici e documentati e deve riferirsi a interessi effettivi, la cui soddisfazione sia conseguibile solo subordinando un interesse all’altro.</w:t>
      </w:r>
    </w:p>
    <w:p w14:paraId="30C3CFC2" w14:textId="3A2168F9" w:rsidR="00127C6D" w:rsidRP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 xml:space="preserve">Il personale che versa nelle ipotesi di </w:t>
      </w:r>
      <w:r>
        <w:rPr>
          <w:rFonts w:ascii="Arial" w:eastAsia="Times New Roman" w:hAnsi="Arial" w:cs="Arial"/>
          <w:kern w:val="0"/>
          <w:sz w:val="24"/>
          <w:szCs w:val="24"/>
          <w:lang w:eastAsia="it-IT"/>
          <w14:ligatures w14:val="none"/>
        </w:rPr>
        <w:t>conflitto di interessi</w:t>
      </w:r>
      <w:r w:rsidRPr="00127C6D">
        <w:rPr>
          <w:rFonts w:ascii="Arial" w:eastAsia="Times New Roman" w:hAnsi="Arial" w:cs="Arial"/>
          <w:kern w:val="0"/>
          <w:sz w:val="24"/>
          <w:szCs w:val="24"/>
          <w:lang w:eastAsia="it-IT"/>
          <w14:ligatures w14:val="none"/>
        </w:rPr>
        <w:t xml:space="preserve"> ne dà comunicazione alla stazione appaltante o all’ente concedente e si astiene dal partecipare alla procedura di aggiudicazione e all’esecuzione.</w:t>
      </w:r>
    </w:p>
    <w:p w14:paraId="406B8868" w14:textId="4B3FB220" w:rsidR="00127C6D" w:rsidRDefault="00127C6D"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sidRPr="00127C6D">
        <w:rPr>
          <w:rFonts w:ascii="Arial" w:eastAsia="Times New Roman" w:hAnsi="Arial" w:cs="Arial"/>
          <w:kern w:val="0"/>
          <w:sz w:val="24"/>
          <w:szCs w:val="24"/>
          <w:lang w:eastAsia="it-IT"/>
          <w14:ligatures w14:val="none"/>
        </w:rPr>
        <w:t xml:space="preserve">Le stazioni appaltanti adottano misure adeguate </w:t>
      </w:r>
      <w:proofErr w:type="gramStart"/>
      <w:r w:rsidRPr="00127C6D">
        <w:rPr>
          <w:rFonts w:ascii="Arial" w:eastAsia="Times New Roman" w:hAnsi="Arial" w:cs="Arial"/>
          <w:kern w:val="0"/>
          <w:sz w:val="24"/>
          <w:szCs w:val="24"/>
          <w:lang w:eastAsia="it-IT"/>
          <w14:ligatures w14:val="none"/>
        </w:rPr>
        <w:t>per</w:t>
      </w:r>
      <w:proofErr w:type="gramEnd"/>
      <w:r w:rsidRPr="00127C6D">
        <w:rPr>
          <w:rFonts w:ascii="Arial" w:eastAsia="Times New Roman" w:hAnsi="Arial" w:cs="Arial"/>
          <w:kern w:val="0"/>
          <w:sz w:val="24"/>
          <w:szCs w:val="24"/>
          <w:lang w:eastAsia="it-IT"/>
          <w14:ligatures w14:val="none"/>
        </w:rPr>
        <w:t xml:space="preserve"> individuare, prevenire e risolvere in modo efficace ogni ipotesi di conflitto di interesse nello svolgimento delle procedure di aggiudicazione ed esecuzione degli appalti e delle concessioni e vigilano affinché gli adempimenti di cui al comma 3 siano rispettati.</w:t>
      </w:r>
    </w:p>
    <w:p w14:paraId="68D37ADE" w14:textId="76C5E9E7" w:rsidR="00951DF0" w:rsidRDefault="00951DF0" w:rsidP="00127C6D">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SEGNALI DI FUMO</w:t>
      </w:r>
    </w:p>
    <w:p w14:paraId="2D0CBC14" w14:textId="18E4B4C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Ecco una sintesi degli articoli da 1 a 12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(Codice dei contratti pubblici), così come previsto nella versione base del decreto (testo originario pubblicato in Gazzetta Ufficiale) e aggiornato per l’interpretazione corrente (tenendo presente che alcuni articoli sono stati modificati dal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209/2024 e altri interventi successivi). </w:t>
      </w:r>
    </w:p>
    <w:p w14:paraId="77D26F22" w14:textId="686A497E"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 – Principio del risultato</w:t>
      </w:r>
    </w:p>
    <w:p w14:paraId="61401A9B" w14:textId="77777777"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La stazione appaltante e gli enti concedenti devono perseguire il risultato dell’affidamento e dell’esecuzione del contratto con la massima tempestività e il miglior rapporto tra qualità e prezzo, nel rispetto dei principi di legalità, trasparenza e concorrenza. </w:t>
      </w:r>
    </w:p>
    <w:p w14:paraId="57801A9A"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Nel nuovo quadro normativo, il principio di risultato significa che tutta l’attività di programmazione, affidamento ed esecuzione dei contratti pubblici deve essere orientata a:</w:t>
      </w:r>
    </w:p>
    <w:p w14:paraId="67F10F35" w14:textId="06C0E345"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 conseguire il risultato migliore possibile per la </w:t>
      </w:r>
      <w:proofErr w:type="spellStart"/>
      <w:proofErr w:type="gramStart"/>
      <w:r w:rsidRPr="00951DF0">
        <w:rPr>
          <w:rFonts w:ascii="Arial" w:eastAsia="Times New Roman" w:hAnsi="Arial" w:cs="Arial"/>
          <w:kern w:val="0"/>
          <w:sz w:val="24"/>
          <w:szCs w:val="24"/>
          <w:lang w:eastAsia="it-IT"/>
          <w14:ligatures w14:val="none"/>
        </w:rPr>
        <w:t>collettività,in</w:t>
      </w:r>
      <w:proofErr w:type="spellEnd"/>
      <w:proofErr w:type="gramEnd"/>
      <w:r w:rsidRPr="00951DF0">
        <w:rPr>
          <w:rFonts w:ascii="Arial" w:eastAsia="Times New Roman" w:hAnsi="Arial" w:cs="Arial"/>
          <w:kern w:val="0"/>
          <w:sz w:val="24"/>
          <w:szCs w:val="24"/>
          <w:lang w:eastAsia="it-IT"/>
          <w14:ligatures w14:val="none"/>
        </w:rPr>
        <w:t xml:space="preserve"> termini di tempi, qualità, costi e valore generato.</w:t>
      </w:r>
    </w:p>
    <w:p w14:paraId="25E58EF3" w14:textId="729D854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Non basta cioè rispettare formalmente la procedura:</w:t>
      </w:r>
      <w:r>
        <w:rPr>
          <w:rFonts w:ascii="Arial" w:eastAsia="Times New Roman" w:hAnsi="Arial" w:cs="Arial"/>
          <w:kern w:val="0"/>
          <w:sz w:val="24"/>
          <w:szCs w:val="24"/>
          <w:lang w:eastAsia="it-IT"/>
          <w14:ligatures w14:val="none"/>
        </w:rPr>
        <w:t xml:space="preserve"> </w:t>
      </w:r>
      <w:r w:rsidRPr="00951DF0">
        <w:rPr>
          <w:rFonts w:ascii="Arial" w:eastAsia="Times New Roman" w:hAnsi="Arial" w:cs="Arial"/>
          <w:kern w:val="0"/>
          <w:sz w:val="24"/>
          <w:szCs w:val="24"/>
          <w:lang w:eastAsia="it-IT"/>
          <w14:ligatures w14:val="none"/>
        </w:rPr>
        <w:t>ciò che conta è che l’opera, il servizio o la fornitura produca un beneficio effettivo.</w:t>
      </w:r>
    </w:p>
    <w:p w14:paraId="0755C4B0"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La stazione appaltante deve dare priorità a:</w:t>
      </w:r>
    </w:p>
    <w:p w14:paraId="13F50D26"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qualità dell’opera/servizio,</w:t>
      </w:r>
    </w:p>
    <w:p w14:paraId="7828A923"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contenimento dei tempi,</w:t>
      </w:r>
    </w:p>
    <w:p w14:paraId="179138BF"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sostenibilità economica e ambientale,</w:t>
      </w:r>
    </w:p>
    <w:p w14:paraId="1DA23077"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impatto sulla collettività.</w:t>
      </w:r>
    </w:p>
    <w:p w14:paraId="6CD5003D" w14:textId="2320C3B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RUP e gli uffici tecnici devono operare con maggiore autonomia e responsabilità, prendendo decisioni motivate e orientate al risultato, anche scegliendo la soluzione più semplice ed efficiente.</w:t>
      </w:r>
    </w:p>
    <w:p w14:paraId="25828684"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Il principio giustifica procedure più snelle e minor formalismo, purché orientate al buon esito.</w:t>
      </w:r>
    </w:p>
    <w:p w14:paraId="7DD1B11B"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L’art. 1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stabilisce che:</w:t>
      </w:r>
    </w:p>
    <w:p w14:paraId="1CE7336C" w14:textId="5603090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l’intero codice è volto a “favorire il risultato migliore per la collettività”</w:t>
      </w:r>
      <w:r>
        <w:rPr>
          <w:rFonts w:ascii="Arial" w:eastAsia="Times New Roman" w:hAnsi="Arial" w:cs="Arial"/>
          <w:kern w:val="0"/>
          <w:sz w:val="24"/>
          <w:szCs w:val="24"/>
          <w:lang w:eastAsia="it-IT"/>
          <w14:ligatures w14:val="none"/>
        </w:rPr>
        <w:t xml:space="preserve"> </w:t>
      </w:r>
      <w:r w:rsidRPr="00951DF0">
        <w:rPr>
          <w:rFonts w:ascii="Arial" w:eastAsia="Times New Roman" w:hAnsi="Arial" w:cs="Arial"/>
          <w:kern w:val="0"/>
          <w:sz w:val="24"/>
          <w:szCs w:val="24"/>
          <w:lang w:eastAsia="it-IT"/>
          <w14:ligatures w14:val="none"/>
        </w:rPr>
        <w:t>attraverso procedure efficienti, trasparenti e tempestive.</w:t>
      </w:r>
    </w:p>
    <w:p w14:paraId="3145AFEA"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Il risultato è quindi un criterio </w:t>
      </w:r>
      <w:proofErr w:type="spellStart"/>
      <w:r w:rsidRPr="00951DF0">
        <w:rPr>
          <w:rFonts w:ascii="Arial" w:eastAsia="Times New Roman" w:hAnsi="Arial" w:cs="Arial"/>
          <w:kern w:val="0"/>
          <w:sz w:val="24"/>
          <w:szCs w:val="24"/>
          <w:lang w:eastAsia="it-IT"/>
          <w14:ligatures w14:val="none"/>
        </w:rPr>
        <w:t>metanormativo</w:t>
      </w:r>
      <w:proofErr w:type="spellEnd"/>
      <w:r w:rsidRPr="00951DF0">
        <w:rPr>
          <w:rFonts w:ascii="Arial" w:eastAsia="Times New Roman" w:hAnsi="Arial" w:cs="Arial"/>
          <w:kern w:val="0"/>
          <w:sz w:val="24"/>
          <w:szCs w:val="24"/>
          <w:lang w:eastAsia="it-IT"/>
          <w14:ligatures w14:val="none"/>
        </w:rPr>
        <w:t>, che guida l’interpretazione di tutte le altre norme del Codice.</w:t>
      </w:r>
    </w:p>
    <w:p w14:paraId="49971263" w14:textId="25350BA1"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In fase di esecuzione dell’appalto</w:t>
      </w:r>
    </w:p>
    <w:p w14:paraId="4C387B3C"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Nel contratto di appalto (sia pubblico sia privato), la prestazione dell’appaltatore è considerata un’obbligazione di risultato:</w:t>
      </w:r>
    </w:p>
    <w:p w14:paraId="2DDC87FC"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l’appaltatore deve consegnare l’opera finita e conforme a quanto previsto nel contratto e nel capitolato.</w:t>
      </w:r>
    </w:p>
    <w:p w14:paraId="29FA92D6" w14:textId="0B19223C" w:rsidR="00951DF0" w:rsidRPr="002305DE" w:rsidRDefault="00951DF0" w:rsidP="002305DE">
      <w:pPr>
        <w:pStyle w:val="Paragrafoelenco"/>
        <w:numPr>
          <w:ilvl w:val="0"/>
          <w:numId w:val="45"/>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Art. 2 – Principio della fiducia</w:t>
      </w:r>
    </w:p>
    <w:p w14:paraId="122B5750" w14:textId="77777777" w:rsidR="00796448" w:rsidRPr="002305DE" w:rsidRDefault="00951DF0" w:rsidP="002305DE">
      <w:pPr>
        <w:pStyle w:val="Paragrafoelenco"/>
        <w:numPr>
          <w:ilvl w:val="0"/>
          <w:numId w:val="45"/>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 xml:space="preserve">L’azione nel settore dei contratti pubblici si basa sul principio della reciproca fiducia tra amministrazione, funzionari e operatori economici. Favorisce autonomia decisionale e responsabilità nel perseguire il risultato, e disciplina aspetti rilevanti anche per la responsabilità amministrativa. </w:t>
      </w:r>
      <w:r w:rsidR="00796448" w:rsidRPr="002305DE">
        <w:rPr>
          <w:rFonts w:ascii="Arial" w:eastAsia="Times New Roman" w:hAnsi="Arial" w:cs="Arial"/>
          <w:kern w:val="0"/>
          <w:sz w:val="24"/>
          <w:szCs w:val="24"/>
          <w:lang w:eastAsia="it-IT"/>
          <w14:ligatures w14:val="none"/>
        </w:rPr>
        <w:t>Il principio della fiducia significa che la Pubblica Amministrazione deve operare presumendo la correttezza, la buona fede e la professionalità:</w:t>
      </w:r>
    </w:p>
    <w:p w14:paraId="48454CC6" w14:textId="77777777" w:rsidR="00796448" w:rsidRPr="00796448" w:rsidRDefault="00796448" w:rsidP="00796448">
      <w:pPr>
        <w:pStyle w:val="Paragrafoelenco"/>
        <w:numPr>
          <w:ilvl w:val="0"/>
          <w:numId w:val="43"/>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dei funzionari e delle stazioni appaltanti</w:t>
      </w:r>
    </w:p>
    <w:p w14:paraId="6283AF65" w14:textId="77777777" w:rsidR="00796448" w:rsidRDefault="00796448" w:rsidP="00796448">
      <w:pPr>
        <w:pStyle w:val="Paragrafoelenco"/>
        <w:numPr>
          <w:ilvl w:val="0"/>
          <w:numId w:val="43"/>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degli operatori economici (imprese partecipanti)</w:t>
      </w:r>
    </w:p>
    <w:p w14:paraId="4C6A0CE9" w14:textId="77777777"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 funzionari possono scegliere la soluzione più efficiente senza timore di responsabilità “paralizzanti”, purché motivata.</w:t>
      </w:r>
    </w:p>
    <w:p w14:paraId="5EDDD3E7" w14:textId="7998F544"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796448">
        <w:rPr>
          <w:rFonts w:ascii="Arial" w:eastAsia="Times New Roman" w:hAnsi="Arial" w:cs="Arial"/>
          <w:kern w:val="0"/>
          <w:sz w:val="24"/>
          <w:szCs w:val="24"/>
          <w:lang w:eastAsia="it-IT"/>
          <w14:ligatures w14:val="none"/>
        </w:rPr>
        <w:t>a PA deve fidarsi delle competenze dei tecnici, dei RUP e dei dirigenti.</w:t>
      </w:r>
    </w:p>
    <w:p w14:paraId="0B36E4F7" w14:textId="77777777"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Il principio della fiducia è stato introdotto anche per contrastare l’eccessiva prudenza dei funzionari causata dal rischio di responsabilità erariale o penale.</w:t>
      </w:r>
    </w:p>
    <w:p w14:paraId="1727B8FB" w14:textId="5E4234AA" w:rsidR="00796448" w:rsidRPr="00796448"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Il principio della fiducia abilita il principio del risultato.</w:t>
      </w:r>
    </w:p>
    <w:p w14:paraId="05871632" w14:textId="417001DE" w:rsidR="00951DF0" w:rsidRPr="00951DF0" w:rsidRDefault="00796448" w:rsidP="00796448">
      <w:pPr>
        <w:shd w:val="clear" w:color="auto" w:fill="FFFFFF"/>
        <w:spacing w:after="100" w:afterAutospacing="1" w:line="240" w:lineRule="auto"/>
        <w:rPr>
          <w:rFonts w:ascii="Arial" w:eastAsia="Times New Roman" w:hAnsi="Arial" w:cs="Arial"/>
          <w:kern w:val="0"/>
          <w:sz w:val="24"/>
          <w:szCs w:val="24"/>
          <w:lang w:eastAsia="it-IT"/>
          <w14:ligatures w14:val="none"/>
        </w:rPr>
      </w:pPr>
      <w:r w:rsidRPr="00796448">
        <w:rPr>
          <w:rFonts w:ascii="Arial" w:eastAsia="Times New Roman" w:hAnsi="Arial" w:cs="Arial"/>
          <w:kern w:val="0"/>
          <w:sz w:val="24"/>
          <w:szCs w:val="24"/>
          <w:lang w:eastAsia="it-IT"/>
          <w14:ligatures w14:val="none"/>
        </w:rPr>
        <w:t>Non è più ammessa una logica basata sul sospetto, sull’eccesso di controlli formali o sull’interpretazione restrittiva.</w:t>
      </w:r>
    </w:p>
    <w:p w14:paraId="1F56A36F" w14:textId="2D249FC6"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3 – Principio dell’accesso al mercato</w:t>
      </w:r>
    </w:p>
    <w:p w14:paraId="00FEC16C" w14:textId="63147B0B"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S</w:t>
      </w:r>
      <w:r w:rsidRPr="00951DF0">
        <w:rPr>
          <w:rFonts w:ascii="Arial" w:eastAsia="Times New Roman" w:hAnsi="Arial" w:cs="Arial"/>
          <w:kern w:val="0"/>
          <w:sz w:val="24"/>
          <w:szCs w:val="24"/>
          <w:lang w:eastAsia="it-IT"/>
          <w14:ligatures w14:val="none"/>
        </w:rPr>
        <w:t xml:space="preserve">i richiede alle stazioni appaltanti e agli enti concedenti di favorire l’accesso al mercato degli operatori economici, nel rispetto dei principi di concorrenza, imparzialità, non discriminazione, pubblicità, trasparenza e proporzionalità. </w:t>
      </w:r>
    </w:p>
    <w:p w14:paraId="1EEC34AA"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Il principio dell’accesso al mercato afferma che tutti gli operatori economici devono poter partecipare liberamente alle attività economiche e ai mercati senza discriminazioni, barriere ingiustificate o ostacoli non proporzionati.</w:t>
      </w:r>
    </w:p>
    <w:p w14:paraId="66AD1ECB"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È un principio cardine della concorrenza e della libertà d’impresa.</w:t>
      </w:r>
    </w:p>
    <w:p w14:paraId="02F7B492" w14:textId="1F3558F8"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Le regole devono consentire a tutti gli operatori, nazionali e stranieri, di accedere al mercato in modo equo</w:t>
      </w:r>
      <w:r>
        <w:rPr>
          <w:rFonts w:ascii="Arial" w:eastAsia="Times New Roman" w:hAnsi="Arial" w:cs="Arial"/>
          <w:kern w:val="0"/>
          <w:sz w:val="24"/>
          <w:szCs w:val="24"/>
          <w:lang w:eastAsia="it-IT"/>
          <w14:ligatures w14:val="none"/>
        </w:rPr>
        <w:t xml:space="preserve"> e </w:t>
      </w:r>
      <w:r w:rsidRPr="002305DE">
        <w:rPr>
          <w:rFonts w:ascii="Arial" w:eastAsia="Times New Roman" w:hAnsi="Arial" w:cs="Arial"/>
          <w:kern w:val="0"/>
          <w:sz w:val="24"/>
          <w:szCs w:val="24"/>
          <w:lang w:eastAsia="it-IT"/>
          <w14:ligatures w14:val="none"/>
        </w:rPr>
        <w:t>Non sono ammesse restrizioni arbitrarie, come requisiti sproporzionati, ostacoli amministrativi eccessivi o trattamenti preferenziali.</w:t>
      </w:r>
    </w:p>
    <w:p w14:paraId="6A11DA86"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Eventuali limitazioni all’accesso devono essere:</w:t>
      </w:r>
    </w:p>
    <w:p w14:paraId="793593E3"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necessarie</w:t>
      </w:r>
    </w:p>
    <w:p w14:paraId="57B89B7D"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adeguate</w:t>
      </w:r>
    </w:p>
    <w:p w14:paraId="790AAF02" w14:textId="77777777" w:rsidR="002305DE" w:rsidRPr="002305DE" w:rsidRDefault="002305DE" w:rsidP="002305DE">
      <w:pPr>
        <w:pStyle w:val="Paragrafoelenco"/>
        <w:numPr>
          <w:ilvl w:val="0"/>
          <w:numId w:val="44"/>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proporzionate allo scopo pubblico perseguito (es. sicurezza, tutela consumatori, ambiente).</w:t>
      </w:r>
    </w:p>
    <w:p w14:paraId="50261458" w14:textId="353F67CC" w:rsidR="002305DE" w:rsidRPr="00951DF0"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Garantire l’accesso al mercato favorisce</w:t>
      </w:r>
      <w:r>
        <w:rPr>
          <w:rFonts w:ascii="Arial" w:eastAsia="Times New Roman" w:hAnsi="Arial" w:cs="Arial"/>
          <w:kern w:val="0"/>
          <w:sz w:val="24"/>
          <w:szCs w:val="24"/>
          <w:lang w:eastAsia="it-IT"/>
          <w14:ligatures w14:val="none"/>
        </w:rPr>
        <w:t xml:space="preserve"> la </w:t>
      </w:r>
      <w:r w:rsidRPr="002305DE">
        <w:rPr>
          <w:rFonts w:ascii="Arial" w:eastAsia="Times New Roman" w:hAnsi="Arial" w:cs="Arial"/>
          <w:kern w:val="0"/>
          <w:sz w:val="24"/>
          <w:szCs w:val="24"/>
          <w:lang w:eastAsia="it-IT"/>
          <w14:ligatures w14:val="none"/>
        </w:rPr>
        <w:t>concorrenza effettiva</w:t>
      </w:r>
      <w:r>
        <w:rPr>
          <w:rFonts w:ascii="Arial" w:eastAsia="Times New Roman" w:hAnsi="Arial" w:cs="Arial"/>
          <w:kern w:val="0"/>
          <w:sz w:val="24"/>
          <w:szCs w:val="24"/>
          <w:lang w:eastAsia="it-IT"/>
          <w14:ligatures w14:val="none"/>
        </w:rPr>
        <w:t xml:space="preserve">, </w:t>
      </w:r>
      <w:r w:rsidRPr="002305DE">
        <w:rPr>
          <w:rFonts w:ascii="Arial" w:eastAsia="Times New Roman" w:hAnsi="Arial" w:cs="Arial"/>
          <w:kern w:val="0"/>
          <w:sz w:val="24"/>
          <w:szCs w:val="24"/>
          <w:lang w:eastAsia="it-IT"/>
          <w14:ligatures w14:val="none"/>
        </w:rPr>
        <w:t>efficienza economica</w:t>
      </w:r>
      <w:r>
        <w:rPr>
          <w:rFonts w:ascii="Arial" w:eastAsia="Times New Roman" w:hAnsi="Arial" w:cs="Arial"/>
          <w:kern w:val="0"/>
          <w:sz w:val="24"/>
          <w:szCs w:val="24"/>
          <w:lang w:eastAsia="it-IT"/>
          <w14:ligatures w14:val="none"/>
        </w:rPr>
        <w:t xml:space="preserve"> e </w:t>
      </w:r>
      <w:r w:rsidRPr="002305DE">
        <w:rPr>
          <w:rFonts w:ascii="Arial" w:eastAsia="Times New Roman" w:hAnsi="Arial" w:cs="Arial"/>
          <w:kern w:val="0"/>
          <w:sz w:val="24"/>
          <w:szCs w:val="24"/>
          <w:lang w:eastAsia="it-IT"/>
          <w14:ligatures w14:val="none"/>
        </w:rPr>
        <w:t>innovazione</w:t>
      </w:r>
      <w:r>
        <w:rPr>
          <w:rFonts w:ascii="Arial" w:eastAsia="Times New Roman" w:hAnsi="Arial" w:cs="Arial"/>
          <w:kern w:val="0"/>
          <w:sz w:val="24"/>
          <w:szCs w:val="24"/>
          <w:lang w:eastAsia="it-IT"/>
          <w14:ligatures w14:val="none"/>
        </w:rPr>
        <w:t xml:space="preserve"> e la </w:t>
      </w:r>
      <w:r w:rsidRPr="002305DE">
        <w:rPr>
          <w:rFonts w:ascii="Arial" w:eastAsia="Times New Roman" w:hAnsi="Arial" w:cs="Arial"/>
          <w:kern w:val="0"/>
          <w:sz w:val="24"/>
          <w:szCs w:val="24"/>
          <w:lang w:eastAsia="it-IT"/>
          <w14:ligatures w14:val="none"/>
        </w:rPr>
        <w:t>tutela dei consumatori</w:t>
      </w:r>
    </w:p>
    <w:p w14:paraId="3044B552" w14:textId="23C1322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4 – Criterio interpretativo e applicativo</w:t>
      </w:r>
    </w:p>
    <w:p w14:paraId="586ACD67"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Le norme del Codice si interpretano e applicano tenendo conto dei principi di cui agli articoli 1, 2 e 3 (risultato, fiducia e accesso al mercato). </w:t>
      </w:r>
    </w:p>
    <w:p w14:paraId="7128A079" w14:textId="6CD26DE2"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5 – Principi di buona fede e di tutela dell’affidamento</w:t>
      </w:r>
    </w:p>
    <w:p w14:paraId="49D32378" w14:textId="77777777"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In tutte le fasi dei contratti pubblici, le stazioni appaltanti, gli enti concedenti e gli operatori economici si devono comportare secondo buona fede e nel rispetto dell’affidamento legittimo delle parti (per esempio, tutela dell’affidamento delle offerte e dei comportamenti amministrativi). </w:t>
      </w:r>
    </w:p>
    <w:p w14:paraId="71017802"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Gli appalti pubblici, essendo rapporti tra pubblica amministrazione (PA) e operatori economici, richiedono comportamenti corretti, trasparenti e prevedibili. I due principi giocano un ruolo cruciale nell’assicurare equità e certezza nei procedimenti di gara.</w:t>
      </w:r>
    </w:p>
    <w:p w14:paraId="3C661A50"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1. Principio di buona fede</w:t>
      </w:r>
    </w:p>
    <w:p w14:paraId="46E2571A" w14:textId="70F3E956"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Tutti gli attori devono agire con lealtà, correttezza e trasparenza.</w:t>
      </w:r>
      <w:r w:rsidR="00CA0176">
        <w:rPr>
          <w:rFonts w:ascii="Arial" w:eastAsia="Times New Roman" w:hAnsi="Arial" w:cs="Arial"/>
          <w:kern w:val="0"/>
          <w:sz w:val="24"/>
          <w:szCs w:val="24"/>
          <w:lang w:eastAsia="it-IT"/>
          <w14:ligatures w14:val="none"/>
        </w:rPr>
        <w:t xml:space="preserve"> </w:t>
      </w:r>
      <w:r w:rsidRPr="002305DE">
        <w:rPr>
          <w:rFonts w:ascii="Arial" w:eastAsia="Times New Roman" w:hAnsi="Arial" w:cs="Arial"/>
          <w:kern w:val="0"/>
          <w:sz w:val="24"/>
          <w:szCs w:val="24"/>
          <w:lang w:eastAsia="it-IT"/>
          <w14:ligatures w14:val="none"/>
        </w:rPr>
        <w:t xml:space="preserve">Impone alla PA di gestire le gare senza comportamenti opportunistici o </w:t>
      </w:r>
      <w:proofErr w:type="spellStart"/>
      <w:r w:rsidRPr="002305DE">
        <w:rPr>
          <w:rFonts w:ascii="Arial" w:eastAsia="Times New Roman" w:hAnsi="Arial" w:cs="Arial"/>
          <w:kern w:val="0"/>
          <w:sz w:val="24"/>
          <w:szCs w:val="24"/>
          <w:lang w:eastAsia="it-IT"/>
          <w14:ligatures w14:val="none"/>
        </w:rPr>
        <w:t>arbitrarî</w:t>
      </w:r>
      <w:proofErr w:type="spellEnd"/>
      <w:r w:rsidRPr="002305DE">
        <w:rPr>
          <w:rFonts w:ascii="Arial" w:eastAsia="Times New Roman" w:hAnsi="Arial" w:cs="Arial"/>
          <w:kern w:val="0"/>
          <w:sz w:val="24"/>
          <w:szCs w:val="24"/>
          <w:lang w:eastAsia="it-IT"/>
          <w14:ligatures w14:val="none"/>
        </w:rPr>
        <w:t>.</w:t>
      </w:r>
    </w:p>
    <w:p w14:paraId="711B320A"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2. Principio di tutela dell’affidamento</w:t>
      </w:r>
    </w:p>
    <w:p w14:paraId="33B55287"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Gli operatori economici devono poter fare affidamento ragionevolmente sulle dichiarazioni e comportamenti della PA.</w:t>
      </w:r>
    </w:p>
    <w:p w14:paraId="00C53BCD"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Garantisce la stabilità e prevedibilità del procedimento di gara.</w:t>
      </w:r>
    </w:p>
    <w:p w14:paraId="2708019D"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La buona fede impone alla PA e agli operatori di comportarsi correttamente.</w:t>
      </w:r>
    </w:p>
    <w:p w14:paraId="25F3C25E" w14:textId="77777777" w:rsidR="002305DE" w:rsidRPr="002305DE" w:rsidRDefault="002305DE" w:rsidP="002305DE">
      <w:pPr>
        <w:shd w:val="clear" w:color="auto" w:fill="FFFFFF"/>
        <w:spacing w:after="100" w:afterAutospacing="1" w:line="240" w:lineRule="auto"/>
        <w:rPr>
          <w:rFonts w:ascii="Arial" w:eastAsia="Times New Roman" w:hAnsi="Arial" w:cs="Arial"/>
          <w:kern w:val="0"/>
          <w:sz w:val="24"/>
          <w:szCs w:val="24"/>
          <w:lang w:eastAsia="it-IT"/>
          <w14:ligatures w14:val="none"/>
        </w:rPr>
      </w:pPr>
      <w:r w:rsidRPr="002305DE">
        <w:rPr>
          <w:rFonts w:ascii="Arial" w:eastAsia="Times New Roman" w:hAnsi="Arial" w:cs="Arial"/>
          <w:kern w:val="0"/>
          <w:sz w:val="24"/>
          <w:szCs w:val="24"/>
          <w:lang w:eastAsia="it-IT"/>
          <w14:ligatures w14:val="none"/>
        </w:rPr>
        <w:t>La tutela dell’affidamento protegge chi ha fatto affidamento ragionevole e lecito sulle regole e sulle comunicazioni della PA.</w:t>
      </w:r>
    </w:p>
    <w:p w14:paraId="1AB87513" w14:textId="57FCAC0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A</w:t>
      </w:r>
      <w:r w:rsidRPr="00951DF0">
        <w:rPr>
          <w:rFonts w:ascii="Arial" w:eastAsia="Times New Roman" w:hAnsi="Arial" w:cs="Arial"/>
          <w:kern w:val="0"/>
          <w:sz w:val="24"/>
          <w:szCs w:val="24"/>
          <w:lang w:eastAsia="it-IT"/>
          <w14:ligatures w14:val="none"/>
        </w:rPr>
        <w:t>rt. 6 – Principi di solidarietà e di sussidiarietà orizzontale; rapporti con il Terzo Settore</w:t>
      </w:r>
    </w:p>
    <w:p w14:paraId="7B7F00EA"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Disciplina l’utilizzo di modelli di co-amministrazione e di partecipazione del Terzo Settore per attività a valenza sociale, nel rispetto dei principi del Codice. </w:t>
      </w:r>
      <w:r w:rsidR="00CA0176" w:rsidRPr="00CA0176">
        <w:rPr>
          <w:rFonts w:ascii="Arial" w:eastAsia="Times New Roman" w:hAnsi="Arial" w:cs="Arial"/>
          <w:kern w:val="0"/>
          <w:sz w:val="24"/>
          <w:szCs w:val="24"/>
          <w:lang w:eastAsia="it-IT"/>
          <w14:ligatures w14:val="none"/>
        </w:rPr>
        <w:t>La solidarietà è il fondamento dei rapporti sociali, economici e istituzionali.</w:t>
      </w:r>
    </w:p>
    <w:p w14:paraId="59AB00A3" w14:textId="77777777" w:rsidR="00CA0176" w:rsidRPr="00CA0176"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Implica che gli individui, le comunità e le istituzioni devono collaborare per il benessere collettivo, sostenendo chi si trova in condizioni di bisogno o svantaggio.</w:t>
      </w:r>
    </w:p>
    <w:p w14:paraId="7AE1F55A" w14:textId="743AC166"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7 – Principio di auto-organizzazione amministrativa</w:t>
      </w:r>
    </w:p>
    <w:p w14:paraId="1D0FEFCC"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Le pubbliche amministrazioni possono organizzare direttamente o tramite strumenti quali auto-produzione, esternalizzazione o cooperazione l’esecuzione di lavori, forniture e servizi nell’ambito del Codice. </w:t>
      </w:r>
      <w:r w:rsidR="00CA0176" w:rsidRPr="00CA0176">
        <w:rPr>
          <w:rFonts w:ascii="Arial" w:eastAsia="Times New Roman" w:hAnsi="Arial" w:cs="Arial"/>
          <w:kern w:val="0"/>
          <w:sz w:val="24"/>
          <w:szCs w:val="24"/>
          <w:lang w:eastAsia="it-IT"/>
          <w14:ligatures w14:val="none"/>
        </w:rPr>
        <w:t>Il principio di auto-organizzazione amministrativa è un principio del diritto amministrativo che attribuisce agli enti pubblici la facoltà di organizzare liberamente la propria struttura e i propri procedimenti, entro i limiti di legge.</w:t>
      </w:r>
    </w:p>
    <w:p w14:paraId="7BF9416E" w14:textId="4DA1720F"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Nel contesto degli appalti pubblici, questo principio si traduce nel fatto che la stazione appaltante può definire autonomamente procedure, ruoli, strutture e modalità di gestione delle gare, pur rispettando le norme di legge, i principi generali e i vincoli di trasparenza e concorrenza.</w:t>
      </w:r>
    </w:p>
    <w:p w14:paraId="2CFD36F5" w14:textId="354FB08A"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8 – Principio di autonomia contrattuale</w:t>
      </w:r>
    </w:p>
    <w:p w14:paraId="0D8A141C" w14:textId="41857B2E"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951DF0">
        <w:rPr>
          <w:rFonts w:ascii="Arial" w:eastAsia="Times New Roman" w:hAnsi="Arial" w:cs="Arial"/>
          <w:kern w:val="0"/>
          <w:sz w:val="24"/>
          <w:szCs w:val="24"/>
          <w:lang w:eastAsia="it-IT"/>
          <w14:ligatures w14:val="none"/>
        </w:rPr>
        <w:t xml:space="preserve">e pubbliche amministrazioni godono di autonomia contrattuale per concludere contratti, fermo restando il rispetto delle norme del Codice e del diritto UE. È espresso il divieto di prestazioni d’opera intellettuale a titolo gratuito, salvo casi eccezionali. </w:t>
      </w:r>
      <w:r w:rsidR="00CA0176">
        <w:rPr>
          <w:rFonts w:ascii="Arial" w:eastAsia="Times New Roman" w:hAnsi="Arial" w:cs="Arial"/>
          <w:kern w:val="0"/>
          <w:sz w:val="24"/>
          <w:szCs w:val="24"/>
          <w:lang w:eastAsia="it-IT"/>
          <w14:ligatures w14:val="none"/>
        </w:rPr>
        <w:t xml:space="preserve"> </w:t>
      </w:r>
      <w:r w:rsidR="00CA0176" w:rsidRPr="00CA0176">
        <w:rPr>
          <w:rFonts w:ascii="Arial" w:eastAsia="Times New Roman" w:hAnsi="Arial" w:cs="Arial"/>
          <w:kern w:val="0"/>
          <w:sz w:val="24"/>
          <w:szCs w:val="24"/>
          <w:lang w:eastAsia="it-IT"/>
          <w14:ligatures w14:val="none"/>
        </w:rPr>
        <w:t>L’autonomia contrattuale è un principio generale del diritto civile secondo cui le parti possono determinare liberamente il contenuto del contratto, nei limiti di legge, dell’ordine pubblico e del buon costume (artt. 1322 e ss. c.c.</w:t>
      </w:r>
      <w:proofErr w:type="gramStart"/>
      <w:r w:rsidR="00CA0176" w:rsidRPr="00CA0176">
        <w:rPr>
          <w:rFonts w:ascii="Arial" w:eastAsia="Times New Roman" w:hAnsi="Arial" w:cs="Arial"/>
          <w:kern w:val="0"/>
          <w:sz w:val="24"/>
          <w:szCs w:val="24"/>
          <w:lang w:eastAsia="it-IT"/>
          <w14:ligatures w14:val="none"/>
        </w:rPr>
        <w:t>).Negli</w:t>
      </w:r>
      <w:proofErr w:type="gramEnd"/>
      <w:r w:rsidR="00CA0176" w:rsidRPr="00CA0176">
        <w:rPr>
          <w:rFonts w:ascii="Arial" w:eastAsia="Times New Roman" w:hAnsi="Arial" w:cs="Arial"/>
          <w:kern w:val="0"/>
          <w:sz w:val="24"/>
          <w:szCs w:val="24"/>
          <w:lang w:eastAsia="it-IT"/>
          <w14:ligatures w14:val="none"/>
        </w:rPr>
        <w:t xml:space="preserve"> appalti pubblici, questo principio assume una forma più vincolata, perché la pubblica amministrazione (PA), pur stipulando contratti, deve rispettare norme imperative, principi di trasparenza, concorrenza e imparzialità.</w:t>
      </w:r>
    </w:p>
    <w:p w14:paraId="6489AE28" w14:textId="3609CB21"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CA0176">
        <w:rPr>
          <w:rFonts w:ascii="Arial" w:eastAsia="Times New Roman" w:hAnsi="Arial" w:cs="Arial"/>
          <w:kern w:val="0"/>
          <w:sz w:val="24"/>
          <w:szCs w:val="24"/>
          <w:lang w:eastAsia="it-IT"/>
          <w14:ligatures w14:val="none"/>
        </w:rPr>
        <w:t>n pratica: la PA ha autonomia contrattuale limitata e regolamentata, che si esplica soprattutto nella definizione di clausole, modalità di esecuzione e gestione del contratto.</w:t>
      </w:r>
    </w:p>
    <w:p w14:paraId="3F314C2A" w14:textId="3AAD8628"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9 – Principio di conservazione dell’equilibrio contrattuale</w:t>
      </w:r>
    </w:p>
    <w:p w14:paraId="599CC1B2" w14:textId="77777777" w:rsidR="00CA0176" w:rsidRPr="00CA0176" w:rsidRDefault="00951DF0"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Viene riconosciuto il diritto alla rinegoziazione secondo buona fede delle condizioni contrattuali, quando sopravvengano circostanze straordinarie imprevedibili e tali da compromettere l’equilibrio originario del contratto. </w:t>
      </w:r>
      <w:r w:rsidR="00CA0176" w:rsidRPr="00CA0176">
        <w:rPr>
          <w:rFonts w:ascii="Arial" w:eastAsia="Times New Roman" w:hAnsi="Arial" w:cs="Arial"/>
          <w:kern w:val="0"/>
          <w:sz w:val="24"/>
          <w:szCs w:val="24"/>
          <w:lang w:eastAsia="it-IT"/>
          <w14:ligatures w14:val="none"/>
        </w:rPr>
        <w:t>Il principio di conservazione dell’equilibrio contrattuale stabilisce che le condizioni economiche e tecniche del contratto d’appalto devono rimanere sostanzialmente bilanciate durante tutta l’esecuzione.</w:t>
      </w:r>
    </w:p>
    <w:p w14:paraId="6FF56F3C" w14:textId="77777777" w:rsidR="00CA0176" w:rsidRPr="00CA0176"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L’equilibrio contrattuale significa che i rischi, i costi e i benefici previsti nel contratto devono restare proporzionati tra le parti, anche in presenza di eventi imprevisti.</w:t>
      </w:r>
    </w:p>
    <w:p w14:paraId="7EFA91C2" w14:textId="1EB35DCA" w:rsidR="00951DF0" w:rsidRPr="00951DF0" w:rsidRDefault="00CA0176" w:rsidP="00CA0176">
      <w:pPr>
        <w:shd w:val="clear" w:color="auto" w:fill="FFFFFF"/>
        <w:spacing w:after="100" w:afterAutospacing="1" w:line="240" w:lineRule="auto"/>
        <w:rPr>
          <w:rFonts w:ascii="Arial" w:eastAsia="Times New Roman" w:hAnsi="Arial" w:cs="Arial"/>
          <w:kern w:val="0"/>
          <w:sz w:val="24"/>
          <w:szCs w:val="24"/>
          <w:lang w:eastAsia="it-IT"/>
          <w14:ligatures w14:val="none"/>
        </w:rPr>
      </w:pPr>
      <w:r w:rsidRPr="00CA0176">
        <w:rPr>
          <w:rFonts w:ascii="Arial" w:eastAsia="Times New Roman" w:hAnsi="Arial" w:cs="Arial"/>
          <w:kern w:val="0"/>
          <w:sz w:val="24"/>
          <w:szCs w:val="24"/>
          <w:lang w:eastAsia="it-IT"/>
          <w14:ligatures w14:val="none"/>
        </w:rPr>
        <w:t>Obiettivo: garantire continuità del servizio, equità tra le parti e tutela dell’interesse pubblico.</w:t>
      </w:r>
    </w:p>
    <w:p w14:paraId="0581AE7D" w14:textId="74B4C445"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10 – Principi di tassatività delle cause di esclusione e di massima partecipazione</w:t>
      </w:r>
    </w:p>
    <w:p w14:paraId="03ADF933" w14:textId="39B6837D"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w:t>
      </w:r>
      <w:r w:rsidRPr="00951DF0">
        <w:rPr>
          <w:rFonts w:ascii="Arial" w:eastAsia="Times New Roman" w:hAnsi="Arial" w:cs="Arial"/>
          <w:kern w:val="0"/>
          <w:sz w:val="24"/>
          <w:szCs w:val="24"/>
          <w:lang w:eastAsia="it-IT"/>
          <w14:ligatures w14:val="none"/>
        </w:rPr>
        <w:t xml:space="preserve">e cause di esclusione degli operatori dalle procedure sono tassative e definite dal codice; clausole che prevedono cause ulteriori non previste sono nulle. Si favorisce la più ampia partecipazione compatibilmente con i requisiti richiesti. </w:t>
      </w:r>
    </w:p>
    <w:p w14:paraId="7D9F765B" w14:textId="7E1F3539"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11 – Principio di applicazione dei contratti collettivi nazionali</w:t>
      </w:r>
    </w:p>
    <w:p w14:paraId="00A2C41A"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L’articolo 11 disciplina l’applicazione dei contratti collettivi nazionali di settore (CCNL) per il personale impiegato negli appalti pubblici e nelle concessioni, nonché alcune misure legate alla regolarità contributiva e ai pagamenti delle retribuzioni. </w:t>
      </w:r>
    </w:p>
    <w:p w14:paraId="1E589377"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Tutti i lavoratori impiegati nell’esecuzione di appalti pubblici o concessioni devono essere inquadrati e retribuiti secondo il contratto collettivo nazionale e territoriale vigente per il settore e per la zona di esecuzione del lavoro.</w:t>
      </w:r>
    </w:p>
    <w:p w14:paraId="6464AEB2"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Il contratto deve essere stipulato dalle associazioni sindacali e datoriali più rappresentative a livello nazionale, e deve essere attinente all’attività prevalente dell’appalto. </w:t>
      </w:r>
    </w:p>
    <w:p w14:paraId="5DE42A75" w14:textId="50CECFDE"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i</w:t>
      </w:r>
      <w:r w:rsidRPr="00535CE5">
        <w:rPr>
          <w:rFonts w:ascii="Arial" w:eastAsia="Times New Roman" w:hAnsi="Arial" w:cs="Arial"/>
          <w:kern w:val="0"/>
          <w:sz w:val="24"/>
          <w:szCs w:val="24"/>
          <w:lang w:eastAsia="it-IT"/>
          <w14:ligatures w14:val="none"/>
        </w:rPr>
        <w:t xml:space="preserve">l legislatore vuole assicurare che i lavoratori delle imprese appaltatrici abbiano diritti e condizioni retributive adeguate, evitando l’applicazione di contratti inferiori o non pertinenti. </w:t>
      </w:r>
    </w:p>
    <w:p w14:paraId="17D507ED"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Le stazioni appaltanti e gli enti concedenti devono indicare già nei bandi di gara o negli inviti qual è il CCNL applicabile ai lavoratori dell’appalto, secondo le regole del comma 1.</w:t>
      </w:r>
    </w:p>
    <w:p w14:paraId="5BDEF4D0"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Questa indicazione serve a chiarire fin dall’inizio quale contratto collettivo deve essere preso come riferimento per il calcolo dei costi e per le condizioni di lavoro. </w:t>
      </w:r>
    </w:p>
    <w:p w14:paraId="36A91CBF"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Libertà di scelta: l’operatore economico (cioè l’impresa che partecipa alla gara) può indicare nella propria offerta un CCNL diverso da quello indicato dalla stazione appaltante, ma solo se garantisce ai lavoratori le stesse tutele economiche e normative di quello indicato dalla PA. </w:t>
      </w:r>
    </w:p>
    <w:p w14:paraId="4D2785B3" w14:textId="7A1FCFE0"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Verifica prima dell’aggiudicazione: se l’operatore sceglie un CCNL diverso, la stazione appaltante deve acquisire una dichiarazione in cui l’operatore si impegna ad applicare quel contratto per tutta la durata dell’appalto oppure </w:t>
      </w:r>
      <w:proofErr w:type="spellStart"/>
      <w:r w:rsidRPr="00535CE5">
        <w:rPr>
          <w:rFonts w:ascii="Arial" w:eastAsia="Times New Roman" w:hAnsi="Arial" w:cs="Arial"/>
          <w:kern w:val="0"/>
          <w:sz w:val="24"/>
          <w:szCs w:val="24"/>
          <w:lang w:eastAsia="it-IT"/>
          <w14:ligatures w14:val="none"/>
        </w:rPr>
        <w:t>na</w:t>
      </w:r>
      <w:proofErr w:type="spellEnd"/>
      <w:r w:rsidRPr="00535CE5">
        <w:rPr>
          <w:rFonts w:ascii="Arial" w:eastAsia="Times New Roman" w:hAnsi="Arial" w:cs="Arial"/>
          <w:kern w:val="0"/>
          <w:sz w:val="24"/>
          <w:szCs w:val="24"/>
          <w:lang w:eastAsia="it-IT"/>
          <w14:ligatures w14:val="none"/>
        </w:rPr>
        <w:t xml:space="preserve"> dichiarazione di equivalenza delle tutele.</w:t>
      </w:r>
    </w:p>
    <w:p w14:paraId="584C7FD6"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Tale dichiarazione di equivalenza può essere verificata dalla PA con le modalità previste dall’art. 110 del Codice. </w:t>
      </w:r>
    </w:p>
    <w:p w14:paraId="5DEC6CA2" w14:textId="1AA5AEF8"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Questo bilancia la libertà imprenditoriale con la tutela dei lavoratori: l’impresa può proporre un contratto diverso, ma deve dimostrare che non si riducono i diritti del personale. </w:t>
      </w:r>
    </w:p>
    <w:p w14:paraId="61C105D4"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Sull’importo netto delle prestazioni dell’appalto viene applicata una ritenuta dell’0,50 %.</w:t>
      </w:r>
    </w:p>
    <w:p w14:paraId="1670F218"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Questa ritenuta può essere svincolata solo in sede di liquidazione finale, dopo collaudo o verifica di conformità dell’opera, e solo dopo la verifica del DURC (Documento Unico di Regolarità Contributiva). </w:t>
      </w:r>
    </w:p>
    <w:p w14:paraId="0E04A94D" w14:textId="5B421F52" w:rsid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 xml:space="preserve">Lo scopo è garantire che l’impresa sia regolare nei pagamenti contributivi e retributivi prima che il committente pubblico sblocchi completamente i fondi. </w:t>
      </w:r>
    </w:p>
    <w:p w14:paraId="232BDA9F"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L’art. 11 stabilisce che il pagamento delle prestazioni dell’appalto è condizionato alla verifica della regolarità contributiva.</w:t>
      </w:r>
    </w:p>
    <w:p w14:paraId="088596A9"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 regolarità contributiva si attesta tramite il DURC (Documento Unico di Regolarità Contributiva).</w:t>
      </w:r>
    </w:p>
    <w:p w14:paraId="58D6616C" w14:textId="77777777"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DURC positivo = impresa in regola con INPS, INAIL e Casse Edili (se settore edile).</w:t>
      </w:r>
    </w:p>
    <w:p w14:paraId="69AFA284" w14:textId="78F75AAE"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DURC negativo o assente = la PA può trattenere la ritenuta dello 0,50</w:t>
      </w:r>
      <w:r w:rsidRPr="00535CE5">
        <w:t xml:space="preserve"> </w:t>
      </w:r>
      <w:r w:rsidRPr="00535CE5">
        <w:rPr>
          <w:rFonts w:ascii="Arial" w:eastAsia="Times New Roman" w:hAnsi="Arial" w:cs="Arial"/>
          <w:kern w:val="0"/>
          <w:sz w:val="24"/>
          <w:szCs w:val="24"/>
          <w:lang w:eastAsia="it-IT"/>
          <w14:ligatures w14:val="none"/>
        </w:rPr>
        <w:t>Secondo l’art. 11:</w:t>
      </w:r>
    </w:p>
    <w:p w14:paraId="4781A4CC" w14:textId="33ADF41B" w:rsidR="00535CE5" w:rsidRPr="00535CE5" w:rsidRDefault="00535CE5" w:rsidP="00535CE5">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 xml:space="preserve">Se </w:t>
      </w:r>
      <w:proofErr w:type="gramStart"/>
      <w:r>
        <w:rPr>
          <w:rFonts w:ascii="Arial" w:eastAsia="Times New Roman" w:hAnsi="Arial" w:cs="Arial"/>
          <w:kern w:val="0"/>
          <w:sz w:val="24"/>
          <w:szCs w:val="24"/>
          <w:lang w:eastAsia="it-IT"/>
          <w14:ligatures w14:val="none"/>
        </w:rPr>
        <w:t>un’ impresa</w:t>
      </w:r>
      <w:proofErr w:type="gramEnd"/>
      <w:r>
        <w:rPr>
          <w:rFonts w:ascii="Arial" w:eastAsia="Times New Roman" w:hAnsi="Arial" w:cs="Arial"/>
          <w:kern w:val="0"/>
          <w:sz w:val="24"/>
          <w:szCs w:val="24"/>
          <w:lang w:eastAsia="it-IT"/>
          <w14:ligatures w14:val="none"/>
        </w:rPr>
        <w:t xml:space="preserve"> non è regolare da un punto di vista contributivo…. </w:t>
      </w:r>
      <w:r w:rsidRPr="00535CE5">
        <w:rPr>
          <w:rFonts w:ascii="Arial" w:eastAsia="Times New Roman" w:hAnsi="Arial" w:cs="Arial"/>
          <w:kern w:val="0"/>
          <w:sz w:val="24"/>
          <w:szCs w:val="24"/>
          <w:lang w:eastAsia="it-IT"/>
          <w14:ligatures w14:val="none"/>
        </w:rPr>
        <w:t>Secondo l’art. 11:</w:t>
      </w:r>
    </w:p>
    <w:p w14:paraId="539C03D8" w14:textId="77777777"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Trattenuta della ritenuta dello 0,50 % sull’importo netto dell’appalto fino alla regolarizzazione.</w:t>
      </w:r>
    </w:p>
    <w:p w14:paraId="42E16BFB" w14:textId="77777777"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Possibile sospensione dei pagamenti parziali o finali finché la ditta non dimostra di aver sanato le inadempienze contributive.</w:t>
      </w:r>
    </w:p>
    <w:p w14:paraId="633C9269" w14:textId="3F36C846" w:rsidR="00535CE5" w:rsidRPr="00535CE5" w:rsidRDefault="00535CE5" w:rsidP="00535CE5">
      <w:pPr>
        <w:pStyle w:val="Paragrafoelenco"/>
        <w:numPr>
          <w:ilvl w:val="0"/>
          <w:numId w:val="46"/>
        </w:num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Se l’irregolarità riguarda un requisito essenziale per la partecipazione alla gara, l’impresa rischia l’esclusione dall’appalto o la revoca dell’aggiudicazione, in base alle norme generali del Codice dei contratti.</w:t>
      </w:r>
    </w:p>
    <w:p w14:paraId="166F9200" w14:textId="4A7AC74C"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Art. 12 – Rinvio esterno</w:t>
      </w:r>
    </w:p>
    <w:p w14:paraId="3D49F0A1" w14:textId="77777777" w:rsidR="00951DF0" w:rsidRP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Prevede i rinvii esterni ad altre norme o alla disciplina di settore per aspetti non espressamente regolati dal Codice o per materie specifiche richiamate dalla normativa primaria o secondaria. </w:t>
      </w:r>
    </w:p>
    <w:p w14:paraId="439C5E2D" w14:textId="22FD3F18" w:rsidR="00951DF0" w:rsidRDefault="00951DF0"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951DF0">
        <w:rPr>
          <w:rFonts w:ascii="Arial" w:eastAsia="Times New Roman" w:hAnsi="Arial" w:cs="Arial"/>
          <w:kern w:val="0"/>
          <w:sz w:val="24"/>
          <w:szCs w:val="24"/>
          <w:lang w:eastAsia="it-IT"/>
          <w14:ligatures w14:val="none"/>
        </w:rPr>
        <w:t xml:space="preserve">Questa sintesi riguarda la struttura dei primi 12 articoli come concepita nel testo originario del </w:t>
      </w:r>
      <w:proofErr w:type="spellStart"/>
      <w:r w:rsidRPr="00951DF0">
        <w:rPr>
          <w:rFonts w:ascii="Arial" w:eastAsia="Times New Roman" w:hAnsi="Arial" w:cs="Arial"/>
          <w:kern w:val="0"/>
          <w:sz w:val="24"/>
          <w:szCs w:val="24"/>
          <w:lang w:eastAsia="it-IT"/>
          <w14:ligatures w14:val="none"/>
        </w:rPr>
        <w:t>D.Lgs.</w:t>
      </w:r>
      <w:proofErr w:type="spellEnd"/>
      <w:r w:rsidRPr="00951DF0">
        <w:rPr>
          <w:rFonts w:ascii="Arial" w:eastAsia="Times New Roman" w:hAnsi="Arial" w:cs="Arial"/>
          <w:kern w:val="0"/>
          <w:sz w:val="24"/>
          <w:szCs w:val="24"/>
          <w:lang w:eastAsia="it-IT"/>
          <w14:ligatures w14:val="none"/>
        </w:rPr>
        <w:t xml:space="preserve"> 36/2023, che costituiscono i cosiddetti “principi generali del Codice dei contratti pubblici”, fondamentali per l’interpretazione e l’applicazione dell’intero sistema degli appalti pubblici in Italia.</w:t>
      </w:r>
    </w:p>
    <w:p w14:paraId="45698748" w14:textId="2115D27D" w:rsidR="00535CE5" w:rsidRDefault="00535CE5"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LOTTIZZAZIONE</w:t>
      </w:r>
    </w:p>
    <w:p w14:paraId="68CE17F2" w14:textId="6696EDF2" w:rsidR="00535CE5" w:rsidRDefault="00535CE5" w:rsidP="00951DF0">
      <w:pPr>
        <w:shd w:val="clear" w:color="auto" w:fill="FFFFFF"/>
        <w:spacing w:after="100" w:afterAutospacing="1" w:line="240" w:lineRule="auto"/>
        <w:rPr>
          <w:rFonts w:ascii="Arial" w:eastAsia="Times New Roman" w:hAnsi="Arial" w:cs="Arial"/>
          <w:kern w:val="0"/>
          <w:sz w:val="24"/>
          <w:szCs w:val="24"/>
          <w:lang w:eastAsia="it-IT"/>
          <w14:ligatures w14:val="none"/>
        </w:rPr>
      </w:pPr>
      <w:r w:rsidRPr="00535CE5">
        <w:rPr>
          <w:rFonts w:ascii="Arial" w:eastAsia="Times New Roman" w:hAnsi="Arial" w:cs="Arial"/>
          <w:kern w:val="0"/>
          <w:sz w:val="24"/>
          <w:szCs w:val="24"/>
          <w:lang w:eastAsia="it-IT"/>
          <w14:ligatures w14:val="none"/>
        </w:rPr>
        <w:t>La suddivisione in lotti degli appalti pubblici è un principio fondamentale per garantire la partecipazione delle micro, piccole e medie imprese. Secondo l'articolo 58 del nuovo Codice dei Contratti Pubblici (</w:t>
      </w:r>
      <w:proofErr w:type="spellStart"/>
      <w:r w:rsidRPr="00535CE5">
        <w:rPr>
          <w:rFonts w:ascii="Arial" w:eastAsia="Times New Roman" w:hAnsi="Arial" w:cs="Arial"/>
          <w:kern w:val="0"/>
          <w:sz w:val="24"/>
          <w:szCs w:val="24"/>
          <w:lang w:eastAsia="it-IT"/>
          <w14:ligatures w14:val="none"/>
        </w:rPr>
        <w:t>D.Lgs.</w:t>
      </w:r>
      <w:proofErr w:type="spellEnd"/>
      <w:r w:rsidRPr="00535CE5">
        <w:rPr>
          <w:rFonts w:ascii="Arial" w:eastAsia="Times New Roman" w:hAnsi="Arial" w:cs="Arial"/>
          <w:kern w:val="0"/>
          <w:sz w:val="24"/>
          <w:szCs w:val="24"/>
          <w:lang w:eastAsia="it-IT"/>
          <w14:ligatures w14:val="none"/>
        </w:rPr>
        <w:t xml:space="preserve"> 36/2023), gli appalti sono suddivisi in lotti funzionali, prestazionali o quantitativi in conformità alle categorie o specializzazioni nel settore dei lavori, servizi e forniture. La stazione appaltante deve motivare adeguatamente la suddivisione in lotti, considerando le specifiche caratteristiche della gara e l'obiettivo di promuovere la concorrenza e l'efficienza nel settore degli appalti pubblici. Inoltre, è vietato l'artificioso accorpamento dei lotti e la stazione appaltante può limitare il numero massimo di lotti per i quali è consentita l'aggiudicazione al medesimo concorrente per ragioni connesse alle caratteristiche della gara e all'efficienza della prestazione.</w:t>
      </w:r>
    </w:p>
    <w:p w14:paraId="071EB575" w14:textId="77777777"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A tale proposito, il Codice 36 del 2023 specifica che gli appalti sono suddivisi in lotti funzionali, prestazionali o quantitativi in conformità alle categorie o specializzazioni e il loro valore adeguato in modo da garantire l’effettiva possibilità di partecipazione da parte delle microimprese, piccole e medie imprese (art. 58, commi 1 e 2).</w:t>
      </w:r>
    </w:p>
    <w:p w14:paraId="3E654999" w14:textId="77777777"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Pertanto, qualora la stazione appaltante, a fronte di un importo elevato di gara, decida di non suddividere l’appalto in più lotti, deve – nel bando o nell’avviso di indizione della gara – fornire una motivazione della mancata suddivisione, tenendo conto dei princìpi europei sulla promozione di condizioni di concorrenza paritarie per le piccole e medie imprese (comma 2).</w:t>
      </w:r>
    </w:p>
    <w:p w14:paraId="036A8D64" w14:textId="7B7A61C2" w:rsidR="00863602" w:rsidRP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 xml:space="preserve">Dove la suddivisione in lotti è applicata, la stazione appaltante deve, nei documenti di gara, specificare i criteri di suddivisione, sia qualitativi che quantitativi, basati sui parametri precedentemente menzionati (comma 3). Inoltre, </w:t>
      </w:r>
      <w:r>
        <w:rPr>
          <w:rFonts w:ascii="Arial" w:eastAsia="Times New Roman" w:hAnsi="Arial" w:cs="Arial"/>
          <w:kern w:val="0"/>
          <w:sz w:val="24"/>
          <w:szCs w:val="24"/>
          <w:lang w:eastAsia="it-IT"/>
          <w14:ligatures w14:val="none"/>
        </w:rPr>
        <w:t>D</w:t>
      </w:r>
      <w:r w:rsidRPr="00863602">
        <w:rPr>
          <w:rFonts w:ascii="Arial" w:eastAsia="Times New Roman" w:hAnsi="Arial" w:cs="Arial"/>
          <w:kern w:val="0"/>
          <w:sz w:val="24"/>
          <w:szCs w:val="24"/>
          <w:lang w:eastAsia="it-IT"/>
          <w14:ligatures w14:val="none"/>
        </w:rPr>
        <w:t>eve indicare chiaramente il criterio di selezione non discriminatorio dei lotti da assegnare al concorrente che ha ottenuto una quantità di lotti superiore al limite stabilito (comma 4).</w:t>
      </w:r>
    </w:p>
    <w:p w14:paraId="7BF7DBBA" w14:textId="1C85B20B" w:rsidR="00863602" w:rsidRDefault="00863602"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sidRPr="00863602">
        <w:rPr>
          <w:rFonts w:ascii="Arial" w:eastAsia="Times New Roman" w:hAnsi="Arial" w:cs="Arial"/>
          <w:kern w:val="0"/>
          <w:sz w:val="24"/>
          <w:szCs w:val="24"/>
          <w:lang w:eastAsia="it-IT"/>
          <w14:ligatures w14:val="none"/>
        </w:rPr>
        <w:t>Sotto quest’ultimo profilo, una delle novità più significative è l’introduzione delle “offerte sulle associazioni di lotti”, che consente alla stazione appaltante di suddividere la procedura in lotti, da aggiudicare in gruppi di lotti associati. Questo meccanismo, noto anche come “asta combinatoria”, è finalizzato a ottenere, soprattutto nelle forniture, migliori rapporti qualità-prezzo per la stazione appaltante (comma 5)</w:t>
      </w:r>
    </w:p>
    <w:p w14:paraId="4212CD09" w14:textId="1B11D39E" w:rsidR="00BC34BA" w:rsidRDefault="00BC34BA" w:rsidP="00863602">
      <w:pPr>
        <w:shd w:val="clear" w:color="auto" w:fill="FFFFFF"/>
        <w:spacing w:after="100" w:afterAutospacing="1" w:line="240" w:lineRule="auto"/>
        <w:rPr>
          <w:rFonts w:ascii="Arial" w:eastAsia="Times New Roman" w:hAnsi="Arial" w:cs="Arial"/>
          <w:kern w:val="0"/>
          <w:sz w:val="24"/>
          <w:szCs w:val="24"/>
          <w:lang w:eastAsia="it-IT"/>
          <w14:ligatures w14:val="none"/>
        </w:rPr>
      </w:pPr>
      <w:r>
        <w:rPr>
          <w:rFonts w:ascii="Arial" w:eastAsia="Times New Roman" w:hAnsi="Arial" w:cs="Arial"/>
          <w:kern w:val="0"/>
          <w:sz w:val="24"/>
          <w:szCs w:val="24"/>
          <w:lang w:eastAsia="it-IT"/>
          <w14:ligatures w14:val="none"/>
        </w:rPr>
        <w:t>NUOVE SOGLIE COMUNITARIE</w:t>
      </w:r>
    </w:p>
    <w:p w14:paraId="40D9DF8B"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 decorrere dal 1° gennaio 2026 entreranno in vigore le nuove soglie di rilevanza comunitaria per gli appalti pubblici e le concessioni, che aggiornano i valori economici di riferimento ai fini dell’applicazione delle direttive europee sugli appalti pubblici per il biennio 2026–2027.</w:t>
      </w:r>
    </w:p>
    <w:p w14:paraId="0161B696"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soglie di rilevanza comunitaria rappresentano uno strumento cardine del diritto europeo degli appalti pubblici, poiché definiscono l’ambito di applicazione delle direttive rispetto ai regimi nazionali.</w:t>
      </w:r>
    </w:p>
    <w:p w14:paraId="1CA638DD"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Ai sensi delle direttive 2014/24/UE e 2008/18/</w:t>
      </w:r>
      <w:proofErr w:type="gramStart"/>
      <w:r w:rsidRPr="00BC34BA">
        <w:rPr>
          <w:rFonts w:ascii="Arial" w:eastAsia="Times New Roman" w:hAnsi="Arial" w:cs="Arial"/>
          <w:kern w:val="0"/>
          <w:sz w:val="24"/>
          <w:szCs w:val="24"/>
          <w:lang w:eastAsia="it-IT"/>
          <w14:ligatures w14:val="none"/>
        </w:rPr>
        <w:t>EC  la</w:t>
      </w:r>
      <w:proofErr w:type="gramEnd"/>
      <w:r w:rsidRPr="00BC34BA">
        <w:rPr>
          <w:rFonts w:ascii="Arial" w:eastAsia="Times New Roman" w:hAnsi="Arial" w:cs="Arial"/>
          <w:kern w:val="0"/>
          <w:sz w:val="24"/>
          <w:szCs w:val="24"/>
          <w:lang w:eastAsia="it-IT"/>
          <w14:ligatures w14:val="none"/>
        </w:rPr>
        <w:t xml:space="preserve"> Commissione europea aggiorna ogni due anni i valori delle soglie tenendo conto delle variazioni dei tassi di cambio e del valore dei DSP (diritti speciali di prelievo).</w:t>
      </w:r>
    </w:p>
    <w:p w14:paraId="2FE03BBF"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L’art. 14 del </w:t>
      </w:r>
      <w:proofErr w:type="spellStart"/>
      <w:r w:rsidRPr="00BC34BA">
        <w:rPr>
          <w:rFonts w:ascii="Arial" w:eastAsia="Times New Roman" w:hAnsi="Arial" w:cs="Arial"/>
          <w:kern w:val="0"/>
          <w:sz w:val="24"/>
          <w:szCs w:val="24"/>
          <w:lang w:eastAsia="it-IT"/>
          <w14:ligatures w14:val="none"/>
        </w:rPr>
        <w:t>D.Lgs.</w:t>
      </w:r>
      <w:proofErr w:type="spellEnd"/>
      <w:r w:rsidRPr="00BC34BA">
        <w:rPr>
          <w:rFonts w:ascii="Arial" w:eastAsia="Times New Roman" w:hAnsi="Arial" w:cs="Arial"/>
          <w:kern w:val="0"/>
          <w:sz w:val="24"/>
          <w:szCs w:val="24"/>
          <w:lang w:eastAsia="it-IT"/>
          <w14:ligatures w14:val="none"/>
        </w:rPr>
        <w:t xml:space="preserve"> 36/2023 recepisce tale meccanismo, stabilendo che </w:t>
      </w:r>
      <w:proofErr w:type="spellStart"/>
      <w:r w:rsidRPr="00BC34BA">
        <w:rPr>
          <w:rFonts w:ascii="Arial" w:eastAsia="Times New Roman" w:hAnsi="Arial" w:cs="Arial"/>
          <w:kern w:val="0"/>
          <w:sz w:val="24"/>
          <w:szCs w:val="24"/>
          <w:lang w:eastAsia="it-IT"/>
          <w14:ligatures w14:val="none"/>
        </w:rPr>
        <w:t>wle</w:t>
      </w:r>
      <w:proofErr w:type="spellEnd"/>
      <w:r w:rsidRPr="00BC34BA">
        <w:rPr>
          <w:rFonts w:ascii="Arial" w:eastAsia="Times New Roman" w:hAnsi="Arial" w:cs="Arial"/>
          <w:kern w:val="0"/>
          <w:sz w:val="24"/>
          <w:szCs w:val="24"/>
          <w:lang w:eastAsia="it-IT"/>
          <w14:ligatures w14:val="none"/>
        </w:rPr>
        <w:t xml:space="preserve"> soglie di rilevanza europea sono periodicamente rideterminate con provvedimento della Commissione europea e si applicano dal giorno successivo alla pubblicazione nella Gazzetta Ufficiale dell’Unione europea.</w:t>
      </w:r>
    </w:p>
    <w:p w14:paraId="4860DBF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Tali soglie segnano la linea di demarcazione tra:</w:t>
      </w:r>
    </w:p>
    <w:p w14:paraId="46E3CFE3"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appalti sopra soglia, soggetti alla disciplina completa delle direttive UE (obblighi di pubblicazione in GUUE, termini procedurali, regole di aggiudicazione);</w:t>
      </w:r>
    </w:p>
    <w:p w14:paraId="2CAB1354"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appalti </w:t>
      </w:r>
      <w:proofErr w:type="gramStart"/>
      <w:r w:rsidRPr="00BC34BA">
        <w:rPr>
          <w:rFonts w:ascii="Arial" w:eastAsia="Times New Roman" w:hAnsi="Arial" w:cs="Arial"/>
          <w:kern w:val="0"/>
          <w:sz w:val="24"/>
          <w:szCs w:val="24"/>
          <w:lang w:eastAsia="it-IT"/>
          <w14:ligatures w14:val="none"/>
        </w:rPr>
        <w:t>sotto soglia</w:t>
      </w:r>
      <w:proofErr w:type="gramEnd"/>
      <w:r w:rsidRPr="00BC34BA">
        <w:rPr>
          <w:rFonts w:ascii="Arial" w:eastAsia="Times New Roman" w:hAnsi="Arial" w:cs="Arial"/>
          <w:kern w:val="0"/>
          <w:sz w:val="24"/>
          <w:szCs w:val="24"/>
          <w:lang w:eastAsia="it-IT"/>
          <w14:ligatures w14:val="none"/>
        </w:rPr>
        <w:t>, disciplinati dal diritto nazionale, pur nel rispetto dei principi generali di trasparenza, concorrenza e risultato.</w:t>
      </w:r>
    </w:p>
    <w:p w14:paraId="3A114B84"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nuove soglie comunitarie in vigore dal 1° gennaio 2026</w:t>
      </w:r>
    </w:p>
    <w:p w14:paraId="448AE42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Con decorrenza </w:t>
      </w:r>
      <w:proofErr w:type="gramStart"/>
      <w:r w:rsidRPr="00BC34BA">
        <w:rPr>
          <w:rFonts w:ascii="Arial" w:eastAsia="Times New Roman" w:hAnsi="Arial" w:cs="Arial"/>
          <w:kern w:val="0"/>
          <w:sz w:val="24"/>
          <w:szCs w:val="24"/>
          <w:lang w:eastAsia="it-IT"/>
          <w14:ligatures w14:val="none"/>
        </w:rPr>
        <w:t>1 gennaio</w:t>
      </w:r>
      <w:proofErr w:type="gramEnd"/>
      <w:r w:rsidRPr="00BC34BA">
        <w:rPr>
          <w:rFonts w:ascii="Arial" w:eastAsia="Times New Roman" w:hAnsi="Arial" w:cs="Arial"/>
          <w:kern w:val="0"/>
          <w:sz w:val="24"/>
          <w:szCs w:val="24"/>
          <w:lang w:eastAsia="it-IT"/>
          <w14:ligatures w14:val="none"/>
        </w:rPr>
        <w:t xml:space="preserve"> 2026, le nuove soglie europee per il biennio 2026-2027 sono così fissate:</w:t>
      </w:r>
    </w:p>
    <w:p w14:paraId="1F5FF79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A) Settori ordinari</w:t>
      </w:r>
    </w:p>
    <w:p w14:paraId="3FAA8857"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€ 140.000 – per gli appalti pubblici di forniture e servizi aggiudicati dalle autorità governative centrali e per i concorsi di progettazione da esse organizzati;</w:t>
      </w:r>
    </w:p>
    <w:p w14:paraId="0C3D50B1"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€ 216.000 – per gli appalti pubblici di forniture e servizi aggiudicati da amministrazioni aggiudicatrici sub-centrali (Regioni, Comuni, Università, enti pubblici) e per i concorsi di progettazione organizzati da tali amministrazioni;</w:t>
      </w:r>
    </w:p>
    <w:p w14:paraId="274D5D09"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€ 5.404.000 – per gli appalti di lavori pubblici.</w:t>
      </w:r>
    </w:p>
    <w:p w14:paraId="5DF6E7BA"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B) Settori speciali</w:t>
      </w:r>
    </w:p>
    <w:p w14:paraId="6424B305"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€ 432.000 – per gli appalti di forniture e servizi e per i concorsi di progettazione;</w:t>
      </w:r>
    </w:p>
    <w:p w14:paraId="6EF4A898"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€ 5.404.000 – per gli appalti di lavori.</w:t>
      </w:r>
    </w:p>
    <w:p w14:paraId="3AF4D0FF"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C) Concessioni</w:t>
      </w:r>
    </w:p>
    <w:p w14:paraId="5D029130"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€ 5.404.000 – per le concessioni di lavori e servizi.</w:t>
      </w:r>
    </w:p>
    <w:p w14:paraId="4688D460"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 xml:space="preserve">Tali valori sostituiranno quindi, dal </w:t>
      </w:r>
      <w:proofErr w:type="gramStart"/>
      <w:r w:rsidRPr="00BC34BA">
        <w:rPr>
          <w:rFonts w:ascii="Arial" w:eastAsia="Times New Roman" w:hAnsi="Arial" w:cs="Arial"/>
          <w:kern w:val="0"/>
          <w:sz w:val="24"/>
          <w:szCs w:val="24"/>
          <w:lang w:eastAsia="it-IT"/>
          <w14:ligatures w14:val="none"/>
        </w:rPr>
        <w:t>1 gennaio</w:t>
      </w:r>
      <w:proofErr w:type="gramEnd"/>
      <w:r w:rsidRPr="00BC34BA">
        <w:rPr>
          <w:rFonts w:ascii="Arial" w:eastAsia="Times New Roman" w:hAnsi="Arial" w:cs="Arial"/>
          <w:kern w:val="0"/>
          <w:sz w:val="24"/>
          <w:szCs w:val="24"/>
          <w:lang w:eastAsia="it-IT"/>
          <w14:ligatures w14:val="none"/>
        </w:rPr>
        <w:t xml:space="preserve"> 2026, le soglie previgenti (2024-2025), riducendo lievemente gli importi per lavori e forniture in un’ottica di allineamento ai parametri economici internazionali e di adeguamento all’andamento dei tassi di cambio.</w:t>
      </w:r>
    </w:p>
    <w:p w14:paraId="0A483CF9" w14:textId="77777777" w:rsidR="00BC34BA" w:rsidRPr="00BC34BA"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L’aggiornamento delle soglie comunitarie a partire dal 1° gennaio 2026 non rappresenta soltanto un adeguamento tecnico dei valori economici, ma costituisce un segnale politico e giuridico di stabilità del sistema europeo degli appalti pubblici.</w:t>
      </w:r>
    </w:p>
    <w:p w14:paraId="73596B6F" w14:textId="1057C49F" w:rsidR="00BC34BA" w:rsidRPr="000442C0" w:rsidRDefault="00BC34BA" w:rsidP="00BC34BA">
      <w:pPr>
        <w:shd w:val="clear" w:color="auto" w:fill="FFFFFF"/>
        <w:spacing w:after="100" w:afterAutospacing="1" w:line="240" w:lineRule="auto"/>
        <w:rPr>
          <w:rFonts w:ascii="Arial" w:eastAsia="Times New Roman" w:hAnsi="Arial" w:cs="Arial"/>
          <w:kern w:val="0"/>
          <w:sz w:val="24"/>
          <w:szCs w:val="24"/>
          <w:lang w:eastAsia="it-IT"/>
          <w14:ligatures w14:val="none"/>
        </w:rPr>
      </w:pPr>
      <w:r w:rsidRPr="00BC34BA">
        <w:rPr>
          <w:rFonts w:ascii="Arial" w:eastAsia="Times New Roman" w:hAnsi="Arial" w:cs="Arial"/>
          <w:kern w:val="0"/>
          <w:sz w:val="24"/>
          <w:szCs w:val="24"/>
          <w:lang w:eastAsia="it-IT"/>
          <w14:ligatures w14:val="none"/>
        </w:rPr>
        <w:t>Le nuove soglie riaffermano il principio di unità del mercato europeo, garantendo parità di accesso e uniformità procedurale tra gli Stati membri, ma al tempo stesso restituiscono agli ordinamenti nazionali un margine di flessibilità regolata, coerente con il principio del risultato e con le esigenze di efficienza amministrativa.</w:t>
      </w:r>
    </w:p>
    <w:p w14:paraId="792C4A6F" w14:textId="77777777" w:rsidR="00F212FA" w:rsidRPr="00F212FA" w:rsidRDefault="00F212FA" w:rsidP="00F212FA">
      <w:pPr>
        <w:shd w:val="clear" w:color="auto" w:fill="FFFFFF"/>
        <w:spacing w:after="100" w:afterAutospacing="1" w:line="240" w:lineRule="auto"/>
        <w:rPr>
          <w:rFonts w:ascii="Arial" w:eastAsia="Times New Roman" w:hAnsi="Arial" w:cs="Arial"/>
          <w:kern w:val="0"/>
          <w:sz w:val="24"/>
          <w:szCs w:val="24"/>
          <w:lang w:eastAsia="it-IT"/>
          <w14:ligatures w14:val="none"/>
        </w:rPr>
      </w:pPr>
    </w:p>
    <w:sectPr w:rsidR="00F212FA" w:rsidRPr="00F21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D93"/>
    <w:multiLevelType w:val="multilevel"/>
    <w:tmpl w:val="8BB0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24CD9"/>
    <w:multiLevelType w:val="multilevel"/>
    <w:tmpl w:val="A60CB5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194D52"/>
    <w:multiLevelType w:val="hybridMultilevel"/>
    <w:tmpl w:val="F392D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F32D37"/>
    <w:multiLevelType w:val="multilevel"/>
    <w:tmpl w:val="B04C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311BD"/>
    <w:multiLevelType w:val="multilevel"/>
    <w:tmpl w:val="6A64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97E33"/>
    <w:multiLevelType w:val="hybridMultilevel"/>
    <w:tmpl w:val="7E201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940FF3"/>
    <w:multiLevelType w:val="hybridMultilevel"/>
    <w:tmpl w:val="1C288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4255AB6"/>
    <w:multiLevelType w:val="multilevel"/>
    <w:tmpl w:val="6918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EC1272"/>
    <w:multiLevelType w:val="multilevel"/>
    <w:tmpl w:val="B96E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5E0A80"/>
    <w:multiLevelType w:val="multilevel"/>
    <w:tmpl w:val="1A5A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D7C0B"/>
    <w:multiLevelType w:val="hybridMultilevel"/>
    <w:tmpl w:val="EC9222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227BC8"/>
    <w:multiLevelType w:val="multilevel"/>
    <w:tmpl w:val="F5AA2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577660"/>
    <w:multiLevelType w:val="multilevel"/>
    <w:tmpl w:val="4B3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110D5"/>
    <w:multiLevelType w:val="hybridMultilevel"/>
    <w:tmpl w:val="D3723B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685097"/>
    <w:multiLevelType w:val="multilevel"/>
    <w:tmpl w:val="CA6896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A160ED0"/>
    <w:multiLevelType w:val="multilevel"/>
    <w:tmpl w:val="CED8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EF1C9F"/>
    <w:multiLevelType w:val="multilevel"/>
    <w:tmpl w:val="7344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18501D"/>
    <w:multiLevelType w:val="hybridMultilevel"/>
    <w:tmpl w:val="1F8240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0657C"/>
    <w:multiLevelType w:val="multilevel"/>
    <w:tmpl w:val="0EB8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917428"/>
    <w:multiLevelType w:val="multilevel"/>
    <w:tmpl w:val="12D49B8A"/>
    <w:lvl w:ilvl="0">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375B3"/>
    <w:multiLevelType w:val="multilevel"/>
    <w:tmpl w:val="3A5A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A13A2D"/>
    <w:multiLevelType w:val="multilevel"/>
    <w:tmpl w:val="442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431015"/>
    <w:multiLevelType w:val="multilevel"/>
    <w:tmpl w:val="4F40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E51B6D"/>
    <w:multiLevelType w:val="multilevel"/>
    <w:tmpl w:val="C92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813FD9"/>
    <w:multiLevelType w:val="multilevel"/>
    <w:tmpl w:val="6D76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D7FF7"/>
    <w:multiLevelType w:val="multilevel"/>
    <w:tmpl w:val="D5525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361AF7"/>
    <w:multiLevelType w:val="hybridMultilevel"/>
    <w:tmpl w:val="449EB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E3904AC"/>
    <w:multiLevelType w:val="multilevel"/>
    <w:tmpl w:val="E7CC1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480744"/>
    <w:multiLevelType w:val="hybridMultilevel"/>
    <w:tmpl w:val="F2228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0630869"/>
    <w:multiLevelType w:val="hybridMultilevel"/>
    <w:tmpl w:val="98FA2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2094B34"/>
    <w:multiLevelType w:val="multilevel"/>
    <w:tmpl w:val="94B2E56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7C47E5"/>
    <w:multiLevelType w:val="multilevel"/>
    <w:tmpl w:val="E2A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0A12F5"/>
    <w:multiLevelType w:val="multilevel"/>
    <w:tmpl w:val="F0EAC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296370"/>
    <w:multiLevelType w:val="hybridMultilevel"/>
    <w:tmpl w:val="124C4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A603072"/>
    <w:multiLevelType w:val="multilevel"/>
    <w:tmpl w:val="959AB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823134"/>
    <w:multiLevelType w:val="hybridMultilevel"/>
    <w:tmpl w:val="83F01F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4A6C5F"/>
    <w:multiLevelType w:val="multilevel"/>
    <w:tmpl w:val="7EEE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E06CE3"/>
    <w:multiLevelType w:val="multilevel"/>
    <w:tmpl w:val="2E96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EA54FB"/>
    <w:multiLevelType w:val="multilevel"/>
    <w:tmpl w:val="BEC4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956C83"/>
    <w:multiLevelType w:val="multilevel"/>
    <w:tmpl w:val="6F6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6350960">
    <w:abstractNumId w:val="45"/>
  </w:num>
  <w:num w:numId="2" w16cid:durableId="1578976513">
    <w:abstractNumId w:val="20"/>
  </w:num>
  <w:num w:numId="3" w16cid:durableId="1863862850">
    <w:abstractNumId w:val="42"/>
  </w:num>
  <w:num w:numId="4" w16cid:durableId="329067826">
    <w:abstractNumId w:val="0"/>
  </w:num>
  <w:num w:numId="5" w16cid:durableId="931160676">
    <w:abstractNumId w:val="17"/>
  </w:num>
  <w:num w:numId="6" w16cid:durableId="2041203736">
    <w:abstractNumId w:val="44"/>
  </w:num>
  <w:num w:numId="7" w16cid:durableId="2042633017">
    <w:abstractNumId w:val="25"/>
  </w:num>
  <w:num w:numId="8" w16cid:durableId="2099015361">
    <w:abstractNumId w:val="16"/>
  </w:num>
  <w:num w:numId="9" w16cid:durableId="847866095">
    <w:abstractNumId w:val="43"/>
  </w:num>
  <w:num w:numId="10" w16cid:durableId="811825687">
    <w:abstractNumId w:val="37"/>
  </w:num>
  <w:num w:numId="11" w16cid:durableId="365327993">
    <w:abstractNumId w:val="32"/>
  </w:num>
  <w:num w:numId="12" w16cid:durableId="1134105391">
    <w:abstractNumId w:val="9"/>
  </w:num>
  <w:num w:numId="13" w16cid:durableId="929199526">
    <w:abstractNumId w:val="3"/>
  </w:num>
  <w:num w:numId="14" w16cid:durableId="1072191039">
    <w:abstractNumId w:val="12"/>
  </w:num>
  <w:num w:numId="15" w16cid:durableId="1854883230">
    <w:abstractNumId w:val="39"/>
  </w:num>
  <w:num w:numId="16" w16cid:durableId="2050642359">
    <w:abstractNumId w:val="26"/>
  </w:num>
  <w:num w:numId="17" w16cid:durableId="267659905">
    <w:abstractNumId w:val="23"/>
  </w:num>
  <w:num w:numId="18" w16cid:durableId="1219821974">
    <w:abstractNumId w:val="10"/>
  </w:num>
  <w:num w:numId="19" w16cid:durableId="286011913">
    <w:abstractNumId w:val="8"/>
  </w:num>
  <w:num w:numId="20" w16cid:durableId="1510025649">
    <w:abstractNumId w:val="5"/>
  </w:num>
  <w:num w:numId="21" w16cid:durableId="1700739657">
    <w:abstractNumId w:val="29"/>
  </w:num>
  <w:num w:numId="22" w16cid:durableId="1196970253">
    <w:abstractNumId w:val="21"/>
  </w:num>
  <w:num w:numId="23" w16cid:durableId="419450180">
    <w:abstractNumId w:val="19"/>
  </w:num>
  <w:num w:numId="24" w16cid:durableId="103901199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5" w16cid:durableId="1574773409">
    <w:abstractNumId w:val="40"/>
    <w:lvlOverride w:ilvl="0">
      <w:lvl w:ilvl="0">
        <w:numFmt w:val="bullet"/>
        <w:lvlText w:val=""/>
        <w:lvlJc w:val="left"/>
        <w:pPr>
          <w:tabs>
            <w:tab w:val="num" w:pos="720"/>
          </w:tabs>
          <w:ind w:left="720" w:hanging="360"/>
        </w:pPr>
        <w:rPr>
          <w:rFonts w:ascii="Wingdings" w:hAnsi="Wingdings" w:hint="default"/>
          <w:sz w:val="20"/>
        </w:rPr>
      </w:lvl>
    </w:lvlOverride>
    <w:lvlOverride w:ilvl="1">
      <w:lvl w:ilvl="1" w:tentative="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26" w16cid:durableId="1195539105">
    <w:abstractNumId w:val="28"/>
  </w:num>
  <w:num w:numId="27" w16cid:durableId="920405473">
    <w:abstractNumId w:val="35"/>
  </w:num>
  <w:num w:numId="28" w16cid:durableId="69893128">
    <w:abstractNumId w:val="1"/>
  </w:num>
  <w:num w:numId="29" w16cid:durableId="1703164975">
    <w:abstractNumId w:val="15"/>
  </w:num>
  <w:num w:numId="30" w16cid:durableId="458039551">
    <w:abstractNumId w:val="24"/>
  </w:num>
  <w:num w:numId="31" w16cid:durableId="1641839418">
    <w:abstractNumId w:val="36"/>
  </w:num>
  <w:num w:numId="32" w16cid:durableId="1992588345">
    <w:abstractNumId w:val="30"/>
  </w:num>
  <w:num w:numId="33" w16cid:durableId="1676107957">
    <w:abstractNumId w:val="27"/>
  </w:num>
  <w:num w:numId="34" w16cid:durableId="1135636901">
    <w:abstractNumId w:val="13"/>
  </w:num>
  <w:num w:numId="35" w16cid:durableId="775713927">
    <w:abstractNumId w:val="7"/>
  </w:num>
  <w:num w:numId="36" w16cid:durableId="367031214">
    <w:abstractNumId w:val="14"/>
  </w:num>
  <w:num w:numId="37" w16cid:durableId="1421683093">
    <w:abstractNumId w:val="38"/>
  </w:num>
  <w:num w:numId="38" w16cid:durableId="395589066">
    <w:abstractNumId w:val="22"/>
  </w:num>
  <w:num w:numId="39" w16cid:durableId="1754937039">
    <w:abstractNumId w:val="33"/>
  </w:num>
  <w:num w:numId="40" w16cid:durableId="1733040389">
    <w:abstractNumId w:val="2"/>
  </w:num>
  <w:num w:numId="41" w16cid:durableId="2143234345">
    <w:abstractNumId w:val="31"/>
  </w:num>
  <w:num w:numId="42" w16cid:durableId="501430493">
    <w:abstractNumId w:val="11"/>
  </w:num>
  <w:num w:numId="43" w16cid:durableId="2140561663">
    <w:abstractNumId w:val="34"/>
  </w:num>
  <w:num w:numId="44" w16cid:durableId="310141685">
    <w:abstractNumId w:val="6"/>
  </w:num>
  <w:num w:numId="45" w16cid:durableId="401833319">
    <w:abstractNumId w:val="18"/>
  </w:num>
  <w:num w:numId="46" w16cid:durableId="176248258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4EC"/>
    <w:rsid w:val="000442C0"/>
    <w:rsid w:val="001031A9"/>
    <w:rsid w:val="00127C6D"/>
    <w:rsid w:val="0015399E"/>
    <w:rsid w:val="001842B1"/>
    <w:rsid w:val="001867F0"/>
    <w:rsid w:val="0022425F"/>
    <w:rsid w:val="002305DE"/>
    <w:rsid w:val="0027039F"/>
    <w:rsid w:val="002C5369"/>
    <w:rsid w:val="002D5FB3"/>
    <w:rsid w:val="003A1703"/>
    <w:rsid w:val="003A3C41"/>
    <w:rsid w:val="00402716"/>
    <w:rsid w:val="0042625C"/>
    <w:rsid w:val="00485CCA"/>
    <w:rsid w:val="00535CE5"/>
    <w:rsid w:val="005A1514"/>
    <w:rsid w:val="005A6B16"/>
    <w:rsid w:val="005D119D"/>
    <w:rsid w:val="0066405B"/>
    <w:rsid w:val="00796448"/>
    <w:rsid w:val="007B3803"/>
    <w:rsid w:val="00863602"/>
    <w:rsid w:val="00880308"/>
    <w:rsid w:val="0088307E"/>
    <w:rsid w:val="008C4AF4"/>
    <w:rsid w:val="00951DF0"/>
    <w:rsid w:val="009A5311"/>
    <w:rsid w:val="009F0E23"/>
    <w:rsid w:val="00A01866"/>
    <w:rsid w:val="00A334EC"/>
    <w:rsid w:val="00A8376C"/>
    <w:rsid w:val="00A87C2D"/>
    <w:rsid w:val="00AD7E6A"/>
    <w:rsid w:val="00AE4AA8"/>
    <w:rsid w:val="00B10465"/>
    <w:rsid w:val="00B50687"/>
    <w:rsid w:val="00B8638E"/>
    <w:rsid w:val="00BC34BA"/>
    <w:rsid w:val="00BE0EA6"/>
    <w:rsid w:val="00BE2164"/>
    <w:rsid w:val="00C20B0F"/>
    <w:rsid w:val="00C27333"/>
    <w:rsid w:val="00C31FB7"/>
    <w:rsid w:val="00CA0176"/>
    <w:rsid w:val="00CA3C2A"/>
    <w:rsid w:val="00D05ABB"/>
    <w:rsid w:val="00D1315B"/>
    <w:rsid w:val="00D60B2F"/>
    <w:rsid w:val="00D67433"/>
    <w:rsid w:val="00D95483"/>
    <w:rsid w:val="00DC3176"/>
    <w:rsid w:val="00DE63F1"/>
    <w:rsid w:val="00E126D7"/>
    <w:rsid w:val="00E22716"/>
    <w:rsid w:val="00E26289"/>
    <w:rsid w:val="00EA3A5E"/>
    <w:rsid w:val="00F11BF7"/>
    <w:rsid w:val="00F21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CED70"/>
  <w15:chartTrackingRefBased/>
  <w15:docId w15:val="{CD4ABDF8-5737-4E13-BAC5-9BB9D6E4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A5311"/>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itolo2">
    <w:name w:val="heading 2"/>
    <w:basedOn w:val="Normale"/>
    <w:link w:val="Titolo2Carattere"/>
    <w:uiPriority w:val="9"/>
    <w:qFormat/>
    <w:rsid w:val="009A531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next w:val="Normale"/>
    <w:link w:val="Titolo3Carattere"/>
    <w:uiPriority w:val="9"/>
    <w:semiHidden/>
    <w:unhideWhenUsed/>
    <w:qFormat/>
    <w:rsid w:val="009A5311"/>
    <w:pPr>
      <w:keepNext/>
      <w:keepLines/>
      <w:spacing w:before="200" w:after="0" w:line="276" w:lineRule="auto"/>
      <w:outlineLvl w:val="2"/>
    </w:pPr>
    <w:rPr>
      <w:rFonts w:asciiTheme="majorHAnsi" w:eastAsiaTheme="majorEastAsia" w:hAnsiTheme="majorHAnsi" w:cstheme="majorBidi"/>
      <w:b/>
      <w:bCs/>
      <w:color w:val="4472C4" w:themeColor="accent1"/>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2733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Titolo1Carattere">
    <w:name w:val="Titolo 1 Carattere"/>
    <w:basedOn w:val="Carpredefinitoparagrafo"/>
    <w:link w:val="Titolo1"/>
    <w:uiPriority w:val="9"/>
    <w:rsid w:val="009A5311"/>
    <w:rPr>
      <w:rFonts w:asciiTheme="majorHAnsi" w:eastAsiaTheme="majorEastAsia" w:hAnsiTheme="majorHAnsi" w:cstheme="majorBidi"/>
      <w:b/>
      <w:bCs/>
      <w:color w:val="2F5496" w:themeColor="accent1" w:themeShade="BF"/>
      <w:kern w:val="0"/>
      <w:sz w:val="28"/>
      <w:szCs w:val="28"/>
      <w14:ligatures w14:val="none"/>
    </w:rPr>
  </w:style>
  <w:style w:type="character" w:customStyle="1" w:styleId="Titolo2Carattere">
    <w:name w:val="Titolo 2 Carattere"/>
    <w:basedOn w:val="Carpredefinitoparagrafo"/>
    <w:link w:val="Titolo2"/>
    <w:uiPriority w:val="9"/>
    <w:rsid w:val="009A5311"/>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semiHidden/>
    <w:rsid w:val="009A5311"/>
    <w:rPr>
      <w:rFonts w:asciiTheme="majorHAnsi" w:eastAsiaTheme="majorEastAsia" w:hAnsiTheme="majorHAnsi" w:cstheme="majorBidi"/>
      <w:b/>
      <w:bCs/>
      <w:color w:val="4472C4" w:themeColor="accent1"/>
      <w:kern w:val="0"/>
      <w14:ligatures w14:val="none"/>
    </w:rPr>
  </w:style>
  <w:style w:type="character" w:styleId="Collegamentoipertestuale">
    <w:name w:val="Hyperlink"/>
    <w:basedOn w:val="Carpredefinitoparagrafo"/>
    <w:uiPriority w:val="99"/>
    <w:semiHidden/>
    <w:unhideWhenUsed/>
    <w:rsid w:val="009A5311"/>
    <w:rPr>
      <w:color w:val="0000FF"/>
      <w:u w:val="single"/>
    </w:rPr>
  </w:style>
  <w:style w:type="character" w:styleId="Enfasigrassetto">
    <w:name w:val="Strong"/>
    <w:basedOn w:val="Carpredefinitoparagrafo"/>
    <w:uiPriority w:val="22"/>
    <w:qFormat/>
    <w:rsid w:val="009A5311"/>
    <w:rPr>
      <w:b/>
      <w:bCs/>
    </w:rPr>
  </w:style>
  <w:style w:type="paragraph" w:customStyle="1" w:styleId="has-text-align-justify">
    <w:name w:val="has-text-align-justify"/>
    <w:basedOn w:val="Normale"/>
    <w:rsid w:val="009A531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Paragrafoelenco">
    <w:name w:val="List Paragraph"/>
    <w:basedOn w:val="Normale"/>
    <w:uiPriority w:val="34"/>
    <w:qFormat/>
    <w:rsid w:val="00664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794871">
      <w:bodyDiv w:val="1"/>
      <w:marLeft w:val="0"/>
      <w:marRight w:val="0"/>
      <w:marTop w:val="0"/>
      <w:marBottom w:val="0"/>
      <w:divBdr>
        <w:top w:val="none" w:sz="0" w:space="0" w:color="auto"/>
        <w:left w:val="none" w:sz="0" w:space="0" w:color="auto"/>
        <w:bottom w:val="none" w:sz="0" w:space="0" w:color="auto"/>
        <w:right w:val="none" w:sz="0" w:space="0" w:color="auto"/>
      </w:divBdr>
    </w:div>
    <w:div w:id="504395743">
      <w:bodyDiv w:val="1"/>
      <w:marLeft w:val="0"/>
      <w:marRight w:val="0"/>
      <w:marTop w:val="0"/>
      <w:marBottom w:val="0"/>
      <w:divBdr>
        <w:top w:val="none" w:sz="0" w:space="0" w:color="auto"/>
        <w:left w:val="none" w:sz="0" w:space="0" w:color="auto"/>
        <w:bottom w:val="none" w:sz="0" w:space="0" w:color="auto"/>
        <w:right w:val="none" w:sz="0" w:space="0" w:color="auto"/>
      </w:divBdr>
    </w:div>
    <w:div w:id="545259696">
      <w:bodyDiv w:val="1"/>
      <w:marLeft w:val="0"/>
      <w:marRight w:val="0"/>
      <w:marTop w:val="0"/>
      <w:marBottom w:val="0"/>
      <w:divBdr>
        <w:top w:val="none" w:sz="0" w:space="0" w:color="auto"/>
        <w:left w:val="none" w:sz="0" w:space="0" w:color="auto"/>
        <w:bottom w:val="none" w:sz="0" w:space="0" w:color="auto"/>
        <w:right w:val="none" w:sz="0" w:space="0" w:color="auto"/>
      </w:divBdr>
    </w:div>
    <w:div w:id="669260819">
      <w:bodyDiv w:val="1"/>
      <w:marLeft w:val="0"/>
      <w:marRight w:val="0"/>
      <w:marTop w:val="0"/>
      <w:marBottom w:val="0"/>
      <w:divBdr>
        <w:top w:val="none" w:sz="0" w:space="0" w:color="auto"/>
        <w:left w:val="none" w:sz="0" w:space="0" w:color="auto"/>
        <w:bottom w:val="none" w:sz="0" w:space="0" w:color="auto"/>
        <w:right w:val="none" w:sz="0" w:space="0" w:color="auto"/>
      </w:divBdr>
    </w:div>
    <w:div w:id="780958886">
      <w:bodyDiv w:val="1"/>
      <w:marLeft w:val="0"/>
      <w:marRight w:val="0"/>
      <w:marTop w:val="0"/>
      <w:marBottom w:val="0"/>
      <w:divBdr>
        <w:top w:val="none" w:sz="0" w:space="0" w:color="auto"/>
        <w:left w:val="none" w:sz="0" w:space="0" w:color="auto"/>
        <w:bottom w:val="none" w:sz="0" w:space="0" w:color="auto"/>
        <w:right w:val="none" w:sz="0" w:space="0" w:color="auto"/>
      </w:divBdr>
    </w:div>
    <w:div w:id="807937298">
      <w:bodyDiv w:val="1"/>
      <w:marLeft w:val="0"/>
      <w:marRight w:val="0"/>
      <w:marTop w:val="0"/>
      <w:marBottom w:val="0"/>
      <w:divBdr>
        <w:top w:val="none" w:sz="0" w:space="0" w:color="auto"/>
        <w:left w:val="none" w:sz="0" w:space="0" w:color="auto"/>
        <w:bottom w:val="none" w:sz="0" w:space="0" w:color="auto"/>
        <w:right w:val="none" w:sz="0" w:space="0" w:color="auto"/>
      </w:divBdr>
      <w:divsChild>
        <w:div w:id="182205999">
          <w:marLeft w:val="0"/>
          <w:marRight w:val="0"/>
          <w:marTop w:val="0"/>
          <w:marBottom w:val="0"/>
          <w:divBdr>
            <w:top w:val="none" w:sz="0" w:space="0" w:color="auto"/>
            <w:left w:val="none" w:sz="0" w:space="0" w:color="auto"/>
            <w:bottom w:val="none" w:sz="0" w:space="0" w:color="auto"/>
            <w:right w:val="none" w:sz="0" w:space="0" w:color="auto"/>
          </w:divBdr>
        </w:div>
        <w:div w:id="1883402192">
          <w:marLeft w:val="0"/>
          <w:marRight w:val="0"/>
          <w:marTop w:val="0"/>
          <w:marBottom w:val="0"/>
          <w:divBdr>
            <w:top w:val="none" w:sz="0" w:space="0" w:color="auto"/>
            <w:left w:val="none" w:sz="0" w:space="0" w:color="auto"/>
            <w:bottom w:val="none" w:sz="0" w:space="0" w:color="auto"/>
            <w:right w:val="none" w:sz="0" w:space="0" w:color="auto"/>
          </w:divBdr>
          <w:divsChild>
            <w:div w:id="1175000232">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934823860">
      <w:bodyDiv w:val="1"/>
      <w:marLeft w:val="0"/>
      <w:marRight w:val="0"/>
      <w:marTop w:val="0"/>
      <w:marBottom w:val="0"/>
      <w:divBdr>
        <w:top w:val="none" w:sz="0" w:space="0" w:color="auto"/>
        <w:left w:val="none" w:sz="0" w:space="0" w:color="auto"/>
        <w:bottom w:val="none" w:sz="0" w:space="0" w:color="auto"/>
        <w:right w:val="none" w:sz="0" w:space="0" w:color="auto"/>
      </w:divBdr>
    </w:div>
    <w:div w:id="969288496">
      <w:bodyDiv w:val="1"/>
      <w:marLeft w:val="0"/>
      <w:marRight w:val="0"/>
      <w:marTop w:val="0"/>
      <w:marBottom w:val="0"/>
      <w:divBdr>
        <w:top w:val="none" w:sz="0" w:space="0" w:color="auto"/>
        <w:left w:val="none" w:sz="0" w:space="0" w:color="auto"/>
        <w:bottom w:val="none" w:sz="0" w:space="0" w:color="auto"/>
        <w:right w:val="none" w:sz="0" w:space="0" w:color="auto"/>
      </w:divBdr>
    </w:div>
    <w:div w:id="1021124547">
      <w:bodyDiv w:val="1"/>
      <w:marLeft w:val="0"/>
      <w:marRight w:val="0"/>
      <w:marTop w:val="0"/>
      <w:marBottom w:val="0"/>
      <w:divBdr>
        <w:top w:val="none" w:sz="0" w:space="0" w:color="auto"/>
        <w:left w:val="none" w:sz="0" w:space="0" w:color="auto"/>
        <w:bottom w:val="none" w:sz="0" w:space="0" w:color="auto"/>
        <w:right w:val="none" w:sz="0" w:space="0" w:color="auto"/>
      </w:divBdr>
      <w:divsChild>
        <w:div w:id="2015915268">
          <w:marLeft w:val="0"/>
          <w:marRight w:val="0"/>
          <w:marTop w:val="0"/>
          <w:marBottom w:val="0"/>
          <w:divBdr>
            <w:top w:val="none" w:sz="0" w:space="0" w:color="auto"/>
            <w:left w:val="none" w:sz="0" w:space="0" w:color="auto"/>
            <w:bottom w:val="none" w:sz="0" w:space="0" w:color="auto"/>
            <w:right w:val="none" w:sz="0" w:space="0" w:color="auto"/>
          </w:divBdr>
          <w:divsChild>
            <w:div w:id="1473910735">
              <w:marLeft w:val="-600"/>
              <w:marRight w:val="0"/>
              <w:marTop w:val="0"/>
              <w:marBottom w:val="0"/>
              <w:divBdr>
                <w:top w:val="none" w:sz="0" w:space="0" w:color="auto"/>
                <w:left w:val="none" w:sz="0" w:space="0" w:color="auto"/>
                <w:bottom w:val="none" w:sz="0" w:space="0" w:color="auto"/>
                <w:right w:val="none" w:sz="0" w:space="0" w:color="auto"/>
              </w:divBdr>
              <w:divsChild>
                <w:div w:id="1274095097">
                  <w:marLeft w:val="0"/>
                  <w:marRight w:val="0"/>
                  <w:marTop w:val="0"/>
                  <w:marBottom w:val="0"/>
                  <w:divBdr>
                    <w:top w:val="none" w:sz="0" w:space="0" w:color="auto"/>
                    <w:left w:val="none" w:sz="0" w:space="0" w:color="auto"/>
                    <w:bottom w:val="none" w:sz="0" w:space="0" w:color="auto"/>
                    <w:right w:val="none" w:sz="0" w:space="0" w:color="auto"/>
                  </w:divBdr>
                  <w:divsChild>
                    <w:div w:id="28576267">
                      <w:marLeft w:val="0"/>
                      <w:marRight w:val="0"/>
                      <w:marTop w:val="0"/>
                      <w:marBottom w:val="0"/>
                      <w:divBdr>
                        <w:top w:val="none" w:sz="0" w:space="0" w:color="auto"/>
                        <w:left w:val="none" w:sz="0" w:space="0" w:color="auto"/>
                        <w:bottom w:val="none" w:sz="0" w:space="0" w:color="auto"/>
                        <w:right w:val="none" w:sz="0" w:space="0" w:color="auto"/>
                      </w:divBdr>
                      <w:divsChild>
                        <w:div w:id="572666376">
                          <w:marLeft w:val="0"/>
                          <w:marRight w:val="0"/>
                          <w:marTop w:val="0"/>
                          <w:marBottom w:val="0"/>
                          <w:divBdr>
                            <w:top w:val="none" w:sz="0" w:space="0" w:color="auto"/>
                            <w:left w:val="none" w:sz="0" w:space="0" w:color="auto"/>
                            <w:bottom w:val="none" w:sz="0" w:space="0" w:color="auto"/>
                            <w:right w:val="none" w:sz="0" w:space="0" w:color="auto"/>
                          </w:divBdr>
                          <w:divsChild>
                            <w:div w:id="2044742268">
                              <w:marLeft w:val="0"/>
                              <w:marRight w:val="0"/>
                              <w:marTop w:val="0"/>
                              <w:marBottom w:val="0"/>
                              <w:divBdr>
                                <w:top w:val="none" w:sz="0" w:space="0" w:color="auto"/>
                                <w:left w:val="none" w:sz="0" w:space="0" w:color="auto"/>
                                <w:bottom w:val="none" w:sz="0" w:space="0" w:color="auto"/>
                                <w:right w:val="none" w:sz="0" w:space="0" w:color="auto"/>
                              </w:divBdr>
                              <w:divsChild>
                                <w:div w:id="850951904">
                                  <w:marLeft w:val="0"/>
                                  <w:marRight w:val="0"/>
                                  <w:marTop w:val="0"/>
                                  <w:marBottom w:val="0"/>
                                  <w:divBdr>
                                    <w:top w:val="none" w:sz="0" w:space="0" w:color="auto"/>
                                    <w:left w:val="none" w:sz="0" w:space="0" w:color="auto"/>
                                    <w:bottom w:val="none" w:sz="0" w:space="0" w:color="auto"/>
                                    <w:right w:val="none" w:sz="0" w:space="0" w:color="auto"/>
                                  </w:divBdr>
                                  <w:divsChild>
                                    <w:div w:id="98648922">
                                      <w:marLeft w:val="0"/>
                                      <w:marRight w:val="0"/>
                                      <w:marTop w:val="0"/>
                                      <w:marBottom w:val="0"/>
                                      <w:divBdr>
                                        <w:top w:val="none" w:sz="0" w:space="0" w:color="auto"/>
                                        <w:left w:val="none" w:sz="0" w:space="0" w:color="auto"/>
                                        <w:bottom w:val="none" w:sz="0" w:space="0" w:color="auto"/>
                                        <w:right w:val="none" w:sz="0" w:space="0" w:color="auto"/>
                                      </w:divBdr>
                                    </w:div>
                                    <w:div w:id="78714719">
                                      <w:marLeft w:val="0"/>
                                      <w:marRight w:val="0"/>
                                      <w:marTop w:val="0"/>
                                      <w:marBottom w:val="0"/>
                                      <w:divBdr>
                                        <w:top w:val="none" w:sz="0" w:space="0" w:color="auto"/>
                                        <w:left w:val="none" w:sz="0" w:space="0" w:color="auto"/>
                                        <w:bottom w:val="none" w:sz="0" w:space="0" w:color="auto"/>
                                        <w:right w:val="none" w:sz="0" w:space="0" w:color="auto"/>
                                      </w:divBdr>
                                      <w:divsChild>
                                        <w:div w:id="18775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885037">
          <w:marLeft w:val="0"/>
          <w:marRight w:val="0"/>
          <w:marTop w:val="0"/>
          <w:marBottom w:val="0"/>
          <w:divBdr>
            <w:top w:val="none" w:sz="0" w:space="0" w:color="auto"/>
            <w:left w:val="none" w:sz="0" w:space="0" w:color="auto"/>
            <w:bottom w:val="none" w:sz="0" w:space="0" w:color="auto"/>
            <w:right w:val="none" w:sz="0" w:space="0" w:color="auto"/>
          </w:divBdr>
          <w:divsChild>
            <w:div w:id="803423745">
              <w:marLeft w:val="-360"/>
              <w:marRight w:val="0"/>
              <w:marTop w:val="0"/>
              <w:marBottom w:val="0"/>
              <w:divBdr>
                <w:top w:val="none" w:sz="0" w:space="0" w:color="auto"/>
                <w:left w:val="none" w:sz="0" w:space="0" w:color="auto"/>
                <w:bottom w:val="none" w:sz="0" w:space="0" w:color="auto"/>
                <w:right w:val="none" w:sz="0" w:space="0" w:color="auto"/>
              </w:divBdr>
              <w:divsChild>
                <w:div w:id="671614264">
                  <w:marLeft w:val="0"/>
                  <w:marRight w:val="0"/>
                  <w:marTop w:val="0"/>
                  <w:marBottom w:val="0"/>
                  <w:divBdr>
                    <w:top w:val="none" w:sz="0" w:space="0" w:color="auto"/>
                    <w:left w:val="none" w:sz="0" w:space="0" w:color="auto"/>
                    <w:bottom w:val="none" w:sz="0" w:space="0" w:color="auto"/>
                    <w:right w:val="none" w:sz="0" w:space="0" w:color="auto"/>
                  </w:divBdr>
                  <w:divsChild>
                    <w:div w:id="12201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2873">
          <w:marLeft w:val="0"/>
          <w:marRight w:val="0"/>
          <w:marTop w:val="0"/>
          <w:marBottom w:val="0"/>
          <w:divBdr>
            <w:top w:val="none" w:sz="0" w:space="0" w:color="auto"/>
            <w:left w:val="none" w:sz="0" w:space="0" w:color="auto"/>
            <w:bottom w:val="none" w:sz="0" w:space="0" w:color="auto"/>
            <w:right w:val="none" w:sz="0" w:space="0" w:color="auto"/>
          </w:divBdr>
          <w:divsChild>
            <w:div w:id="1158424631">
              <w:marLeft w:val="-360"/>
              <w:marRight w:val="0"/>
              <w:marTop w:val="0"/>
              <w:marBottom w:val="0"/>
              <w:divBdr>
                <w:top w:val="none" w:sz="0" w:space="0" w:color="auto"/>
                <w:left w:val="none" w:sz="0" w:space="0" w:color="auto"/>
                <w:bottom w:val="none" w:sz="0" w:space="0" w:color="auto"/>
                <w:right w:val="none" w:sz="0" w:space="0" w:color="auto"/>
              </w:divBdr>
              <w:divsChild>
                <w:div w:id="1330215753">
                  <w:marLeft w:val="0"/>
                  <w:marRight w:val="0"/>
                  <w:marTop w:val="0"/>
                  <w:marBottom w:val="0"/>
                  <w:divBdr>
                    <w:top w:val="none" w:sz="0" w:space="0" w:color="auto"/>
                    <w:left w:val="none" w:sz="0" w:space="0" w:color="auto"/>
                    <w:bottom w:val="none" w:sz="0" w:space="0" w:color="auto"/>
                    <w:right w:val="none" w:sz="0" w:space="0" w:color="auto"/>
                  </w:divBdr>
                  <w:divsChild>
                    <w:div w:id="69527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126278">
      <w:bodyDiv w:val="1"/>
      <w:marLeft w:val="0"/>
      <w:marRight w:val="0"/>
      <w:marTop w:val="0"/>
      <w:marBottom w:val="0"/>
      <w:divBdr>
        <w:top w:val="none" w:sz="0" w:space="0" w:color="auto"/>
        <w:left w:val="none" w:sz="0" w:space="0" w:color="auto"/>
        <w:bottom w:val="none" w:sz="0" w:space="0" w:color="auto"/>
        <w:right w:val="none" w:sz="0" w:space="0" w:color="auto"/>
      </w:divBdr>
      <w:divsChild>
        <w:div w:id="1512449040">
          <w:marLeft w:val="0"/>
          <w:marRight w:val="0"/>
          <w:marTop w:val="0"/>
          <w:marBottom w:val="0"/>
          <w:divBdr>
            <w:top w:val="none" w:sz="0" w:space="0" w:color="auto"/>
            <w:left w:val="none" w:sz="0" w:space="0" w:color="auto"/>
            <w:bottom w:val="none" w:sz="0" w:space="0" w:color="auto"/>
            <w:right w:val="none" w:sz="0" w:space="0" w:color="auto"/>
          </w:divBdr>
        </w:div>
        <w:div w:id="771777254">
          <w:marLeft w:val="0"/>
          <w:marRight w:val="0"/>
          <w:marTop w:val="0"/>
          <w:marBottom w:val="0"/>
          <w:divBdr>
            <w:top w:val="none" w:sz="0" w:space="0" w:color="auto"/>
            <w:left w:val="none" w:sz="0" w:space="0" w:color="auto"/>
            <w:bottom w:val="none" w:sz="0" w:space="0" w:color="auto"/>
            <w:right w:val="none" w:sz="0" w:space="0" w:color="auto"/>
          </w:divBdr>
          <w:divsChild>
            <w:div w:id="1949702774">
              <w:marLeft w:val="0"/>
              <w:marRight w:val="0"/>
              <w:marTop w:val="75"/>
              <w:marBottom w:val="150"/>
              <w:divBdr>
                <w:top w:val="single" w:sz="6" w:space="0" w:color="E1E1E1"/>
                <w:left w:val="single" w:sz="6" w:space="0" w:color="E1E1E1"/>
                <w:bottom w:val="single" w:sz="6" w:space="0" w:color="E1E1E1"/>
                <w:right w:val="single" w:sz="6" w:space="0" w:color="E1E1E1"/>
              </w:divBdr>
            </w:div>
          </w:divsChild>
        </w:div>
      </w:divsChild>
    </w:div>
    <w:div w:id="1156143480">
      <w:bodyDiv w:val="1"/>
      <w:marLeft w:val="0"/>
      <w:marRight w:val="0"/>
      <w:marTop w:val="0"/>
      <w:marBottom w:val="0"/>
      <w:divBdr>
        <w:top w:val="none" w:sz="0" w:space="0" w:color="auto"/>
        <w:left w:val="none" w:sz="0" w:space="0" w:color="auto"/>
        <w:bottom w:val="none" w:sz="0" w:space="0" w:color="auto"/>
        <w:right w:val="none" w:sz="0" w:space="0" w:color="auto"/>
      </w:divBdr>
      <w:divsChild>
        <w:div w:id="415522171">
          <w:marLeft w:val="0"/>
          <w:marRight w:val="0"/>
          <w:marTop w:val="0"/>
          <w:marBottom w:val="0"/>
          <w:divBdr>
            <w:top w:val="none" w:sz="0" w:space="0" w:color="auto"/>
            <w:left w:val="none" w:sz="0" w:space="0" w:color="auto"/>
            <w:bottom w:val="none" w:sz="0" w:space="0" w:color="auto"/>
            <w:right w:val="none" w:sz="0" w:space="0" w:color="auto"/>
          </w:divBdr>
        </w:div>
        <w:div w:id="1446925523">
          <w:marLeft w:val="0"/>
          <w:marRight w:val="0"/>
          <w:marTop w:val="0"/>
          <w:marBottom w:val="0"/>
          <w:divBdr>
            <w:top w:val="none" w:sz="0" w:space="0" w:color="auto"/>
            <w:left w:val="none" w:sz="0" w:space="0" w:color="auto"/>
            <w:bottom w:val="none" w:sz="0" w:space="0" w:color="auto"/>
            <w:right w:val="none" w:sz="0" w:space="0" w:color="auto"/>
          </w:divBdr>
          <w:divsChild>
            <w:div w:id="272906032">
              <w:marLeft w:val="0"/>
              <w:marRight w:val="0"/>
              <w:marTop w:val="0"/>
              <w:marBottom w:val="0"/>
              <w:divBdr>
                <w:top w:val="none" w:sz="0" w:space="0" w:color="auto"/>
                <w:left w:val="none" w:sz="0" w:space="0" w:color="auto"/>
                <w:bottom w:val="none" w:sz="0" w:space="0" w:color="auto"/>
                <w:right w:val="none" w:sz="0" w:space="0" w:color="auto"/>
              </w:divBdr>
              <w:divsChild>
                <w:div w:id="1243904609">
                  <w:marLeft w:val="0"/>
                  <w:marRight w:val="0"/>
                  <w:marTop w:val="150"/>
                  <w:marBottom w:val="150"/>
                  <w:divBdr>
                    <w:top w:val="none" w:sz="0" w:space="0" w:color="auto"/>
                    <w:left w:val="none" w:sz="0" w:space="0" w:color="auto"/>
                    <w:bottom w:val="none" w:sz="0" w:space="0" w:color="auto"/>
                    <w:right w:val="none" w:sz="0" w:space="0" w:color="auto"/>
                  </w:divBdr>
                  <w:divsChild>
                    <w:div w:id="12252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111457">
          <w:marLeft w:val="0"/>
          <w:marRight w:val="0"/>
          <w:marTop w:val="0"/>
          <w:marBottom w:val="0"/>
          <w:divBdr>
            <w:top w:val="none" w:sz="0" w:space="0" w:color="auto"/>
            <w:left w:val="none" w:sz="0" w:space="0" w:color="auto"/>
            <w:bottom w:val="none" w:sz="0" w:space="0" w:color="auto"/>
            <w:right w:val="none" w:sz="0" w:space="0" w:color="auto"/>
          </w:divBdr>
        </w:div>
      </w:divsChild>
    </w:div>
    <w:div w:id="1343556234">
      <w:bodyDiv w:val="1"/>
      <w:marLeft w:val="0"/>
      <w:marRight w:val="0"/>
      <w:marTop w:val="0"/>
      <w:marBottom w:val="0"/>
      <w:divBdr>
        <w:top w:val="none" w:sz="0" w:space="0" w:color="auto"/>
        <w:left w:val="none" w:sz="0" w:space="0" w:color="auto"/>
        <w:bottom w:val="none" w:sz="0" w:space="0" w:color="auto"/>
        <w:right w:val="none" w:sz="0" w:space="0" w:color="auto"/>
      </w:divBdr>
      <w:divsChild>
        <w:div w:id="1106776375">
          <w:marLeft w:val="0"/>
          <w:marRight w:val="0"/>
          <w:marTop w:val="0"/>
          <w:marBottom w:val="360"/>
          <w:divBdr>
            <w:top w:val="none" w:sz="0" w:space="0" w:color="auto"/>
            <w:left w:val="none" w:sz="0" w:space="0" w:color="auto"/>
            <w:bottom w:val="none" w:sz="0" w:space="0" w:color="auto"/>
            <w:right w:val="none" w:sz="0" w:space="0" w:color="auto"/>
          </w:divBdr>
          <w:divsChild>
            <w:div w:id="1174996230">
              <w:marLeft w:val="-150"/>
              <w:marRight w:val="-150"/>
              <w:marTop w:val="0"/>
              <w:marBottom w:val="0"/>
              <w:divBdr>
                <w:top w:val="none" w:sz="0" w:space="0" w:color="auto"/>
                <w:left w:val="none" w:sz="0" w:space="0" w:color="auto"/>
                <w:bottom w:val="none" w:sz="0" w:space="0" w:color="auto"/>
                <w:right w:val="none" w:sz="0" w:space="0" w:color="auto"/>
              </w:divBdr>
              <w:divsChild>
                <w:div w:id="1939021084">
                  <w:marLeft w:val="0"/>
                  <w:marRight w:val="0"/>
                  <w:marTop w:val="0"/>
                  <w:marBottom w:val="0"/>
                  <w:divBdr>
                    <w:top w:val="none" w:sz="0" w:space="0" w:color="auto"/>
                    <w:left w:val="none" w:sz="0" w:space="0" w:color="auto"/>
                    <w:bottom w:val="none" w:sz="0" w:space="0" w:color="auto"/>
                    <w:right w:val="none" w:sz="0" w:space="0" w:color="auto"/>
                  </w:divBdr>
                  <w:divsChild>
                    <w:div w:id="1824659083">
                      <w:marLeft w:val="0"/>
                      <w:marRight w:val="0"/>
                      <w:marTop w:val="0"/>
                      <w:marBottom w:val="0"/>
                      <w:divBdr>
                        <w:top w:val="none" w:sz="0" w:space="0" w:color="auto"/>
                        <w:left w:val="none" w:sz="0" w:space="0" w:color="auto"/>
                        <w:bottom w:val="none" w:sz="0" w:space="0" w:color="auto"/>
                        <w:right w:val="none" w:sz="0" w:space="0" w:color="auto"/>
                      </w:divBdr>
                      <w:divsChild>
                        <w:div w:id="1549150664">
                          <w:marLeft w:val="0"/>
                          <w:marRight w:val="0"/>
                          <w:marTop w:val="0"/>
                          <w:marBottom w:val="0"/>
                          <w:divBdr>
                            <w:top w:val="none" w:sz="0" w:space="0" w:color="auto"/>
                            <w:left w:val="none" w:sz="0" w:space="0" w:color="auto"/>
                            <w:bottom w:val="none" w:sz="0" w:space="0" w:color="auto"/>
                            <w:right w:val="none" w:sz="0" w:space="0" w:color="auto"/>
                          </w:divBdr>
                          <w:divsChild>
                            <w:div w:id="1695764064">
                              <w:marLeft w:val="0"/>
                              <w:marRight w:val="0"/>
                              <w:marTop w:val="0"/>
                              <w:marBottom w:val="0"/>
                              <w:divBdr>
                                <w:top w:val="none" w:sz="0" w:space="0" w:color="auto"/>
                                <w:left w:val="none" w:sz="0" w:space="0" w:color="auto"/>
                                <w:bottom w:val="none" w:sz="0" w:space="0" w:color="auto"/>
                                <w:right w:val="none" w:sz="0" w:space="0" w:color="auto"/>
                              </w:divBdr>
                              <w:divsChild>
                                <w:div w:id="17920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18337">
          <w:marLeft w:val="0"/>
          <w:marRight w:val="0"/>
          <w:marTop w:val="0"/>
          <w:marBottom w:val="360"/>
          <w:divBdr>
            <w:top w:val="none" w:sz="0" w:space="0" w:color="auto"/>
            <w:left w:val="none" w:sz="0" w:space="0" w:color="auto"/>
            <w:bottom w:val="none" w:sz="0" w:space="0" w:color="auto"/>
            <w:right w:val="none" w:sz="0" w:space="0" w:color="auto"/>
          </w:divBdr>
          <w:divsChild>
            <w:div w:id="564296860">
              <w:marLeft w:val="-150"/>
              <w:marRight w:val="-150"/>
              <w:marTop w:val="0"/>
              <w:marBottom w:val="0"/>
              <w:divBdr>
                <w:top w:val="none" w:sz="0" w:space="0" w:color="auto"/>
                <w:left w:val="none" w:sz="0" w:space="0" w:color="auto"/>
                <w:bottom w:val="none" w:sz="0" w:space="0" w:color="auto"/>
                <w:right w:val="none" w:sz="0" w:space="0" w:color="auto"/>
              </w:divBdr>
              <w:divsChild>
                <w:div w:id="1353145191">
                  <w:marLeft w:val="0"/>
                  <w:marRight w:val="0"/>
                  <w:marTop w:val="0"/>
                  <w:marBottom w:val="0"/>
                  <w:divBdr>
                    <w:top w:val="none" w:sz="0" w:space="0" w:color="auto"/>
                    <w:left w:val="none" w:sz="0" w:space="0" w:color="auto"/>
                    <w:bottom w:val="none" w:sz="0" w:space="0" w:color="auto"/>
                    <w:right w:val="none" w:sz="0" w:space="0" w:color="auto"/>
                  </w:divBdr>
                  <w:divsChild>
                    <w:div w:id="2030914274">
                      <w:marLeft w:val="0"/>
                      <w:marRight w:val="0"/>
                      <w:marTop w:val="0"/>
                      <w:marBottom w:val="0"/>
                      <w:divBdr>
                        <w:top w:val="none" w:sz="0" w:space="0" w:color="auto"/>
                        <w:left w:val="none" w:sz="0" w:space="0" w:color="auto"/>
                        <w:bottom w:val="none" w:sz="0" w:space="0" w:color="auto"/>
                        <w:right w:val="none" w:sz="0" w:space="0" w:color="auto"/>
                      </w:divBdr>
                      <w:divsChild>
                        <w:div w:id="1047217427">
                          <w:marLeft w:val="0"/>
                          <w:marRight w:val="0"/>
                          <w:marTop w:val="0"/>
                          <w:marBottom w:val="0"/>
                          <w:divBdr>
                            <w:top w:val="none" w:sz="0" w:space="0" w:color="auto"/>
                            <w:left w:val="none" w:sz="0" w:space="0" w:color="auto"/>
                            <w:bottom w:val="none" w:sz="0" w:space="0" w:color="auto"/>
                            <w:right w:val="none" w:sz="0" w:space="0" w:color="auto"/>
                          </w:divBdr>
                          <w:divsChild>
                            <w:div w:id="763570884">
                              <w:marLeft w:val="0"/>
                              <w:marRight w:val="0"/>
                              <w:marTop w:val="0"/>
                              <w:marBottom w:val="0"/>
                              <w:divBdr>
                                <w:top w:val="none" w:sz="0" w:space="0" w:color="auto"/>
                                <w:left w:val="none" w:sz="0" w:space="0" w:color="auto"/>
                                <w:bottom w:val="none" w:sz="0" w:space="0" w:color="auto"/>
                                <w:right w:val="none" w:sz="0" w:space="0" w:color="auto"/>
                              </w:divBdr>
                              <w:divsChild>
                                <w:div w:id="157712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588198">
          <w:marLeft w:val="0"/>
          <w:marRight w:val="0"/>
          <w:marTop w:val="0"/>
          <w:marBottom w:val="360"/>
          <w:divBdr>
            <w:top w:val="none" w:sz="0" w:space="0" w:color="auto"/>
            <w:left w:val="none" w:sz="0" w:space="0" w:color="auto"/>
            <w:bottom w:val="none" w:sz="0" w:space="0" w:color="auto"/>
            <w:right w:val="none" w:sz="0" w:space="0" w:color="auto"/>
          </w:divBdr>
          <w:divsChild>
            <w:div w:id="844396269">
              <w:marLeft w:val="-150"/>
              <w:marRight w:val="-150"/>
              <w:marTop w:val="0"/>
              <w:marBottom w:val="0"/>
              <w:divBdr>
                <w:top w:val="none" w:sz="0" w:space="0" w:color="auto"/>
                <w:left w:val="none" w:sz="0" w:space="0" w:color="auto"/>
                <w:bottom w:val="none" w:sz="0" w:space="0" w:color="auto"/>
                <w:right w:val="none" w:sz="0" w:space="0" w:color="auto"/>
              </w:divBdr>
              <w:divsChild>
                <w:div w:id="1961914214">
                  <w:marLeft w:val="0"/>
                  <w:marRight w:val="0"/>
                  <w:marTop w:val="0"/>
                  <w:marBottom w:val="0"/>
                  <w:divBdr>
                    <w:top w:val="none" w:sz="0" w:space="0" w:color="auto"/>
                    <w:left w:val="none" w:sz="0" w:space="0" w:color="auto"/>
                    <w:bottom w:val="none" w:sz="0" w:space="0" w:color="auto"/>
                    <w:right w:val="none" w:sz="0" w:space="0" w:color="auto"/>
                  </w:divBdr>
                  <w:divsChild>
                    <w:div w:id="851918468">
                      <w:marLeft w:val="0"/>
                      <w:marRight w:val="0"/>
                      <w:marTop w:val="0"/>
                      <w:marBottom w:val="0"/>
                      <w:divBdr>
                        <w:top w:val="none" w:sz="0" w:space="0" w:color="auto"/>
                        <w:left w:val="none" w:sz="0" w:space="0" w:color="auto"/>
                        <w:bottom w:val="none" w:sz="0" w:space="0" w:color="auto"/>
                        <w:right w:val="none" w:sz="0" w:space="0" w:color="auto"/>
                      </w:divBdr>
                      <w:divsChild>
                        <w:div w:id="51315116">
                          <w:marLeft w:val="0"/>
                          <w:marRight w:val="0"/>
                          <w:marTop w:val="0"/>
                          <w:marBottom w:val="0"/>
                          <w:divBdr>
                            <w:top w:val="none" w:sz="0" w:space="0" w:color="auto"/>
                            <w:left w:val="none" w:sz="0" w:space="0" w:color="auto"/>
                            <w:bottom w:val="none" w:sz="0" w:space="0" w:color="auto"/>
                            <w:right w:val="none" w:sz="0" w:space="0" w:color="auto"/>
                          </w:divBdr>
                          <w:divsChild>
                            <w:div w:id="1223983029">
                              <w:marLeft w:val="0"/>
                              <w:marRight w:val="0"/>
                              <w:marTop w:val="0"/>
                              <w:marBottom w:val="0"/>
                              <w:divBdr>
                                <w:top w:val="none" w:sz="0" w:space="0" w:color="auto"/>
                                <w:left w:val="none" w:sz="0" w:space="0" w:color="auto"/>
                                <w:bottom w:val="none" w:sz="0" w:space="0" w:color="auto"/>
                                <w:right w:val="none" w:sz="0" w:space="0" w:color="auto"/>
                              </w:divBdr>
                              <w:divsChild>
                                <w:div w:id="17099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397228">
      <w:bodyDiv w:val="1"/>
      <w:marLeft w:val="0"/>
      <w:marRight w:val="0"/>
      <w:marTop w:val="0"/>
      <w:marBottom w:val="0"/>
      <w:divBdr>
        <w:top w:val="none" w:sz="0" w:space="0" w:color="auto"/>
        <w:left w:val="none" w:sz="0" w:space="0" w:color="auto"/>
        <w:bottom w:val="none" w:sz="0" w:space="0" w:color="auto"/>
        <w:right w:val="none" w:sz="0" w:space="0" w:color="auto"/>
      </w:divBdr>
      <w:divsChild>
        <w:div w:id="1726564895">
          <w:marLeft w:val="0"/>
          <w:marRight w:val="0"/>
          <w:marTop w:val="0"/>
          <w:marBottom w:val="0"/>
          <w:divBdr>
            <w:top w:val="none" w:sz="0" w:space="0" w:color="auto"/>
            <w:left w:val="none" w:sz="0" w:space="0" w:color="auto"/>
            <w:bottom w:val="none" w:sz="0" w:space="0" w:color="auto"/>
            <w:right w:val="none" w:sz="0" w:space="0" w:color="auto"/>
          </w:divBdr>
        </w:div>
        <w:div w:id="17126235">
          <w:marLeft w:val="0"/>
          <w:marRight w:val="0"/>
          <w:marTop w:val="0"/>
          <w:marBottom w:val="0"/>
          <w:divBdr>
            <w:top w:val="none" w:sz="0" w:space="0" w:color="auto"/>
            <w:left w:val="none" w:sz="0" w:space="0" w:color="auto"/>
            <w:bottom w:val="none" w:sz="0" w:space="0" w:color="auto"/>
            <w:right w:val="none" w:sz="0" w:space="0" w:color="auto"/>
          </w:divBdr>
          <w:divsChild>
            <w:div w:id="428236546">
              <w:marLeft w:val="0"/>
              <w:marRight w:val="0"/>
              <w:marTop w:val="0"/>
              <w:marBottom w:val="0"/>
              <w:divBdr>
                <w:top w:val="none" w:sz="0" w:space="0" w:color="auto"/>
                <w:left w:val="none" w:sz="0" w:space="0" w:color="auto"/>
                <w:bottom w:val="none" w:sz="0" w:space="0" w:color="auto"/>
                <w:right w:val="none" w:sz="0" w:space="0" w:color="auto"/>
              </w:divBdr>
              <w:divsChild>
                <w:div w:id="548151966">
                  <w:marLeft w:val="0"/>
                  <w:marRight w:val="0"/>
                  <w:marTop w:val="150"/>
                  <w:marBottom w:val="150"/>
                  <w:divBdr>
                    <w:top w:val="none" w:sz="0" w:space="0" w:color="auto"/>
                    <w:left w:val="none" w:sz="0" w:space="0" w:color="auto"/>
                    <w:bottom w:val="none" w:sz="0" w:space="0" w:color="auto"/>
                    <w:right w:val="none" w:sz="0" w:space="0" w:color="auto"/>
                  </w:divBdr>
                  <w:divsChild>
                    <w:div w:id="43721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5465">
          <w:marLeft w:val="0"/>
          <w:marRight w:val="0"/>
          <w:marTop w:val="0"/>
          <w:marBottom w:val="0"/>
          <w:divBdr>
            <w:top w:val="none" w:sz="0" w:space="0" w:color="auto"/>
            <w:left w:val="none" w:sz="0" w:space="0" w:color="auto"/>
            <w:bottom w:val="none" w:sz="0" w:space="0" w:color="auto"/>
            <w:right w:val="none" w:sz="0" w:space="0" w:color="auto"/>
          </w:divBdr>
        </w:div>
      </w:divsChild>
    </w:div>
    <w:div w:id="1472208061">
      <w:bodyDiv w:val="1"/>
      <w:marLeft w:val="0"/>
      <w:marRight w:val="0"/>
      <w:marTop w:val="0"/>
      <w:marBottom w:val="0"/>
      <w:divBdr>
        <w:top w:val="none" w:sz="0" w:space="0" w:color="auto"/>
        <w:left w:val="none" w:sz="0" w:space="0" w:color="auto"/>
        <w:bottom w:val="none" w:sz="0" w:space="0" w:color="auto"/>
        <w:right w:val="none" w:sz="0" w:space="0" w:color="auto"/>
      </w:divBdr>
      <w:divsChild>
        <w:div w:id="784235959">
          <w:marLeft w:val="0"/>
          <w:marRight w:val="0"/>
          <w:marTop w:val="0"/>
          <w:marBottom w:val="0"/>
          <w:divBdr>
            <w:top w:val="none" w:sz="0" w:space="0" w:color="auto"/>
            <w:left w:val="none" w:sz="0" w:space="0" w:color="auto"/>
            <w:bottom w:val="none" w:sz="0" w:space="0" w:color="auto"/>
            <w:right w:val="none" w:sz="0" w:space="0" w:color="auto"/>
          </w:divBdr>
          <w:divsChild>
            <w:div w:id="1278833710">
              <w:marLeft w:val="-360"/>
              <w:marRight w:val="0"/>
              <w:marTop w:val="0"/>
              <w:marBottom w:val="0"/>
              <w:divBdr>
                <w:top w:val="none" w:sz="0" w:space="0" w:color="auto"/>
                <w:left w:val="none" w:sz="0" w:space="0" w:color="auto"/>
                <w:bottom w:val="none" w:sz="0" w:space="0" w:color="auto"/>
                <w:right w:val="none" w:sz="0" w:space="0" w:color="auto"/>
              </w:divBdr>
              <w:divsChild>
                <w:div w:id="1800755371">
                  <w:marLeft w:val="0"/>
                  <w:marRight w:val="0"/>
                  <w:marTop w:val="0"/>
                  <w:marBottom w:val="0"/>
                  <w:divBdr>
                    <w:top w:val="none" w:sz="0" w:space="0" w:color="auto"/>
                    <w:left w:val="none" w:sz="0" w:space="0" w:color="auto"/>
                    <w:bottom w:val="none" w:sz="0" w:space="0" w:color="auto"/>
                    <w:right w:val="none" w:sz="0" w:space="0" w:color="auto"/>
                  </w:divBdr>
                  <w:divsChild>
                    <w:div w:id="154286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1730">
          <w:marLeft w:val="0"/>
          <w:marRight w:val="0"/>
          <w:marTop w:val="0"/>
          <w:marBottom w:val="0"/>
          <w:divBdr>
            <w:top w:val="none" w:sz="0" w:space="0" w:color="auto"/>
            <w:left w:val="none" w:sz="0" w:space="0" w:color="auto"/>
            <w:bottom w:val="none" w:sz="0" w:space="0" w:color="auto"/>
            <w:right w:val="none" w:sz="0" w:space="0" w:color="auto"/>
          </w:divBdr>
          <w:divsChild>
            <w:div w:id="535123056">
              <w:marLeft w:val="-600"/>
              <w:marRight w:val="0"/>
              <w:marTop w:val="0"/>
              <w:marBottom w:val="0"/>
              <w:divBdr>
                <w:top w:val="none" w:sz="0" w:space="0" w:color="auto"/>
                <w:left w:val="none" w:sz="0" w:space="0" w:color="auto"/>
                <w:bottom w:val="none" w:sz="0" w:space="0" w:color="auto"/>
                <w:right w:val="none" w:sz="0" w:space="0" w:color="auto"/>
              </w:divBdr>
              <w:divsChild>
                <w:div w:id="1083456417">
                  <w:marLeft w:val="0"/>
                  <w:marRight w:val="0"/>
                  <w:marTop w:val="0"/>
                  <w:marBottom w:val="0"/>
                  <w:divBdr>
                    <w:top w:val="none" w:sz="0" w:space="0" w:color="auto"/>
                    <w:left w:val="none" w:sz="0" w:space="0" w:color="auto"/>
                    <w:bottom w:val="none" w:sz="0" w:space="0" w:color="auto"/>
                    <w:right w:val="none" w:sz="0" w:space="0" w:color="auto"/>
                  </w:divBdr>
                  <w:divsChild>
                    <w:div w:id="1898852420">
                      <w:marLeft w:val="0"/>
                      <w:marRight w:val="0"/>
                      <w:marTop w:val="0"/>
                      <w:marBottom w:val="0"/>
                      <w:divBdr>
                        <w:top w:val="none" w:sz="0" w:space="0" w:color="E05828"/>
                        <w:left w:val="single" w:sz="36" w:space="30" w:color="E05828"/>
                        <w:bottom w:val="none" w:sz="0" w:space="0" w:color="E05828"/>
                        <w:right w:val="none" w:sz="0" w:space="0" w:color="E05828"/>
                      </w:divBdr>
                    </w:div>
                  </w:divsChild>
                </w:div>
              </w:divsChild>
            </w:div>
          </w:divsChild>
        </w:div>
      </w:divsChild>
    </w:div>
    <w:div w:id="1505559418">
      <w:bodyDiv w:val="1"/>
      <w:marLeft w:val="0"/>
      <w:marRight w:val="0"/>
      <w:marTop w:val="0"/>
      <w:marBottom w:val="0"/>
      <w:divBdr>
        <w:top w:val="none" w:sz="0" w:space="0" w:color="auto"/>
        <w:left w:val="none" w:sz="0" w:space="0" w:color="auto"/>
        <w:bottom w:val="none" w:sz="0" w:space="0" w:color="auto"/>
        <w:right w:val="none" w:sz="0" w:space="0" w:color="auto"/>
      </w:divBdr>
    </w:div>
    <w:div w:id="1508860259">
      <w:bodyDiv w:val="1"/>
      <w:marLeft w:val="0"/>
      <w:marRight w:val="0"/>
      <w:marTop w:val="0"/>
      <w:marBottom w:val="0"/>
      <w:divBdr>
        <w:top w:val="none" w:sz="0" w:space="0" w:color="auto"/>
        <w:left w:val="none" w:sz="0" w:space="0" w:color="auto"/>
        <w:bottom w:val="none" w:sz="0" w:space="0" w:color="auto"/>
        <w:right w:val="none" w:sz="0" w:space="0" w:color="auto"/>
      </w:divBdr>
      <w:divsChild>
        <w:div w:id="1774324212">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1654217520">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568417382">
      <w:bodyDiv w:val="1"/>
      <w:marLeft w:val="0"/>
      <w:marRight w:val="0"/>
      <w:marTop w:val="0"/>
      <w:marBottom w:val="0"/>
      <w:divBdr>
        <w:top w:val="none" w:sz="0" w:space="0" w:color="auto"/>
        <w:left w:val="none" w:sz="0" w:space="0" w:color="auto"/>
        <w:bottom w:val="none" w:sz="0" w:space="0" w:color="auto"/>
        <w:right w:val="none" w:sz="0" w:space="0" w:color="auto"/>
      </w:divBdr>
    </w:div>
    <w:div w:id="1742367049">
      <w:bodyDiv w:val="1"/>
      <w:marLeft w:val="0"/>
      <w:marRight w:val="0"/>
      <w:marTop w:val="0"/>
      <w:marBottom w:val="0"/>
      <w:divBdr>
        <w:top w:val="none" w:sz="0" w:space="0" w:color="auto"/>
        <w:left w:val="none" w:sz="0" w:space="0" w:color="auto"/>
        <w:bottom w:val="none" w:sz="0" w:space="0" w:color="auto"/>
        <w:right w:val="none" w:sz="0" w:space="0" w:color="auto"/>
      </w:divBdr>
    </w:div>
    <w:div w:id="20976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us.acca.it/nuovo-codice-appalti-2023/" TargetMode="External"/><Relationship Id="rId3" Type="http://schemas.openxmlformats.org/officeDocument/2006/relationships/settings" Target="settings.xml"/><Relationship Id="rId7" Type="http://schemas.openxmlformats.org/officeDocument/2006/relationships/hyperlink" Target="https://rup.altervista.org/esecuzione-degli-appalti-pubblic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p.altervista.org/la-progettazione/" TargetMode="External"/><Relationship Id="rId11" Type="http://schemas.openxmlformats.org/officeDocument/2006/relationships/fontTable" Target="fontTable.xml"/><Relationship Id="rId5" Type="http://schemas.openxmlformats.org/officeDocument/2006/relationships/hyperlink" Target="https://rup.altervista.org/la-programmazione-degli-appalti-pubblici/" TargetMode="External"/><Relationship Id="rId10" Type="http://schemas.openxmlformats.org/officeDocument/2006/relationships/hyperlink" Target="https://www.acquistitelematici.it/e-procurement-pubblica-amministrazione?mtm_campaign=lentepubblica-release-af-soglia-anomalia-giu2023&amp;mtm_kwd=txt" TargetMode="External"/><Relationship Id="rId4" Type="http://schemas.openxmlformats.org/officeDocument/2006/relationships/webSettings" Target="webSettings.xml"/><Relationship Id="rId9" Type="http://schemas.openxmlformats.org/officeDocument/2006/relationships/hyperlink" Target="https://biblus.acca.it/appalto-integra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18034</Words>
  <Characters>102794</Characters>
  <Application>Microsoft Office Word</Application>
  <DocSecurity>0</DocSecurity>
  <Lines>856</Lines>
  <Paragraphs>241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cp:revision>
  <dcterms:created xsi:type="dcterms:W3CDTF">2026-03-10T20:30:00Z</dcterms:created>
  <dcterms:modified xsi:type="dcterms:W3CDTF">2026-03-10T20:30:00Z</dcterms:modified>
</cp:coreProperties>
</file>