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220" w:rsidRPr="00CB242F" w:rsidRDefault="00DC0220" w:rsidP="00DC0220">
      <w:pPr>
        <w:pStyle w:val="done"/>
        <w:shd w:val="clear" w:color="auto" w:fill="FFFFFF"/>
        <w:spacing w:before="0" w:beforeAutospacing="0" w:after="188" w:afterAutospacing="0"/>
        <w:rPr>
          <w:rFonts w:ascii="Arial" w:hAnsi="Arial" w:cs="Arial"/>
          <w:color w:val="000000"/>
        </w:rPr>
      </w:pPr>
      <w:r w:rsidRPr="00CB242F">
        <w:rPr>
          <w:rFonts w:ascii="Arial" w:hAnsi="Arial" w:cs="Arial"/>
        </w:rPr>
        <w:t>P</w:t>
      </w:r>
      <w:r w:rsidRPr="00CB242F">
        <w:rPr>
          <w:rFonts w:ascii="Arial" w:hAnsi="Arial" w:cs="Arial"/>
          <w:color w:val="000000"/>
        </w:rPr>
        <w:t>er ogni procedura di affidamento di un appalto o di una concessione, le stazioni appaltanti, con atto formale del Dirigente responsabile dell’Unità Organizzativa, </w:t>
      </w:r>
      <w:r w:rsidRPr="00CB242F">
        <w:rPr>
          <w:rFonts w:ascii="Arial" w:hAnsi="Arial" w:cs="Arial"/>
          <w:b/>
          <w:bCs/>
          <w:color w:val="000000"/>
        </w:rPr>
        <w:t>individuano un RUP </w:t>
      </w:r>
      <w:r w:rsidRPr="00CB242F">
        <w:rPr>
          <w:rFonts w:ascii="Arial" w:hAnsi="Arial" w:cs="Arial"/>
          <w:color w:val="000000"/>
        </w:rPr>
        <w:t>per le fasi della programmazione, progettazione, affidamento ed esecuzione.</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Il RUP è individuato nel rispetto di quanto previsto dall’art.31 del Codice Appalti, tra i dipendenti di ruolo inquadrati come dirigenti o dipendenti con funzioni direttive.</w:t>
      </w:r>
    </w:p>
    <w:p w:rsidR="00DC0220" w:rsidRPr="00CB242F" w:rsidRDefault="00DC0220" w:rsidP="00DC0220">
      <w:pPr>
        <w:shd w:val="clear" w:color="auto" w:fill="FFFFFF"/>
        <w:spacing w:after="188" w:line="240" w:lineRule="auto"/>
        <w:outlineLvl w:val="1"/>
        <w:rPr>
          <w:rFonts w:ascii="Arial" w:eastAsia="Times New Roman" w:hAnsi="Arial" w:cs="Arial"/>
          <w:b/>
          <w:bCs/>
          <w:color w:val="1D2658"/>
          <w:sz w:val="24"/>
          <w:szCs w:val="24"/>
          <w:lang w:eastAsia="it-IT"/>
        </w:rPr>
      </w:pPr>
      <w:r w:rsidRPr="00CB242F">
        <w:rPr>
          <w:rFonts w:ascii="Arial" w:eastAsia="Times New Roman" w:hAnsi="Arial" w:cs="Arial"/>
          <w:b/>
          <w:bCs/>
          <w:color w:val="1D2658"/>
          <w:sz w:val="24"/>
          <w:szCs w:val="24"/>
          <w:lang w:eastAsia="it-IT"/>
        </w:rPr>
        <w:t>Competenze professionali del responsabile unico del procedimento</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Il RUP deve possedere </w:t>
      </w:r>
      <w:r w:rsidRPr="00CB242F">
        <w:rPr>
          <w:rFonts w:ascii="Arial" w:eastAsia="Times New Roman" w:hAnsi="Arial" w:cs="Arial"/>
          <w:b/>
          <w:bCs/>
          <w:color w:val="000000"/>
          <w:sz w:val="24"/>
          <w:szCs w:val="24"/>
          <w:lang w:eastAsia="it-IT"/>
        </w:rPr>
        <w:t>capacità professionali e requisiti adeguati al compito da svolgere</w:t>
      </w:r>
      <w:r w:rsidRPr="00CB242F">
        <w:rPr>
          <w:rFonts w:ascii="Arial" w:eastAsia="Times New Roman" w:hAnsi="Arial" w:cs="Arial"/>
          <w:color w:val="000000"/>
          <w:sz w:val="24"/>
          <w:szCs w:val="24"/>
          <w:lang w:eastAsia="it-IT"/>
        </w:rPr>
        <w:t>.</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In particolare, il responsabile unico del procedimento è in possesso di adeguata esperienza professionale maturata nello svolgimento di attività analoghe a quelle da realizzare in termini di natura, complessità ed importo dell’intervento.</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Il RUP deve avere una specifica formazione professionale ed è soggetto a costante aggiornamento.</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Nello specifico le linee guida n.3 ANAC individuano i requisiti che devono essere posseduti dal RUP nel caso di affidamenti di servizi e le forniture di importo pari o inferiore alle soglie di cui all’articolo 35. Ovvero di diploma di istruzione superiore di secondo grado al termine di un corso di 5 anni ed un’anzianità di servizio di 5 anni oppure laurea triennale ed esperienza almeno triennale oppure laurea quinquennale ed esperienza biennale. L’esperienza deve essere nell’ambito delle attività di programmazione, progettazione, affidamento o esecuzione di appalti e concessioni di servizi e forniture.</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Le linee guida n.3 ANAC individuano anche i requisiti che devono essere posseduti dal RUP per servizi e forniture di valore pari o superiore alle soglie di cui all’articolo 35. In tal caso il RUP è in possesso di diploma di laurea triennale, magistrale o specialistica e di un’anzianità di servizio ed esperienza di almeno cinque anni nell’ambito delle attività di programmazione, progettazione, affidamento o esecuzione di appalti e concessioni di servizi e forniture.</w:t>
      </w:r>
    </w:p>
    <w:p w:rsidR="00DC0220" w:rsidRPr="00CB242F" w:rsidRDefault="00DC0220" w:rsidP="00DC0220">
      <w:pPr>
        <w:shd w:val="clear" w:color="auto" w:fill="FFFFFF"/>
        <w:spacing w:after="188" w:line="240" w:lineRule="auto"/>
        <w:outlineLvl w:val="1"/>
        <w:rPr>
          <w:rFonts w:ascii="Arial" w:eastAsia="Times New Roman" w:hAnsi="Arial" w:cs="Arial"/>
          <w:b/>
          <w:bCs/>
          <w:color w:val="1D2658"/>
          <w:sz w:val="24"/>
          <w:szCs w:val="24"/>
          <w:lang w:eastAsia="it-IT"/>
        </w:rPr>
      </w:pPr>
      <w:r w:rsidRPr="00CB242F">
        <w:rPr>
          <w:rFonts w:ascii="Arial" w:eastAsia="Times New Roman" w:hAnsi="Arial" w:cs="Arial"/>
          <w:b/>
          <w:bCs/>
          <w:color w:val="1D2658"/>
          <w:sz w:val="24"/>
          <w:szCs w:val="24"/>
          <w:lang w:eastAsia="it-IT"/>
        </w:rPr>
        <w:t>I compiti assegnati al RUP</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I compiti fondamentali del RUP sono specificati all’art. 31, comma 4, per le varie fasi del procedimento di affidamento. Altri compiti assegnati al RUP sono individuati nel Codice in relazione a specifici adempimenti che caratterizzano le fasi dell’affidamento e dell’esecuzione del contratto. Inoltre, per espressa previsione dell’art. 31, comma 3, il RUP, ai sensi della legge 7 agosto 1990, n. 241, svolge tutti i compiti relativi alle procedure di programmazione, progettazione, affidamento ed esecuzione previste dal Codice, che non siano specificatamente attribuiti ad altri organi o soggetti.</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Nella fase di </w:t>
      </w:r>
      <w:r w:rsidRPr="00CB242F">
        <w:rPr>
          <w:rFonts w:ascii="Arial" w:eastAsia="Times New Roman" w:hAnsi="Arial" w:cs="Arial"/>
          <w:b/>
          <w:bCs/>
          <w:color w:val="000000"/>
          <w:sz w:val="24"/>
          <w:szCs w:val="24"/>
          <w:lang w:eastAsia="it-IT"/>
        </w:rPr>
        <w:t>programmazione e affidamento</w:t>
      </w:r>
      <w:r w:rsidRPr="00CB242F">
        <w:rPr>
          <w:rFonts w:ascii="Arial" w:eastAsia="Times New Roman" w:hAnsi="Arial" w:cs="Arial"/>
          <w:color w:val="000000"/>
          <w:sz w:val="24"/>
          <w:szCs w:val="24"/>
          <w:lang w:eastAsia="it-IT"/>
        </w:rPr>
        <w:t>, il responsabile del procedimento deve:</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a) promuovere e sovrintendere agli accertamenti e alle indagini preliminari ea consentire la verifica della fattibilità tecnica, economica e amministrativa degli interventi;</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b) verificare  la conformità ambientale, paesistica, territoriale e urbanistica degli interventi e promuovere l’avvio delle procedure di variante urbanistica;</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lastRenderedPageBreak/>
        <w:t xml:space="preserve"> c) in relazione alle caratteristiche e alla dimensione dell’intervento, promuovere e definire le modalità di verifica dei vari livelli progettuali, le procedure di eventuale affidamento a soggetti esterni e la stima dei corrispettivi, da inserire nel quadro economico;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d) coordinare le attività necessarie alla redazione del progetto di fattibilità tecnica ed economica, verificando che siano indicati gli indirizzi che devono essere seguiti nei successivi livelli di progettazione e i diversi gradi di approfondimento delle verifiche, delle rilevazioni e degli elaborati richiesti;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e) coordinare le attività necessarie alla redazione del progetto definitivo ed esecutivo, verificando che siano rispettate le indicazioni contenute nel progetto di fattibilità tecnica ed economica;</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f) effettuare, prima dell’approvazione del progetto in ciascuno dei suoi livelli, le necessarie verifiche circa la rispondenza dei contenuti del documento alla normativa vigente, alle disponibilità finanziarie, nonché all’esistenza dei presupposti di ordine tecnico e amministrativo necessari per conseguire la piena disponibilità degli immobili;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g) stabilire criteri, contenuti e momenti di verifica tecnica dei vari livelli di progettazione correlati alle caratteristiche e all’importanza dell’opera;</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h) svolgere l’attività di verifica dei progetti per lavori di importo inferiore a un milione di euro, anche avvalendosi della struttura di cui all’articolo 31, comma 9 del Codice;</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i) sottoscrivere la validazione, facendo preciso riferimento al rapporto conclusivo, redatto dal soggetto preposto alla verifica, e alle eventuali controdeduzioni del progettista. In caso di dissenso sugli esiti della verifica, il RUP è tenuto a motivare specificatamente;</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j) nel caso di lavori eseguibili per lotti, accertare e attestare: 1. l’avvenuta redazione, ai fini dell’inserimento nell’elenco annuale, del progetto preliminare di fattibilità tecnico economica dell’intero lavoro e la sua articolazione per lotti; 2. la quantificazione, nell’ambito del programma e dei relativi aggiornamenti, dei mezzi finanziari necessari per appaltare l’intero lavoro;</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k) convocare e presiedere nelle procedure ristrette e nei casi in cui è ammesso l’affidamento congiunto della progettazione e dell’esecuzione di lavori, ove ne ravvisi la necessità, un incontro preliminare per l’illustrazione del progetto e per consentire osservazioni allo stesso;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l) proporre all’amministrazione aggiudicatrice i sistemi di affidamento dei lavori; nel caso di procedura competitiva con negoziazione, promuovere il confronto competitivo e garantire la pubblicità dei relativi atti;</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m) valutare le offerte nei casi di affidamento con il criterio del solo prezzo, nei casi in cui non sia nominato altro organo (monocratico o non) dalla stazione appaltante;</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n) svolgere le attività necessarie all’espletamento della conferenza dei servizi, curando gli adempimenti di pubblicità delle relative deliberazioni e assicurando l’allegazione del verbale della conferenza tenutasi sul progetto di fattibilità tecnica ed economica posto a base delle procedure di appalto di progettazione ed esecuzione e di affidamento della concessione di lavori pubblici;</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o) accertare e certificare, sulla base degli atti forniti dal dirigente dell’amministrazione aggiudicatrice preposto alla struttura competente, l’eventuale presenza, negli interventi, delle seguenti caratteristiche: 1. utilizzo di materiali e componenti innovativi; 2. processi </w:t>
      </w:r>
      <w:r w:rsidRPr="00CB242F">
        <w:rPr>
          <w:rFonts w:ascii="Arial" w:eastAsia="Times New Roman" w:hAnsi="Arial" w:cs="Arial"/>
          <w:color w:val="000000"/>
          <w:sz w:val="24"/>
          <w:szCs w:val="24"/>
          <w:lang w:eastAsia="it-IT"/>
        </w:rPr>
        <w:lastRenderedPageBreak/>
        <w:t>produttivi innovativi o di alta precisione dimensionale e qualitativa; 3. esecuzione in luoghi che presentano difficoltà logistica o particolari problematiche geotecniche, idrauliche, geologiche e ambientali; 4. complessità di funzionamento d’uso o necessità di elevate prestazioni per quanto riguarda la loro funzionalità; 5. esecuzione in ambienti aggressivi; 6. necessità di prevedere dotazioni impiantistiche non usuali; 7. complessità in relazione a particolari esigenze connesse a vincoli architettonici, storicoartistici o conservativi; 5 8. necessità di un progetto elaborato in forma completa e dettagliata in tutte le sue parti, architettonica, strutturale e impiantistica;</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o) raccogliere, verificare e trasmettere all’Osservatorio dell’A.N.AC. gli elementi relativi agli interventi di sua competenza anche in relazione a quanto prescritto dall’articolo 213, comma 3, del Codice;</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p) dare evidenza, nell’atto con cui dispone l’affidamento diretto dei lavori di somma urgenza ai sensi dell’art. 163 del Codice, delle modalità di calcolo dei corrispettivi delle prestazioni concordati con l’appaltatore; q) dare dettagliata e motivata evidenza, nella perizia giustificativa dei lavori affidati ai sensi dell’art. 163 del Codice, delle ragioni di somma urgenza poste a fondamento dell’affidamento diretto.</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Il RUP procede, inoltre, alla </w:t>
      </w:r>
      <w:r w:rsidRPr="00CB242F">
        <w:rPr>
          <w:rFonts w:ascii="Arial" w:eastAsia="Times New Roman" w:hAnsi="Arial" w:cs="Arial"/>
          <w:b/>
          <w:bCs/>
          <w:color w:val="000000"/>
          <w:sz w:val="24"/>
          <w:szCs w:val="24"/>
          <w:lang w:eastAsia="it-IT"/>
        </w:rPr>
        <w:t>verifica della documentazione amministrativa</w:t>
      </w:r>
      <w:r w:rsidRPr="00CB242F">
        <w:rPr>
          <w:rFonts w:ascii="Arial" w:eastAsia="Times New Roman" w:hAnsi="Arial" w:cs="Arial"/>
          <w:color w:val="000000"/>
          <w:sz w:val="24"/>
          <w:szCs w:val="24"/>
          <w:lang w:eastAsia="it-IT"/>
        </w:rPr>
        <w:t xml:space="preserve">.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Il procedimento di aggiudicazione della gara secondo il criterio dell’offerta economicamente più vantaggiosa basato sul rapporto qualità/prezzo, si svolge, normalmente, in tre fasi, due delle quali richiedono prevalenti competenze amministrative e l’altra prevalenti competenze tecniche. L’art. </w:t>
      </w:r>
      <w:r w:rsidRPr="00CB242F">
        <w:rPr>
          <w:rFonts w:ascii="Arial" w:eastAsia="Times New Roman" w:hAnsi="Arial" w:cs="Arial"/>
          <w:b/>
          <w:bCs/>
          <w:color w:val="000000"/>
          <w:sz w:val="24"/>
          <w:szCs w:val="24"/>
          <w:lang w:eastAsia="it-IT"/>
        </w:rPr>
        <w:t>77 del Codice assegna alla commissione giudicatrice la valutazione delle offerte tecniche</w:t>
      </w:r>
      <w:r w:rsidRPr="00CB242F">
        <w:rPr>
          <w:rFonts w:ascii="Arial" w:eastAsia="Times New Roman" w:hAnsi="Arial" w:cs="Arial"/>
          <w:color w:val="000000"/>
          <w:sz w:val="24"/>
          <w:szCs w:val="24"/>
          <w:lang w:eastAsia="it-IT"/>
        </w:rPr>
        <w:t>. Alla stessa, quindi, non è affidato il compito di svolgere le attività preliminari di valutazione e ammissione dei concorrenti. Questa fase di </w:t>
      </w:r>
      <w:r w:rsidRPr="00CB242F">
        <w:rPr>
          <w:rFonts w:ascii="Arial" w:eastAsia="Times New Roman" w:hAnsi="Arial" w:cs="Arial"/>
          <w:b/>
          <w:bCs/>
          <w:color w:val="000000"/>
          <w:sz w:val="24"/>
          <w:szCs w:val="24"/>
          <w:lang w:eastAsia="it-IT"/>
        </w:rPr>
        <w:t>controllo della documentazione amministrativa deve, quindi, essere svolta dal RUP.</w:t>
      </w:r>
      <w:r w:rsidRPr="00CB242F">
        <w:rPr>
          <w:rFonts w:ascii="Arial" w:eastAsia="Times New Roman" w:hAnsi="Arial" w:cs="Arial"/>
          <w:color w:val="000000"/>
          <w:sz w:val="24"/>
          <w:szCs w:val="24"/>
          <w:lang w:eastAsia="it-IT"/>
        </w:rPr>
        <w:t>.</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Nella </w:t>
      </w:r>
      <w:r w:rsidRPr="00CB242F">
        <w:rPr>
          <w:rFonts w:ascii="Arial" w:eastAsia="Times New Roman" w:hAnsi="Arial" w:cs="Arial"/>
          <w:b/>
          <w:bCs/>
          <w:color w:val="000000"/>
          <w:sz w:val="24"/>
          <w:szCs w:val="24"/>
          <w:lang w:eastAsia="it-IT"/>
        </w:rPr>
        <w:t>fase di esecuzione</w:t>
      </w:r>
      <w:r w:rsidRPr="00CB242F">
        <w:rPr>
          <w:rFonts w:ascii="Arial" w:eastAsia="Times New Roman" w:hAnsi="Arial" w:cs="Arial"/>
          <w:color w:val="000000"/>
          <w:sz w:val="24"/>
          <w:szCs w:val="24"/>
          <w:lang w:eastAsia="it-IT"/>
        </w:rPr>
        <w:t xml:space="preserve"> il RUP propone l’individuazione di un direttore dei lavori e impartisce allo stesso, con disposizioni di servizio, le istruzioni occorrenti a garantire la regolarità dei lavori. Il RUP autorizza il direttore dei lavori alla consegna dei lavori e svolge le attività di accertamento della data di effettivo inizio, nonché di ogni altro termine di svolgimento degli stessi. Nella fase di esecuzione del contratto il RUP, anche avvalendosi delle figure indicate nel richiamato art. 101 del Codice, è tenuto al corretto svolgimento delle seguenti attività,: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a) adottare gli atti di competenza a seguito delle iniziative e delle segnalazioni del coordinatore in materia di salute e di sicurezza durante l’esecuzione, previsto dal decreto legislativo 9 aprile 2008 n. 81 sentito il direttore dei lavori;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b) svolgere, ai sensi dell’articolo 16 del decreto legislativo 9 aprile 2008, n. 81, su delega del soggetto di cui all’articolo 26, comma 3, del predetto decreto legislativo, i compiti previsti nel citato articolo 26, comma 3, qualora non sia prevista la predisposizione del piano di sicurezza e di coordinamento ai sensi del decreto legislativo 9 aprile 2008, n. 81;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c) assumere il ruolo di responsabile dei lavori, ai fini del rispetto delle norme sulla sicurezza e salute dei lavoratori sui luoghi di lavoro. Il RUP, nello svolgimento dell’incarico di responsabile dei lavori, salvo diversa indicazione e fermi restando i compiti e le responsabilità di cui agli articoli 90, 93, comma 2, 99, comma 1, e 101, comma 1, del decreto legislativo 9 aprile 2008, n. 81: 1. richiede la nomina del coordinatore per la progettazione e del coordinatore per l’esecuzione dei lavori e vigila sulla loro attività; 2. provvede, sentito il direttore dei lavori e il coordinatore per l’esecuzione, a verificare che </w:t>
      </w:r>
      <w:r w:rsidRPr="00CB242F">
        <w:rPr>
          <w:rFonts w:ascii="Arial" w:eastAsia="Times New Roman" w:hAnsi="Arial" w:cs="Arial"/>
          <w:color w:val="000000"/>
          <w:sz w:val="24"/>
          <w:szCs w:val="24"/>
          <w:lang w:eastAsia="it-IT"/>
        </w:rPr>
        <w:lastRenderedPageBreak/>
        <w:t>l’esecutore corrisponda gli oneri della sicurezza, relativi alle prestazioni affidate in subappalto, alle imprese subappaltatrici senza alcun ribasso.</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d) trasmettere agli organi competenti dell’amministrazione aggiudicatrice, sentito il direttore dei lavori, la proposta del coordinatore per l’esecuzione dei lavori relativa alla sospensione, all’allontanamento dell’esecutore o dei subappaltatori o dei lavoratori autonomi dal cantiere o alla risoluzione del contratto;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e) accertare, in corso d’opera, che le prestazioni oggetto di contratto di avvalimento siano svolte direttamente dalle risorse umane e strumentali dell’impresa ausiliaria che il titolare del contratto utilizza in adempimento degli obblighi derivanti dal contratto di avvalimento;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f) redigere la relazione di cui all’art., 106, comma 14, del Codice, relativa alle varianti in corso d’opera, in cui sono riportate le ragioni di fatto e/o di diritto che hanno reso necessarie tali varianti;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g) irrogare le penali per il ritardato adempimento degli obblighi contrattuali, anche sulla base delle indicazioni fornite dal direttore dei lavori;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h) ordinare la sospensione dei lavori per ragioni di pubblico interesse o necessità, nei limiti e con gli effetti previsti dall’art. 107 del Codice; 7</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i) disporre la ripresa dei lavori e dell’esecuzione del contratto non appena siano venute a cessare le cause della sospensione e indicare il nuovo termine di conclusione del contratto, calcolato tenendo in considerazione la durata della sospensione e gli effetti da questa prodotti;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j) assumere, sentito il progettista, le determinazioni in ordine alla perizia tecnica redatta dall’esecutore per proporre variazioni migliorative che comportino una diminuzione dell’importo originario dei lavori, e, in caso di valutazione positiva, procedere alla stipula di apposito atto aggiuntivo qualora, secondo l’ordinamento della stazione appaltante di appartenenza, ne abbia il potere;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k) approvare i nuovi prezzi determinati in contraddittorio tra il direttore dei lavori e l’esecutore per le lavorazioni o per i materiali non previsti dal contratto, ove non comportino maggiori spese rispetto alle somme previste nel quadro economico; </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l) in relazione alle contestazioni insorte tra stazione appaltante ed esecutore circa aspetti tecnici che possono influire sull’esecuzione dei lavori, convocare le parti entro un termine che potrebbe essere fissato in quindici giorni dalla comunicazione del direttore dei lavori e promuovere, in contraddittorio, l’esame della questione al fine di risolvere la controversia; m) attivare la definizione bonaria delle controversie che insorgono in ogni fase di realizzazione dei lavori ed essere sentito sulla formulazione della proposta di transazione da parte del dirigente competente;</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n) proporre la costituzione del collegio consultivo tecnico di cui all’art. 207 del Codice; o) proporre la risoluzione o la modifica del contratto ogni qual volta se ne realizzino i presupposti;</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 p) trasmettere all’amministrazione aggiudicatrice, entro sessanta giorni dalla deliberazione da parte della stessa sull’ammissibilità del certificato di collaudo, sulle domande dell’esecutore e sui risultati degli avvisi ai creditori, la documentazione relativa alle fasi della progettazione, dell’affidamento e dell’esecuzione del contratto.</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QUALIFICAZIONE STAZIONI APPALTANTI</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Non tutte e stazioni applatanti possono indire una gara … perché abbiano questa comptenza devono possedere la qualificazione richiesta</w:t>
      </w:r>
      <w:r w:rsidR="00390FD6" w:rsidRPr="00CB242F">
        <w:rPr>
          <w:rFonts w:ascii="Arial" w:eastAsia="Times New Roman" w:hAnsi="Arial" w:cs="Arial"/>
          <w:color w:val="000000"/>
          <w:sz w:val="24"/>
          <w:szCs w:val="24"/>
          <w:lang w:eastAsia="it-IT"/>
        </w:rPr>
        <w:t xml:space="preserve"> (validità 5 anni ed è l’ANAC  a stabilire le modalità attuative di qualificazione)</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L’art 38 prevede l’isitituzione presso l’ANAC di un apposito elenco delle stazioni qualificate di cui fanno parte anche le centrali di committenza.</w:t>
      </w:r>
    </w:p>
    <w:p w:rsidR="00DC0220" w:rsidRPr="00CB242F" w:rsidRDefault="00DC0220" w:rsidP="00DC0220">
      <w:pPr>
        <w:shd w:val="clear" w:color="auto" w:fill="FFFFFF"/>
        <w:spacing w:after="188"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 xml:space="preserve">Laddove non sia in possesso della idonea qualificazione </w:t>
      </w:r>
      <w:r w:rsidR="00390FD6" w:rsidRPr="00CB242F">
        <w:rPr>
          <w:rFonts w:ascii="Arial" w:eastAsia="Times New Roman" w:hAnsi="Arial" w:cs="Arial"/>
          <w:color w:val="000000"/>
          <w:sz w:val="24"/>
          <w:szCs w:val="24"/>
          <w:lang w:eastAsia="it-IT"/>
        </w:rPr>
        <w:t xml:space="preserve">potrà procedere all’acquisizione di forniture, servizi e lavori mediante una centale di committenza oppure aggregandosi con una o più stazioni applatanti aventi la necessaria qualifica.  </w:t>
      </w:r>
    </w:p>
    <w:p w:rsidR="00390FD6" w:rsidRPr="00CB242F" w:rsidRDefault="00390FD6" w:rsidP="00DC0220">
      <w:p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La </w:t>
      </w:r>
      <w:r w:rsidRPr="00CB242F">
        <w:rPr>
          <w:rFonts w:ascii="Arial" w:hAnsi="Arial" w:cs="Arial"/>
          <w:b/>
          <w:bCs/>
          <w:color w:val="202122"/>
          <w:sz w:val="24"/>
          <w:szCs w:val="24"/>
          <w:shd w:val="clear" w:color="auto" w:fill="FFFFFF"/>
        </w:rPr>
        <w:t>centrale di committenza</w:t>
      </w:r>
      <w:r w:rsidRPr="00CB242F">
        <w:rPr>
          <w:rFonts w:ascii="Arial" w:hAnsi="Arial" w:cs="Arial"/>
          <w:color w:val="202122"/>
          <w:sz w:val="24"/>
          <w:szCs w:val="24"/>
          <w:shd w:val="clear" w:color="auto" w:fill="FFFFFF"/>
        </w:rPr>
        <w:t>, ai sensi del </w:t>
      </w:r>
      <w:hyperlink r:id="rId5" w:tooltip="Codice dei contratti pubblici" w:history="1">
        <w:r w:rsidRPr="00CB242F">
          <w:rPr>
            <w:rStyle w:val="Collegamentoipertestuale"/>
            <w:rFonts w:ascii="Arial" w:hAnsi="Arial" w:cs="Arial"/>
            <w:color w:val="0645AD"/>
            <w:sz w:val="24"/>
            <w:szCs w:val="24"/>
            <w:shd w:val="clear" w:color="auto" w:fill="FFFFFF"/>
          </w:rPr>
          <w:t>codice dei contratti pubblici</w:t>
        </w:r>
      </w:hyperlink>
      <w:r w:rsidRPr="00CB242F">
        <w:rPr>
          <w:rFonts w:ascii="Arial" w:hAnsi="Arial" w:cs="Arial"/>
          <w:color w:val="202122"/>
          <w:sz w:val="24"/>
          <w:szCs w:val="24"/>
          <w:shd w:val="clear" w:color="auto" w:fill="FFFFFF"/>
        </w:rPr>
        <w:t> è una </w:t>
      </w:r>
      <w:hyperlink r:id="rId6" w:tooltip="Stazione appaltante" w:history="1">
        <w:r w:rsidRPr="00CB242F">
          <w:rPr>
            <w:rStyle w:val="Collegamentoipertestuale"/>
            <w:rFonts w:ascii="Arial" w:hAnsi="Arial" w:cs="Arial"/>
            <w:color w:val="0645AD"/>
            <w:sz w:val="24"/>
            <w:szCs w:val="24"/>
            <w:shd w:val="clear" w:color="auto" w:fill="FFFFFF"/>
          </w:rPr>
          <w:t>stazione appaltante</w:t>
        </w:r>
      </w:hyperlink>
      <w:r w:rsidRPr="00CB242F">
        <w:rPr>
          <w:rFonts w:ascii="Arial" w:hAnsi="Arial" w:cs="Arial"/>
          <w:color w:val="202122"/>
          <w:sz w:val="24"/>
          <w:szCs w:val="24"/>
          <w:shd w:val="clear" w:color="auto" w:fill="FFFFFF"/>
        </w:rPr>
        <w:t> che gestisce gare d'</w:t>
      </w:r>
      <w:hyperlink r:id="rId7" w:tooltip="Appalto" w:history="1">
        <w:r w:rsidRPr="00CB242F">
          <w:rPr>
            <w:rStyle w:val="Collegamentoipertestuale"/>
            <w:rFonts w:ascii="Arial" w:hAnsi="Arial" w:cs="Arial"/>
            <w:color w:val="0645AD"/>
            <w:sz w:val="24"/>
            <w:szCs w:val="24"/>
            <w:shd w:val="clear" w:color="auto" w:fill="FFFFFF"/>
          </w:rPr>
          <w:t>appalto</w:t>
        </w:r>
      </w:hyperlink>
      <w:r w:rsidRPr="00CB242F">
        <w:rPr>
          <w:rFonts w:ascii="Arial" w:hAnsi="Arial" w:cs="Arial"/>
          <w:color w:val="202122"/>
          <w:sz w:val="24"/>
          <w:szCs w:val="24"/>
          <w:shd w:val="clear" w:color="auto" w:fill="FFFFFF"/>
        </w:rPr>
        <w:t> per conto di più </w:t>
      </w:r>
      <w:hyperlink r:id="rId8" w:history="1">
        <w:r w:rsidRPr="00CB242F">
          <w:rPr>
            <w:rStyle w:val="Collegamentoipertestuale"/>
            <w:rFonts w:ascii="Arial" w:hAnsi="Arial" w:cs="Arial"/>
            <w:color w:val="0645AD"/>
            <w:sz w:val="24"/>
            <w:szCs w:val="24"/>
            <w:shd w:val="clear" w:color="auto" w:fill="FFFFFF"/>
          </w:rPr>
          <w:t>pubbliche amministrazioni italiane</w:t>
        </w:r>
      </w:hyperlink>
      <w:r w:rsidRPr="00CB242F">
        <w:rPr>
          <w:rFonts w:ascii="Arial" w:hAnsi="Arial" w:cs="Arial"/>
          <w:color w:val="202122"/>
          <w:sz w:val="24"/>
          <w:szCs w:val="24"/>
          <w:shd w:val="clear" w:color="auto" w:fill="FFFFFF"/>
        </w:rPr>
        <w:t>.</w:t>
      </w:r>
    </w:p>
    <w:p w:rsidR="00390FD6" w:rsidRPr="00CB242F" w:rsidRDefault="00390FD6" w:rsidP="00DC0220">
      <w:p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La centrale di committenza può essere una </w:t>
      </w:r>
      <w:hyperlink r:id="rId9" w:tooltip="Centrale acquisti" w:history="1">
        <w:r w:rsidRPr="00CB242F">
          <w:rPr>
            <w:rStyle w:val="Collegamentoipertestuale"/>
            <w:rFonts w:ascii="Arial" w:hAnsi="Arial" w:cs="Arial"/>
            <w:color w:val="0645AD"/>
            <w:sz w:val="24"/>
            <w:szCs w:val="24"/>
            <w:shd w:val="clear" w:color="auto" w:fill="FFFFFF"/>
          </w:rPr>
          <w:t>Centrale acquisti</w:t>
        </w:r>
      </w:hyperlink>
      <w:r w:rsidRPr="00CB242F">
        <w:rPr>
          <w:rFonts w:ascii="Arial" w:hAnsi="Arial" w:cs="Arial"/>
          <w:color w:val="202122"/>
          <w:sz w:val="24"/>
          <w:szCs w:val="24"/>
          <w:shd w:val="clear" w:color="auto" w:fill="FFFFFF"/>
        </w:rPr>
        <w:t> oppure un altro soggetto pubblico incaricato di questo compito in virtù di una legge o di una specifica delega dell'Ente che conferisce l'incarico. Norme specifiche incaricano infatti le </w:t>
      </w:r>
      <w:hyperlink r:id="rId10" w:tooltip="Centrale acquisti" w:history="1">
        <w:r w:rsidRPr="00CB242F">
          <w:rPr>
            <w:rStyle w:val="Collegamentoipertestuale"/>
            <w:rFonts w:ascii="Arial" w:hAnsi="Arial" w:cs="Arial"/>
            <w:color w:val="0645AD"/>
            <w:sz w:val="24"/>
            <w:szCs w:val="24"/>
            <w:shd w:val="clear" w:color="auto" w:fill="FFFFFF"/>
          </w:rPr>
          <w:t>Centrali acquisti</w:t>
        </w:r>
      </w:hyperlink>
      <w:r w:rsidRPr="00CB242F">
        <w:rPr>
          <w:rFonts w:ascii="Arial" w:hAnsi="Arial" w:cs="Arial"/>
          <w:color w:val="202122"/>
          <w:sz w:val="24"/>
          <w:szCs w:val="24"/>
          <w:shd w:val="clear" w:color="auto" w:fill="FFFFFF"/>
        </w:rPr>
        <w:t> nazionali (ma anche regionali, ecc.) di diversi Paesi</w:t>
      </w:r>
      <w:hyperlink r:id="rId11" w:anchor="cite_note-1" w:history="1">
        <w:r w:rsidRPr="00CB242F">
          <w:rPr>
            <w:rStyle w:val="Collegamentoipertestuale"/>
            <w:rFonts w:ascii="Arial" w:hAnsi="Arial" w:cs="Arial"/>
            <w:color w:val="0645AD"/>
            <w:sz w:val="24"/>
            <w:szCs w:val="24"/>
            <w:shd w:val="clear" w:color="auto" w:fill="FFFFFF"/>
            <w:vertAlign w:val="superscript"/>
          </w:rPr>
          <w:t>[1]</w:t>
        </w:r>
      </w:hyperlink>
      <w:r w:rsidRPr="00CB242F">
        <w:rPr>
          <w:rFonts w:ascii="Arial" w:hAnsi="Arial" w:cs="Arial"/>
          <w:color w:val="202122"/>
          <w:sz w:val="24"/>
          <w:szCs w:val="24"/>
          <w:shd w:val="clear" w:color="auto" w:fill="FFFFFF"/>
        </w:rPr>
        <w:t> di svolgere il compito di centrale di committenza per il </w:t>
      </w:r>
      <w:hyperlink r:id="rId12" w:tooltip="Settore pubblico" w:history="1">
        <w:r w:rsidRPr="00CB242F">
          <w:rPr>
            <w:rStyle w:val="Collegamentoipertestuale"/>
            <w:rFonts w:ascii="Arial" w:hAnsi="Arial" w:cs="Arial"/>
            <w:color w:val="0645AD"/>
            <w:sz w:val="24"/>
            <w:szCs w:val="24"/>
            <w:shd w:val="clear" w:color="auto" w:fill="FFFFFF"/>
          </w:rPr>
          <w:t>settore pubblico</w:t>
        </w:r>
      </w:hyperlink>
      <w:r w:rsidRPr="00CB242F">
        <w:rPr>
          <w:rFonts w:ascii="Arial" w:hAnsi="Arial" w:cs="Arial"/>
          <w:color w:val="202122"/>
          <w:sz w:val="24"/>
          <w:szCs w:val="24"/>
          <w:shd w:val="clear" w:color="auto" w:fill="FFFFFF"/>
        </w:rPr>
        <w:t>.</w:t>
      </w:r>
    </w:p>
    <w:p w:rsidR="00390FD6" w:rsidRPr="00CB242F" w:rsidRDefault="00390FD6" w:rsidP="00DC0220">
      <w:p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La CUC è un’amministrazione aggiudicatrice o ente aggiudicatore che svolge attivit di centralizzazione delle committenze ovvero realizza:</w:t>
      </w:r>
    </w:p>
    <w:p w:rsidR="00390FD6" w:rsidRPr="00CB242F" w:rsidRDefault="00390FD6" w:rsidP="00390FD6">
      <w:pPr>
        <w:pStyle w:val="Paragrafoelenco"/>
        <w:numPr>
          <w:ilvl w:val="0"/>
          <w:numId w:val="2"/>
        </w:num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l’acquisizioe di forniture e servizi destinati alle stazioni applatanti</w:t>
      </w:r>
    </w:p>
    <w:p w:rsidR="00390FD6" w:rsidRPr="00CB242F" w:rsidRDefault="00390FD6" w:rsidP="00390FD6">
      <w:pPr>
        <w:pStyle w:val="Paragrafoelenco"/>
        <w:numPr>
          <w:ilvl w:val="0"/>
          <w:numId w:val="2"/>
        </w:num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aggiudicazione di appalti a conclusione di accordi quadro per forniture, servizi e lavori destinati alle stazioni appaltanti</w:t>
      </w:r>
    </w:p>
    <w:p w:rsidR="00390FD6" w:rsidRPr="00CB242F" w:rsidRDefault="00390FD6" w:rsidP="00390FD6">
      <w:p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una Cuc è la SUA  STAZIONE UNICA APPALTANTE che cura tutte le fasi della gara che porta all’inidividuazione del soggetto contraente</w:t>
      </w:r>
    </w:p>
    <w:p w:rsidR="00390FD6" w:rsidRPr="00CB242F" w:rsidRDefault="00390FD6" w:rsidP="00390FD6">
      <w:pPr>
        <w:shd w:val="clear" w:color="auto" w:fill="FFFFFF"/>
        <w:spacing w:after="188" w:line="240" w:lineRule="auto"/>
        <w:rPr>
          <w:rFonts w:ascii="Arial" w:hAnsi="Arial" w:cs="Arial"/>
          <w:color w:val="202122"/>
          <w:sz w:val="24"/>
          <w:szCs w:val="24"/>
          <w:shd w:val="clear" w:color="auto" w:fill="FFFFFF"/>
        </w:rPr>
      </w:pPr>
    </w:p>
    <w:p w:rsidR="00390FD6" w:rsidRPr="00CB242F" w:rsidRDefault="00390FD6" w:rsidP="00390FD6">
      <w:p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per irdurre le stazioni applatanti l’art 37 ha previsto una riorganzizzazione delle stesse prevedendo nuovi livelli di aggregazione in quanto la stazione applatante  puoò:</w:t>
      </w:r>
    </w:p>
    <w:p w:rsidR="00390FD6" w:rsidRPr="00CB242F" w:rsidRDefault="00390FD6" w:rsidP="00DC0220">
      <w:pPr>
        <w:shd w:val="clear" w:color="auto" w:fill="FFFFFF"/>
        <w:spacing w:after="188" w:line="240" w:lineRule="auto"/>
        <w:rPr>
          <w:rFonts w:ascii="Arial" w:hAnsi="Arial" w:cs="Arial"/>
          <w:color w:val="000000"/>
          <w:sz w:val="24"/>
          <w:szCs w:val="24"/>
          <w:shd w:val="clear" w:color="auto" w:fill="F5FDFE"/>
        </w:rPr>
      </w:pPr>
      <w:r w:rsidRPr="00CB242F">
        <w:rPr>
          <w:rFonts w:ascii="Arial" w:hAnsi="Arial" w:cs="Arial"/>
          <w:color w:val="202122"/>
          <w:sz w:val="24"/>
          <w:szCs w:val="24"/>
          <w:shd w:val="clear" w:color="auto" w:fill="FFFFFF"/>
        </w:rPr>
        <w:t xml:space="preserve">procedere direttamente e autonomamente </w:t>
      </w:r>
      <w:r w:rsidR="006812B9" w:rsidRPr="00CB242F">
        <w:rPr>
          <w:rFonts w:ascii="Arial" w:hAnsi="Arial" w:cs="Arial"/>
          <w:color w:val="000000"/>
          <w:sz w:val="24"/>
          <w:szCs w:val="24"/>
          <w:shd w:val="clear" w:color="auto" w:fill="F5FDFE"/>
        </w:rPr>
        <w:t>all’acquisizione di forniture e servizi di importo inferiore a 40.000 euro e di lavori di importo inferiore a 150.000 euro, nonché attraverso l’effettuazione di ordini a valere su strumenti di acquisto messi a disposizione dalle centrali di committenza e dai soggetti aggregatori.</w:t>
      </w:r>
    </w:p>
    <w:p w:rsidR="006812B9" w:rsidRPr="00CB242F" w:rsidRDefault="006812B9" w:rsidP="00DC0220">
      <w:pPr>
        <w:shd w:val="clear" w:color="auto" w:fill="FFFFFF"/>
        <w:spacing w:after="188" w:line="240" w:lineRule="auto"/>
        <w:rPr>
          <w:rFonts w:ascii="Arial" w:hAnsi="Arial" w:cs="Arial"/>
          <w:color w:val="000000"/>
          <w:sz w:val="24"/>
          <w:szCs w:val="24"/>
          <w:shd w:val="clear" w:color="auto" w:fill="F5FDFE"/>
        </w:rPr>
      </w:pPr>
      <w:r w:rsidRPr="00CB242F">
        <w:rPr>
          <w:rFonts w:ascii="Arial" w:hAnsi="Arial" w:cs="Arial"/>
          <w:color w:val="000000"/>
          <w:sz w:val="24"/>
          <w:szCs w:val="24"/>
          <w:shd w:val="clear" w:color="auto" w:fill="F5FDFE"/>
        </w:rPr>
        <w:t xml:space="preserve">PER SOGLIE SUPERIORI </w:t>
      </w:r>
      <w:r w:rsidRPr="00CB242F">
        <w:rPr>
          <w:rFonts w:ascii="Arial" w:hAnsi="Arial" w:cs="Arial"/>
          <w:color w:val="000000"/>
          <w:sz w:val="24"/>
          <w:szCs w:val="24"/>
          <w:shd w:val="clear" w:color="auto" w:fill="F5FDFE"/>
        </w:rPr>
        <w:sym w:font="Wingdings" w:char="F0E0"/>
      </w:r>
      <w:r w:rsidRPr="00CB242F">
        <w:rPr>
          <w:rFonts w:ascii="Arial" w:hAnsi="Arial" w:cs="Arial"/>
          <w:color w:val="000000"/>
          <w:sz w:val="24"/>
          <w:szCs w:val="24"/>
          <w:shd w:val="clear" w:color="auto" w:fill="F5FDFE"/>
        </w:rPr>
        <w:t xml:space="preserve">DEVE AVERE LA QUALIFICAZIONE </w:t>
      </w:r>
    </w:p>
    <w:p w:rsidR="006812B9" w:rsidRPr="00CB242F" w:rsidRDefault="006812B9" w:rsidP="00DC0220">
      <w:pPr>
        <w:shd w:val="clear" w:color="auto" w:fill="FFFFFF"/>
        <w:spacing w:after="188" w:line="240" w:lineRule="auto"/>
        <w:rPr>
          <w:rFonts w:ascii="Arial" w:hAnsi="Arial" w:cs="Arial"/>
          <w:color w:val="000000"/>
          <w:sz w:val="24"/>
          <w:szCs w:val="24"/>
          <w:shd w:val="clear" w:color="auto" w:fill="F5FDFE"/>
        </w:rPr>
      </w:pPr>
      <w:r w:rsidRPr="00CB242F">
        <w:rPr>
          <w:rFonts w:ascii="Arial" w:hAnsi="Arial" w:cs="Arial"/>
          <w:color w:val="000000"/>
          <w:sz w:val="24"/>
          <w:szCs w:val="24"/>
          <w:shd w:val="clear" w:color="auto" w:fill="F5FDFE"/>
        </w:rPr>
        <w:t xml:space="preserve">SE QUALIFICATA </w:t>
      </w:r>
      <w:r w:rsidRPr="00CB242F">
        <w:rPr>
          <w:rFonts w:ascii="Arial" w:hAnsi="Arial" w:cs="Arial"/>
          <w:color w:val="000000"/>
          <w:sz w:val="24"/>
          <w:szCs w:val="24"/>
          <w:shd w:val="clear" w:color="auto" w:fill="F5FDFE"/>
        </w:rPr>
        <w:sym w:font="Wingdings" w:char="F0E0"/>
      </w:r>
      <w:r w:rsidRPr="00CB242F">
        <w:rPr>
          <w:rFonts w:ascii="Arial" w:hAnsi="Arial" w:cs="Arial"/>
          <w:color w:val="000000"/>
          <w:sz w:val="24"/>
          <w:szCs w:val="24"/>
          <w:shd w:val="clear" w:color="auto" w:fill="F5FDFE"/>
        </w:rPr>
        <w:t xml:space="preserve"> PROCEDE AUTONOMAMENTE MEDIANTE UTILIZZO STRUMETNI TELEMATICI DI NEGOZIAZION</w:t>
      </w:r>
    </w:p>
    <w:p w:rsidR="006812B9" w:rsidRPr="00CB242F" w:rsidRDefault="006812B9" w:rsidP="00DC0220">
      <w:p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NEGLI ALTRI CASI</w:t>
      </w:r>
      <w:r w:rsidRPr="00CB242F">
        <w:rPr>
          <w:rFonts w:ascii="Arial" w:hAnsi="Arial" w:cs="Arial"/>
          <w:color w:val="202122"/>
          <w:sz w:val="24"/>
          <w:szCs w:val="24"/>
          <w:shd w:val="clear" w:color="auto" w:fill="FFFFFF"/>
        </w:rPr>
        <w:sym w:font="Wingdings" w:char="F0E0"/>
      </w:r>
      <w:r w:rsidRPr="00CB242F">
        <w:rPr>
          <w:rFonts w:ascii="Arial" w:hAnsi="Arial" w:cs="Arial"/>
          <w:color w:val="202122"/>
          <w:sz w:val="24"/>
          <w:szCs w:val="24"/>
          <w:shd w:val="clear" w:color="auto" w:fill="FFFFFF"/>
        </w:rPr>
        <w:t>RICORRENDO AD UNA CENTRALE DI COMMITTENZA O AGGREGANDOSI CON STAZIONI APPLATANTI QUALIFICATE.</w:t>
      </w:r>
    </w:p>
    <w:p w:rsidR="006812B9" w:rsidRPr="00CB242F" w:rsidRDefault="006812B9" w:rsidP="00DC0220">
      <w:p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SE LA STAZIONE APPLATANTE è UN COMUNE NON CAPOLUOGO DI PROVINCIA DOVRA’ PROCEDERE IN QUESTO MODO (disciplina sospesa fino al 2023) :</w:t>
      </w:r>
    </w:p>
    <w:p w:rsidR="006812B9" w:rsidRPr="00CB242F" w:rsidRDefault="006812B9" w:rsidP="006812B9">
      <w:pPr>
        <w:pStyle w:val="Paragrafoelenco"/>
        <w:numPr>
          <w:ilvl w:val="0"/>
          <w:numId w:val="3"/>
        </w:num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ricorso alla CUC o a soggetti aggregatori qualificati</w:t>
      </w:r>
    </w:p>
    <w:p w:rsidR="006812B9" w:rsidRPr="00CB242F" w:rsidRDefault="006812B9" w:rsidP="006812B9">
      <w:pPr>
        <w:pStyle w:val="Paragrafoelenco"/>
        <w:numPr>
          <w:ilvl w:val="0"/>
          <w:numId w:val="3"/>
        </w:num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lastRenderedPageBreak/>
        <w:t>mediante unione di comuni quqalificati come centrale di committenza</w:t>
      </w:r>
    </w:p>
    <w:p w:rsidR="006812B9" w:rsidRPr="00CB242F" w:rsidRDefault="006812B9" w:rsidP="006812B9">
      <w:pPr>
        <w:pStyle w:val="Paragrafoelenco"/>
        <w:numPr>
          <w:ilvl w:val="0"/>
          <w:numId w:val="3"/>
        </w:numPr>
        <w:shd w:val="clear" w:color="auto" w:fill="FFFFFF"/>
        <w:spacing w:after="188" w:line="240" w:lineRule="auto"/>
        <w:rPr>
          <w:rFonts w:ascii="Arial" w:hAnsi="Arial" w:cs="Arial"/>
          <w:color w:val="202122"/>
          <w:sz w:val="24"/>
          <w:szCs w:val="24"/>
          <w:shd w:val="clear" w:color="auto" w:fill="FFFFFF"/>
        </w:rPr>
      </w:pPr>
      <w:r w:rsidRPr="00CB242F">
        <w:rPr>
          <w:rFonts w:ascii="Arial" w:hAnsi="Arial" w:cs="Arial"/>
          <w:color w:val="202122"/>
          <w:sz w:val="24"/>
          <w:szCs w:val="24"/>
          <w:shd w:val="clear" w:color="auto" w:fill="FFFFFF"/>
        </w:rPr>
        <w:t>ricorrendo alla stazione unica applatante isitutita presso la provincia, Cm</w:t>
      </w:r>
    </w:p>
    <w:p w:rsidR="00390FD6" w:rsidRPr="00CB242F" w:rsidRDefault="00390FD6"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Il </w:t>
      </w:r>
      <w:hyperlink r:id="rId13" w:tooltip="Codice dei contratti pubblici" w:history="1">
        <w:r w:rsidRPr="00CB242F">
          <w:rPr>
            <w:rStyle w:val="Collegamentoipertestuale"/>
            <w:rFonts w:ascii="Arial" w:hAnsi="Arial" w:cs="Arial"/>
            <w:color w:val="0645AD"/>
          </w:rPr>
          <w:t>Codice dei contratti pubblici</w:t>
        </w:r>
      </w:hyperlink>
      <w:r w:rsidRPr="00CB242F">
        <w:rPr>
          <w:rFonts w:ascii="Arial" w:hAnsi="Arial" w:cs="Arial"/>
          <w:color w:val="202122"/>
        </w:rPr>
        <w:t> prevede (art.33</w:t>
      </w:r>
      <w:hyperlink r:id="rId14" w:anchor="cite_note-2" w:history="1">
        <w:r w:rsidRPr="00CB242F">
          <w:rPr>
            <w:rStyle w:val="Collegamentoipertestuale"/>
            <w:rFonts w:ascii="Arial" w:hAnsi="Arial" w:cs="Arial"/>
            <w:color w:val="0645AD"/>
            <w:vertAlign w:val="superscript"/>
          </w:rPr>
          <w:t>[2]</w:t>
        </w:r>
      </w:hyperlink>
      <w:r w:rsidRPr="00CB242F">
        <w:rPr>
          <w:rFonts w:ascii="Arial" w:hAnsi="Arial" w:cs="Arial"/>
          <w:color w:val="202122"/>
        </w:rPr>
        <w:t>) che gli Enti possano acquisire lavori, servizi o forniture facendo ricorso a centrali di committenza anche raggruppandosi o consorziandosi. Il programma di riduzione delle </w:t>
      </w:r>
      <w:hyperlink r:id="rId15" w:tooltip="Stazione appaltante" w:history="1">
        <w:r w:rsidRPr="00CB242F">
          <w:rPr>
            <w:rStyle w:val="Collegamentoipertestuale"/>
            <w:rFonts w:ascii="Arial" w:hAnsi="Arial" w:cs="Arial"/>
            <w:color w:val="0645AD"/>
          </w:rPr>
          <w:t>stazioni appaltanti</w:t>
        </w:r>
      </w:hyperlink>
      <w:r w:rsidRPr="00CB242F">
        <w:rPr>
          <w:rFonts w:ascii="Arial" w:hAnsi="Arial" w:cs="Arial"/>
          <w:color w:val="202122"/>
        </w:rPr>
        <w:t> avviato dal </w:t>
      </w:r>
      <w:hyperlink r:id="rId16" w:tooltip="Governo Renzi" w:history="1">
        <w:r w:rsidRPr="00CB242F">
          <w:rPr>
            <w:rStyle w:val="Collegamentoipertestuale"/>
            <w:rFonts w:ascii="Arial" w:hAnsi="Arial" w:cs="Arial"/>
            <w:color w:val="0645AD"/>
          </w:rPr>
          <w:t>Governo Renzi</w:t>
        </w:r>
      </w:hyperlink>
      <w:hyperlink r:id="rId17" w:anchor="cite_note-3" w:history="1">
        <w:r w:rsidRPr="00CB242F">
          <w:rPr>
            <w:rStyle w:val="Collegamentoipertestuale"/>
            <w:rFonts w:ascii="Arial" w:hAnsi="Arial" w:cs="Arial"/>
            <w:color w:val="0645AD"/>
            <w:vertAlign w:val="superscript"/>
          </w:rPr>
          <w:t>[3]</w:t>
        </w:r>
      </w:hyperlink>
      <w:r w:rsidRPr="00CB242F">
        <w:rPr>
          <w:rFonts w:ascii="Arial" w:hAnsi="Arial" w:cs="Arial"/>
          <w:color w:val="202122"/>
        </w:rPr>
        <w:t>, che nel </w:t>
      </w:r>
      <w:hyperlink r:id="rId18" w:tooltip="2014" w:history="1">
        <w:r w:rsidRPr="00CB242F">
          <w:rPr>
            <w:rStyle w:val="Collegamentoipertestuale"/>
            <w:rFonts w:ascii="Arial" w:hAnsi="Arial" w:cs="Arial"/>
            <w:color w:val="0645AD"/>
          </w:rPr>
          <w:t>2014</w:t>
        </w:r>
      </w:hyperlink>
      <w:r w:rsidRPr="00CB242F">
        <w:rPr>
          <w:rFonts w:ascii="Arial" w:hAnsi="Arial" w:cs="Arial"/>
          <w:color w:val="202122"/>
        </w:rPr>
        <w:t> ha inteso ridurre da 32.000 a 35 le </w:t>
      </w:r>
      <w:hyperlink r:id="rId19" w:tooltip="Stazione appaltante" w:history="1">
        <w:r w:rsidRPr="00CB242F">
          <w:rPr>
            <w:rStyle w:val="Collegamentoipertestuale"/>
            <w:rFonts w:ascii="Arial" w:hAnsi="Arial" w:cs="Arial"/>
            <w:color w:val="0645AD"/>
          </w:rPr>
          <w:t>stazioni appaltanti</w:t>
        </w:r>
      </w:hyperlink>
      <w:r w:rsidRPr="00CB242F">
        <w:rPr>
          <w:rFonts w:ascii="Arial" w:hAnsi="Arial" w:cs="Arial"/>
          <w:color w:val="202122"/>
        </w:rPr>
        <w:t> che bandiscono gare di beni e servizi per grandi importi in Italia, ha portato all'obbligo, per i Comuni non capoluogo di provincia, di ricorrere ad una centrale di committenza per l'acquisto di beni e servizi dal 1º gennaio 2015 e per l'acquisto di lavori dal 1º luglio 2015</w:t>
      </w:r>
      <w:hyperlink r:id="rId20" w:anchor="cite_note-4" w:history="1">
        <w:r w:rsidRPr="00CB242F">
          <w:rPr>
            <w:rStyle w:val="Collegamentoipertestuale"/>
            <w:rFonts w:ascii="Arial" w:hAnsi="Arial" w:cs="Arial"/>
            <w:color w:val="0645AD"/>
            <w:vertAlign w:val="superscript"/>
          </w:rPr>
          <w:t>[4]</w:t>
        </w:r>
      </w:hyperlink>
      <w:r w:rsidRPr="00CB242F">
        <w:rPr>
          <w:rFonts w:ascii="Arial" w:hAnsi="Arial" w:cs="Arial"/>
          <w:color w:val="202122"/>
        </w:rPr>
        <w:t>. Alcune Centrali di committenza sono incaricate dalla legge di stipulare </w:t>
      </w:r>
      <w:hyperlink r:id="rId21" w:tooltip="Convenzioni ex art. 26" w:history="1">
        <w:r w:rsidRPr="00CB242F">
          <w:rPr>
            <w:rStyle w:val="Collegamentoipertestuale"/>
            <w:rFonts w:ascii="Arial" w:hAnsi="Arial" w:cs="Arial"/>
            <w:color w:val="0645AD"/>
          </w:rPr>
          <w:t>Convenzioni ex art. 26</w:t>
        </w:r>
      </w:hyperlink>
      <w:r w:rsidRPr="00CB242F">
        <w:rPr>
          <w:rFonts w:ascii="Arial" w:hAnsi="Arial" w:cs="Arial"/>
          <w:color w:val="202122"/>
        </w:rPr>
        <w:t>, ovvero </w:t>
      </w:r>
      <w:hyperlink r:id="rId22" w:tooltip="Pubblica amministrazione italiana" w:history="1">
        <w:r w:rsidRPr="00CB242F">
          <w:rPr>
            <w:rStyle w:val="Collegamentoipertestuale"/>
            <w:rFonts w:ascii="Arial" w:hAnsi="Arial" w:cs="Arial"/>
            <w:i/>
            <w:iCs/>
            <w:color w:val="0645AD"/>
          </w:rPr>
          <w:t>contratti quadro</w:t>
        </w:r>
      </w:hyperlink>
      <w:r w:rsidRPr="00CB242F">
        <w:rPr>
          <w:rFonts w:ascii="Arial" w:hAnsi="Arial" w:cs="Arial"/>
          <w:color w:val="202122"/>
        </w:rPr>
        <w:t> stipulati dalla Centrale di committenza (ai sensi dell'art. 26 della Legge 488/1999) in cui il fornitore aggiudicatario si impegna ad accettare ordinativi di fornitura emessi dai singoli Enti della </w:t>
      </w:r>
      <w:hyperlink r:id="rId23" w:tooltip="Pubblica amministrazione" w:history="1">
        <w:r w:rsidRPr="00CB242F">
          <w:rPr>
            <w:rStyle w:val="Collegamentoipertestuale"/>
            <w:rFonts w:ascii="Arial" w:hAnsi="Arial" w:cs="Arial"/>
            <w:color w:val="0645AD"/>
          </w:rPr>
          <w:t>Pubblica amministrazione</w:t>
        </w:r>
      </w:hyperlink>
      <w:r w:rsidRPr="00CB242F">
        <w:rPr>
          <w:rFonts w:ascii="Arial" w:hAnsi="Arial" w:cs="Arial"/>
          <w:color w:val="202122"/>
        </w:rPr>
        <w:t>. Tali Centrali di committenza costituiscono, dal 2007, il </w:t>
      </w:r>
      <w:r w:rsidRPr="00CB242F">
        <w:rPr>
          <w:rFonts w:ascii="Arial" w:hAnsi="Arial" w:cs="Arial"/>
          <w:i/>
          <w:iCs/>
          <w:color w:val="202122"/>
        </w:rPr>
        <w:t>Sistema a rete</w:t>
      </w:r>
      <w:hyperlink r:id="rId24" w:anchor="cite_note-5" w:history="1">
        <w:r w:rsidRPr="00CB242F">
          <w:rPr>
            <w:rStyle w:val="Collegamentoipertestuale"/>
            <w:rFonts w:ascii="Arial" w:hAnsi="Arial" w:cs="Arial"/>
            <w:color w:val="0645AD"/>
            <w:vertAlign w:val="superscript"/>
          </w:rPr>
          <w:t>[5]</w:t>
        </w:r>
      </w:hyperlink>
      <w:r w:rsidRPr="00CB242F">
        <w:rPr>
          <w:rFonts w:ascii="Arial" w:hAnsi="Arial" w:cs="Arial"/>
          <w:color w:val="202122"/>
        </w:rPr>
        <w:t>, che vede la stretta cooperazione di </w:t>
      </w:r>
      <w:hyperlink r:id="rId25" w:tooltip="Consip" w:history="1">
        <w:r w:rsidRPr="00CB242F">
          <w:rPr>
            <w:rStyle w:val="Collegamentoipertestuale"/>
            <w:rFonts w:ascii="Arial" w:hAnsi="Arial" w:cs="Arial"/>
            <w:color w:val="0645AD"/>
          </w:rPr>
          <w:t>Consip</w:t>
        </w:r>
      </w:hyperlink>
      <w:r w:rsidRPr="00CB242F">
        <w:rPr>
          <w:rFonts w:ascii="Arial" w:hAnsi="Arial" w:cs="Arial"/>
          <w:color w:val="202122"/>
        </w:rPr>
        <w:t> - la </w:t>
      </w:r>
      <w:hyperlink r:id="rId26" w:history="1">
        <w:r w:rsidRPr="00CB242F">
          <w:rPr>
            <w:rStyle w:val="Collegamentoipertestuale"/>
            <w:rFonts w:ascii="Arial" w:hAnsi="Arial" w:cs="Arial"/>
            <w:color w:val="0645AD"/>
          </w:rPr>
          <w:t>Centrale acquisti</w:t>
        </w:r>
      </w:hyperlink>
      <w:r w:rsidRPr="00CB242F">
        <w:rPr>
          <w:rFonts w:ascii="Arial" w:hAnsi="Arial" w:cs="Arial"/>
          <w:color w:val="202122"/>
        </w:rPr>
        <w:t> nazionale - e delle Centrali Acquisti Regionali</w:t>
      </w:r>
      <w:hyperlink r:id="rId27" w:anchor="cite_note-6" w:history="1">
        <w:r w:rsidRPr="00CB242F">
          <w:rPr>
            <w:rStyle w:val="Collegamentoipertestuale"/>
            <w:rFonts w:ascii="Arial" w:hAnsi="Arial" w:cs="Arial"/>
            <w:color w:val="0645AD"/>
            <w:vertAlign w:val="superscript"/>
          </w:rPr>
          <w:t>[6]</w:t>
        </w:r>
      </w:hyperlink>
      <w:r w:rsidRPr="00CB242F">
        <w:rPr>
          <w:rFonts w:ascii="Arial" w:hAnsi="Arial" w:cs="Arial"/>
          <w:color w:val="202122"/>
        </w:rPr>
        <w:t>. Le Centrali acquisti in questo caso stimano il fabbisogno di un determinato bene o servizio e stipulano il relativo contratto quadro a cui possono aderire gli Enti pubblici.</w:t>
      </w:r>
    </w:p>
    <w:p w:rsidR="00390FD6" w:rsidRPr="00CB242F" w:rsidRDefault="00390FD6"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Per specifici acquisti, diversi dai contratti quadro, gli Enti possono incaricare un altro Ente oppure una </w:t>
      </w:r>
      <w:hyperlink r:id="rId28" w:tooltip="Centrale acquisti" w:history="1">
        <w:r w:rsidRPr="00CB242F">
          <w:rPr>
            <w:rStyle w:val="Collegamentoipertestuale"/>
            <w:rFonts w:ascii="Arial" w:hAnsi="Arial" w:cs="Arial"/>
            <w:color w:val="0645AD"/>
          </w:rPr>
          <w:t>Centrale acquisti</w:t>
        </w:r>
      </w:hyperlink>
      <w:r w:rsidRPr="00CB242F">
        <w:rPr>
          <w:rFonts w:ascii="Arial" w:hAnsi="Arial" w:cs="Arial"/>
          <w:color w:val="202122"/>
        </w:rPr>
        <w:t> di svolgere il ruolo di Centrale di committenza. Rientrano in questa fattispecie le deleghe - attribuite con specifico </w:t>
      </w:r>
      <w:r w:rsidRPr="00CB242F">
        <w:rPr>
          <w:rFonts w:ascii="Arial" w:hAnsi="Arial" w:cs="Arial"/>
          <w:i/>
          <w:iCs/>
          <w:color w:val="202122"/>
        </w:rPr>
        <w:t>Disciplinare</w:t>
      </w:r>
      <w:r w:rsidRPr="00CB242F">
        <w:rPr>
          <w:rFonts w:ascii="Arial" w:hAnsi="Arial" w:cs="Arial"/>
          <w:color w:val="202122"/>
        </w:rPr>
        <w:t> bilaterale - tra la </w:t>
      </w:r>
      <w:hyperlink r:id="rId29" w:tooltip="Consip" w:history="1">
        <w:r w:rsidRPr="00CB242F">
          <w:rPr>
            <w:rStyle w:val="Collegamentoipertestuale"/>
            <w:rFonts w:ascii="Arial" w:hAnsi="Arial" w:cs="Arial"/>
            <w:color w:val="0645AD"/>
          </w:rPr>
          <w:t>Consip</w:t>
        </w:r>
      </w:hyperlink>
      <w:r w:rsidRPr="00CB242F">
        <w:rPr>
          <w:rFonts w:ascii="Arial" w:hAnsi="Arial" w:cs="Arial"/>
          <w:color w:val="202122"/>
        </w:rPr>
        <w:t> e il </w:t>
      </w:r>
      <w:hyperlink r:id="rId30" w:tooltip="Dipartimento della Protezione Civile" w:history="1">
        <w:r w:rsidRPr="00CB242F">
          <w:rPr>
            <w:rStyle w:val="Collegamentoipertestuale"/>
            <w:rFonts w:ascii="Arial" w:hAnsi="Arial" w:cs="Arial"/>
            <w:color w:val="0645AD"/>
          </w:rPr>
          <w:t>Dipartimento della Protezione Civile</w:t>
        </w:r>
      </w:hyperlink>
      <w:hyperlink r:id="rId31" w:anchor="cite_note-7" w:history="1">
        <w:r w:rsidRPr="00CB242F">
          <w:rPr>
            <w:rStyle w:val="Collegamentoipertestuale"/>
            <w:rFonts w:ascii="Arial" w:hAnsi="Arial" w:cs="Arial"/>
            <w:color w:val="0645AD"/>
            <w:vertAlign w:val="superscript"/>
          </w:rPr>
          <w:t>[7]</w:t>
        </w:r>
      </w:hyperlink>
      <w:r w:rsidRPr="00CB242F">
        <w:rPr>
          <w:rFonts w:ascii="Arial" w:hAnsi="Arial" w:cs="Arial"/>
          <w:color w:val="202122"/>
        </w:rPr>
        <w:t> sulla cui base sono state bandite gare di grande rilievo</w:t>
      </w:r>
      <w:hyperlink r:id="rId32" w:anchor="cite_note-8" w:history="1">
        <w:r w:rsidRPr="00CB242F">
          <w:rPr>
            <w:rStyle w:val="Collegamentoipertestuale"/>
            <w:rFonts w:ascii="Arial" w:hAnsi="Arial" w:cs="Arial"/>
            <w:color w:val="0645AD"/>
            <w:vertAlign w:val="superscript"/>
          </w:rPr>
          <w:t>[8]</w:t>
        </w:r>
      </w:hyperlink>
      <w:r w:rsidRPr="00CB242F">
        <w:rPr>
          <w:rFonts w:ascii="Arial" w:hAnsi="Arial" w:cs="Arial"/>
          <w:color w:val="202122"/>
        </w:rPr>
        <w:t>.</w:t>
      </w:r>
    </w:p>
    <w:p w:rsidR="00390FD6" w:rsidRPr="00CB242F" w:rsidRDefault="00390FD6"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Vi è poi il caso delle </w:t>
      </w:r>
      <w:r w:rsidRPr="00CB242F">
        <w:rPr>
          <w:rFonts w:ascii="Arial" w:hAnsi="Arial" w:cs="Arial"/>
          <w:i/>
          <w:iCs/>
          <w:color w:val="202122"/>
        </w:rPr>
        <w:t>Stazioni uniche appaltanti</w:t>
      </w:r>
      <w:r w:rsidRPr="00CB242F">
        <w:rPr>
          <w:rFonts w:ascii="Arial" w:hAnsi="Arial" w:cs="Arial"/>
          <w:color w:val="202122"/>
        </w:rPr>
        <w:t>, in acronimo </w:t>
      </w:r>
      <w:r w:rsidRPr="00CB242F">
        <w:rPr>
          <w:rFonts w:ascii="Arial" w:hAnsi="Arial" w:cs="Arial"/>
          <w:i/>
          <w:iCs/>
          <w:color w:val="202122"/>
        </w:rPr>
        <w:t>SUA</w:t>
      </w:r>
      <w:hyperlink r:id="rId33" w:anchor="cite_note-9" w:history="1">
        <w:r w:rsidRPr="00CB242F">
          <w:rPr>
            <w:rStyle w:val="Collegamentoipertestuale"/>
            <w:rFonts w:ascii="Arial" w:hAnsi="Arial" w:cs="Arial"/>
            <w:color w:val="0645AD"/>
            <w:vertAlign w:val="superscript"/>
          </w:rPr>
          <w:t>[9]</w:t>
        </w:r>
      </w:hyperlink>
      <w:r w:rsidRPr="00CB242F">
        <w:rPr>
          <w:rFonts w:ascii="Arial" w:hAnsi="Arial" w:cs="Arial"/>
          <w:color w:val="202122"/>
        </w:rPr>
        <w:t>, che sono Centrali di committenza ad adesione volontaria o obbligata da specifiche norme. Alla SUA, in quanto centrale di committenza, si applica anche la norma (art. 33, comma 3, del Codice) in base alla quale le funzioni di stazione appaltante, per i lavori, possono essere affidate ai Provveditorati interregionali per le opere pubbliche (già servizi integrati infrastrutture e trasporti – SIIT), il che, quindi, consente di affidare a questi ultimi anche le funzioni della SUA.</w:t>
      </w:r>
    </w:p>
    <w:p w:rsidR="006812B9" w:rsidRPr="00CB242F" w:rsidRDefault="006812B9" w:rsidP="00390FD6">
      <w:pPr>
        <w:pStyle w:val="NormaleWeb"/>
        <w:shd w:val="clear" w:color="auto" w:fill="FFFFFF"/>
        <w:spacing w:before="120" w:beforeAutospacing="0" w:after="120" w:afterAutospacing="0"/>
        <w:rPr>
          <w:rFonts w:ascii="Arial" w:hAnsi="Arial" w:cs="Arial"/>
          <w:color w:val="202122"/>
        </w:rPr>
      </w:pPr>
    </w:p>
    <w:p w:rsidR="006812B9" w:rsidRPr="00CB242F" w:rsidRDefault="006812B9"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OFFERTE ANOMALE</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LE STAZIONI applatanti possono richiedere agli operatori economici spiegazioni sul prezzo o sui costi porposti nelle offerte quando sembrano anormalmete basse sulla base di un giudiziotecnico di congruità, serietà relaizzabilità e sostenibilità dell’offerta.</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La stazione applatante richiede per iscritto assegnado al conocrrente un termine non inferiore a 15g per le eventuali spiegazioni.</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L’offerta potrà esser esclusa solo se la prova fornita non giustifica sufficientemente  il prezzo cosiì basso, o nel caso in cui non ripsetti i vincoli imposti dal legislatore ai sensi dell’art 97.5.</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No giustiifcazioni su trattamenti salariali minimi non derogabili</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No giusitificazioni sicurezza luoghi di lavoro</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L’offerta potrà esser esclusa anche in caso di aiuti di stato nel caso di incompatibilità con il mercato interno.</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PARTECIPAZIONE ALLA GARA</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lastRenderedPageBreak/>
        <w:t>I soggetti devono avere tutti i requisiti previsti dal bando di gara</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Art 45</w:t>
      </w:r>
      <w:r w:rsidRPr="00CB242F">
        <w:rPr>
          <w:rFonts w:ascii="Arial" w:hAnsi="Arial" w:cs="Arial"/>
          <w:color w:val="202122"/>
        </w:rPr>
        <w:sym w:font="Wingdings" w:char="F0E0"/>
      </w:r>
      <w:r w:rsidRPr="00CB242F">
        <w:rPr>
          <w:rFonts w:ascii="Arial" w:hAnsi="Arial" w:cs="Arial"/>
          <w:color w:val="202122"/>
        </w:rPr>
        <w:t>soggetti ammessi a partecipare alla gara</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Art 51</w:t>
      </w:r>
      <w:r w:rsidRPr="00CB242F">
        <w:rPr>
          <w:rFonts w:ascii="Arial" w:hAnsi="Arial" w:cs="Arial"/>
          <w:color w:val="202122"/>
        </w:rPr>
        <w:sym w:font="Wingdings" w:char="F0E0"/>
      </w:r>
      <w:r w:rsidRPr="00CB242F">
        <w:rPr>
          <w:rFonts w:ascii="Arial" w:hAnsi="Arial" w:cs="Arial"/>
          <w:color w:val="202122"/>
        </w:rPr>
        <w:t xml:space="preserve"> microimprese</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Art 83</w:t>
      </w:r>
      <w:r w:rsidRPr="00CB242F">
        <w:rPr>
          <w:rFonts w:ascii="Arial" w:hAnsi="Arial" w:cs="Arial"/>
          <w:color w:val="202122"/>
        </w:rPr>
        <w:sym w:font="Wingdings" w:char="F0E0"/>
      </w:r>
      <w:r w:rsidRPr="00CB242F">
        <w:rPr>
          <w:rFonts w:ascii="Arial" w:hAnsi="Arial" w:cs="Arial"/>
          <w:color w:val="202122"/>
        </w:rPr>
        <w:t xml:space="preserve"> criteri di selezione (requisiti di idoneità professionale, capacità economica e finanziaria, capacità tecniche e professionali</w:t>
      </w:r>
    </w:p>
    <w:p w:rsidR="00A51362" w:rsidRPr="00CB242F" w:rsidRDefault="00A51362" w:rsidP="00390FD6">
      <w:pPr>
        <w:pStyle w:val="NormaleWeb"/>
        <w:shd w:val="clear" w:color="auto" w:fill="FFFFFF"/>
        <w:spacing w:before="120" w:beforeAutospacing="0" w:after="120" w:afterAutospacing="0"/>
        <w:rPr>
          <w:rFonts w:ascii="Arial" w:hAnsi="Arial" w:cs="Arial"/>
          <w:color w:val="202122"/>
        </w:rPr>
      </w:pPr>
      <w:r w:rsidRPr="00CB242F">
        <w:rPr>
          <w:rFonts w:ascii="Arial" w:hAnsi="Arial" w:cs="Arial"/>
          <w:color w:val="202122"/>
        </w:rPr>
        <w:t>SOCCORSO ISTRUTTORIO</w:t>
      </w:r>
    </w:p>
    <w:p w:rsidR="00A51362" w:rsidRPr="00CB242F" w:rsidRDefault="00A51362" w:rsidP="00390FD6">
      <w:pPr>
        <w:pStyle w:val="NormaleWeb"/>
        <w:shd w:val="clear" w:color="auto" w:fill="FFFFFF"/>
        <w:spacing w:before="120" w:beforeAutospacing="0" w:after="120" w:afterAutospacing="0"/>
        <w:rPr>
          <w:rFonts w:ascii="Arial" w:hAnsi="Arial" w:cs="Arial"/>
          <w:color w:val="000000"/>
          <w:shd w:val="clear" w:color="auto" w:fill="FCFCFC"/>
        </w:rPr>
      </w:pPr>
      <w:r w:rsidRPr="00CB242F">
        <w:rPr>
          <w:rFonts w:ascii="Arial" w:hAnsi="Arial" w:cs="Arial"/>
          <w:color w:val="000000"/>
          <w:shd w:val="clear" w:color="auto" w:fill="FCFCFC"/>
        </w:rPr>
        <w:t>L’istituto del soccorso istruttorio trova la sua applicazione nel diritto amministrativo e riveste vitale importanza nel codice degli appalti. Questo strumento ha subito un’evoluzione nel corso del tempo. Oggi, così come disciplinato nel nuovo codice degli appalti, giova agli operatori economici che hanno la possibilità di colmare irregolarità formali.</w:t>
      </w:r>
    </w:p>
    <w:p w:rsidR="00A51362" w:rsidRPr="00CB242F" w:rsidRDefault="00A51362" w:rsidP="00390FD6">
      <w:pPr>
        <w:pStyle w:val="NormaleWeb"/>
        <w:shd w:val="clear" w:color="auto" w:fill="FFFFFF"/>
        <w:spacing w:before="120" w:beforeAutospacing="0" w:after="120" w:afterAutospacing="0"/>
        <w:rPr>
          <w:rFonts w:ascii="Arial" w:hAnsi="Arial" w:cs="Arial"/>
          <w:color w:val="000000"/>
          <w:shd w:val="clear" w:color="auto" w:fill="FCFCFC"/>
        </w:rPr>
      </w:pPr>
      <w:r w:rsidRPr="00CB242F">
        <w:rPr>
          <w:rFonts w:ascii="Arial" w:hAnsi="Arial" w:cs="Arial"/>
          <w:color w:val="202122"/>
        </w:rPr>
        <w:t xml:space="preserve"> </w:t>
      </w:r>
      <w:r w:rsidRPr="00CB242F">
        <w:rPr>
          <w:rFonts w:ascii="Arial" w:hAnsi="Arial" w:cs="Arial"/>
          <w:color w:val="000000"/>
          <w:shd w:val="clear" w:color="auto" w:fill="FCFCFC"/>
        </w:rPr>
        <w:t>L’istituto del soccorso istruttorio trova le sue fondamenta nell’articolo 6 della Legge 241/1990, permettendo al responsabile del procedimento di avere la facoltà di “andare in soccorso” del privato al fine di colmare lacune documentali.</w:t>
      </w:r>
    </w:p>
    <w:p w:rsidR="00A51362" w:rsidRPr="00CB242F" w:rsidRDefault="00A51362" w:rsidP="00390FD6">
      <w:pPr>
        <w:pStyle w:val="NormaleWeb"/>
        <w:shd w:val="clear" w:color="auto" w:fill="FFFFFF"/>
        <w:spacing w:before="120" w:beforeAutospacing="0" w:after="120" w:afterAutospacing="0"/>
        <w:rPr>
          <w:rFonts w:ascii="Arial" w:hAnsi="Arial" w:cs="Arial"/>
          <w:b/>
          <w:bCs/>
          <w:color w:val="000000"/>
          <w:shd w:val="clear" w:color="auto" w:fill="FCFCFC"/>
        </w:rPr>
      </w:pPr>
      <w:r w:rsidRPr="00CB242F">
        <w:rPr>
          <w:rFonts w:ascii="Arial" w:hAnsi="Arial" w:cs="Arial"/>
          <w:b/>
          <w:bCs/>
          <w:color w:val="000000"/>
          <w:shd w:val="clear" w:color="auto" w:fill="FCFCFC"/>
        </w:rPr>
        <w:t>Oggi è disciplinato dall’articolo 83 comma 9 del Decreto Legislativo 50/2016, e la sua applicazione è obbligatoria per le amministrazioni, inoltre riveste vitale importanza poiché permette agli operatori economici di poter colmare “</w:t>
      </w:r>
      <w:r w:rsidRPr="00CB242F">
        <w:rPr>
          <w:rStyle w:val="Enfasicorsivo"/>
          <w:rFonts w:ascii="Arial" w:hAnsi="Arial" w:cs="Arial"/>
          <w:b/>
          <w:bCs/>
          <w:color w:val="000000"/>
          <w:shd w:val="clear" w:color="auto" w:fill="FCFCFC"/>
        </w:rPr>
        <w:t>le carenze di qualsiasi elemento formale della domanda (…) con esclusione di quelle afferenti all'offerta economica e all'offerta tecnica</w:t>
      </w:r>
      <w:r w:rsidRPr="00CB242F">
        <w:rPr>
          <w:rFonts w:ascii="Arial" w:hAnsi="Arial" w:cs="Arial"/>
          <w:b/>
          <w:bCs/>
          <w:color w:val="000000"/>
          <w:shd w:val="clear" w:color="auto" w:fill="FCFCFC"/>
        </w:rPr>
        <w:t>”.</w:t>
      </w:r>
    </w:p>
    <w:p w:rsidR="00A51362" w:rsidRPr="00CB242F" w:rsidRDefault="00A51362" w:rsidP="00A51362">
      <w:pPr>
        <w:pStyle w:val="Corpodeltesto"/>
        <w:shd w:val="clear" w:color="auto" w:fill="FCFCFC"/>
        <w:rPr>
          <w:rFonts w:ascii="Arial" w:hAnsi="Arial" w:cs="Arial"/>
          <w:color w:val="000000"/>
        </w:rPr>
      </w:pPr>
      <w:r w:rsidRPr="00CB242F">
        <w:rPr>
          <w:rFonts w:ascii="Arial" w:hAnsi="Arial" w:cs="Arial"/>
          <w:color w:val="202122"/>
        </w:rPr>
        <w:t xml:space="preserve">  </w:t>
      </w:r>
      <w:r w:rsidRPr="00CB242F">
        <w:rPr>
          <w:rFonts w:ascii="Arial" w:hAnsi="Arial" w:cs="Arial"/>
          <w:color w:val="000000"/>
        </w:rPr>
        <w:t>l legislatore ha attribuito a questo istituto la </w:t>
      </w:r>
      <w:r w:rsidRPr="00CB242F">
        <w:rPr>
          <w:rFonts w:ascii="Arial" w:hAnsi="Arial" w:cs="Arial"/>
          <w:b/>
          <w:bCs/>
          <w:i/>
          <w:iCs/>
          <w:color w:val="000000"/>
        </w:rPr>
        <w:t>ratio </w:t>
      </w:r>
      <w:r w:rsidRPr="00CB242F">
        <w:rPr>
          <w:rFonts w:ascii="Arial" w:hAnsi="Arial" w:cs="Arial"/>
          <w:b/>
          <w:bCs/>
          <w:color w:val="000000"/>
        </w:rPr>
        <w:t>di agevolare gli operatori</w:t>
      </w:r>
      <w:r w:rsidRPr="00CB242F">
        <w:rPr>
          <w:rFonts w:ascii="Arial" w:hAnsi="Arial" w:cs="Arial"/>
          <w:color w:val="000000"/>
        </w:rPr>
        <w:t> a superare ogni ipotesi di mancanza o di irregolarità delle dichiarazioni sostitutive, anche essenziali, in virtù del principio del </w:t>
      </w:r>
      <w:r w:rsidRPr="00CB242F">
        <w:rPr>
          <w:rFonts w:ascii="Arial" w:hAnsi="Arial" w:cs="Arial"/>
          <w:i/>
          <w:iCs/>
          <w:color w:val="000000"/>
        </w:rPr>
        <w:t>favor partecipationis </w:t>
      </w:r>
      <w:r w:rsidRPr="00CB242F">
        <w:rPr>
          <w:rFonts w:ascii="Arial" w:hAnsi="Arial" w:cs="Arial"/>
          <w:color w:val="000000"/>
        </w:rPr>
        <w:t>ovvero </w:t>
      </w:r>
      <w:r w:rsidRPr="00CB242F">
        <w:rPr>
          <w:rFonts w:ascii="Arial" w:hAnsi="Arial" w:cs="Arial"/>
          <w:b/>
          <w:bCs/>
          <w:color w:val="000000"/>
        </w:rPr>
        <w:t>ampliare e agevolare quanto più possibile la platea delle imprese partecipanti alle gare</w:t>
      </w:r>
      <w:r w:rsidRPr="00CB242F">
        <w:rPr>
          <w:rFonts w:ascii="Arial" w:hAnsi="Arial" w:cs="Arial"/>
          <w:color w:val="000000"/>
        </w:rPr>
        <w:t>.</w:t>
      </w:r>
    </w:p>
    <w:p w:rsidR="00A51362" w:rsidRPr="00CB242F" w:rsidRDefault="00A51362" w:rsidP="00A51362">
      <w:pPr>
        <w:shd w:val="clear" w:color="auto" w:fill="FCFCFC"/>
        <w:spacing w:before="100" w:beforeAutospacing="1" w:after="100" w:afterAutospacing="1" w:line="240" w:lineRule="auto"/>
        <w:rPr>
          <w:rFonts w:ascii="Arial" w:eastAsia="Times New Roman" w:hAnsi="Arial" w:cs="Arial"/>
          <w:color w:val="000000"/>
          <w:sz w:val="24"/>
          <w:szCs w:val="24"/>
          <w:lang w:eastAsia="it-IT"/>
        </w:rPr>
      </w:pPr>
      <w:r w:rsidRPr="00CB242F">
        <w:rPr>
          <w:rFonts w:ascii="Arial" w:eastAsia="Times New Roman" w:hAnsi="Arial" w:cs="Arial"/>
          <w:color w:val="000000"/>
          <w:sz w:val="24"/>
          <w:szCs w:val="24"/>
          <w:lang w:eastAsia="it-IT"/>
        </w:rPr>
        <w:t>Pertanto, </w:t>
      </w:r>
      <w:r w:rsidRPr="00CB242F">
        <w:rPr>
          <w:rFonts w:ascii="Arial" w:eastAsia="Times New Roman" w:hAnsi="Arial" w:cs="Arial"/>
          <w:b/>
          <w:bCs/>
          <w:color w:val="000000"/>
          <w:sz w:val="24"/>
          <w:szCs w:val="24"/>
          <w:lang w:eastAsia="it-IT"/>
        </w:rPr>
        <w:t>gli operatori economici possono sanare ogni mancanza formale purché non afferente all’offerta tecnica ed economica</w:t>
      </w:r>
    </w:p>
    <w:p w:rsidR="006812B9" w:rsidRPr="00CB242F" w:rsidRDefault="006812B9" w:rsidP="00390FD6">
      <w:pPr>
        <w:pStyle w:val="NormaleWeb"/>
        <w:shd w:val="clear" w:color="auto" w:fill="FFFFFF"/>
        <w:spacing w:before="120" w:beforeAutospacing="0" w:after="120" w:afterAutospacing="0"/>
        <w:rPr>
          <w:rFonts w:ascii="Arial" w:hAnsi="Arial" w:cs="Arial"/>
          <w:color w:val="202122"/>
        </w:rPr>
      </w:pPr>
    </w:p>
    <w:p w:rsidR="00A51362" w:rsidRPr="00CB242F" w:rsidRDefault="00A51362" w:rsidP="00390FD6">
      <w:pPr>
        <w:pStyle w:val="NormaleWeb"/>
        <w:shd w:val="clear" w:color="auto" w:fill="FFFFFF"/>
        <w:spacing w:before="120" w:beforeAutospacing="0" w:after="120" w:afterAutospacing="0"/>
        <w:rPr>
          <w:rFonts w:ascii="Arial" w:hAnsi="Arial" w:cs="Arial"/>
          <w:color w:val="000000"/>
          <w:shd w:val="clear" w:color="auto" w:fill="FCFCFC"/>
        </w:rPr>
      </w:pPr>
      <w:r w:rsidRPr="00CB242F">
        <w:rPr>
          <w:rFonts w:ascii="Arial" w:hAnsi="Arial" w:cs="Arial"/>
          <w:color w:val="000000"/>
          <w:shd w:val="clear" w:color="auto" w:fill="FCFCFC"/>
        </w:rPr>
        <w:t>Inoltre, è bene ribadire che </w:t>
      </w:r>
      <w:r w:rsidRPr="00CB242F">
        <w:rPr>
          <w:rStyle w:val="Enfasigrassetto"/>
          <w:rFonts w:ascii="Arial" w:hAnsi="Arial" w:cs="Arial"/>
          <w:color w:val="000000"/>
          <w:shd w:val="clear" w:color="auto" w:fill="FCFCFC"/>
        </w:rPr>
        <w:t>non sono colmabili le carenze sostanziali circa la mancanza di un requisito richiesto ai fini della partecipazione</w:t>
      </w:r>
      <w:r w:rsidRPr="00CB242F">
        <w:rPr>
          <w:rFonts w:ascii="Arial" w:hAnsi="Arial" w:cs="Arial"/>
          <w:color w:val="000000"/>
          <w:shd w:val="clear" w:color="auto" w:fill="FCFCFC"/>
        </w:rPr>
        <w:t>. Questi ultimi devono essere posseduti dall’impresa entro i termini stabiliti per la presentazione dell’offerta e persistere fino ad aggiudicazione.</w:t>
      </w:r>
    </w:p>
    <w:p w:rsidR="00D6002D" w:rsidRPr="00CB242F" w:rsidRDefault="00D6002D" w:rsidP="00390FD6">
      <w:pPr>
        <w:pStyle w:val="NormaleWeb"/>
        <w:shd w:val="clear" w:color="auto" w:fill="FFFFFF"/>
        <w:spacing w:before="120" w:beforeAutospacing="0" w:after="120" w:afterAutospacing="0"/>
        <w:rPr>
          <w:rFonts w:ascii="Arial" w:hAnsi="Arial" w:cs="Arial"/>
          <w:color w:val="000000"/>
          <w:shd w:val="clear" w:color="auto" w:fill="FCFCFC"/>
        </w:rPr>
      </w:pPr>
    </w:p>
    <w:p w:rsidR="00D6002D" w:rsidRPr="00CB242F" w:rsidRDefault="00D6002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in caso di mancanza, incompletezza e di ogni altra irregolarità essenziale degli elementi e del documento di gara unico europeo, con esclusione di quelle afferenti all'offerta economica e all'offerta tecnica</w:t>
      </w:r>
      <w:r w:rsidRPr="00CB242F">
        <w:rPr>
          <w:rFonts w:ascii="Arial" w:hAnsi="Arial" w:cs="Arial"/>
          <w:b/>
          <w:color w:val="000000"/>
          <w:shd w:val="clear" w:color="auto" w:fill="F5FDFE"/>
        </w:rPr>
        <w:t>, la stazione appaltante assegna al concorrente un termine, non superiore a dieci giorni</w:t>
      </w:r>
      <w:r w:rsidRPr="00CB242F">
        <w:rPr>
          <w:rFonts w:ascii="Arial" w:hAnsi="Arial" w:cs="Arial"/>
          <w:color w:val="000000"/>
          <w:shd w:val="clear" w:color="auto" w:fill="F5FDFE"/>
        </w:rPr>
        <w:t>, perché siano rese, integrate o regolarizzate le dichiarazioni necessarie, indicandone il contenuto e i soggetti che le devono rendere. In caso di inutile decorso del termine di regolarizzazione, il concorrente è escluso dalla gara.</w:t>
      </w:r>
    </w:p>
    <w:p w:rsidR="00D6002D" w:rsidRPr="00CB242F" w:rsidRDefault="00D6002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 xml:space="preserve"> Costituiscono irregolarità essenziali non sanabili le carenze della documentazione che non consentono l'individuazione del contenuto o del soggetto responsabile della stessa.</w:t>
      </w:r>
    </w:p>
    <w:p w:rsidR="00D6002D" w:rsidRPr="00CB242F" w:rsidRDefault="00D6002D" w:rsidP="00390FD6">
      <w:pPr>
        <w:pStyle w:val="NormaleWeb"/>
        <w:shd w:val="clear" w:color="auto" w:fill="FFFFFF"/>
        <w:spacing w:before="120" w:beforeAutospacing="0" w:after="120" w:afterAutospacing="0"/>
        <w:rPr>
          <w:rFonts w:ascii="Arial" w:hAnsi="Arial" w:cs="Arial"/>
          <w:color w:val="000000"/>
          <w:shd w:val="clear" w:color="auto" w:fill="F5FDFE"/>
        </w:rPr>
      </w:pPr>
    </w:p>
    <w:p w:rsidR="00D6002D" w:rsidRPr="00CB242F" w:rsidRDefault="00D6002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CAUSE ESCLUSIONE DALLA GARA E AVVALIMENTO</w:t>
      </w:r>
    </w:p>
    <w:p w:rsidR="00D6002D" w:rsidRPr="00CB242F" w:rsidRDefault="00D6002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lastRenderedPageBreak/>
        <w:t>L’ART 80 individua i motivi di esclusione di un operatore economico dalla gara relativi all’affidabilità morale del contraente futuro vedi art 80 e 81</w:t>
      </w:r>
    </w:p>
    <w:p w:rsidR="00D6002D" w:rsidRPr="00CB242F" w:rsidRDefault="00D6002D" w:rsidP="00D6002D">
      <w:pPr>
        <w:pStyle w:val="NormaleWeb"/>
        <w:shd w:val="clear" w:color="auto" w:fill="F5FDFE"/>
        <w:rPr>
          <w:rFonts w:ascii="Arial" w:hAnsi="Arial" w:cs="Arial"/>
          <w:color w:val="000000"/>
        </w:rPr>
      </w:pPr>
      <w:r w:rsidRPr="00CB242F">
        <w:rPr>
          <w:rFonts w:ascii="Arial" w:hAnsi="Arial" w:cs="Arial"/>
          <w:color w:val="000000"/>
        </w:rPr>
        <w:t>L'operatore economico, per un determinato appalto, può soddisfare la richiesta relativa al possesso dei requisiti di carattere economico, finanziario, tecnico e professionale di necessari per partecipare ad una procedura di gara, e, in ogni caso, con esclusione dei requisiti di cui all'</w:t>
      </w:r>
      <w:hyperlink r:id="rId34" w:anchor="080" w:history="1">
        <w:r w:rsidRPr="00CB242F">
          <w:rPr>
            <w:rStyle w:val="Collegamentoipertestuale"/>
            <w:rFonts w:ascii="Arial" w:hAnsi="Arial" w:cs="Arial"/>
          </w:rPr>
          <w:t>articolo 80</w:t>
        </w:r>
      </w:hyperlink>
      <w:r w:rsidRPr="00CB242F">
        <w:rPr>
          <w:rFonts w:ascii="Arial" w:hAnsi="Arial" w:cs="Arial"/>
          <w:color w:val="000000"/>
        </w:rPr>
        <w:t>, avvalendosi delle capacità di altri soggetti, anche partecipanti al raggruppamento, a prescindere dalla natura giuridica dei suoi legami con questi ultimi.</w:t>
      </w:r>
    </w:p>
    <w:p w:rsidR="00D6002D" w:rsidRPr="00CB242F" w:rsidRDefault="00D6002D" w:rsidP="00D6002D">
      <w:pPr>
        <w:pStyle w:val="NormaleWeb"/>
        <w:shd w:val="clear" w:color="auto" w:fill="F5FDFE"/>
        <w:rPr>
          <w:rFonts w:ascii="Arial" w:hAnsi="Arial" w:cs="Arial"/>
          <w:color w:val="000000"/>
        </w:rPr>
      </w:pPr>
      <w:r w:rsidRPr="00CB242F">
        <w:rPr>
          <w:rFonts w:ascii="Arial" w:hAnsi="Arial" w:cs="Arial"/>
          <w:color w:val="000000"/>
        </w:rPr>
        <w:t xml:space="preserve"> Per quanto riguarda i criteri relativi all'indicazione dei titoli di studio e professionali di cui all'</w:t>
      </w:r>
      <w:hyperlink r:id="rId35" w:anchor="Allegato_XVII" w:history="1">
        <w:r w:rsidRPr="00CB242F">
          <w:rPr>
            <w:rStyle w:val="Collegamentoipertestuale"/>
            <w:rFonts w:ascii="Arial" w:hAnsi="Arial" w:cs="Arial"/>
          </w:rPr>
          <w:t>allegato XVII, parte II, lettera f)</w:t>
        </w:r>
      </w:hyperlink>
      <w:r w:rsidRPr="00CB242F">
        <w:rPr>
          <w:rFonts w:ascii="Arial" w:hAnsi="Arial" w:cs="Arial"/>
          <w:color w:val="000000"/>
        </w:rPr>
        <w:t xml:space="preserve">, o alle esperienze professionali pertinenti, gli operatori economici possono tuttavia avvalersi delle capacità di altri soggetti solo se questi ultimi eseguono direttamente i lavori o i servizi per cui tali capacità sono richieste. </w:t>
      </w:r>
    </w:p>
    <w:p w:rsidR="00D6002D" w:rsidRPr="00CB242F" w:rsidRDefault="00D6002D" w:rsidP="00D6002D">
      <w:pPr>
        <w:pStyle w:val="NormaleWeb"/>
        <w:shd w:val="clear" w:color="auto" w:fill="F5FDFE"/>
        <w:rPr>
          <w:rFonts w:ascii="Arial" w:hAnsi="Arial" w:cs="Arial"/>
          <w:color w:val="000000"/>
        </w:rPr>
      </w:pPr>
      <w:r w:rsidRPr="00CB242F">
        <w:rPr>
          <w:rFonts w:ascii="Arial" w:hAnsi="Arial" w:cs="Arial"/>
          <w:color w:val="000000"/>
        </w:rPr>
        <w:t>La stazione appaltante verifica, conformemente agli </w:t>
      </w:r>
      <w:hyperlink r:id="rId36" w:anchor="085" w:history="1">
        <w:r w:rsidRPr="00CB242F">
          <w:rPr>
            <w:rStyle w:val="Collegamentoipertestuale"/>
            <w:rFonts w:ascii="Arial" w:hAnsi="Arial" w:cs="Arial"/>
          </w:rPr>
          <w:t>articoli 85, 86</w:t>
        </w:r>
      </w:hyperlink>
      <w:r w:rsidRPr="00CB242F">
        <w:rPr>
          <w:rFonts w:ascii="Arial" w:hAnsi="Arial" w:cs="Arial"/>
          <w:color w:val="000000"/>
        </w:rPr>
        <w:t> e </w:t>
      </w:r>
      <w:hyperlink r:id="rId37" w:anchor="088" w:history="1">
        <w:r w:rsidRPr="00CB242F">
          <w:rPr>
            <w:rStyle w:val="Collegamentoipertestuale"/>
            <w:rFonts w:ascii="Arial" w:hAnsi="Arial" w:cs="Arial"/>
          </w:rPr>
          <w:t>88</w:t>
        </w:r>
      </w:hyperlink>
      <w:r w:rsidRPr="00CB242F">
        <w:rPr>
          <w:rFonts w:ascii="Arial" w:hAnsi="Arial" w:cs="Arial"/>
          <w:color w:val="000000"/>
        </w:rPr>
        <w:t>, se i soggetti della cui capacità l'operatore economico intende avvalersi, soddisfano i pertinenti criteri di selezione o se sussistono motivi di esclusione ai sensi dell'</w:t>
      </w:r>
      <w:hyperlink r:id="rId38" w:anchor="080" w:history="1">
        <w:r w:rsidRPr="00CB242F">
          <w:rPr>
            <w:rStyle w:val="Collegamentoipertestuale"/>
            <w:rFonts w:ascii="Arial" w:hAnsi="Arial" w:cs="Arial"/>
          </w:rPr>
          <w:t>articolo 80</w:t>
        </w:r>
      </w:hyperlink>
      <w:r w:rsidRPr="00CB242F">
        <w:rPr>
          <w:rFonts w:ascii="Arial" w:hAnsi="Arial" w:cs="Arial"/>
          <w:color w:val="000000"/>
        </w:rPr>
        <w:t>.</w:t>
      </w:r>
    </w:p>
    <w:p w:rsidR="00D6002D" w:rsidRPr="00CB242F" w:rsidRDefault="00D6002D" w:rsidP="00D6002D">
      <w:pPr>
        <w:pStyle w:val="NormaleWeb"/>
        <w:shd w:val="clear" w:color="auto" w:fill="F5FDFE"/>
        <w:rPr>
          <w:rFonts w:ascii="Arial" w:hAnsi="Arial" w:cs="Arial"/>
          <w:color w:val="000000"/>
        </w:rPr>
      </w:pPr>
      <w:r w:rsidRPr="00CB242F">
        <w:rPr>
          <w:rFonts w:ascii="Arial" w:hAnsi="Arial" w:cs="Arial"/>
          <w:color w:val="000000"/>
        </w:rPr>
        <w:t>. Il concorrente e l'impresa ausiliaria sono responsabili in solido nei confronti della stazione appaltante in relazione alle prestazioni oggetto del contratto. Gli obblighi previsti dalla normativa antimafia a carico del concorrente si applicano anche nei confronti del soggetto ausiliario, in ragione dell'importo dell'appalto posto a base di gara.</w:t>
      </w:r>
    </w:p>
    <w:p w:rsidR="00D6002D" w:rsidRPr="00CB242F" w:rsidRDefault="00D6002D" w:rsidP="00D6002D">
      <w:pPr>
        <w:pStyle w:val="NormaleWeb"/>
        <w:shd w:val="clear" w:color="auto" w:fill="F5FDFE"/>
        <w:rPr>
          <w:rFonts w:ascii="Arial" w:hAnsi="Arial" w:cs="Arial"/>
          <w:color w:val="000000"/>
        </w:rPr>
      </w:pPr>
      <w:r w:rsidRPr="00CB242F">
        <w:rPr>
          <w:rFonts w:ascii="Arial" w:hAnsi="Arial" w:cs="Arial"/>
          <w:color w:val="000000"/>
        </w:rPr>
        <w:t>E' ammesso l'avvalimento di più imprese ausiliarie. L'ausiliario non può avvalersi a sua volta di altro soggetto.</w:t>
      </w:r>
    </w:p>
    <w:p w:rsidR="00D6002D" w:rsidRPr="00CB242F" w:rsidRDefault="00D6002D" w:rsidP="00D6002D">
      <w:pPr>
        <w:pStyle w:val="NormaleWeb"/>
        <w:shd w:val="clear" w:color="auto" w:fill="F5FDFE"/>
        <w:rPr>
          <w:rFonts w:ascii="Arial" w:hAnsi="Arial" w:cs="Arial"/>
          <w:color w:val="000000"/>
        </w:rPr>
      </w:pPr>
      <w:r w:rsidRPr="00CB242F">
        <w:rPr>
          <w:rFonts w:ascii="Arial" w:hAnsi="Arial" w:cs="Arial"/>
          <w:color w:val="000000"/>
        </w:rPr>
        <w:t>In relazione a ciascuna gara non è consentito, a pena di esclusione, che della stessa impresa ausiliaria si avvalga più di un concorrente, ovvero che partecipino sia l'impresa ausiliaria che quella che si avvale dei requisiti.</w:t>
      </w:r>
    </w:p>
    <w:p w:rsidR="00D6002D" w:rsidRPr="00CB242F" w:rsidRDefault="005C6A09"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ESECUZIONE DEL CONTRATTO</w:t>
      </w:r>
    </w:p>
    <w:p w:rsidR="005C6A09" w:rsidRPr="00CB242F" w:rsidRDefault="005C6A09"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Le stazioni appaltanti possono richiedere requisiti particolari per l'esecuzione del contratto, purché siano compatibili con il diritto europeo e con i principi di parità di trattamento, non discriminazione, trasparenza, proporzionalità, innovazione e siano precisate nel bando di gara, o nell'invito in caso di procedure senza bando o nel capitolato d'oneri. Dette condizioni possono attenere, in particolare, a esigenze sociali e ambientali.</w:t>
      </w: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Spetta al rup dirigere l’esecuzione dei contratti pubblivi controllando i livelli di qualità delle prestazioni</w:t>
      </w: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Nella fase dell’esecuzione si avvale di particolari soggettiquali il direttore dell’esecuzione del contratto( o del direttore dei lavori)del coordinatore in materia di sicurezza dei luoghi di lavoro, il colladuatore il verificaore della conformità</w:t>
      </w: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Il direttore dell’esecuzione dei contratti dei servzi e forniture è di norma il rupche provvede al coordinamento alla direzione e al controllo tecnico contabile dell’esecuzione, assiucrndo la corretta esecuzione .</w:t>
      </w: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Prima dellavvio delle procedure di affidamento le SA  devono nominare un direttore dei lavoriche avrà le funzioni di coordinamento, direzione e controllo tecnico contabiledell’esecuzione dei contratti .</w:t>
      </w: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Il direttore dei lavori può esser coadiuvato da direttori operatici o ispettori di cantiere.</w:t>
      </w: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lastRenderedPageBreak/>
        <w:t xml:space="preserve">E’ il rup che delinea le disposizini di servizio al direttore dei lavorinecessarie a garantire al regolarità dei lavori o l’ordine di esecuzione dei lavori </w:t>
      </w: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Il direttore dei lavori oper ain auotnomia nel controllo tecnico. Contabile e amministrativo dell’esecuzione dell’opera</w:t>
      </w: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Il direttore dell’esecuzione dei contratti di servizi e forniture normalmente è il rup ma la linea guida anac 3 prevede in alcuni casi ulteriore figura</w:t>
      </w:r>
    </w:p>
    <w:p w:rsidR="00A0367D"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p>
    <w:p w:rsidR="006C07AF" w:rsidRPr="00CB242F" w:rsidRDefault="00A0367D"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Per la sottoscrizione del contratto l’appaltatore deve costiutire una garanzia definitiva da rendere sotto forma di cauzione o fideiussione pari al 10% dell’importo contrattulae.</w:t>
      </w:r>
      <w:r w:rsidR="006C07AF" w:rsidRPr="00CB242F">
        <w:rPr>
          <w:rFonts w:ascii="Arial" w:hAnsi="Arial" w:cs="Arial"/>
          <w:color w:val="000000"/>
          <w:shd w:val="clear" w:color="auto" w:fill="F5FDFE"/>
        </w:rPr>
        <w:t xml:space="preserve"> (la mancata costituzione comporta la decadenza dall’affidamento e l’acquisizione della garanzia provvisoria pari al 2% pesentata in sede di offerta)</w:t>
      </w:r>
    </w:p>
    <w:p w:rsidR="006C07AF" w:rsidRPr="00CB242F" w:rsidRDefault="006C07AF"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La garanzia definitiva viene svincolata progressivamente in relazione all’avanzamento dell’esecuzione</w:t>
      </w:r>
    </w:p>
    <w:p w:rsidR="00822C75" w:rsidRPr="00CB242F" w:rsidRDefault="006C07AF"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Il codice lascia la libertà di non richiedere la garanzia definitiva per gli appalti inferiori a 40 000</w:t>
      </w:r>
      <w:r w:rsidR="00A0367D" w:rsidRPr="00CB242F">
        <w:rPr>
          <w:rFonts w:ascii="Arial" w:hAnsi="Arial" w:cs="Arial"/>
          <w:color w:val="000000"/>
          <w:shd w:val="clear" w:color="auto" w:fill="F5FDFE"/>
        </w:rPr>
        <w:t xml:space="preserve"> </w:t>
      </w:r>
      <w:r w:rsidRPr="00CB242F">
        <w:rPr>
          <w:rFonts w:ascii="Arial" w:hAnsi="Arial" w:cs="Arial"/>
          <w:color w:val="000000"/>
          <w:shd w:val="clear" w:color="auto" w:fill="F5FDFE"/>
        </w:rPr>
        <w:t>o per i lavori in aministrazione diretta, er appalti da eseguirsi cn operatori con grande solidità e altri casi.art 103 anche se l’esonero deve esser adeguatamente motivato</w:t>
      </w:r>
    </w:p>
    <w:p w:rsidR="006C07AF" w:rsidRPr="00CB242F" w:rsidRDefault="006C07AF" w:rsidP="00390FD6">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 xml:space="preserve">Ulteriore obligo è quello della polizza assicurativa almeno 10 g prima della consegna del bene </w:t>
      </w:r>
    </w:p>
    <w:p w:rsidR="006C07AF"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IL RUP E’ TENUTO AL CONTROLLO DELL’ESECUZIONE DEL CONTRATTO  congiuntamente al direttore dei lavori (per i lavori) e al direttor dell’esecuzione (servizi e forniture)</w:t>
      </w:r>
    </w:p>
    <w:p w:rsidR="006C07AF"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 lavori sono soggetti a collaudo</w:t>
      </w:r>
      <w:r w:rsidRPr="00CB242F">
        <w:rPr>
          <w:rFonts w:ascii="Arial" w:hAnsi="Arial" w:cs="Arial"/>
          <w:color w:val="000000"/>
          <w:shd w:val="clear" w:color="auto" w:fill="F5FDFE"/>
        </w:rPr>
        <w:sym w:font="Wingdings" w:char="F0E0"/>
      </w:r>
      <w:r w:rsidRPr="00CB242F">
        <w:rPr>
          <w:rFonts w:ascii="Arial" w:hAnsi="Arial" w:cs="Arial"/>
          <w:color w:val="000000"/>
          <w:shd w:val="clear" w:color="auto" w:fill="F5FDFE"/>
        </w:rPr>
        <w:t xml:space="preserve"> dopoil controllo sarà rilasciato il certificato di collaudo</w:t>
      </w:r>
    </w:p>
    <w:p w:rsidR="006C07AF"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 servizi e forniture sono soggette a verifica di conformità</w:t>
      </w:r>
      <w:r w:rsidRPr="00CB242F">
        <w:rPr>
          <w:rFonts w:ascii="Arial" w:hAnsi="Arial" w:cs="Arial"/>
          <w:color w:val="000000"/>
          <w:shd w:val="clear" w:color="auto" w:fill="F5FDFE"/>
        </w:rPr>
        <w:sym w:font="Wingdings" w:char="F0E0"/>
      </w:r>
      <w:r w:rsidRPr="00CB242F">
        <w:rPr>
          <w:rFonts w:ascii="Arial" w:hAnsi="Arial" w:cs="Arial"/>
          <w:color w:val="000000"/>
          <w:shd w:val="clear" w:color="auto" w:fill="F5FDFE"/>
        </w:rPr>
        <w:t>dopo il controllo sarà rilasciato il certificato di conformità</w:t>
      </w:r>
    </w:p>
    <w:p w:rsidR="006C07AF"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p>
    <w:p w:rsidR="0095755D"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Per i contratti di lavori &gt; 1000 000 euro ma inferiori alla SC</w:t>
      </w:r>
      <w:r w:rsidRPr="00CB242F">
        <w:rPr>
          <w:rFonts w:ascii="Arial" w:hAnsi="Arial" w:cs="Arial"/>
          <w:color w:val="000000"/>
          <w:shd w:val="clear" w:color="auto" w:fill="F5FDFE"/>
        </w:rPr>
        <w:sym w:font="Wingdings" w:char="F0E0"/>
      </w:r>
      <w:r w:rsidR="0095755D" w:rsidRPr="00CB242F">
        <w:rPr>
          <w:rFonts w:ascii="Arial" w:hAnsi="Arial" w:cs="Arial"/>
          <w:color w:val="000000"/>
          <w:shd w:val="clear" w:color="auto" w:fill="F5FDFE"/>
        </w:rPr>
        <w:t>il certificato di collaudo può esser sostiutito da un certificato di regolare esecuzione rilasciato dal DL</w:t>
      </w:r>
    </w:p>
    <w:p w:rsidR="0095755D" w:rsidRPr="00CB242F" w:rsidRDefault="0095755D" w:rsidP="006C07AF">
      <w:pPr>
        <w:pStyle w:val="NormaleWeb"/>
        <w:shd w:val="clear" w:color="auto" w:fill="FFFFFF"/>
        <w:spacing w:before="120" w:beforeAutospacing="0" w:after="120" w:afterAutospacing="0"/>
        <w:rPr>
          <w:rFonts w:ascii="Arial" w:hAnsi="Arial" w:cs="Arial"/>
          <w:color w:val="000000"/>
          <w:shd w:val="clear" w:color="auto" w:fill="F5FDFE"/>
        </w:rPr>
      </w:pPr>
    </w:p>
    <w:p w:rsidR="006C07AF" w:rsidRPr="00CB242F" w:rsidRDefault="0095755D" w:rsidP="006C07AF">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 xml:space="preserve">Per i lavori &lt; 1000 000 e forniture e servizi &lt; Scè sempre facoltà della stazioen appaltante sostituire il certificato di collaudo o il certifiacto dieverifica di conformità con il </w:t>
      </w:r>
      <w:r w:rsidRPr="00CB242F">
        <w:rPr>
          <w:rFonts w:ascii="Arial" w:hAnsi="Arial" w:cs="Arial"/>
          <w:b/>
          <w:color w:val="000000"/>
          <w:shd w:val="clear" w:color="auto" w:fill="F5FDFE"/>
        </w:rPr>
        <w:t>certifcato di regolare esecuzione</w:t>
      </w:r>
      <w:r w:rsidRPr="00CB242F">
        <w:rPr>
          <w:rFonts w:ascii="Arial" w:hAnsi="Arial" w:cs="Arial"/>
          <w:color w:val="000000"/>
          <w:shd w:val="clear" w:color="auto" w:fill="F5FDFE"/>
        </w:rPr>
        <w:t xml:space="preserve">  rlasciato rispettivamente dal DL  e dal RUP.</w:t>
      </w:r>
    </w:p>
    <w:p w:rsidR="0095755D" w:rsidRPr="00CB242F" w:rsidRDefault="0095755D" w:rsidP="006C07AF">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Questo certificato è emesso on oltre 3 mesi dalla data di ultimazione delle prestazioni</w:t>
      </w:r>
    </w:p>
    <w:p w:rsidR="0095755D" w:rsidRPr="00CB242F" w:rsidRDefault="0095755D" w:rsidP="006C07AF">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Il collaudo finale o la verifica di cnformità deve avvenire entro 6 mesi , mentre per i lavori di partiolare comlessità 1 anno.</w:t>
      </w:r>
    </w:p>
    <w:p w:rsidR="0095755D" w:rsidRPr="00CB242F" w:rsidRDefault="0095755D" w:rsidP="006C07AF">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A questo seguirà ovviamente il certificato di collaudo e la verifica di cnformità che avrano carattere provvisorio e diverranno definitivi entro 2 anni dalla loro emissione . decorso tale termine il collaudo è taciamente approvato</w:t>
      </w:r>
    </w:p>
    <w:p w:rsidR="0095755D" w:rsidRPr="00CB242F" w:rsidRDefault="0095755D" w:rsidP="006C07AF">
      <w:pPr>
        <w:pStyle w:val="NormaleWeb"/>
        <w:shd w:val="clear" w:color="auto" w:fill="FFFFFF"/>
        <w:spacing w:before="120" w:beforeAutospacing="0" w:after="120" w:afterAutospacing="0"/>
        <w:rPr>
          <w:rFonts w:ascii="Arial" w:hAnsi="Arial" w:cs="Arial"/>
          <w:color w:val="000000"/>
          <w:shd w:val="clear" w:color="auto" w:fill="F5FDFE"/>
        </w:rPr>
      </w:pPr>
      <w:r w:rsidRPr="00CB242F">
        <w:rPr>
          <w:rFonts w:ascii="Arial" w:hAnsi="Arial" w:cs="Arial"/>
          <w:color w:val="000000"/>
          <w:shd w:val="clear" w:color="auto" w:fill="F5FDFE"/>
        </w:rPr>
        <w:t xml:space="preserve">Di solito l’appaltatore risponde per le dfformità e i vizi dell’opera o delle prstazioni prima che il certificato sia definitivo.  </w:t>
      </w:r>
    </w:p>
    <w:p w:rsidR="006C07AF"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p>
    <w:p w:rsidR="006C07AF"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p>
    <w:p w:rsidR="006C07AF"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p>
    <w:p w:rsidR="006C07AF"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p>
    <w:p w:rsidR="006C07AF" w:rsidRPr="00CB242F" w:rsidRDefault="006C07AF" w:rsidP="006C07AF">
      <w:pPr>
        <w:pStyle w:val="NormaleWeb"/>
        <w:shd w:val="clear" w:color="auto" w:fill="FFFFFF"/>
        <w:spacing w:before="120" w:beforeAutospacing="0" w:after="120" w:afterAutospacing="0"/>
        <w:rPr>
          <w:rFonts w:ascii="Arial" w:hAnsi="Arial" w:cs="Arial"/>
          <w:color w:val="000000"/>
          <w:shd w:val="clear" w:color="auto" w:fill="F5FDFE"/>
        </w:rPr>
      </w:pPr>
    </w:p>
    <w:p w:rsidR="00822C75" w:rsidRPr="00CB242F" w:rsidRDefault="00822C75" w:rsidP="006C07AF">
      <w:pPr>
        <w:pStyle w:val="NormaleWeb"/>
        <w:shd w:val="clear" w:color="auto" w:fill="FFFFFF"/>
        <w:spacing w:before="120" w:beforeAutospacing="0" w:after="120" w:afterAutospacing="0"/>
        <w:rPr>
          <w:rFonts w:ascii="Arial" w:hAnsi="Arial" w:cs="Arial"/>
          <w:b/>
          <w:bCs/>
          <w:color w:val="0D47A1"/>
        </w:rPr>
      </w:pPr>
      <w:r w:rsidRPr="00CB242F">
        <w:rPr>
          <w:rFonts w:ascii="Arial" w:hAnsi="Arial" w:cs="Arial"/>
          <w:b/>
          <w:bCs/>
          <w:color w:val="0D47A1"/>
        </w:rPr>
        <w:t>Cos’è la convenzione Consip e come funziona</w:t>
      </w:r>
    </w:p>
    <w:p w:rsidR="00822C75" w:rsidRPr="00CB242F" w:rsidRDefault="00822C75" w:rsidP="00822C75">
      <w:pPr>
        <w:shd w:val="clear" w:color="auto" w:fill="FFFFFF"/>
        <w:spacing w:after="240" w:line="240" w:lineRule="auto"/>
        <w:rPr>
          <w:rFonts w:ascii="Arial" w:eastAsia="Times New Roman" w:hAnsi="Arial" w:cs="Arial"/>
          <w:color w:val="616161"/>
          <w:sz w:val="24"/>
          <w:szCs w:val="24"/>
          <w:lang w:eastAsia="it-IT"/>
        </w:rPr>
      </w:pPr>
      <w:r w:rsidRPr="00CB242F">
        <w:rPr>
          <w:rFonts w:ascii="Arial" w:eastAsia="Times New Roman" w:hAnsi="Arial" w:cs="Arial"/>
          <w:color w:val="616161"/>
          <w:sz w:val="24"/>
          <w:szCs w:val="24"/>
          <w:lang w:eastAsia="it-IT"/>
        </w:rPr>
        <w:t>Si tratta del primo strumento che Consip mise a disposizione degli enti pubblici per l’espletamento dei loro acquisti, e per certi versi il più importante: la </w:t>
      </w:r>
      <w:r w:rsidRPr="00CB242F">
        <w:rPr>
          <w:rFonts w:ascii="Arial" w:eastAsia="Times New Roman" w:hAnsi="Arial" w:cs="Arial"/>
          <w:b/>
          <w:bCs/>
          <w:color w:val="616161"/>
          <w:sz w:val="24"/>
          <w:szCs w:val="24"/>
          <w:lang w:eastAsia="it-IT"/>
        </w:rPr>
        <w:t>Convenzione</w:t>
      </w:r>
      <w:r w:rsidRPr="00CB242F">
        <w:rPr>
          <w:rFonts w:ascii="Arial" w:eastAsia="Times New Roman" w:hAnsi="Arial" w:cs="Arial"/>
          <w:color w:val="616161"/>
          <w:sz w:val="24"/>
          <w:szCs w:val="24"/>
          <w:lang w:eastAsia="it-IT"/>
        </w:rPr>
        <w:t>. Infatti la Convenzione può essere considerata un po’ come la madre di tutti gli strumenti Consip, se è vero che è stata istituita dall’Art. 26 della Legge 488 del 23 dicembre 1999 (Legge Finanziaria 2000) e ripresa e modificata da decine di Leggi di Stabilità e norme di contenimento della spesa.</w:t>
      </w:r>
    </w:p>
    <w:p w:rsidR="00822C75" w:rsidRPr="00CB242F" w:rsidRDefault="00822C75" w:rsidP="00390FD6">
      <w:pPr>
        <w:pStyle w:val="NormaleWeb"/>
        <w:shd w:val="clear" w:color="auto" w:fill="FFFFFF"/>
        <w:spacing w:before="120" w:beforeAutospacing="0" w:after="120" w:afterAutospacing="0"/>
        <w:rPr>
          <w:rFonts w:ascii="Arial" w:hAnsi="Arial" w:cs="Arial"/>
          <w:color w:val="616161"/>
          <w:shd w:val="clear" w:color="auto" w:fill="FFFFFF"/>
        </w:rPr>
      </w:pPr>
      <w:r w:rsidRPr="00CB242F">
        <w:rPr>
          <w:rFonts w:ascii="Arial" w:hAnsi="Arial" w:cs="Arial"/>
          <w:color w:val="616161"/>
          <w:shd w:val="clear" w:color="auto" w:fill="FFFFFF"/>
        </w:rPr>
        <w:t>La Convenzione è un tipico esempio di </w:t>
      </w:r>
      <w:r w:rsidRPr="00CB242F">
        <w:rPr>
          <w:rStyle w:val="Enfasigrassetto"/>
          <w:rFonts w:ascii="Arial" w:hAnsi="Arial" w:cs="Arial"/>
          <w:color w:val="616161"/>
          <w:shd w:val="clear" w:color="auto" w:fill="FFFFFF"/>
        </w:rPr>
        <w:t>Contratto Quadro,</w:t>
      </w:r>
      <w:r w:rsidRPr="00CB242F">
        <w:rPr>
          <w:rFonts w:ascii="Arial" w:hAnsi="Arial" w:cs="Arial"/>
          <w:color w:val="616161"/>
          <w:shd w:val="clear" w:color="auto" w:fill="FFFFFF"/>
        </w:rPr>
        <w:t> in virtù del quale l’impresa prescelta con una gara europea si impegna ad accettare, sino a concorrenza della quantità massima complessiva stabilita dalla Convenzione ed ai prezzi e condizioni ivi previsti, ordinativi di fornitura di beni e servizi. Quindi, in altre parole, la </w:t>
      </w:r>
      <w:r w:rsidRPr="00CB242F">
        <w:rPr>
          <w:rStyle w:val="Enfasigrassetto"/>
          <w:rFonts w:ascii="Arial" w:hAnsi="Arial" w:cs="Arial"/>
          <w:color w:val="616161"/>
          <w:shd w:val="clear" w:color="auto" w:fill="FFFFFF"/>
        </w:rPr>
        <w:t>Centrale di Committenza </w:t>
      </w:r>
      <w:r w:rsidRPr="00CB242F">
        <w:rPr>
          <w:rFonts w:ascii="Arial" w:hAnsi="Arial" w:cs="Arial"/>
          <w:color w:val="616161"/>
          <w:shd w:val="clear" w:color="auto" w:fill="FFFFFF"/>
        </w:rPr>
        <w:t>Consip non si limita a fornire </w:t>
      </w:r>
      <w:r w:rsidRPr="00CB242F">
        <w:rPr>
          <w:rStyle w:val="Enfasigrassetto"/>
          <w:rFonts w:ascii="Arial" w:hAnsi="Arial" w:cs="Arial"/>
          <w:color w:val="616161"/>
          <w:shd w:val="clear" w:color="auto" w:fill="FFFFFF"/>
        </w:rPr>
        <w:t>strumenti di negoziazione</w:t>
      </w:r>
      <w:r w:rsidRPr="00CB242F">
        <w:rPr>
          <w:rFonts w:ascii="Arial" w:hAnsi="Arial" w:cs="Arial"/>
          <w:color w:val="616161"/>
          <w:shd w:val="clear" w:color="auto" w:fill="FFFFFF"/>
        </w:rPr>
        <w:t>, ma agisce come </w:t>
      </w:r>
      <w:r w:rsidRPr="00CB242F">
        <w:rPr>
          <w:rStyle w:val="Enfasigrassetto"/>
          <w:rFonts w:ascii="Arial" w:hAnsi="Arial" w:cs="Arial"/>
          <w:color w:val="616161"/>
          <w:shd w:val="clear" w:color="auto" w:fill="FFFFFF"/>
        </w:rPr>
        <w:t>Stazione Appaltante</w:t>
      </w:r>
      <w:r w:rsidRPr="00CB242F">
        <w:rPr>
          <w:rFonts w:ascii="Arial" w:hAnsi="Arial" w:cs="Arial"/>
          <w:color w:val="616161"/>
          <w:shd w:val="clear" w:color="auto" w:fill="FFFFFF"/>
        </w:rPr>
        <w:t>, andando ad aggiudicare una procedura di gara per beni e/o servizi che essa stessa decide e caratterizza. L’impresa che vince la gara stipula con Consip un </w:t>
      </w:r>
      <w:r w:rsidRPr="00CB242F">
        <w:rPr>
          <w:rStyle w:val="Enfasigrassetto"/>
          <w:rFonts w:ascii="Arial" w:hAnsi="Arial" w:cs="Arial"/>
          <w:color w:val="616161"/>
          <w:shd w:val="clear" w:color="auto" w:fill="FFFFFF"/>
        </w:rPr>
        <w:t>Contratto di Convenzione</w:t>
      </w:r>
      <w:r w:rsidRPr="00CB242F">
        <w:rPr>
          <w:rFonts w:ascii="Arial" w:hAnsi="Arial" w:cs="Arial"/>
          <w:color w:val="616161"/>
          <w:shd w:val="clear" w:color="auto" w:fill="FFFFFF"/>
        </w:rPr>
        <w:t> ed, in virtù di esso, è tenuta a stipulare </w:t>
      </w:r>
      <w:r w:rsidRPr="00CB242F">
        <w:rPr>
          <w:rStyle w:val="Enfasigrassetto"/>
          <w:rFonts w:ascii="Arial" w:hAnsi="Arial" w:cs="Arial"/>
          <w:color w:val="616161"/>
          <w:shd w:val="clear" w:color="auto" w:fill="FFFFFF"/>
        </w:rPr>
        <w:t>Contratti Attuativi</w:t>
      </w:r>
      <w:r w:rsidRPr="00CB242F">
        <w:rPr>
          <w:rFonts w:ascii="Arial" w:hAnsi="Arial" w:cs="Arial"/>
          <w:color w:val="616161"/>
          <w:shd w:val="clear" w:color="auto" w:fill="FFFFFF"/>
        </w:rPr>
        <w:t> con tutti gli enti pubblici che desiderano (o sono obbligati dalle varie norme di Finanza Pubblica) acquistare i beni/servizi messi in gara da Consip ai prezzi di aggiudicazione di Consip. Quindi tutte le Amministrazioni, grandi o piccole, obbligate o meno ad aderire alle Convenzioni, possono accedere al medesimo listino inerente i beni/servizi </w:t>
      </w:r>
      <w:r w:rsidRPr="00CB242F">
        <w:rPr>
          <w:rStyle w:val="Enfasigrassetto"/>
          <w:rFonts w:ascii="Arial" w:hAnsi="Arial" w:cs="Arial"/>
          <w:color w:val="616161"/>
          <w:shd w:val="clear" w:color="auto" w:fill="FFFFFF"/>
        </w:rPr>
        <w:t>negoziati da Consip</w:t>
      </w:r>
      <w:r w:rsidRPr="00CB242F">
        <w:rPr>
          <w:rFonts w:ascii="Arial" w:hAnsi="Arial" w:cs="Arial"/>
          <w:color w:val="616161"/>
          <w:shd w:val="clear" w:color="auto" w:fill="FFFFFF"/>
        </w:rPr>
        <w:t>. Proprio per questo motivo Consip inserisce nel Capitolato di Gara quei beni/servizi che possono soddisfare le esigenze di una ampia gamma, in termini di tipologia e dimensioni, di Amministrazioni: i cosiddetti </w:t>
      </w:r>
      <w:r w:rsidRPr="00CB242F">
        <w:rPr>
          <w:rStyle w:val="Enfasigrassetto"/>
          <w:rFonts w:ascii="Arial" w:hAnsi="Arial" w:cs="Arial"/>
          <w:color w:val="616161"/>
          <w:shd w:val="clear" w:color="auto" w:fill="FFFFFF"/>
        </w:rPr>
        <w:t>beni/servizi standardizzabili</w:t>
      </w:r>
      <w:r w:rsidRPr="00CB242F">
        <w:rPr>
          <w:rFonts w:ascii="Arial" w:hAnsi="Arial" w:cs="Arial"/>
          <w:color w:val="616161"/>
          <w:shd w:val="clear" w:color="auto" w:fill="FFFFFF"/>
        </w:rPr>
        <w:t>.</w:t>
      </w:r>
    </w:p>
    <w:p w:rsidR="00822C75" w:rsidRPr="00CB242F" w:rsidRDefault="00822C75" w:rsidP="00822C75">
      <w:pPr>
        <w:pStyle w:val="NormaleWeb"/>
        <w:shd w:val="clear" w:color="auto" w:fill="FFFFFF"/>
        <w:spacing w:before="0" w:beforeAutospacing="0" w:after="240" w:afterAutospacing="0"/>
        <w:rPr>
          <w:rFonts w:ascii="Arial" w:hAnsi="Arial" w:cs="Arial"/>
          <w:color w:val="616161"/>
        </w:rPr>
      </w:pPr>
      <w:r w:rsidRPr="00CB242F">
        <w:rPr>
          <w:rFonts w:ascii="Arial" w:hAnsi="Arial" w:cs="Arial"/>
          <w:color w:val="616161"/>
        </w:rPr>
        <w:t>Il primo vantaggio nell’aderire ad una Convenzione, per un Ente Pubblico, è chiaro: i prezzi sono particolarmente vantaggiosi. Forse perché Consip è più brava degli Enti a fare le gare? No, il motivo non è quello. </w:t>
      </w:r>
      <w:r w:rsidRPr="00CB242F">
        <w:rPr>
          <w:rStyle w:val="Enfasigrassetto"/>
          <w:rFonts w:ascii="Arial" w:hAnsi="Arial" w:cs="Arial"/>
          <w:color w:val="616161"/>
        </w:rPr>
        <w:t>Provateci voi ad aggiudicare una gara da un miliardo e mezzo di euro</w:t>
      </w:r>
      <w:r w:rsidRPr="00CB242F">
        <w:rPr>
          <w:rFonts w:ascii="Arial" w:hAnsi="Arial" w:cs="Arial"/>
          <w:color w:val="616161"/>
        </w:rPr>
        <w:t> sulla telefonia fissa e vedrete che riuscirete ad ottenere quei prezzi eccezionali a qualità eccellente. La chiave per ottenere quelle condizioni così vantaggiose che troviamo nelle Convenzioni Consip è </w:t>
      </w:r>
      <w:r w:rsidRPr="00CB242F">
        <w:rPr>
          <w:rStyle w:val="Enfasigrassetto"/>
          <w:rFonts w:ascii="Arial" w:hAnsi="Arial" w:cs="Arial"/>
          <w:color w:val="616161"/>
        </w:rPr>
        <w:t>l’aggregazione della domanda</w:t>
      </w:r>
      <w:r w:rsidRPr="00CB242F">
        <w:rPr>
          <w:rFonts w:ascii="Arial" w:hAnsi="Arial" w:cs="Arial"/>
          <w:color w:val="616161"/>
        </w:rPr>
        <w:t>. Consip dunque si fa forte grazie al potere negoziale aggregato di tutte le pubbliche amministrazioni e lancia delle gare che il mercato considera le più importanti della storia del </w:t>
      </w:r>
      <w:hyperlink r:id="rId39" w:history="1">
        <w:r w:rsidRPr="00CB242F">
          <w:rPr>
            <w:rStyle w:val="Enfasigrassetto"/>
            <w:rFonts w:ascii="Arial" w:hAnsi="Arial" w:cs="Arial"/>
            <w:color w:val="0D47A1"/>
          </w:rPr>
          <w:t>procurement</w:t>
        </w:r>
        <w:r w:rsidRPr="00CB242F">
          <w:rPr>
            <w:rStyle w:val="Collegamentoipertestuale"/>
            <w:rFonts w:ascii="Arial" w:hAnsi="Arial" w:cs="Arial"/>
            <w:color w:val="0D47A1"/>
          </w:rPr>
          <w:t> </w:t>
        </w:r>
      </w:hyperlink>
      <w:r w:rsidRPr="00CB242F">
        <w:rPr>
          <w:rFonts w:ascii="Arial" w:hAnsi="Arial" w:cs="Arial"/>
          <w:color w:val="616161"/>
        </w:rPr>
        <w:t>pubblico. Sono dunque gare imperdibili su cui le imprese concorrenti si giocano un ruolo importante sul mercato.</w:t>
      </w:r>
    </w:p>
    <w:p w:rsidR="00822C75" w:rsidRPr="00CB242F" w:rsidRDefault="00822C75" w:rsidP="00822C75">
      <w:pPr>
        <w:pStyle w:val="NormaleWeb"/>
        <w:shd w:val="clear" w:color="auto" w:fill="FFFFFF"/>
        <w:spacing w:before="0" w:beforeAutospacing="0" w:after="240" w:afterAutospacing="0"/>
        <w:rPr>
          <w:rFonts w:ascii="Arial" w:hAnsi="Arial" w:cs="Arial"/>
          <w:color w:val="616161"/>
        </w:rPr>
      </w:pPr>
      <w:r w:rsidRPr="00CB242F">
        <w:rPr>
          <w:rFonts w:ascii="Arial" w:hAnsi="Arial" w:cs="Arial"/>
          <w:color w:val="616161"/>
        </w:rPr>
        <w:t>Il secondo vantaggio è meno evidente a prima vista, ma altrettanto importante per un’Amministrazione che vi aderisce: </w:t>
      </w:r>
      <w:r w:rsidRPr="00CB242F">
        <w:rPr>
          <w:rStyle w:val="Enfasigrassetto"/>
          <w:rFonts w:ascii="Arial" w:hAnsi="Arial" w:cs="Arial"/>
          <w:color w:val="616161"/>
        </w:rPr>
        <w:t>i termini contrattuali che regolano il Contratto Attuativo di adesione, scritti da Consip e pubblicati in gara, sono estremamente chiari</w:t>
      </w:r>
      <w:r w:rsidRPr="00CB242F">
        <w:rPr>
          <w:rFonts w:ascii="Arial" w:hAnsi="Arial" w:cs="Arial"/>
          <w:color w:val="616161"/>
        </w:rPr>
        <w:t> e, di conseguenza, implicano una notevole </w:t>
      </w:r>
      <w:r w:rsidRPr="00CB242F">
        <w:rPr>
          <w:rStyle w:val="Enfasigrassetto"/>
          <w:rFonts w:ascii="Arial" w:hAnsi="Arial" w:cs="Arial"/>
          <w:color w:val="616161"/>
        </w:rPr>
        <w:t>riduzione del rischio di contenzioso per gli Enti in fase di esercizio contrattuale</w:t>
      </w:r>
      <w:r w:rsidRPr="00CB242F">
        <w:rPr>
          <w:rFonts w:ascii="Arial" w:hAnsi="Arial" w:cs="Arial"/>
          <w:color w:val="616161"/>
        </w:rPr>
        <w:t>. Semmai, il contenzioso lo “subisce” Consip stessa in fase di aggiudicazione della Convenzione che fa da parafulmine per gli enti pubblici, al punto che presentare ricorsi temerari oggi purtroppo è diventato un vero e proprio sport, ma questa è tutta un’altra storia che lasciamo alla Giustizia amministrativa…</w:t>
      </w:r>
    </w:p>
    <w:p w:rsidR="00822C75" w:rsidRPr="00CB242F" w:rsidRDefault="00822C75" w:rsidP="00822C75">
      <w:pPr>
        <w:pStyle w:val="Titolo2"/>
        <w:pBdr>
          <w:bottom w:val="single" w:sz="6" w:space="12" w:color="E0E0E0"/>
        </w:pBdr>
        <w:shd w:val="clear" w:color="auto" w:fill="FFFFFF"/>
        <w:spacing w:before="240" w:beforeAutospacing="0" w:after="240" w:afterAutospacing="0" w:line="468" w:lineRule="atLeast"/>
        <w:rPr>
          <w:rFonts w:ascii="Arial" w:hAnsi="Arial" w:cs="Arial"/>
          <w:color w:val="0D47A1"/>
          <w:sz w:val="24"/>
          <w:szCs w:val="24"/>
        </w:rPr>
      </w:pPr>
      <w:r w:rsidRPr="00CB242F">
        <w:rPr>
          <w:rStyle w:val="Enfasigrassetto"/>
          <w:rFonts w:ascii="Arial" w:hAnsi="Arial" w:cs="Arial"/>
          <w:b/>
          <w:bCs/>
          <w:color w:val="0D47A1"/>
          <w:sz w:val="24"/>
          <w:szCs w:val="24"/>
        </w:rPr>
        <w:t>Aderire a una convenzione non sempre è facile, ma è veloce</w:t>
      </w:r>
    </w:p>
    <w:p w:rsidR="00822C75" w:rsidRPr="00CB242F" w:rsidRDefault="00822C75" w:rsidP="00822C75">
      <w:pPr>
        <w:pStyle w:val="NormaleWeb"/>
        <w:shd w:val="clear" w:color="auto" w:fill="FFFFFF"/>
        <w:spacing w:before="0" w:beforeAutospacing="0" w:after="240" w:afterAutospacing="0"/>
        <w:rPr>
          <w:rFonts w:ascii="Arial" w:hAnsi="Arial" w:cs="Arial"/>
          <w:color w:val="616161"/>
        </w:rPr>
      </w:pPr>
      <w:r w:rsidRPr="00CB242F">
        <w:rPr>
          <w:rFonts w:ascii="Arial" w:hAnsi="Arial" w:cs="Arial"/>
          <w:color w:val="616161"/>
        </w:rPr>
        <w:lastRenderedPageBreak/>
        <w:t>C’è anche un terzo vantaggio, mai scontato quando di parla di acquisti pubblici: </w:t>
      </w:r>
      <w:r w:rsidRPr="00CB242F">
        <w:rPr>
          <w:rStyle w:val="Enfasigrassetto"/>
          <w:rFonts w:ascii="Arial" w:hAnsi="Arial" w:cs="Arial"/>
          <w:color w:val="616161"/>
        </w:rPr>
        <w:t>aderire ad una Convenzione è generalmente molto rapido</w:t>
      </w:r>
      <w:r w:rsidRPr="00CB242F">
        <w:rPr>
          <w:rFonts w:ascii="Arial" w:hAnsi="Arial" w:cs="Arial"/>
          <w:color w:val="616161"/>
        </w:rPr>
        <w:t> e può essere fatto per qualsiasi valore economico senza l’obbligo di esperire alcuna differente procedura concorsuale. Non sempre è facile perché spesso il fornitore, senza mai scadere in pratiche scorrette, in fase di adesione alla Convenzione propone all’Ente appaltante le configurazioni di beni e servizi che potrebbero eccedere i fabbisogni dell’Ente pur di aumentare il fatturato. E’ inevitabile, provate ad andare da un concessionario di automobili a farvi consigliare quale configurazione acquistare. Volete un esempio? Tante volte abbiamo visto, e salvato in tempo poco prima della firma dell’Ente, contratti di manutenzione in Convenzione dove il fornitore aveva proposto il servizio di manutenzione a canone (dipendente dalla qualità prescelta e dalla dimensione dell’impianto), in aggiunta il personale di presidio e da ultimo anche il servizio di telegestione: tre servizi con tre canoni che si sommano, quando il primo dei tre già sarebbe stato sufficiente per fornire prestazioni superiori ai contratti precedentemente in uso presso la stessa Amministrazione. Certo è che per valutare di vorrebbe qualcuno più esperto di un fornitore, ed è difficile trovarlo. Ci vorrebbe un fornitore pentito, ed è per questo che gli Enti ci chiamano spesso in aiuto per valutare gli Ordinativi di Fornitura prima di aderire a una Convenzione.</w:t>
      </w:r>
    </w:p>
    <w:p w:rsidR="00822C75" w:rsidRPr="00CB242F" w:rsidRDefault="00822C75" w:rsidP="00822C75">
      <w:pPr>
        <w:pStyle w:val="Titolo2"/>
        <w:pBdr>
          <w:bottom w:val="single" w:sz="6" w:space="12" w:color="E0E0E0"/>
        </w:pBdr>
        <w:shd w:val="clear" w:color="auto" w:fill="FFFFFF"/>
        <w:spacing w:before="240" w:beforeAutospacing="0" w:after="240" w:afterAutospacing="0" w:line="468" w:lineRule="atLeast"/>
        <w:rPr>
          <w:rFonts w:ascii="Arial" w:hAnsi="Arial" w:cs="Arial"/>
          <w:color w:val="0D47A1"/>
          <w:sz w:val="24"/>
          <w:szCs w:val="24"/>
        </w:rPr>
      </w:pPr>
      <w:r w:rsidRPr="00CB242F">
        <w:rPr>
          <w:rFonts w:ascii="Arial" w:hAnsi="Arial" w:cs="Arial"/>
          <w:color w:val="0D47A1"/>
          <w:sz w:val="24"/>
          <w:szCs w:val="24"/>
        </w:rPr>
        <w:t>In quali casi le convenzioni funzionano</w:t>
      </w:r>
    </w:p>
    <w:p w:rsidR="00822C75" w:rsidRPr="00CB242F" w:rsidRDefault="00822C75" w:rsidP="00822C75">
      <w:pPr>
        <w:pStyle w:val="NormaleWeb"/>
        <w:shd w:val="clear" w:color="auto" w:fill="FFFFFF"/>
        <w:spacing w:before="0" w:beforeAutospacing="0" w:after="240" w:afterAutospacing="0"/>
        <w:rPr>
          <w:rFonts w:ascii="Arial" w:hAnsi="Arial" w:cs="Arial"/>
          <w:color w:val="616161"/>
        </w:rPr>
      </w:pPr>
      <w:r w:rsidRPr="00CB242F">
        <w:rPr>
          <w:rFonts w:ascii="Arial" w:hAnsi="Arial" w:cs="Arial"/>
          <w:color w:val="616161"/>
        </w:rPr>
        <w:t>Il meccanismo delle convenzioni ovviamente funziona finché sono verificati due prerequisiti: </w:t>
      </w:r>
      <w:r w:rsidRPr="00CB242F">
        <w:rPr>
          <w:rStyle w:val="Enfasigrassetto"/>
          <w:rFonts w:ascii="Arial" w:hAnsi="Arial" w:cs="Arial"/>
          <w:color w:val="616161"/>
        </w:rPr>
        <w:t>i fabbisogni sono standardizzabili</w:t>
      </w:r>
      <w:r w:rsidRPr="00CB242F">
        <w:rPr>
          <w:rFonts w:ascii="Arial" w:hAnsi="Arial" w:cs="Arial"/>
          <w:color w:val="616161"/>
        </w:rPr>
        <w:t> (ossia tutti acquistiamo più o meno gli stessi beni e servizi) e dunque qualcuno può negoziare per tutti con una unica maxigara, e </w:t>
      </w:r>
      <w:r w:rsidRPr="00CB242F">
        <w:rPr>
          <w:rStyle w:val="Enfasigrassetto"/>
          <w:rFonts w:ascii="Arial" w:hAnsi="Arial" w:cs="Arial"/>
          <w:color w:val="616161"/>
        </w:rPr>
        <w:t>il mercato è fatto da poche grandi imprese</w:t>
      </w:r>
      <w:r w:rsidRPr="00CB242F">
        <w:rPr>
          <w:rFonts w:ascii="Arial" w:hAnsi="Arial" w:cs="Arial"/>
          <w:color w:val="616161"/>
        </w:rPr>
        <w:t>. Come la telefonia, per esempio.</w:t>
      </w:r>
    </w:p>
    <w:p w:rsidR="00822C75" w:rsidRPr="00CB242F" w:rsidRDefault="00822C75" w:rsidP="00822C75">
      <w:pPr>
        <w:pStyle w:val="NormaleWeb"/>
        <w:shd w:val="clear" w:color="auto" w:fill="FFFFFF"/>
        <w:spacing w:before="0" w:beforeAutospacing="0" w:after="240" w:afterAutospacing="0"/>
        <w:rPr>
          <w:rFonts w:ascii="Arial" w:hAnsi="Arial" w:cs="Arial"/>
          <w:color w:val="616161"/>
        </w:rPr>
      </w:pPr>
      <w:r w:rsidRPr="00CB242F">
        <w:rPr>
          <w:rFonts w:ascii="Arial" w:hAnsi="Arial" w:cs="Arial"/>
          <w:color w:val="616161"/>
        </w:rPr>
        <w:t>Così non è stato quando Consip bandì gare per Convenzioni per Cancelleria, che infatti non riscossero successo e siamo riusciti a dimenticare, o Convenzioni come la “Prodotti ortofrutticoli freschi” che si può ben dire che “non vendette un cavolo…”. I migliori successi si registrarono su numerose merceologie quali le telecomunicazioni, l’informatica, l’energia, i carburanti, ossia quelle merceologie dove i fabbisogni sono standardizzati e il mercato è fatto di grandi imprese e, guardacaso, quelle merceologie ove il legislatore ha obbligato tutte le Pubbliche Amministrazioni ad utilizzare gli strumenti Consip.</w:t>
      </w:r>
    </w:p>
    <w:p w:rsidR="00822C75" w:rsidRPr="00CB242F" w:rsidRDefault="00822C75" w:rsidP="00822C75">
      <w:pPr>
        <w:pStyle w:val="NormaleWeb"/>
        <w:shd w:val="clear" w:color="auto" w:fill="FFFFFF"/>
        <w:spacing w:before="0" w:beforeAutospacing="0" w:after="240" w:afterAutospacing="0"/>
        <w:rPr>
          <w:rFonts w:ascii="Arial" w:hAnsi="Arial" w:cs="Arial"/>
          <w:color w:val="616161"/>
        </w:rPr>
      </w:pPr>
      <w:r w:rsidRPr="00CB242F">
        <w:rPr>
          <w:rFonts w:ascii="Arial" w:hAnsi="Arial" w:cs="Arial"/>
          <w:color w:val="616161"/>
        </w:rPr>
        <w:t>Quindi: conveniente, semplice e senza rischi. Forse è per questo che molti danno per scontato di conoscere approfonditamente questo strumento ma, come dice un vecchio adagio, </w:t>
      </w:r>
      <w:r w:rsidRPr="00CB242F">
        <w:rPr>
          <w:rStyle w:val="Enfasigrassetto"/>
          <w:rFonts w:ascii="Arial" w:hAnsi="Arial" w:cs="Arial"/>
          <w:color w:val="616161"/>
        </w:rPr>
        <w:t>non tutto è oro quello che luccica e lo stesso vale per le Convenzioni</w:t>
      </w:r>
      <w:r w:rsidRPr="00CB242F">
        <w:rPr>
          <w:rFonts w:ascii="Arial" w:hAnsi="Arial" w:cs="Arial"/>
          <w:color w:val="616161"/>
        </w:rPr>
        <w:t>. È opportuno e, come vedremo, forse anche estremamente conveniente, </w:t>
      </w:r>
      <w:r w:rsidRPr="00CB242F">
        <w:rPr>
          <w:rStyle w:val="Enfasigrassetto"/>
          <w:rFonts w:ascii="Arial" w:hAnsi="Arial" w:cs="Arial"/>
          <w:color w:val="616161"/>
        </w:rPr>
        <w:t>soffermarsi un attimo sui rischi senza sottovalutarli</w:t>
      </w:r>
      <w:r w:rsidRPr="00CB242F">
        <w:rPr>
          <w:rFonts w:ascii="Arial" w:hAnsi="Arial" w:cs="Arial"/>
          <w:color w:val="616161"/>
        </w:rPr>
        <w:t>.</w:t>
      </w:r>
    </w:p>
    <w:p w:rsidR="00822C75" w:rsidRPr="00CB242F" w:rsidRDefault="00822C75" w:rsidP="00822C75">
      <w:pPr>
        <w:pStyle w:val="NormaleWeb"/>
        <w:shd w:val="clear" w:color="auto" w:fill="FFFFFF"/>
        <w:spacing w:before="0" w:beforeAutospacing="0" w:after="240" w:afterAutospacing="0"/>
        <w:rPr>
          <w:rFonts w:ascii="Arial" w:hAnsi="Arial" w:cs="Arial"/>
          <w:color w:val="616161"/>
        </w:rPr>
      </w:pPr>
      <w:r w:rsidRPr="00CB242F">
        <w:rPr>
          <w:rFonts w:ascii="Arial" w:hAnsi="Arial" w:cs="Arial"/>
          <w:color w:val="616161"/>
        </w:rPr>
        <w:t>Il primo difetto di una Convenzione è tanto evidente quanto è semplice adottare le opportune contromisure: </w:t>
      </w:r>
      <w:r w:rsidRPr="00CB242F">
        <w:rPr>
          <w:rStyle w:val="Enfasigrassetto"/>
          <w:rFonts w:ascii="Arial" w:hAnsi="Arial" w:cs="Arial"/>
          <w:color w:val="616161"/>
        </w:rPr>
        <w:t>in Convenzione possiamo acquistare solo i beni/servizi che Consip ha deciso di negoziare per noi</w:t>
      </w:r>
      <w:r w:rsidRPr="00CB242F">
        <w:rPr>
          <w:rFonts w:ascii="Arial" w:hAnsi="Arial" w:cs="Arial"/>
          <w:color w:val="616161"/>
        </w:rPr>
        <w:t>: nessuna modifica o integrazione, né in aumento né in diminuzione, può essere apportata al Contratto di Convenzione stipulato fra Consip e il fornitore (il Contratto Attuativo ne costituisce una sorta di “copia”). Ergo, </w:t>
      </w:r>
      <w:r w:rsidRPr="00CB242F">
        <w:rPr>
          <w:rStyle w:val="Enfasigrassetto"/>
          <w:rFonts w:ascii="Arial" w:hAnsi="Arial" w:cs="Arial"/>
          <w:color w:val="616161"/>
        </w:rPr>
        <w:t>leggere bene il Capitolato Tecnico e, soprattutto, l’Offerta Tecnica del fornitore (il quale generalmente offre molto di più di quanto ha richiesto Consip, proprio per aggiudicarsi la Gara). </w:t>
      </w:r>
      <w:r w:rsidRPr="00CB242F">
        <w:rPr>
          <w:rFonts w:ascii="Arial" w:hAnsi="Arial" w:cs="Arial"/>
          <w:color w:val="616161"/>
        </w:rPr>
        <w:t xml:space="preserve">Se non doveste trovare pubblicata l’Offerta Tecnica sul portale Consip chiedetela a Consip che non tarderà ad inviarvela perché ha l’obbligo di pubblicarla. Fate attenzione a servizi inclusi in Convenzione che potremmo non volere, ai servizi esclusi dalla Convenzione dei quali abbiamo assoluta necessità, a caratteristiche </w:t>
      </w:r>
      <w:r w:rsidRPr="00CB242F">
        <w:rPr>
          <w:rFonts w:ascii="Arial" w:hAnsi="Arial" w:cs="Arial"/>
          <w:color w:val="616161"/>
        </w:rPr>
        <w:lastRenderedPageBreak/>
        <w:t xml:space="preserve">tecniche per noi inadatte, al paniere minimo dei servizi che siamo costretti ad acquistare (tipico del “Global Service” che oggi </w:t>
      </w:r>
      <w:proofErr w:type="spellStart"/>
      <w:r w:rsidRPr="00CB242F">
        <w:rPr>
          <w:rFonts w:ascii="Arial" w:hAnsi="Arial" w:cs="Arial"/>
          <w:color w:val="616161"/>
        </w:rPr>
        <w:t>oggi</w:t>
      </w:r>
      <w:proofErr w:type="spellEnd"/>
      <w:r w:rsidRPr="00CB242F">
        <w:rPr>
          <w:rFonts w:ascii="Arial" w:hAnsi="Arial" w:cs="Arial"/>
          <w:color w:val="616161"/>
        </w:rPr>
        <w:t xml:space="preserve"> ha il nome molto più rassicurante “Facility Management”), ai quantitativi minimi da acquistare, etc..</w:t>
      </w:r>
    </w:p>
    <w:p w:rsidR="00822C75" w:rsidRPr="00CB242F" w:rsidRDefault="00822C75" w:rsidP="00822C75">
      <w:pPr>
        <w:pStyle w:val="NormaleWeb"/>
        <w:shd w:val="clear" w:color="auto" w:fill="FFFFFF"/>
        <w:spacing w:before="0" w:beforeAutospacing="0" w:after="240" w:afterAutospacing="0"/>
        <w:rPr>
          <w:rFonts w:ascii="Arial" w:hAnsi="Arial" w:cs="Arial"/>
          <w:color w:val="616161"/>
        </w:rPr>
      </w:pPr>
      <w:r w:rsidRPr="00CB242F">
        <w:rPr>
          <w:rFonts w:ascii="Arial" w:hAnsi="Arial" w:cs="Arial"/>
          <w:color w:val="616161"/>
        </w:rPr>
        <w:t>È il secondo difetto quello che ci preoccupa maggiormente e sul quale tentiamo di mettere costantemente in guardia i funzionari pubblici che ci seguono e che abbiamo il compito di affiancare. E indovinate un po’? Si tratta proprio dei prezzi di Convenzione: </w:t>
      </w:r>
      <w:r w:rsidRPr="00CB242F">
        <w:rPr>
          <w:rStyle w:val="Enfasigrassetto"/>
          <w:rFonts w:ascii="Arial" w:hAnsi="Arial" w:cs="Arial"/>
          <w:color w:val="616161"/>
        </w:rPr>
        <w:t>ma come, non ci hanno sempre detto che con le convenzioni si risparmia sempre e comunque?</w:t>
      </w:r>
      <w:r w:rsidRPr="00CB242F">
        <w:rPr>
          <w:rFonts w:ascii="Arial" w:hAnsi="Arial" w:cs="Arial"/>
          <w:color w:val="616161"/>
        </w:rPr>
        <w:t> La risposta è no. Se aderiamo ad una convenzione di prodotti, non ci accorgiamo di nulla, in quanto siamo generalmente in grado, con relativa facilità, di comparare i prezzi unitari del listino con altre offerte reperibili sul mercato. Basta solo fare una somma alla fine e, in quel caso, possiamo tranquillamente valutare la convenienza nell’aderire all’inziativa.</w:t>
      </w:r>
    </w:p>
    <w:p w:rsidR="00CB242F" w:rsidRPr="00CB242F" w:rsidRDefault="00CB242F" w:rsidP="00822C75">
      <w:pPr>
        <w:pStyle w:val="NormaleWeb"/>
        <w:shd w:val="clear" w:color="auto" w:fill="FFFFFF"/>
        <w:spacing w:before="0" w:beforeAutospacing="0" w:after="240" w:afterAutospacing="0"/>
        <w:rPr>
          <w:rFonts w:ascii="Arial" w:hAnsi="Arial" w:cs="Arial"/>
          <w:color w:val="616161"/>
        </w:rPr>
      </w:pPr>
      <w:r w:rsidRPr="00CB242F">
        <w:rPr>
          <w:rFonts w:ascii="Arial" w:hAnsi="Arial" w:cs="Arial"/>
          <w:color w:val="616161"/>
        </w:rPr>
        <w:t>NUOVO ART 36</w:t>
      </w:r>
    </w:p>
    <w:p w:rsidR="00CB242F" w:rsidRPr="00CB242F" w:rsidRDefault="00CB242F" w:rsidP="00CB242F">
      <w:pPr>
        <w:shd w:val="clear" w:color="auto" w:fill="FFFFFF"/>
        <w:spacing w:before="100" w:beforeAutospacing="1" w:after="100" w:afterAutospacing="1" w:line="390" w:lineRule="atLeast"/>
        <w:rPr>
          <w:rFonts w:ascii="Arial" w:hAnsi="Arial" w:cs="Arial"/>
          <w:color w:val="222222"/>
          <w:sz w:val="24"/>
          <w:szCs w:val="24"/>
        </w:rPr>
      </w:pPr>
      <w:r w:rsidRPr="00CB242F">
        <w:rPr>
          <w:rFonts w:ascii="Arial" w:hAnsi="Arial" w:cs="Arial"/>
          <w:color w:val="222222"/>
          <w:sz w:val="24"/>
          <w:szCs w:val="24"/>
          <w:shd w:val="clear" w:color="auto" w:fill="FFFFFF"/>
        </w:rPr>
        <w:t>L’articolo 51, comma 1 del d.l. 77/2021 prescrive una serie di </w:t>
      </w:r>
      <w:r w:rsidRPr="00CB242F">
        <w:rPr>
          <w:rStyle w:val="Enfasigrassetto"/>
          <w:rFonts w:ascii="Arial" w:hAnsi="Arial" w:cs="Arial"/>
          <w:color w:val="222222"/>
          <w:sz w:val="24"/>
          <w:szCs w:val="24"/>
          <w:shd w:val="clear" w:color="auto" w:fill="FFFFFF"/>
        </w:rPr>
        <w:t>modifiche dei limiti di affidamento sotto-soglia</w:t>
      </w:r>
      <w:r w:rsidRPr="00CB242F">
        <w:rPr>
          <w:rFonts w:ascii="Arial" w:hAnsi="Arial" w:cs="Arial"/>
          <w:color w:val="222222"/>
          <w:sz w:val="24"/>
          <w:szCs w:val="24"/>
          <w:shd w:val="clear" w:color="auto" w:fill="FFFFFF"/>
        </w:rPr>
        <w:t> precedentemente disciplinate dall’articolo 1 comma 1 del d.l. 76/2020 convertito in legge 120/2020.</w:t>
      </w:r>
    </w:p>
    <w:p w:rsidR="00CB242F" w:rsidRPr="00CB242F" w:rsidRDefault="00CB242F" w:rsidP="00CB242F">
      <w:pPr>
        <w:numPr>
          <w:ilvl w:val="0"/>
          <w:numId w:val="4"/>
        </w:numPr>
        <w:shd w:val="clear" w:color="auto" w:fill="FFFFFF"/>
        <w:spacing w:before="100" w:beforeAutospacing="1" w:after="100" w:afterAutospacing="1" w:line="390" w:lineRule="atLeast"/>
        <w:ind w:left="1035"/>
        <w:rPr>
          <w:rFonts w:ascii="Arial" w:hAnsi="Arial" w:cs="Arial"/>
          <w:color w:val="222222"/>
          <w:sz w:val="24"/>
          <w:szCs w:val="24"/>
        </w:rPr>
      </w:pPr>
      <w:r w:rsidRPr="00CB242F">
        <w:rPr>
          <w:rFonts w:ascii="Arial" w:hAnsi="Arial" w:cs="Arial"/>
          <w:color w:val="222222"/>
          <w:sz w:val="24"/>
          <w:szCs w:val="24"/>
        </w:rPr>
        <w:t>fino al </w:t>
      </w:r>
      <w:r w:rsidRPr="00CB242F">
        <w:rPr>
          <w:rStyle w:val="Enfasigrassetto"/>
          <w:rFonts w:ascii="Arial" w:hAnsi="Arial" w:cs="Arial"/>
          <w:color w:val="222222"/>
          <w:sz w:val="24"/>
          <w:szCs w:val="24"/>
        </w:rPr>
        <w:t>30 giugno 2023</w:t>
      </w:r>
      <w:r w:rsidRPr="00CB242F">
        <w:rPr>
          <w:rFonts w:ascii="Arial" w:hAnsi="Arial" w:cs="Arial"/>
          <w:color w:val="222222"/>
          <w:sz w:val="24"/>
          <w:szCs w:val="24"/>
        </w:rPr>
        <w:t> delle procedure previste all’articolo 1, commi 2,3, e 4 del d.l. 76/2020 convertito in legge 120/2020 con</w:t>
      </w:r>
      <w:r w:rsidRPr="00CB242F">
        <w:rPr>
          <w:rStyle w:val="Enfasigrassetto"/>
          <w:rFonts w:ascii="Arial" w:hAnsi="Arial" w:cs="Arial"/>
          <w:color w:val="222222"/>
          <w:sz w:val="24"/>
          <w:szCs w:val="24"/>
        </w:rPr>
        <w:t> innalzamento</w:t>
      </w:r>
      <w:r w:rsidRPr="00CB242F">
        <w:rPr>
          <w:rFonts w:ascii="Arial" w:hAnsi="Arial" w:cs="Arial"/>
          <w:color w:val="222222"/>
          <w:sz w:val="24"/>
          <w:szCs w:val="24"/>
        </w:rPr>
        <w:t> della soglia per </w:t>
      </w:r>
      <w:r w:rsidRPr="00CB242F">
        <w:rPr>
          <w:rStyle w:val="Enfasigrassetto"/>
          <w:rFonts w:ascii="Arial" w:hAnsi="Arial" w:cs="Arial"/>
          <w:color w:val="222222"/>
          <w:sz w:val="24"/>
          <w:szCs w:val="24"/>
        </w:rPr>
        <w:t>l’affidamento diretto</w:t>
      </w:r>
      <w:r w:rsidRPr="00CB242F">
        <w:rPr>
          <w:rFonts w:ascii="Arial" w:hAnsi="Arial" w:cs="Arial"/>
          <w:color w:val="222222"/>
          <w:sz w:val="24"/>
          <w:szCs w:val="24"/>
        </w:rPr>
        <w:t> dei servizi e forniture compresi i servizi di architettura e ingegneria </w:t>
      </w:r>
      <w:r w:rsidRPr="00CB242F">
        <w:rPr>
          <w:rStyle w:val="Enfasigrassetto"/>
          <w:rFonts w:ascii="Arial" w:hAnsi="Arial" w:cs="Arial"/>
          <w:color w:val="222222"/>
          <w:sz w:val="24"/>
          <w:szCs w:val="24"/>
        </w:rPr>
        <w:t>a 139.000 euro</w:t>
      </w:r>
      <w:r w:rsidRPr="00CB242F">
        <w:rPr>
          <w:rFonts w:ascii="Arial" w:hAnsi="Arial" w:cs="Arial"/>
          <w:color w:val="222222"/>
          <w:sz w:val="24"/>
          <w:szCs w:val="24"/>
        </w:rPr>
        <w:t> nel rispetto dei principi di cui all’articolo 30 del d.lgs. 50/2016 (economicità, efficacia, tempestività, correttezza, libera concorrenza, non discriminazione, trasparenza, proporzionalità, pubblicità) – il limite per l’affidamento diretto </w:t>
      </w:r>
      <w:r w:rsidRPr="00CB242F">
        <w:rPr>
          <w:rStyle w:val="Enfasigrassetto"/>
          <w:rFonts w:ascii="Arial" w:hAnsi="Arial" w:cs="Arial"/>
          <w:color w:val="222222"/>
          <w:sz w:val="24"/>
          <w:szCs w:val="24"/>
        </w:rPr>
        <w:t>per i lavori resta inferiore a 150.000</w:t>
      </w:r>
      <w:r w:rsidRPr="00CB242F">
        <w:rPr>
          <w:rFonts w:ascii="Arial" w:hAnsi="Arial" w:cs="Arial"/>
          <w:color w:val="222222"/>
          <w:sz w:val="24"/>
          <w:szCs w:val="24"/>
        </w:rPr>
        <w:t> euro;</w:t>
      </w:r>
    </w:p>
    <w:p w:rsidR="00CB242F" w:rsidRPr="00CB242F" w:rsidRDefault="00CB242F" w:rsidP="00CB242F">
      <w:pPr>
        <w:numPr>
          <w:ilvl w:val="0"/>
          <w:numId w:val="4"/>
        </w:numPr>
        <w:shd w:val="clear" w:color="auto" w:fill="FFFFFF"/>
        <w:spacing w:before="100" w:beforeAutospacing="1" w:after="100" w:afterAutospacing="1" w:line="390" w:lineRule="atLeast"/>
        <w:ind w:left="1035"/>
        <w:rPr>
          <w:rFonts w:ascii="Arial" w:hAnsi="Arial" w:cs="Arial"/>
          <w:color w:val="222222"/>
          <w:sz w:val="24"/>
          <w:szCs w:val="24"/>
        </w:rPr>
      </w:pPr>
      <w:r w:rsidRPr="00CB242F">
        <w:rPr>
          <w:rFonts w:ascii="Arial" w:hAnsi="Arial" w:cs="Arial"/>
          <w:color w:val="222222"/>
          <w:sz w:val="24"/>
          <w:szCs w:val="24"/>
        </w:rPr>
        <w:t>modifica dell’articolo 1, comma 2, lettera b) del d.l. 766/2020 convertito in legge 120/2020 con:</w:t>
      </w:r>
    </w:p>
    <w:p w:rsidR="00CB242F" w:rsidRPr="00CB242F" w:rsidRDefault="00CB242F" w:rsidP="00CB242F">
      <w:pPr>
        <w:numPr>
          <w:ilvl w:val="0"/>
          <w:numId w:val="4"/>
        </w:numPr>
        <w:shd w:val="clear" w:color="auto" w:fill="FFFFFF"/>
        <w:spacing w:before="100" w:beforeAutospacing="1" w:after="100" w:afterAutospacing="1" w:line="390" w:lineRule="atLeast"/>
        <w:ind w:left="1035"/>
        <w:rPr>
          <w:rFonts w:ascii="Arial" w:hAnsi="Arial" w:cs="Arial"/>
          <w:color w:val="222222"/>
          <w:sz w:val="24"/>
          <w:szCs w:val="24"/>
        </w:rPr>
      </w:pPr>
      <w:r w:rsidRPr="00CB242F">
        <w:rPr>
          <w:rFonts w:ascii="Arial" w:hAnsi="Arial" w:cs="Arial"/>
          <w:color w:val="222222"/>
          <w:sz w:val="24"/>
          <w:szCs w:val="24"/>
        </w:rPr>
        <w:t>innalzamento della forchetta per la procedura negoziata </w:t>
      </w:r>
      <w:r w:rsidRPr="00CB242F">
        <w:rPr>
          <w:rStyle w:val="Enfasigrassetto"/>
          <w:rFonts w:ascii="Arial" w:hAnsi="Arial" w:cs="Arial"/>
          <w:color w:val="222222"/>
          <w:sz w:val="24"/>
          <w:szCs w:val="24"/>
        </w:rPr>
        <w:t>a 5 operatori</w:t>
      </w:r>
      <w:r w:rsidRPr="00CB242F">
        <w:rPr>
          <w:rFonts w:ascii="Arial" w:hAnsi="Arial" w:cs="Arial"/>
          <w:color w:val="222222"/>
          <w:sz w:val="24"/>
          <w:szCs w:val="24"/>
        </w:rPr>
        <w:t> che ora si colloca </w:t>
      </w:r>
      <w:r w:rsidRPr="00CB242F">
        <w:rPr>
          <w:rStyle w:val="Enfasigrassetto"/>
          <w:rFonts w:ascii="Arial" w:hAnsi="Arial" w:cs="Arial"/>
          <w:color w:val="222222"/>
          <w:sz w:val="24"/>
          <w:szCs w:val="24"/>
        </w:rPr>
        <w:t>tra 139.000 euro</w:t>
      </w:r>
      <w:r w:rsidRPr="00CB242F">
        <w:rPr>
          <w:rFonts w:ascii="Arial" w:hAnsi="Arial" w:cs="Arial"/>
          <w:color w:val="222222"/>
          <w:sz w:val="24"/>
          <w:szCs w:val="24"/>
        </w:rPr>
        <w:t> (prima erano 75.000) e le soglie di cui all’articolo 35 del d.lgs. 50/2016 per i servizi e forniture (compresi i servizi di architettura e ingegneria) e sempre 5 operatori per la forchetta tra</w:t>
      </w:r>
      <w:r w:rsidRPr="00CB242F">
        <w:rPr>
          <w:rStyle w:val="Enfasigrassetto"/>
          <w:rFonts w:ascii="Arial" w:hAnsi="Arial" w:cs="Arial"/>
          <w:color w:val="222222"/>
          <w:sz w:val="24"/>
          <w:szCs w:val="24"/>
        </w:rPr>
        <w:t> i 150.000 euro e importi inferiori a 1.000.000 di euro</w:t>
      </w:r>
      <w:r w:rsidRPr="00CB242F">
        <w:rPr>
          <w:rFonts w:ascii="Arial" w:hAnsi="Arial" w:cs="Arial"/>
          <w:color w:val="222222"/>
          <w:sz w:val="24"/>
          <w:szCs w:val="24"/>
        </w:rPr>
        <w:t> (prima erano 350.000 euro);</w:t>
      </w:r>
    </w:p>
    <w:p w:rsidR="00CB242F" w:rsidRPr="00CB242F" w:rsidRDefault="00CB242F" w:rsidP="00CB242F">
      <w:pPr>
        <w:numPr>
          <w:ilvl w:val="0"/>
          <w:numId w:val="4"/>
        </w:numPr>
        <w:shd w:val="clear" w:color="auto" w:fill="FFFFFF"/>
        <w:spacing w:before="100" w:beforeAutospacing="1" w:after="100" w:afterAutospacing="1" w:line="390" w:lineRule="atLeast"/>
        <w:ind w:left="1035"/>
        <w:rPr>
          <w:rFonts w:ascii="Arial" w:hAnsi="Arial" w:cs="Arial"/>
          <w:color w:val="222222"/>
          <w:sz w:val="24"/>
          <w:szCs w:val="24"/>
        </w:rPr>
      </w:pPr>
      <w:r w:rsidRPr="00CB242F">
        <w:rPr>
          <w:rFonts w:ascii="Arial" w:hAnsi="Arial" w:cs="Arial"/>
          <w:color w:val="222222"/>
          <w:sz w:val="24"/>
          <w:szCs w:val="24"/>
        </w:rPr>
        <w:t>innalzamento della forchetta per la procedura negoziata </w:t>
      </w:r>
      <w:r w:rsidRPr="00CB242F">
        <w:rPr>
          <w:rStyle w:val="Enfasigrassetto"/>
          <w:rFonts w:ascii="Arial" w:hAnsi="Arial" w:cs="Arial"/>
          <w:color w:val="222222"/>
          <w:sz w:val="24"/>
          <w:szCs w:val="24"/>
        </w:rPr>
        <w:t>a 10 operatori</w:t>
      </w:r>
      <w:r w:rsidRPr="00CB242F">
        <w:rPr>
          <w:rFonts w:ascii="Arial" w:hAnsi="Arial" w:cs="Arial"/>
          <w:color w:val="222222"/>
          <w:sz w:val="24"/>
          <w:szCs w:val="24"/>
        </w:rPr>
        <w:t> che ora si colloca, per i lavori, </w:t>
      </w:r>
      <w:r w:rsidRPr="00CB242F">
        <w:rPr>
          <w:rStyle w:val="Enfasigrassetto"/>
          <w:rFonts w:ascii="Arial" w:hAnsi="Arial" w:cs="Arial"/>
          <w:color w:val="222222"/>
          <w:sz w:val="24"/>
          <w:szCs w:val="24"/>
        </w:rPr>
        <w:t>tra un importo superiore a 1.000.000 di euro e fino alle soglie di cui all’articolo 35 del d.lgs. 50/2016</w:t>
      </w:r>
      <w:r w:rsidRPr="00CB242F">
        <w:rPr>
          <w:rFonts w:ascii="Arial" w:hAnsi="Arial" w:cs="Arial"/>
          <w:color w:val="222222"/>
          <w:sz w:val="24"/>
          <w:szCs w:val="24"/>
        </w:rPr>
        <w:t> (fascia per la quale prima erano richiesti 15 operatori).</w:t>
      </w:r>
    </w:p>
    <w:p w:rsidR="00CB242F" w:rsidRPr="00CB242F" w:rsidRDefault="00CB242F" w:rsidP="00822C75">
      <w:pPr>
        <w:pStyle w:val="NormaleWeb"/>
        <w:shd w:val="clear" w:color="auto" w:fill="FFFFFF"/>
        <w:spacing w:before="0" w:beforeAutospacing="0" w:after="240" w:afterAutospacing="0"/>
        <w:rPr>
          <w:rFonts w:ascii="Arial" w:hAnsi="Arial" w:cs="Arial"/>
          <w:color w:val="616161"/>
        </w:rPr>
      </w:pPr>
    </w:p>
    <w:sectPr w:rsidR="00CB242F" w:rsidRPr="00CB242F" w:rsidSect="008F189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F940DD"/>
    <w:multiLevelType w:val="multilevel"/>
    <w:tmpl w:val="3624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DF50AC"/>
    <w:multiLevelType w:val="hybridMultilevel"/>
    <w:tmpl w:val="3B7681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6F433B21"/>
    <w:multiLevelType w:val="hybridMultilevel"/>
    <w:tmpl w:val="55E484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77BA7E63"/>
    <w:multiLevelType w:val="hybridMultilevel"/>
    <w:tmpl w:val="D3ACF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hyphenationZone w:val="283"/>
  <w:characterSpacingControl w:val="doNotCompress"/>
  <w:compat/>
  <w:rsids>
    <w:rsidRoot w:val="00DC0220"/>
    <w:rsid w:val="001625B2"/>
    <w:rsid w:val="0036596D"/>
    <w:rsid w:val="00390FD6"/>
    <w:rsid w:val="00527361"/>
    <w:rsid w:val="005C6A09"/>
    <w:rsid w:val="006812B9"/>
    <w:rsid w:val="006C07AF"/>
    <w:rsid w:val="00822C75"/>
    <w:rsid w:val="008F066D"/>
    <w:rsid w:val="008F189E"/>
    <w:rsid w:val="0095755D"/>
    <w:rsid w:val="00A0367D"/>
    <w:rsid w:val="00A51362"/>
    <w:rsid w:val="00AA711A"/>
    <w:rsid w:val="00B9387F"/>
    <w:rsid w:val="00CB242F"/>
    <w:rsid w:val="00D6002D"/>
    <w:rsid w:val="00DC022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F189E"/>
  </w:style>
  <w:style w:type="paragraph" w:styleId="Titolo2">
    <w:name w:val="heading 2"/>
    <w:basedOn w:val="Normale"/>
    <w:link w:val="Titolo2Carattere"/>
    <w:uiPriority w:val="9"/>
    <w:qFormat/>
    <w:rsid w:val="00DC0220"/>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CB242F"/>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DC0220"/>
    <w:rPr>
      <w:rFonts w:ascii="Times New Roman" w:eastAsia="Times New Roman" w:hAnsi="Times New Roman" w:cs="Times New Roman"/>
      <w:b/>
      <w:bCs/>
      <w:sz w:val="36"/>
      <w:szCs w:val="36"/>
      <w:lang w:eastAsia="it-IT"/>
    </w:rPr>
  </w:style>
  <w:style w:type="paragraph" w:customStyle="1" w:styleId="done">
    <w:name w:val="done"/>
    <w:basedOn w:val="Normale"/>
    <w:rsid w:val="00DC022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DC0220"/>
    <w:rPr>
      <w:b/>
      <w:bCs/>
    </w:rPr>
  </w:style>
  <w:style w:type="character" w:styleId="Collegamentoipertestuale">
    <w:name w:val="Hyperlink"/>
    <w:basedOn w:val="Carpredefinitoparagrafo"/>
    <w:uiPriority w:val="99"/>
    <w:semiHidden/>
    <w:unhideWhenUsed/>
    <w:rsid w:val="00390FD6"/>
    <w:rPr>
      <w:color w:val="0000FF"/>
      <w:u w:val="single"/>
    </w:rPr>
  </w:style>
  <w:style w:type="paragraph" w:styleId="NormaleWeb">
    <w:name w:val="Normal (Web)"/>
    <w:basedOn w:val="Normale"/>
    <w:uiPriority w:val="99"/>
    <w:unhideWhenUsed/>
    <w:rsid w:val="00390FD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390FD6"/>
    <w:pPr>
      <w:ind w:left="720"/>
      <w:contextualSpacing/>
    </w:pPr>
  </w:style>
  <w:style w:type="character" w:styleId="Enfasicorsivo">
    <w:name w:val="Emphasis"/>
    <w:basedOn w:val="Carpredefinitoparagrafo"/>
    <w:uiPriority w:val="20"/>
    <w:qFormat/>
    <w:rsid w:val="00A51362"/>
    <w:rPr>
      <w:i/>
      <w:iCs/>
    </w:rPr>
  </w:style>
  <w:style w:type="paragraph" w:styleId="Corpodeltesto">
    <w:name w:val="Body Text"/>
    <w:basedOn w:val="Normale"/>
    <w:link w:val="CorpodeltestoCarattere"/>
    <w:uiPriority w:val="99"/>
    <w:semiHidden/>
    <w:unhideWhenUsed/>
    <w:rsid w:val="00A5136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orpodeltestoCarattere">
    <w:name w:val="Corpo del testo Carattere"/>
    <w:basedOn w:val="Carpredefinitoparagrafo"/>
    <w:link w:val="Corpodeltesto"/>
    <w:uiPriority w:val="99"/>
    <w:semiHidden/>
    <w:rsid w:val="00A51362"/>
    <w:rPr>
      <w:rFonts w:ascii="Times New Roman" w:eastAsia="Times New Roman" w:hAnsi="Times New Roman" w:cs="Times New Roman"/>
      <w:sz w:val="24"/>
      <w:szCs w:val="24"/>
      <w:lang w:eastAsia="it-IT"/>
    </w:rPr>
  </w:style>
  <w:style w:type="character" w:customStyle="1" w:styleId="Titolo3Carattere">
    <w:name w:val="Titolo 3 Carattere"/>
    <w:basedOn w:val="Carpredefinitoparagrafo"/>
    <w:link w:val="Titolo3"/>
    <w:uiPriority w:val="9"/>
    <w:semiHidden/>
    <w:rsid w:val="00CB242F"/>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534970720">
      <w:bodyDiv w:val="1"/>
      <w:marLeft w:val="0"/>
      <w:marRight w:val="0"/>
      <w:marTop w:val="0"/>
      <w:marBottom w:val="0"/>
      <w:divBdr>
        <w:top w:val="none" w:sz="0" w:space="0" w:color="auto"/>
        <w:left w:val="none" w:sz="0" w:space="0" w:color="auto"/>
        <w:bottom w:val="none" w:sz="0" w:space="0" w:color="auto"/>
        <w:right w:val="none" w:sz="0" w:space="0" w:color="auto"/>
      </w:divBdr>
    </w:div>
    <w:div w:id="828594492">
      <w:bodyDiv w:val="1"/>
      <w:marLeft w:val="0"/>
      <w:marRight w:val="0"/>
      <w:marTop w:val="0"/>
      <w:marBottom w:val="0"/>
      <w:divBdr>
        <w:top w:val="none" w:sz="0" w:space="0" w:color="auto"/>
        <w:left w:val="none" w:sz="0" w:space="0" w:color="auto"/>
        <w:bottom w:val="none" w:sz="0" w:space="0" w:color="auto"/>
        <w:right w:val="none" w:sz="0" w:space="0" w:color="auto"/>
      </w:divBdr>
    </w:div>
    <w:div w:id="829559979">
      <w:bodyDiv w:val="1"/>
      <w:marLeft w:val="0"/>
      <w:marRight w:val="0"/>
      <w:marTop w:val="0"/>
      <w:marBottom w:val="0"/>
      <w:divBdr>
        <w:top w:val="none" w:sz="0" w:space="0" w:color="auto"/>
        <w:left w:val="none" w:sz="0" w:space="0" w:color="auto"/>
        <w:bottom w:val="none" w:sz="0" w:space="0" w:color="auto"/>
        <w:right w:val="none" w:sz="0" w:space="0" w:color="auto"/>
      </w:divBdr>
    </w:div>
    <w:div w:id="1007903726">
      <w:bodyDiv w:val="1"/>
      <w:marLeft w:val="0"/>
      <w:marRight w:val="0"/>
      <w:marTop w:val="0"/>
      <w:marBottom w:val="0"/>
      <w:divBdr>
        <w:top w:val="none" w:sz="0" w:space="0" w:color="auto"/>
        <w:left w:val="none" w:sz="0" w:space="0" w:color="auto"/>
        <w:bottom w:val="none" w:sz="0" w:space="0" w:color="auto"/>
        <w:right w:val="none" w:sz="0" w:space="0" w:color="auto"/>
      </w:divBdr>
    </w:div>
    <w:div w:id="1057171870">
      <w:bodyDiv w:val="1"/>
      <w:marLeft w:val="0"/>
      <w:marRight w:val="0"/>
      <w:marTop w:val="0"/>
      <w:marBottom w:val="0"/>
      <w:divBdr>
        <w:top w:val="none" w:sz="0" w:space="0" w:color="auto"/>
        <w:left w:val="none" w:sz="0" w:space="0" w:color="auto"/>
        <w:bottom w:val="none" w:sz="0" w:space="0" w:color="auto"/>
        <w:right w:val="none" w:sz="0" w:space="0" w:color="auto"/>
      </w:divBdr>
    </w:div>
    <w:div w:id="1063257431">
      <w:bodyDiv w:val="1"/>
      <w:marLeft w:val="0"/>
      <w:marRight w:val="0"/>
      <w:marTop w:val="0"/>
      <w:marBottom w:val="0"/>
      <w:divBdr>
        <w:top w:val="none" w:sz="0" w:space="0" w:color="auto"/>
        <w:left w:val="none" w:sz="0" w:space="0" w:color="auto"/>
        <w:bottom w:val="none" w:sz="0" w:space="0" w:color="auto"/>
        <w:right w:val="none" w:sz="0" w:space="0" w:color="auto"/>
      </w:divBdr>
    </w:div>
    <w:div w:id="114401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wikipedia.org/wiki/Pubblica_amministrazione_italiana" TargetMode="External"/><Relationship Id="rId13" Type="http://schemas.openxmlformats.org/officeDocument/2006/relationships/hyperlink" Target="https://it.wikipedia.org/wiki/Codice_dei_contratti_pubblici" TargetMode="External"/><Relationship Id="rId18" Type="http://schemas.openxmlformats.org/officeDocument/2006/relationships/hyperlink" Target="https://it.wikipedia.org/wiki/2014" TargetMode="External"/><Relationship Id="rId26" Type="http://schemas.openxmlformats.org/officeDocument/2006/relationships/hyperlink" Target="https://it.wikipedia.org/wiki/Centrale_acquisti" TargetMode="External"/><Relationship Id="rId39" Type="http://schemas.openxmlformats.org/officeDocument/2006/relationships/hyperlink" Target="https://www.agendadigitale.eu/procurement/" TargetMode="External"/><Relationship Id="rId3" Type="http://schemas.openxmlformats.org/officeDocument/2006/relationships/settings" Target="settings.xml"/><Relationship Id="rId21" Type="http://schemas.openxmlformats.org/officeDocument/2006/relationships/hyperlink" Target="https://it.wikipedia.org/wiki/Convenzioni_ex_art._26" TargetMode="External"/><Relationship Id="rId34" Type="http://schemas.openxmlformats.org/officeDocument/2006/relationships/hyperlink" Target="https://www.bosettiegatti.eu/info/norme/statali/2016_0050.htm" TargetMode="External"/><Relationship Id="rId7" Type="http://schemas.openxmlformats.org/officeDocument/2006/relationships/hyperlink" Target="https://it.wikipedia.org/wiki/Appalto" TargetMode="External"/><Relationship Id="rId12" Type="http://schemas.openxmlformats.org/officeDocument/2006/relationships/hyperlink" Target="https://it.wikipedia.org/wiki/Settore_pubblico" TargetMode="External"/><Relationship Id="rId17" Type="http://schemas.openxmlformats.org/officeDocument/2006/relationships/hyperlink" Target="https://it.wikipedia.org/wiki/Centrale_di_committenza" TargetMode="External"/><Relationship Id="rId25" Type="http://schemas.openxmlformats.org/officeDocument/2006/relationships/hyperlink" Target="https://it.wikipedia.org/wiki/Consip" TargetMode="External"/><Relationship Id="rId33" Type="http://schemas.openxmlformats.org/officeDocument/2006/relationships/hyperlink" Target="https://it.wikipedia.org/wiki/Centrale_di_committenza" TargetMode="External"/><Relationship Id="rId38" Type="http://schemas.openxmlformats.org/officeDocument/2006/relationships/hyperlink" Target="https://www.bosettiegatti.eu/info/norme/statali/2016_0050.htm" TargetMode="External"/><Relationship Id="rId2" Type="http://schemas.openxmlformats.org/officeDocument/2006/relationships/styles" Target="styles.xml"/><Relationship Id="rId16" Type="http://schemas.openxmlformats.org/officeDocument/2006/relationships/hyperlink" Target="https://it.wikipedia.org/wiki/Governo_Renzi" TargetMode="External"/><Relationship Id="rId20" Type="http://schemas.openxmlformats.org/officeDocument/2006/relationships/hyperlink" Target="https://it.wikipedia.org/wiki/Centrale_di_committenza" TargetMode="External"/><Relationship Id="rId29" Type="http://schemas.openxmlformats.org/officeDocument/2006/relationships/hyperlink" Target="https://it.wikipedia.org/wiki/Consip"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it.wikipedia.org/wiki/Stazione_appaltante" TargetMode="External"/><Relationship Id="rId11" Type="http://schemas.openxmlformats.org/officeDocument/2006/relationships/hyperlink" Target="https://it.wikipedia.org/wiki/Centrale_di_committenza" TargetMode="External"/><Relationship Id="rId24" Type="http://schemas.openxmlformats.org/officeDocument/2006/relationships/hyperlink" Target="https://it.wikipedia.org/wiki/Centrale_di_committenza" TargetMode="External"/><Relationship Id="rId32" Type="http://schemas.openxmlformats.org/officeDocument/2006/relationships/hyperlink" Target="https://it.wikipedia.org/wiki/Centrale_di_committenza" TargetMode="External"/><Relationship Id="rId37" Type="http://schemas.openxmlformats.org/officeDocument/2006/relationships/hyperlink" Target="https://www.bosettiegatti.eu/info/norme/statali/2016_0050.htm" TargetMode="External"/><Relationship Id="rId40" Type="http://schemas.openxmlformats.org/officeDocument/2006/relationships/fontTable" Target="fontTable.xml"/><Relationship Id="rId5" Type="http://schemas.openxmlformats.org/officeDocument/2006/relationships/hyperlink" Target="https://it.wikipedia.org/wiki/Codice_dei_contratti_pubblici" TargetMode="External"/><Relationship Id="rId15" Type="http://schemas.openxmlformats.org/officeDocument/2006/relationships/hyperlink" Target="https://it.wikipedia.org/wiki/Stazione_appaltante" TargetMode="External"/><Relationship Id="rId23" Type="http://schemas.openxmlformats.org/officeDocument/2006/relationships/hyperlink" Target="https://it.wikipedia.org/wiki/Pubblica_amministrazione" TargetMode="External"/><Relationship Id="rId28" Type="http://schemas.openxmlformats.org/officeDocument/2006/relationships/hyperlink" Target="https://it.wikipedia.org/wiki/Centrale_acquisti" TargetMode="External"/><Relationship Id="rId36" Type="http://schemas.openxmlformats.org/officeDocument/2006/relationships/hyperlink" Target="https://www.bosettiegatti.eu/info/norme/statali/2016_0050.htm" TargetMode="External"/><Relationship Id="rId10" Type="http://schemas.openxmlformats.org/officeDocument/2006/relationships/hyperlink" Target="https://it.wikipedia.org/wiki/Centrale_acquisti" TargetMode="External"/><Relationship Id="rId19" Type="http://schemas.openxmlformats.org/officeDocument/2006/relationships/hyperlink" Target="https://it.wikipedia.org/wiki/Stazione_appaltante" TargetMode="External"/><Relationship Id="rId31" Type="http://schemas.openxmlformats.org/officeDocument/2006/relationships/hyperlink" Target="https://it.wikipedia.org/wiki/Centrale_di_committenza" TargetMode="External"/><Relationship Id="rId4" Type="http://schemas.openxmlformats.org/officeDocument/2006/relationships/webSettings" Target="webSettings.xml"/><Relationship Id="rId9" Type="http://schemas.openxmlformats.org/officeDocument/2006/relationships/hyperlink" Target="https://it.wikipedia.org/wiki/Centrale_acquisti" TargetMode="External"/><Relationship Id="rId14" Type="http://schemas.openxmlformats.org/officeDocument/2006/relationships/hyperlink" Target="https://it.wikipedia.org/wiki/Centrale_di_committenza" TargetMode="External"/><Relationship Id="rId22" Type="http://schemas.openxmlformats.org/officeDocument/2006/relationships/hyperlink" Target="https://it.wikipedia.org/wiki/Contratto_quadro" TargetMode="External"/><Relationship Id="rId27" Type="http://schemas.openxmlformats.org/officeDocument/2006/relationships/hyperlink" Target="https://it.wikipedia.org/wiki/Centrale_di_committenza" TargetMode="External"/><Relationship Id="rId30" Type="http://schemas.openxmlformats.org/officeDocument/2006/relationships/hyperlink" Target="https://it.wikipedia.org/wiki/Dipartimento_della_Protezione_Civile" TargetMode="External"/><Relationship Id="rId35" Type="http://schemas.openxmlformats.org/officeDocument/2006/relationships/hyperlink" Target="https://www.bosettiegatti.eu/info/norme/statali/2016_0050.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6099</Words>
  <Characters>34769</Characters>
  <Application>Microsoft Office Word</Application>
  <DocSecurity>0</DocSecurity>
  <Lines>289</Lines>
  <Paragraphs>81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2021-06-22T12:28:00Z</dcterms:created>
  <dcterms:modified xsi:type="dcterms:W3CDTF">2021-06-22T12:31:00Z</dcterms:modified>
</cp:coreProperties>
</file>