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5E5A2E" w:rsidRDefault="006F5386"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jc w:val="center"/>
        <w:rPr>
          <w:rFonts w:ascii="Arial" w:hAnsi="Arial" w:cs="Arial"/>
          <w:sz w:val="24"/>
          <w:szCs w:val="24"/>
        </w:rPr>
      </w:pPr>
      <w:bookmarkStart w:id="0" w:name="_inizio"/>
      <w:r w:rsidRPr="005E5A2E">
        <w:rPr>
          <w:rFonts w:ascii="Arial" w:hAnsi="Arial" w:cs="Arial"/>
          <w:b/>
          <w:bCs/>
          <w:color w:val="000000"/>
          <w:sz w:val="24"/>
          <w:szCs w:val="24"/>
          <w:shd w:val="clear" w:color="auto" w:fill="F5FDFE"/>
        </w:rPr>
        <w:t>Decreto legislativo 18 aprile 2016, n. 50</w:t>
      </w:r>
      <w:bookmarkEnd w:id="0"/>
      <w:r w:rsidRPr="005E5A2E">
        <w:rPr>
          <w:rFonts w:ascii="Arial" w:hAnsi="Arial" w:cs="Arial"/>
          <w:b/>
          <w:bCs/>
          <w:strike/>
          <w:color w:val="000000"/>
          <w:sz w:val="24"/>
          <w:szCs w:val="24"/>
          <w:shd w:val="clear" w:color="auto" w:fill="F5FDFE"/>
        </w:rPr>
        <w:br/>
      </w:r>
      <w:r w:rsidRPr="005E5A2E">
        <w:rPr>
          <w:rFonts w:ascii="Arial" w:hAnsi="Arial" w:cs="Arial"/>
          <w:b/>
          <w:bCs/>
          <w:color w:val="000000"/>
          <w:sz w:val="24"/>
          <w:szCs w:val="24"/>
          <w:shd w:val="clear" w:color="auto" w:fill="F5FDFE"/>
        </w:rPr>
        <w:t>Codice dei contratti pubblici</w:t>
      </w: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B528BB" w:rsidRPr="005E5A2E" w:rsidRDefault="00B528BB"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945B05" w:rsidRPr="005E5A2E" w:rsidRDefault="00945B05" w:rsidP="00945B05">
      <w:pPr>
        <w:spacing w:line="240" w:lineRule="auto"/>
        <w:rPr>
          <w:rFonts w:ascii="Arial" w:hAnsi="Arial" w:cs="Arial"/>
          <w:sz w:val="24"/>
          <w:szCs w:val="24"/>
        </w:rPr>
      </w:pPr>
    </w:p>
    <w:p w:rsidR="006F5386" w:rsidRPr="005E5A2E" w:rsidRDefault="006F5386" w:rsidP="00945B05">
      <w:pPr>
        <w:spacing w:line="240" w:lineRule="auto"/>
        <w:rPr>
          <w:rFonts w:ascii="Arial" w:hAnsi="Arial" w:cs="Arial"/>
          <w:sz w:val="24"/>
          <w:szCs w:val="24"/>
        </w:rPr>
      </w:pPr>
      <w:r w:rsidRPr="005E5A2E">
        <w:rPr>
          <w:rFonts w:ascii="Arial" w:hAnsi="Arial" w:cs="Arial"/>
          <w:sz w:val="24"/>
          <w:szCs w:val="24"/>
        </w:rPr>
        <w:lastRenderedPageBreak/>
        <w:t>PRINCIPI GENERALI DELL’ATTIVITA’ CONTRATTUALE</w:t>
      </w:r>
    </w:p>
    <w:p w:rsidR="006F5386" w:rsidRPr="005E5A2E" w:rsidRDefault="006F5386" w:rsidP="00945B05">
      <w:pPr>
        <w:spacing w:line="240" w:lineRule="auto"/>
        <w:rPr>
          <w:rFonts w:ascii="Arial" w:hAnsi="Arial" w:cs="Arial"/>
          <w:sz w:val="24"/>
          <w:szCs w:val="24"/>
        </w:rPr>
      </w:pPr>
      <w:r w:rsidRPr="005E5A2E">
        <w:rPr>
          <w:rFonts w:ascii="Arial" w:hAnsi="Arial" w:cs="Arial"/>
          <w:sz w:val="24"/>
          <w:szCs w:val="24"/>
        </w:rPr>
        <w:t>Le tre direttive a cui ci siamo uniformati mediante il nuovo codice degli appallti, rinvengono la loro base giuridica nei principi della UE di libera circolazione delle merci, di libertà di stabilimento e di libera circolazione dei servizi</w:t>
      </w:r>
      <w:r w:rsidR="00770AB7" w:rsidRPr="005E5A2E">
        <w:rPr>
          <w:rFonts w:ascii="Arial" w:hAnsi="Arial" w:cs="Arial"/>
          <w:sz w:val="24"/>
          <w:szCs w:val="24"/>
        </w:rPr>
        <w:t>;</w:t>
      </w:r>
      <w:r w:rsidRPr="005E5A2E">
        <w:rPr>
          <w:rFonts w:ascii="Arial" w:hAnsi="Arial" w:cs="Arial"/>
          <w:sz w:val="24"/>
          <w:szCs w:val="24"/>
        </w:rPr>
        <w:t xml:space="preserve">questi principi rivestono una fondamentale importanza anche se il nuovo codice non ne fa espressa menzione.E’ da questi principi che la </w:t>
      </w:r>
      <w:proofErr w:type="spellStart"/>
      <w:r w:rsidRPr="005E5A2E">
        <w:rPr>
          <w:rFonts w:ascii="Arial" w:hAnsi="Arial" w:cs="Arial"/>
          <w:sz w:val="24"/>
          <w:szCs w:val="24"/>
        </w:rPr>
        <w:t>la</w:t>
      </w:r>
      <w:proofErr w:type="spellEnd"/>
      <w:r w:rsidRPr="005E5A2E">
        <w:rPr>
          <w:rFonts w:ascii="Arial" w:hAnsi="Arial" w:cs="Arial"/>
          <w:sz w:val="24"/>
          <w:szCs w:val="24"/>
        </w:rPr>
        <w:t xml:space="preserve"> direttiva 2014/24/UE fa derivare quelli di parità di trattamento</w:t>
      </w:r>
      <w:r w:rsidR="000B1CA5" w:rsidRPr="005E5A2E">
        <w:rPr>
          <w:rFonts w:ascii="Arial" w:hAnsi="Arial" w:cs="Arial"/>
          <w:sz w:val="24"/>
          <w:szCs w:val="24"/>
        </w:rPr>
        <w:t>, di non discriminazione , di mutuo riconoscimento, di proporzionalità e di trasparenza attorno ai quali si sviluppa tutta la disciplina.</w:t>
      </w:r>
    </w:p>
    <w:p w:rsidR="000B1CA5" w:rsidRPr="005E5A2E" w:rsidRDefault="000B1CA5" w:rsidP="00945B05">
      <w:pPr>
        <w:spacing w:line="240" w:lineRule="auto"/>
        <w:rPr>
          <w:rFonts w:ascii="Arial" w:hAnsi="Arial" w:cs="Arial"/>
          <w:sz w:val="24"/>
          <w:szCs w:val="24"/>
        </w:rPr>
      </w:pPr>
      <w:r w:rsidRPr="005E5A2E">
        <w:rPr>
          <w:rFonts w:ascii="Arial" w:hAnsi="Arial" w:cs="Arial"/>
          <w:sz w:val="24"/>
          <w:szCs w:val="24"/>
        </w:rPr>
        <w:t>E ‘ opinione comune che la concorrenza rimanga uno dei principi fondanti la disciplina europea dei contratti pubblici, sebbene non sia l’unico principio ispiratore. Il nuovo codice però non si pare con un0enunciazione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amministrativa.il principio di economicità ( cioè il contenimento dei costi e dei tempi procedurali)può esser subordinato</w:t>
      </w:r>
      <w:r w:rsidR="00770AB7" w:rsidRPr="005E5A2E">
        <w:rPr>
          <w:rFonts w:ascii="Arial" w:hAnsi="Arial" w:cs="Arial"/>
          <w:sz w:val="24"/>
          <w:szCs w:val="24"/>
        </w:rPr>
        <w:t xml:space="preserve"> </w:t>
      </w:r>
      <w:r w:rsidRPr="005E5A2E">
        <w:rPr>
          <w:rFonts w:ascii="Arial" w:hAnsi="Arial" w:cs="Arial"/>
          <w:sz w:val="24"/>
          <w:szCs w:val="24"/>
        </w:rPr>
        <w:t>a esigenze sociali, alla tutela della salute, dell’ambiente, del patrimonio culturale</w:t>
      </w:r>
      <w:r w:rsidR="00770AB7" w:rsidRPr="005E5A2E">
        <w:rPr>
          <w:rFonts w:ascii="Arial" w:hAnsi="Arial" w:cs="Arial"/>
          <w:sz w:val="24"/>
          <w:szCs w:val="24"/>
        </w:rPr>
        <w:t xml:space="preserve"> </w:t>
      </w:r>
      <w:r w:rsidRPr="005E5A2E">
        <w:rPr>
          <w:rFonts w:ascii="Arial" w:hAnsi="Arial" w:cs="Arial"/>
          <w:sz w:val="24"/>
          <w:szCs w:val="24"/>
        </w:rPr>
        <w:t>e all’efficienza energetica.</w:t>
      </w:r>
    </w:p>
    <w:p w:rsidR="00C12677" w:rsidRPr="005E5A2E" w:rsidRDefault="000B1CA5" w:rsidP="00945B05">
      <w:pPr>
        <w:spacing w:line="240" w:lineRule="auto"/>
        <w:rPr>
          <w:rFonts w:ascii="Arial" w:hAnsi="Arial" w:cs="Arial"/>
          <w:sz w:val="24"/>
          <w:szCs w:val="24"/>
        </w:rPr>
      </w:pPr>
      <w:r w:rsidRPr="005E5A2E">
        <w:rPr>
          <w:rFonts w:ascii="Arial" w:hAnsi="Arial" w:cs="Arial"/>
          <w:sz w:val="24"/>
          <w:szCs w:val="24"/>
        </w:rPr>
        <w:t xml:space="preserve">L’art 30 </w:t>
      </w:r>
      <w:r w:rsidR="00C12677" w:rsidRPr="005E5A2E">
        <w:rPr>
          <w:rFonts w:ascii="Arial" w:hAnsi="Arial" w:cs="Arial"/>
          <w:sz w:val="24"/>
          <w:szCs w:val="24"/>
        </w:rPr>
        <w:t>reca un second</w:t>
      </w:r>
      <w:r w:rsidR="00507C60" w:rsidRPr="005E5A2E">
        <w:rPr>
          <w:rFonts w:ascii="Arial" w:hAnsi="Arial" w:cs="Arial"/>
          <w:sz w:val="24"/>
          <w:szCs w:val="24"/>
        </w:rPr>
        <w:t>o</w:t>
      </w:r>
      <w:r w:rsidR="00C12677" w:rsidRPr="005E5A2E">
        <w:rPr>
          <w:rFonts w:ascii="Arial" w:hAnsi="Arial" w:cs="Arial"/>
          <w:sz w:val="24"/>
          <w:szCs w:val="24"/>
        </w:rPr>
        <w:t xml:space="preserve"> gruppo di principi riferiti solo alla fase dell’affidamento: p. di libera concorrenza, non discriminazione, trasparenza, proporzionalità</w:t>
      </w:r>
      <w:r w:rsidR="00507C60" w:rsidRPr="005E5A2E">
        <w:rPr>
          <w:rFonts w:ascii="Arial" w:hAnsi="Arial" w:cs="Arial"/>
          <w:sz w:val="24"/>
          <w:szCs w:val="24"/>
        </w:rPr>
        <w:t xml:space="preserve"> </w:t>
      </w:r>
      <w:r w:rsidR="00C12677" w:rsidRPr="005E5A2E">
        <w:rPr>
          <w:rFonts w:ascii="Arial" w:hAnsi="Arial" w:cs="Arial"/>
          <w:sz w:val="24"/>
          <w:szCs w:val="24"/>
        </w:rPr>
        <w:t>e di pubblicità, stabilendo inoltre che i criteri di partecipazione alle gare devono esser tali da non escludere le microimprese , le piccole e medie imprese.</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Esiste poi un terzo gruppo di principi attinenti solo alla fase dell’esecuzione</w:t>
      </w:r>
      <w:r w:rsidR="00507C60" w:rsidRPr="005E5A2E">
        <w:rPr>
          <w:rFonts w:ascii="Arial" w:hAnsi="Arial" w:cs="Arial"/>
          <w:sz w:val="24"/>
          <w:szCs w:val="24"/>
        </w:rPr>
        <w:t xml:space="preserve"> </w:t>
      </w:r>
      <w:r w:rsidRPr="005E5A2E">
        <w:rPr>
          <w:rFonts w:ascii="Arial" w:hAnsi="Arial" w:cs="Arial"/>
          <w:sz w:val="24"/>
          <w:szCs w:val="24"/>
        </w:rPr>
        <w:t>prevedendo che gli op</w:t>
      </w:r>
      <w:r w:rsidR="00507C60" w:rsidRPr="005E5A2E">
        <w:rPr>
          <w:rFonts w:ascii="Arial" w:hAnsi="Arial" w:cs="Arial"/>
          <w:sz w:val="24"/>
          <w:szCs w:val="24"/>
        </w:rPr>
        <w:t>e</w:t>
      </w:r>
      <w:r w:rsidRPr="005E5A2E">
        <w:rPr>
          <w:rFonts w:ascii="Arial" w:hAnsi="Arial" w:cs="Arial"/>
          <w:sz w:val="24"/>
          <w:szCs w:val="24"/>
        </w:rPr>
        <w:t>ratori economici devono rispettare gli obblighi in materia ambientale, sociale e del lavoro stabiliti dalla normativa europea e nazionale, dai contratti collettivo disposizioni internazionali.</w:t>
      </w:r>
    </w:p>
    <w:p w:rsidR="000B1CA5" w:rsidRPr="005E5A2E" w:rsidRDefault="00C12677" w:rsidP="00945B05">
      <w:pPr>
        <w:spacing w:line="240" w:lineRule="auto"/>
        <w:rPr>
          <w:rFonts w:ascii="Arial" w:hAnsi="Arial" w:cs="Arial"/>
          <w:sz w:val="24"/>
          <w:szCs w:val="24"/>
        </w:rPr>
      </w:pPr>
      <w:r w:rsidRPr="005E5A2E">
        <w:rPr>
          <w:rFonts w:ascii="Arial" w:hAnsi="Arial" w:cs="Arial"/>
          <w:sz w:val="24"/>
          <w:szCs w:val="24"/>
        </w:rPr>
        <w:t>L’art 30 conti</w:t>
      </w:r>
      <w:r w:rsidR="00507C60" w:rsidRPr="005E5A2E">
        <w:rPr>
          <w:rFonts w:ascii="Arial" w:hAnsi="Arial" w:cs="Arial"/>
          <w:sz w:val="24"/>
          <w:szCs w:val="24"/>
        </w:rPr>
        <w:t>e</w:t>
      </w:r>
      <w:r w:rsidRPr="005E5A2E">
        <w:rPr>
          <w:rFonts w:ascii="Arial" w:hAnsi="Arial" w:cs="Arial"/>
          <w:sz w:val="24"/>
          <w:szCs w:val="24"/>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5E5A2E">
        <w:rPr>
          <w:rFonts w:ascii="Arial" w:hAnsi="Arial" w:cs="Arial"/>
          <w:sz w:val="24"/>
          <w:szCs w:val="24"/>
        </w:rPr>
        <w:t xml:space="preserve"> </w:t>
      </w:r>
      <w:r w:rsidRPr="005E5A2E">
        <w:rPr>
          <w:rFonts w:ascii="Arial" w:hAnsi="Arial" w:cs="Arial"/>
          <w:sz w:val="24"/>
          <w:szCs w:val="24"/>
        </w:rPr>
        <w:t>e quello di produrre un effetto deterrente nel confronti del fenomeno corruttivo.</w:t>
      </w:r>
    </w:p>
    <w:p w:rsidR="00C12677" w:rsidRPr="005E5A2E" w:rsidRDefault="00C12677" w:rsidP="00945B05">
      <w:pPr>
        <w:spacing w:line="240" w:lineRule="auto"/>
        <w:rPr>
          <w:rFonts w:ascii="Arial" w:hAnsi="Arial" w:cs="Arial"/>
          <w:sz w:val="24"/>
          <w:szCs w:val="24"/>
        </w:rPr>
      </w:pPr>
      <w:r w:rsidRPr="005E5A2E">
        <w:rPr>
          <w:rFonts w:ascii="Arial" w:hAnsi="Arial" w:cs="Arial"/>
          <w:sz w:val="24"/>
          <w:szCs w:val="24"/>
        </w:rPr>
        <w:t>Si stabilisce che tutti gli atti delle amministrazioni aggiudicatrici e degli enti aggiudicatori relativi alla programmazione di lavori, servizi e forniture , nonché alle procedure per l’</w:t>
      </w:r>
      <w:r w:rsidR="00507C60" w:rsidRPr="005E5A2E">
        <w:rPr>
          <w:rFonts w:ascii="Arial" w:hAnsi="Arial" w:cs="Arial"/>
          <w:sz w:val="24"/>
          <w:szCs w:val="24"/>
        </w:rPr>
        <w:t>a</w:t>
      </w:r>
      <w:r w:rsidRPr="005E5A2E">
        <w:rPr>
          <w:rFonts w:ascii="Arial" w:hAnsi="Arial" w:cs="Arial"/>
          <w:sz w:val="24"/>
          <w:szCs w:val="24"/>
        </w:rPr>
        <w:t>ffidamento ei contratti pubblici</w:t>
      </w:r>
      <w:r w:rsidR="00445673" w:rsidRPr="005E5A2E">
        <w:rPr>
          <w:rFonts w:ascii="Arial" w:hAnsi="Arial" w:cs="Arial"/>
          <w:sz w:val="24"/>
          <w:szCs w:val="24"/>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5E5A2E">
        <w:rPr>
          <w:rFonts w:ascii="Arial" w:hAnsi="Arial" w:cs="Arial"/>
          <w:sz w:val="24"/>
          <w:szCs w:val="24"/>
        </w:rPr>
        <w:t xml:space="preserve"> </w:t>
      </w:r>
      <w:r w:rsidR="00445673" w:rsidRPr="005E5A2E">
        <w:rPr>
          <w:rFonts w:ascii="Arial" w:hAnsi="Arial" w:cs="Arial"/>
          <w:sz w:val="24"/>
          <w:szCs w:val="24"/>
        </w:rPr>
        <w:t>e le ammissioni all’esito delle valutazioni dei requisiti soggettivi,economico-fina</w:t>
      </w:r>
      <w:r w:rsidR="00507C60" w:rsidRPr="005E5A2E">
        <w:rPr>
          <w:rFonts w:ascii="Arial" w:hAnsi="Arial" w:cs="Arial"/>
          <w:sz w:val="24"/>
          <w:szCs w:val="24"/>
        </w:rPr>
        <w:t>n</w:t>
      </w:r>
      <w:r w:rsidR="00445673" w:rsidRPr="005E5A2E">
        <w:rPr>
          <w:rFonts w:ascii="Arial" w:hAnsi="Arial" w:cs="Arial"/>
          <w:sz w:val="24"/>
          <w:szCs w:val="24"/>
        </w:rPr>
        <w:t>ziari e tecnico-professionale. Devono esser inoltre pubblicati le composizioni delle commissioni giudicatrici e i curricula dei suoi componenti.</w:t>
      </w:r>
    </w:p>
    <w:p w:rsidR="006F5386" w:rsidRPr="005E5A2E" w:rsidRDefault="00445673" w:rsidP="00945B05">
      <w:pPr>
        <w:spacing w:line="240" w:lineRule="auto"/>
        <w:rPr>
          <w:rFonts w:ascii="Arial" w:hAnsi="Arial" w:cs="Arial"/>
          <w:sz w:val="24"/>
          <w:szCs w:val="24"/>
        </w:rPr>
      </w:pPr>
      <w:r w:rsidRPr="005E5A2E">
        <w:rPr>
          <w:rFonts w:ascii="Arial" w:hAnsi="Arial" w:cs="Arial"/>
          <w:sz w:val="24"/>
          <w:szCs w:val="24"/>
        </w:rPr>
        <w:lastRenderedPageBreak/>
        <w:t>Nell’ottica di massima diffusione delle informazioni la documentazione deve esser pubblicata sul sito del Ministero infrastrutture e trasporti e sulla piattaforma digitale isitutita presso ANAC.</w:t>
      </w:r>
    </w:p>
    <w:p w:rsidR="00445673" w:rsidRPr="005E5A2E" w:rsidRDefault="00445673" w:rsidP="00945B05">
      <w:pPr>
        <w:spacing w:line="240" w:lineRule="auto"/>
        <w:rPr>
          <w:rFonts w:ascii="Arial" w:hAnsi="Arial" w:cs="Arial"/>
          <w:sz w:val="24"/>
          <w:szCs w:val="24"/>
        </w:rPr>
      </w:pPr>
      <w:r w:rsidRPr="005E5A2E">
        <w:rPr>
          <w:rFonts w:ascii="Arial" w:hAnsi="Arial" w:cs="Arial"/>
          <w:sz w:val="24"/>
          <w:szCs w:val="24"/>
        </w:rPr>
        <w:t>APPALTI</w:t>
      </w:r>
    </w:p>
    <w:p w:rsidR="00941479" w:rsidRPr="005E5A2E" w:rsidRDefault="00941479" w:rsidP="00945B05">
      <w:pPr>
        <w:spacing w:line="240" w:lineRule="auto"/>
        <w:rPr>
          <w:rFonts w:ascii="Arial" w:hAnsi="Arial" w:cs="Arial"/>
          <w:color w:val="000000"/>
          <w:sz w:val="24"/>
          <w:szCs w:val="24"/>
          <w:shd w:val="clear" w:color="auto" w:fill="F5FDFE"/>
        </w:rPr>
      </w:pPr>
      <w:r w:rsidRPr="005E5A2E">
        <w:rPr>
          <w:rFonts w:ascii="Arial" w:hAnsi="Arial" w:cs="Arial"/>
          <w:sz w:val="24"/>
          <w:szCs w:val="24"/>
        </w:rPr>
        <w:t xml:space="preserve">La definizione di appalti la troviamo nell’art 3 </w:t>
      </w:r>
      <w:r w:rsidRPr="005E5A2E">
        <w:rPr>
          <w:rFonts w:ascii="Arial" w:hAnsi="Arial" w:cs="Arial"/>
          <w:color w:val="000000"/>
          <w:sz w:val="24"/>
          <w:szCs w:val="24"/>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Di lavori</w:t>
      </w:r>
      <w:r w:rsidRPr="005E5A2E">
        <w:rPr>
          <w:rFonts w:ascii="Arial" w:hAnsi="Arial" w:cs="Arial"/>
          <w:sz w:val="24"/>
          <w:szCs w:val="24"/>
        </w:rPr>
        <w:sym w:font="Wingdings" w:char="F0E0"/>
      </w:r>
      <w:r w:rsidRPr="005E5A2E">
        <w:rPr>
          <w:rFonts w:ascii="Arial" w:hAnsi="Arial" w:cs="Arial"/>
          <w:sz w:val="24"/>
          <w:szCs w:val="24"/>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Di servizi ha per oggetto la prestazione di servizi altri da quelli di cui alla lettera II dell’art 3</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sz w:val="24"/>
          <w:szCs w:val="24"/>
        </w:rPr>
        <w:t xml:space="preserve">Di forniture ha ad oggetto l’acquisto, la locazione finanziaria, la locazione o l’acquisto a riscatto, con o senza opzione per l’acquisto di prodotti </w:t>
      </w:r>
    </w:p>
    <w:p w:rsidR="00941479" w:rsidRPr="005E5A2E" w:rsidRDefault="00941479" w:rsidP="00945B05">
      <w:pPr>
        <w:pStyle w:val="Paragrafoelenco"/>
        <w:numPr>
          <w:ilvl w:val="0"/>
          <w:numId w:val="1"/>
        </w:numPr>
        <w:spacing w:line="240" w:lineRule="auto"/>
        <w:rPr>
          <w:rFonts w:ascii="Arial" w:hAnsi="Arial" w:cs="Arial"/>
          <w:sz w:val="24"/>
          <w:szCs w:val="24"/>
        </w:rPr>
      </w:pPr>
      <w:r w:rsidRPr="005E5A2E">
        <w:rPr>
          <w:rFonts w:ascii="Arial" w:hAnsi="Arial" w:cs="Arial"/>
          <w:color w:val="000000"/>
          <w:sz w:val="24"/>
          <w:szCs w:val="24"/>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5E5A2E" w:rsidRDefault="00445673" w:rsidP="00945B05">
      <w:pPr>
        <w:spacing w:line="240" w:lineRule="auto"/>
        <w:rPr>
          <w:rFonts w:ascii="Arial" w:hAnsi="Arial" w:cs="Arial"/>
          <w:sz w:val="24"/>
          <w:szCs w:val="24"/>
        </w:rPr>
      </w:pPr>
      <w:r w:rsidRPr="005E5A2E">
        <w:rPr>
          <w:rFonts w:ascii="Arial" w:hAnsi="Arial" w:cs="Arial"/>
          <w:sz w:val="24"/>
          <w:szCs w:val="24"/>
        </w:rPr>
        <w:t xml:space="preserve">Gli appalti pubblici possono riguardare settori ordinari o speciali: </w:t>
      </w:r>
      <w:r w:rsidRPr="005E5A2E">
        <w:rPr>
          <w:rFonts w:ascii="Arial" w:hAnsi="Arial" w:cs="Arial"/>
          <w:color w:val="000000"/>
          <w:sz w:val="24"/>
          <w:szCs w:val="24"/>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 xml:space="preserve"> «settori speciali» i settori dei contratti pubblici relativi a gas, energia termica, elettricità, acqua, trasporti, servizi postali, sfruttamento di area geografica, </w:t>
      </w:r>
    </w:p>
    <w:p w:rsidR="00C12084" w:rsidRPr="005E5A2E" w:rsidRDefault="00941479" w:rsidP="00945B05">
      <w:pPr>
        <w:spacing w:line="240" w:lineRule="auto"/>
        <w:rPr>
          <w:rFonts w:ascii="Arial" w:hAnsi="Arial" w:cs="Arial"/>
          <w:sz w:val="24"/>
          <w:szCs w:val="24"/>
        </w:rPr>
      </w:pPr>
      <w:r w:rsidRPr="005E5A2E">
        <w:rPr>
          <w:rFonts w:ascii="Arial" w:hAnsi="Arial" w:cs="Arial"/>
          <w:sz w:val="24"/>
          <w:szCs w:val="24"/>
        </w:rPr>
        <w:t xml:space="preserve">Il codice prevede l’affidamento dei lavori e dei servizi anche mediante concessione </w:t>
      </w:r>
      <w:r w:rsidR="00C12084" w:rsidRPr="005E5A2E">
        <w:rPr>
          <w:rFonts w:ascii="Arial" w:hAnsi="Arial" w:cs="Arial"/>
          <w:sz w:val="24"/>
          <w:szCs w:val="24"/>
        </w:rPr>
        <w:t xml:space="preserve">, forma contrattuale autonoma dall’appalto pubblico. </w:t>
      </w:r>
    </w:p>
    <w:p w:rsidR="00941479" w:rsidRPr="005E5A2E" w:rsidRDefault="00C12084" w:rsidP="00945B05">
      <w:pPr>
        <w:spacing w:line="240" w:lineRule="auto"/>
        <w:rPr>
          <w:rFonts w:ascii="Arial" w:hAnsi="Arial" w:cs="Arial"/>
          <w:sz w:val="24"/>
          <w:szCs w:val="24"/>
        </w:rPr>
      </w:pPr>
      <w:r w:rsidRPr="005E5A2E">
        <w:rPr>
          <w:rFonts w:ascii="Arial" w:hAnsi="Arial" w:cs="Arial"/>
          <w:sz w:val="24"/>
          <w:szCs w:val="24"/>
        </w:rPr>
        <w:t>-</w:t>
      </w:r>
      <w:r w:rsidRPr="005E5A2E">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5647DA" w:rsidRPr="005E5A2E" w:rsidRDefault="005647DA" w:rsidP="00945B05">
      <w:pPr>
        <w:pStyle w:val="NormaleWeb"/>
        <w:shd w:val="clear" w:color="auto" w:fill="F5FDFE"/>
        <w:rPr>
          <w:rFonts w:ascii="Arial" w:hAnsi="Arial" w:cs="Arial"/>
        </w:rPr>
      </w:pPr>
      <w:r w:rsidRPr="005E5A2E">
        <w:rPr>
          <w:rFonts w:ascii="Arial" w:hAnsi="Arial" w:cs="Arial"/>
        </w:rPr>
        <w:lastRenderedPageBreak/>
        <w:t>FASI DELLE PROCEDURE DI AFFIDAMENTO</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rPr>
        <w:t xml:space="preserve">ART 32 </w:t>
      </w:r>
      <w:r w:rsidRPr="005E5A2E">
        <w:rPr>
          <w:rFonts w:ascii="Arial" w:hAnsi="Arial" w:cs="Arial"/>
          <w:color w:val="000000"/>
        </w:rPr>
        <w:t>1. Le procedure di affidamento dei contratti pubblici hanno luogo nel rispetto degli atti di programmazione delle stazioni appaltanti</w:t>
      </w:r>
      <w:r w:rsidRPr="005E5A2E">
        <w:rPr>
          <w:rFonts w:ascii="Arial" w:hAnsi="Arial" w:cs="Arial"/>
          <w:color w:val="000000"/>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5E5A2E">
        <w:rPr>
          <w:rFonts w:ascii="Arial" w:hAnsi="Arial" w:cs="Arial"/>
          <w:b/>
          <w:color w:val="000000"/>
          <w:shd w:val="clear" w:color="auto" w:fill="F5FDFE"/>
        </w:rPr>
        <w:t>Nella procedura di cui art 36.2 a, la stazione appaltante può procedere ad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Pr="005E5A2E">
        <w:rPr>
          <w:rFonts w:ascii="Arial" w:hAnsi="Arial" w:cs="Arial"/>
          <w:color w:val="000000"/>
          <w:shd w:val="clear" w:color="auto" w:fill="F5FDFE"/>
        </w:rPr>
        <w:t>.</w:t>
      </w:r>
      <w:r w:rsidRPr="005E5A2E">
        <w:rPr>
          <w:rFonts w:ascii="Arial" w:hAnsi="Arial" w:cs="Arial"/>
          <w:color w:val="000000"/>
        </w:rPr>
        <w:t xml:space="preserve">. La selezione dei partecipanti e delle offerte avviene mediante uno dei sistemi e secondo i criteri previsti dal presente codice.. </w:t>
      </w:r>
      <w:r w:rsidRPr="005E5A2E">
        <w:rPr>
          <w:rFonts w:ascii="Arial" w:hAnsi="Arial" w:cs="Arial"/>
          <w:color w:val="000000"/>
          <w:u w:val="single"/>
        </w:rPr>
        <w:t>Ciascun concorrente non può presentare più di un’offerta. L’offerta è vincolante per il periodo indicato nel bando o nell’invito e, in caso di mancata indicazione, per centottanta giorni dalla scadenza del termine per la sua presentazione.</w:t>
      </w:r>
      <w:r w:rsidRPr="005E5A2E">
        <w:rPr>
          <w:rFonts w:ascii="Arial" w:hAnsi="Arial" w:cs="Arial"/>
          <w:color w:val="000000"/>
        </w:rPr>
        <w:t xml:space="preserve"> La stazione appaltante può chiedere agli offerenti il differimento di detto termine. </w:t>
      </w:r>
      <w:r w:rsidRPr="005E5A2E">
        <w:rPr>
          <w:rFonts w:ascii="Arial" w:hAnsi="Arial" w:cs="Arial"/>
          <w:color w:val="000000"/>
          <w:u w:val="single"/>
        </w:rPr>
        <w:t>La stazione appaltante, previa verifica della proposta di aggiudicazione provvede all’aggiudicazione</w:t>
      </w:r>
      <w:r w:rsidRPr="005E5A2E">
        <w:rPr>
          <w:rFonts w:ascii="Arial" w:hAnsi="Arial" w:cs="Arial"/>
          <w:color w:val="000000"/>
        </w:rPr>
        <w:t xml:space="preserve">. L’aggiudicazione on equivale ad accettazione dell’offerta. L’offerta dell’aggiudicatario è irrevocabile fino al termine stabilito nel codice. </w:t>
      </w:r>
      <w:r w:rsidRPr="005E5A2E">
        <w:rPr>
          <w:rFonts w:ascii="Arial" w:hAnsi="Arial" w:cs="Arial"/>
          <w:color w:val="000000"/>
          <w:u w:val="single"/>
        </w:rPr>
        <w:t>L’aggiudicazione diventa efficace dopo la verifica del possesso dei prescritti requisiti.</w:t>
      </w:r>
      <w:r w:rsidRPr="005E5A2E">
        <w:rPr>
          <w:rFonts w:ascii="Arial" w:hAnsi="Arial" w:cs="Arial"/>
          <w:color w:val="000000"/>
        </w:rPr>
        <w:t xml:space="preserve"> Divenuta efficace l’aggiudicazione, e fatto salvo l’esercizio dei poteri di autotutela nei casi consentiti dalle norme vigenti</w:t>
      </w:r>
      <w:r w:rsidRPr="005E5A2E">
        <w:rPr>
          <w:rFonts w:ascii="Arial" w:hAnsi="Arial" w:cs="Arial"/>
          <w:b/>
          <w:color w:val="000000"/>
        </w:rPr>
        <w:t>, la stipulazione del contratto di appalto o di concessione ha luogo entro i successivi sessanta giorni</w:t>
      </w:r>
      <w:r w:rsidRPr="005E5A2E">
        <w:rPr>
          <w:rFonts w:ascii="Arial" w:hAnsi="Arial" w:cs="Arial"/>
          <w:color w:val="000000"/>
        </w:rPr>
        <w:t xml:space="preserve">, salvo diverso termine previsto nel bando o nell’invito ad offrire, ovvero l’ipotesi di differimento espressamente concordata con l’aggiudicatario. </w:t>
      </w:r>
      <w:r w:rsidRPr="005E5A2E">
        <w:rPr>
          <w:rFonts w:ascii="Arial" w:hAnsi="Arial" w:cs="Arial"/>
          <w:color w:val="000000"/>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5E5A2E">
        <w:rPr>
          <w:rFonts w:ascii="Arial" w:hAnsi="Arial" w:cs="Arial"/>
          <w:color w:val="000000"/>
        </w:rPr>
        <w:t xml:space="preserve">. </w:t>
      </w:r>
      <w:r w:rsidRPr="005E5A2E">
        <w:rPr>
          <w:rFonts w:ascii="Arial" w:hAnsi="Arial" w:cs="Arial"/>
          <w:b/>
          <w:color w:val="000000"/>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5E5A2E">
        <w:rPr>
          <w:rFonts w:ascii="Arial" w:hAnsi="Arial" w:cs="Arial"/>
          <w:color w:val="000000"/>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5E5A2E">
        <w:rPr>
          <w:rFonts w:ascii="Arial" w:hAnsi="Arial" w:cs="Arial"/>
          <w:color w:val="000000"/>
        </w:rPr>
        <w:t>l’aggiudicazione</w:t>
      </w:r>
      <w:r w:rsidRPr="005E5A2E">
        <w:rPr>
          <w:rFonts w:ascii="Arial" w:hAnsi="Arial" w:cs="Arial"/>
          <w:color w:val="000000"/>
        </w:rPr>
        <w:t xml:space="preserve"> Il </w:t>
      </w:r>
      <w:r w:rsidRPr="005E5A2E">
        <w:rPr>
          <w:rFonts w:ascii="Arial" w:hAnsi="Arial" w:cs="Arial"/>
          <w:b/>
          <w:color w:val="000000"/>
        </w:rPr>
        <w:t xml:space="preserve">termine dilatorio </w:t>
      </w:r>
      <w:r w:rsidR="00152D01" w:rsidRPr="005E5A2E">
        <w:rPr>
          <w:rFonts w:ascii="Arial" w:hAnsi="Arial" w:cs="Arial"/>
          <w:b/>
          <w:color w:val="000000"/>
        </w:rPr>
        <w:t xml:space="preserve">(stand still) </w:t>
      </w:r>
      <w:r w:rsidRPr="005E5A2E">
        <w:rPr>
          <w:rFonts w:ascii="Arial" w:hAnsi="Arial" w:cs="Arial"/>
          <w:b/>
          <w:color w:val="000000"/>
        </w:rPr>
        <w:t>non si applica nei seguenti casi</w:t>
      </w:r>
      <w:r w:rsidRPr="005E5A2E">
        <w:rPr>
          <w:rFonts w:ascii="Arial" w:hAnsi="Arial" w:cs="Arial"/>
          <w:color w:val="000000"/>
        </w:rPr>
        <w:t>:</w:t>
      </w:r>
    </w:p>
    <w:p w:rsidR="00152D01"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a) se</w:t>
      </w:r>
      <w:r w:rsidRPr="005E5A2E">
        <w:rPr>
          <w:rFonts w:ascii="Arial" w:hAnsi="Arial" w:cs="Arial"/>
          <w:color w:val="000000"/>
          <w:u w:val="single"/>
        </w:rPr>
        <w:t>, a seguito di pubblicazione di bando o avviso con cui si indice una gara o dell'inoltro degli inviti</w:t>
      </w:r>
      <w:r w:rsidRPr="005E5A2E">
        <w:rPr>
          <w:rFonts w:ascii="Arial" w:hAnsi="Arial" w:cs="Arial"/>
          <w:color w:val="000000"/>
        </w:rPr>
        <w:t xml:space="preserve">, è </w:t>
      </w:r>
      <w:r w:rsidRPr="005E5A2E">
        <w:rPr>
          <w:rFonts w:ascii="Arial" w:hAnsi="Arial" w:cs="Arial"/>
          <w:color w:val="000000"/>
          <w:u w:val="single"/>
        </w:rPr>
        <w:t>stata presentata o è stata ammessa una sola offerta e non sono state tempestivamente proposte impugnazioni del bando o della lettera di invito o queste impugnazioni risultano già respinte con decisione definitiva; </w:t>
      </w:r>
      <w:r w:rsidRPr="005E5A2E">
        <w:rPr>
          <w:rFonts w:ascii="Arial" w:hAnsi="Arial" w:cs="Arial"/>
          <w:color w:val="000000"/>
          <w:u w:val="single"/>
        </w:rPr>
        <w:br/>
      </w:r>
      <w:r w:rsidRPr="005E5A2E">
        <w:rPr>
          <w:rFonts w:ascii="Arial" w:hAnsi="Arial" w:cs="Arial"/>
          <w:color w:val="000000"/>
        </w:rPr>
        <w:t xml:space="preserve">b) </w:t>
      </w:r>
      <w:r w:rsidRPr="005E5A2E">
        <w:rPr>
          <w:rFonts w:ascii="Arial" w:hAnsi="Arial" w:cs="Arial"/>
          <w:color w:val="000000"/>
          <w:u w:val="single"/>
        </w:rPr>
        <w:t xml:space="preserve">nel caso di un appalto basato su un accordo quadro, nel caso di appalti specifici basati </w:t>
      </w:r>
      <w:r w:rsidRPr="005E5A2E">
        <w:rPr>
          <w:rFonts w:ascii="Arial" w:hAnsi="Arial" w:cs="Arial"/>
          <w:color w:val="000000"/>
          <w:u w:val="single"/>
        </w:rPr>
        <w:lastRenderedPageBreak/>
        <w:t xml:space="preserve">su un sistema dinamico di acquisizione, nel caso di acquisto effettuato attraverso il mercato elettronico e nel caso di affidamenti </w:t>
      </w:r>
      <w:r w:rsidR="00152D01" w:rsidRPr="005E5A2E">
        <w:rPr>
          <w:rFonts w:ascii="Arial" w:hAnsi="Arial" w:cs="Arial"/>
          <w:color w:val="000000"/>
          <w:u w:val="single"/>
        </w:rPr>
        <w:t>diretti art. 36.2.ab</w:t>
      </w:r>
      <w:r w:rsidRPr="005E5A2E">
        <w:rPr>
          <w:rFonts w:ascii="Arial" w:hAnsi="Arial" w:cs="Arial"/>
          <w:color w:val="000000"/>
          <w:u w:val="single"/>
        </w:rPr>
        <w:t>.</w:t>
      </w:r>
      <w:r w:rsidRPr="005E5A2E">
        <w:rPr>
          <w:rFonts w:ascii="Arial" w:hAnsi="Arial" w:cs="Arial"/>
          <w:color w:val="000000"/>
        </w:rPr>
        <w:t xml:space="preserve"> </w:t>
      </w:r>
    </w:p>
    <w:p w:rsidR="002648B4" w:rsidRPr="005E5A2E" w:rsidRDefault="002648B4" w:rsidP="00945B05">
      <w:pPr>
        <w:pStyle w:val="NormaleWeb"/>
        <w:shd w:val="clear" w:color="auto" w:fill="F5FDFE"/>
        <w:rPr>
          <w:rFonts w:ascii="Arial" w:hAnsi="Arial" w:cs="Arial"/>
          <w:color w:val="000000"/>
          <w:shd w:val="clear" w:color="auto" w:fill="F5FDFE"/>
        </w:rPr>
      </w:pPr>
      <w:r w:rsidRPr="005E5A2E">
        <w:rPr>
          <w:rFonts w:ascii="Arial" w:hAnsi="Arial" w:cs="Arial"/>
          <w:color w:val="FF0000"/>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5E5A2E">
        <w:rPr>
          <w:rFonts w:ascii="Arial" w:hAnsi="Arial" w:cs="Arial"/>
          <w:color w:val="000000"/>
        </w:rPr>
        <w:t xml:space="preserve"> in caso di procedura negoziata ovvero per gli affidamenti di importo non superiore a 40.000 euro</w:t>
      </w:r>
      <w:r w:rsidR="00A513C0" w:rsidRPr="005E5A2E">
        <w:rPr>
          <w:rFonts w:ascii="Arial" w:hAnsi="Arial" w:cs="Arial"/>
          <w:color w:val="000000"/>
        </w:rPr>
        <w:t xml:space="preserve"> (ora 75000/150000)</w:t>
      </w:r>
      <w:r w:rsidRPr="005E5A2E">
        <w:rPr>
          <w:rFonts w:ascii="Arial" w:hAnsi="Arial" w:cs="Arial"/>
          <w:color w:val="000000"/>
        </w:rPr>
        <w:t xml:space="preserve"> mediante corrispondenza secondo l’uso del commercio consistente in un apposito scambio di lettere, anche tramite posta elettronica certificata o strumenti analoghi negli altri Stati membri</w:t>
      </w:r>
    </w:p>
    <w:p w:rsidR="002648B4" w:rsidRPr="005E5A2E" w:rsidRDefault="005647DA" w:rsidP="00945B05">
      <w:pPr>
        <w:spacing w:line="240" w:lineRule="auto"/>
        <w:rPr>
          <w:rFonts w:ascii="Arial" w:hAnsi="Arial" w:cs="Arial"/>
          <w:sz w:val="24"/>
          <w:szCs w:val="24"/>
        </w:rPr>
      </w:pPr>
      <w:r w:rsidRPr="005E5A2E">
        <w:rPr>
          <w:rFonts w:ascii="Arial" w:hAnsi="Arial" w:cs="Arial"/>
          <w:sz w:val="24"/>
          <w:szCs w:val="24"/>
        </w:rPr>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5E5A2E" w:rsidRDefault="005647DA" w:rsidP="00945B05">
      <w:pPr>
        <w:spacing w:line="240" w:lineRule="auto"/>
        <w:rPr>
          <w:rFonts w:ascii="Arial" w:hAnsi="Arial" w:cs="Arial"/>
          <w:sz w:val="24"/>
          <w:szCs w:val="24"/>
        </w:rPr>
      </w:pPr>
      <w:r w:rsidRPr="005E5A2E">
        <w:rPr>
          <w:rFonts w:ascii="Arial" w:hAnsi="Arial" w:cs="Arial"/>
          <w:sz w:val="24"/>
          <w:szCs w:val="24"/>
        </w:rPr>
        <w:t>Il bando di gara cost</w:t>
      </w:r>
      <w:r w:rsidR="00165D06" w:rsidRPr="005E5A2E">
        <w:rPr>
          <w:rFonts w:ascii="Arial" w:hAnsi="Arial" w:cs="Arial"/>
          <w:sz w:val="24"/>
          <w:szCs w:val="24"/>
        </w:rPr>
        <w:t>i</w:t>
      </w:r>
      <w:r w:rsidRPr="005E5A2E">
        <w:rPr>
          <w:rFonts w:ascii="Arial" w:hAnsi="Arial" w:cs="Arial"/>
          <w:sz w:val="24"/>
          <w:szCs w:val="24"/>
        </w:rPr>
        <w:t xml:space="preserve">tuisce la lex specialis della procedura, cioè l’insieme delle regole del procedimento di selezione del contraente individuate dalla stazione appaltante </w:t>
      </w:r>
      <w:r w:rsidR="00165D06" w:rsidRPr="005E5A2E">
        <w:rPr>
          <w:rFonts w:ascii="Arial" w:hAnsi="Arial" w:cs="Arial"/>
          <w:sz w:val="24"/>
          <w:szCs w:val="24"/>
        </w:rPr>
        <w:t>. fatti salvi i casi in cui le SA possono indire la gara mediante un avviso di preinformazione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5E5A2E">
        <w:rPr>
          <w:rFonts w:ascii="Arial" w:hAnsi="Arial" w:cs="Arial"/>
          <w:color w:val="000000"/>
          <w:sz w:val="24"/>
          <w:szCs w:val="24"/>
          <w:shd w:val="clear" w:color="auto" w:fill="F5FDFE"/>
        </w:rPr>
        <w:t>Essi contengono le informazioni di cui all'allegato XIV parte I lettera C, e sono pubblicati conformemente all’art. 72. Contengono altresì i criteri ambientali minimi di cui all'art 34</w:t>
      </w:r>
      <w:r w:rsidR="00165D06" w:rsidRPr="005E5A2E">
        <w:rPr>
          <w:rFonts w:ascii="Arial" w:hAnsi="Arial" w:cs="Arial"/>
          <w:sz w:val="24"/>
          <w:szCs w:val="24"/>
        </w:rPr>
        <w:t>”.</w:t>
      </w:r>
    </w:p>
    <w:p w:rsidR="00165D06" w:rsidRPr="005E5A2E" w:rsidRDefault="00165D06" w:rsidP="00945B05">
      <w:pPr>
        <w:spacing w:line="240" w:lineRule="auto"/>
        <w:rPr>
          <w:rFonts w:ascii="Arial" w:hAnsi="Arial" w:cs="Arial"/>
          <w:sz w:val="24"/>
          <w:szCs w:val="24"/>
        </w:rPr>
      </w:pPr>
      <w:r w:rsidRPr="005E5A2E">
        <w:rPr>
          <w:rFonts w:ascii="Arial" w:hAnsi="Arial" w:cs="Arial"/>
          <w:sz w:val="24"/>
          <w:szCs w:val="24"/>
        </w:rPr>
        <w:t>Gli art. 72 e 73 prevedono la pubblicazione dei bandi a livello europeo e nazionale. La pubblicazione a livello europeo prevede che i bandi e gli avvisi devono esser trasmessi all’Ufficio delle pubblicazione dell’UE</w:t>
      </w:r>
      <w:r w:rsidR="00314B79" w:rsidRPr="005E5A2E">
        <w:rPr>
          <w:rFonts w:ascii="Arial" w:hAnsi="Arial" w:cs="Arial"/>
          <w:sz w:val="24"/>
          <w:szCs w:val="24"/>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GU.(anche se la GU sarà sostituita a breve.</w:t>
      </w:r>
    </w:p>
    <w:p w:rsidR="00E675CE" w:rsidRPr="005E5A2E" w:rsidRDefault="00314B79" w:rsidP="00945B05">
      <w:pPr>
        <w:spacing w:line="240" w:lineRule="auto"/>
        <w:rPr>
          <w:rFonts w:ascii="Arial" w:hAnsi="Arial" w:cs="Arial"/>
          <w:sz w:val="24"/>
          <w:szCs w:val="24"/>
        </w:rPr>
      </w:pPr>
      <w:r w:rsidRPr="005E5A2E">
        <w:rPr>
          <w:rFonts w:ascii="Arial" w:hAnsi="Arial" w:cs="Arial"/>
          <w:sz w:val="24"/>
          <w:szCs w:val="24"/>
        </w:rPr>
        <w:t>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nominareed estrapolata dall’elenco degli eseprti iscritti all’Albo dei componenti delle commissioni giudicatrici</w:t>
      </w:r>
      <w:r w:rsidR="00E675CE" w:rsidRPr="005E5A2E">
        <w:rPr>
          <w:rFonts w:ascii="Arial" w:hAnsi="Arial" w:cs="Arial"/>
          <w:sz w:val="24"/>
          <w:szCs w:val="24"/>
        </w:rPr>
        <w:t>. La nomina dei commissari deve avvenire dopo la scadenza del termine fissato per la presentazione delle offerte.l’art 77 riguarda i requisiti di moralità, compatibilità e professionalità dei commissari a cui si rimanda.</w:t>
      </w:r>
    </w:p>
    <w:p w:rsidR="00E675CE" w:rsidRPr="005E5A2E" w:rsidRDefault="00E675CE" w:rsidP="00945B05">
      <w:pPr>
        <w:spacing w:line="240" w:lineRule="auto"/>
        <w:rPr>
          <w:rFonts w:ascii="Arial" w:hAnsi="Arial" w:cs="Arial"/>
          <w:b/>
          <w:sz w:val="24"/>
          <w:szCs w:val="24"/>
        </w:rPr>
      </w:pPr>
      <w:r w:rsidRPr="005E5A2E">
        <w:rPr>
          <w:rFonts w:ascii="Arial" w:hAnsi="Arial" w:cs="Arial"/>
          <w:b/>
          <w:sz w:val="24"/>
          <w:szCs w:val="24"/>
        </w:rPr>
        <w:t xml:space="preserve">I criteri di aggiudicazione dell’appalto </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Con l’entrata in vigore delle modfiche al Codice dei contratti introdotte dal </w:t>
      </w:r>
      <w:r w:rsidRPr="005E5A2E">
        <w:rPr>
          <w:rFonts w:ascii="Arial" w:eastAsia="Times New Roman" w:hAnsi="Arial" w:cs="Arial"/>
          <w:b/>
          <w:bCs/>
          <w:sz w:val="24"/>
          <w:szCs w:val="24"/>
          <w:lang w:eastAsia="it-IT"/>
        </w:rPr>
        <w:t>decreto-legge 18 aprile 2019, n. 32</w:t>
      </w:r>
      <w:r w:rsidRPr="005E5A2E">
        <w:rPr>
          <w:rFonts w:ascii="Arial" w:eastAsia="Times New Roman" w:hAnsi="Arial" w:cs="Arial"/>
          <w:sz w:val="24"/>
          <w:szCs w:val="24"/>
          <w:lang w:eastAsia="it-IT"/>
        </w:rPr>
        <w:t> convertito dalla </w:t>
      </w:r>
      <w:r w:rsidRPr="005E5A2E">
        <w:rPr>
          <w:rFonts w:ascii="Arial" w:eastAsia="Times New Roman" w:hAnsi="Arial" w:cs="Arial"/>
          <w:b/>
          <w:bCs/>
          <w:sz w:val="24"/>
          <w:szCs w:val="24"/>
          <w:lang w:eastAsia="it-IT"/>
        </w:rPr>
        <w:t>legge 14 giugno 2019, n. 55</w:t>
      </w:r>
      <w:r w:rsidRPr="005E5A2E">
        <w:rPr>
          <w:rFonts w:ascii="Arial" w:eastAsia="Times New Roman" w:hAnsi="Arial" w:cs="Arial"/>
          <w:sz w:val="24"/>
          <w:szCs w:val="24"/>
          <w:lang w:eastAsia="it-IT"/>
        </w:rPr>
        <w:t>, per importi al di sotto della soglia comunitaria, il criterio di aggiudicazione potrà essere scelto dalla stazione appaltante.</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lastRenderedPageBreak/>
        <w:t>Con le pesanti modifiche introdotte, infatti, all’</w:t>
      </w:r>
      <w:r w:rsidRPr="005E5A2E">
        <w:rPr>
          <w:rFonts w:ascii="Arial" w:eastAsia="Times New Roman" w:hAnsi="Arial" w:cs="Arial"/>
          <w:b/>
          <w:bCs/>
          <w:sz w:val="24"/>
          <w:szCs w:val="24"/>
          <w:lang w:eastAsia="it-IT"/>
        </w:rPr>
        <w:t>articolo 36</w:t>
      </w:r>
      <w:r w:rsidRPr="005E5A2E">
        <w:rPr>
          <w:rFonts w:ascii="Arial" w:eastAsia="Times New Roman" w:hAnsi="Arial" w:cs="Arial"/>
          <w:sz w:val="24"/>
          <w:szCs w:val="24"/>
          <w:lang w:eastAsia="it-IT"/>
        </w:rPr>
        <w:t> (rubricato “contratti sotto soglia”) dallo sblocca cantieri, allo stesso articolo è stato aggiunto il </w:t>
      </w:r>
      <w:r w:rsidRPr="005E5A2E">
        <w:rPr>
          <w:rFonts w:ascii="Arial" w:eastAsia="Times New Roman" w:hAnsi="Arial" w:cs="Arial"/>
          <w:b/>
          <w:bCs/>
          <w:sz w:val="24"/>
          <w:szCs w:val="24"/>
          <w:lang w:eastAsia="it-IT"/>
        </w:rPr>
        <w:t>comma 9-bis</w:t>
      </w:r>
      <w:r w:rsidRPr="005E5A2E">
        <w:rPr>
          <w:rFonts w:ascii="Arial" w:eastAsia="Times New Roman" w:hAnsi="Arial" w:cs="Arial"/>
          <w:sz w:val="24"/>
          <w:szCs w:val="24"/>
          <w:lang w:eastAsia="it-IT"/>
        </w:rPr>
        <w:t> in cui è precisato “</w:t>
      </w:r>
      <w:r w:rsidRPr="005E5A2E">
        <w:rPr>
          <w:rFonts w:ascii="Arial" w:eastAsia="Times New Roman" w:hAnsi="Arial" w:cs="Arial"/>
          <w:i/>
          <w:iCs/>
          <w:sz w:val="24"/>
          <w:szCs w:val="24"/>
          <w:lang w:eastAsia="it-IT"/>
        </w:rPr>
        <w:t>Fatto salvo quanto previsto all’articolo 95, comma 3, le stazioni appaltanti procedono all’aggiudicazione dei contratti di cui al presente articolo sulla base del criterio del minor prezzo ovvero sulla base del criterio dell’offerta economicamente più vantaggiosa</w:t>
      </w:r>
      <w:r w:rsidRPr="005E5A2E">
        <w:rPr>
          <w:rFonts w:ascii="Arial" w:eastAsia="Times New Roman" w:hAnsi="Arial" w:cs="Arial"/>
          <w:sz w:val="24"/>
          <w:szCs w:val="24"/>
          <w:lang w:eastAsia="it-IT"/>
        </w:rPr>
        <w:t>”.</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In verità tale comma 9-bis è stato modificato dalla legge di conversione in legge del decreto-legge e prima di tale conversione e, dunque, dal 19 aprile 2019 al 17 giugno 2019 la scelta del criterio di aggiudicazione dell’offerta economicamente più vantaggiosa doveva essere motivata in quanto nel testo originario c’era tra le parole “</w:t>
      </w:r>
      <w:r w:rsidRPr="005E5A2E">
        <w:rPr>
          <w:rFonts w:ascii="Arial" w:eastAsia="Times New Roman" w:hAnsi="Arial" w:cs="Arial"/>
          <w:b/>
          <w:bCs/>
          <w:i/>
          <w:iCs/>
          <w:sz w:val="24"/>
          <w:szCs w:val="24"/>
          <w:lang w:eastAsia="it-IT"/>
        </w:rPr>
        <w:t>ovvero</w:t>
      </w:r>
      <w:r w:rsidRPr="005E5A2E">
        <w:rPr>
          <w:rFonts w:ascii="Arial" w:eastAsia="Times New Roman" w:hAnsi="Arial" w:cs="Arial"/>
          <w:sz w:val="24"/>
          <w:szCs w:val="24"/>
          <w:lang w:eastAsia="it-IT"/>
        </w:rPr>
        <w:t>” e “</w:t>
      </w:r>
      <w:r w:rsidRPr="005E5A2E">
        <w:rPr>
          <w:rFonts w:ascii="Arial" w:eastAsia="Times New Roman" w:hAnsi="Arial" w:cs="Arial"/>
          <w:b/>
          <w:bCs/>
          <w:sz w:val="24"/>
          <w:szCs w:val="24"/>
          <w:lang w:eastAsia="it-IT"/>
        </w:rPr>
        <w:t>sulla base</w:t>
      </w:r>
      <w:r w:rsidRPr="005E5A2E">
        <w:rPr>
          <w:rFonts w:ascii="Arial" w:eastAsia="Times New Roman" w:hAnsi="Arial" w:cs="Arial"/>
          <w:sz w:val="24"/>
          <w:szCs w:val="24"/>
          <w:lang w:eastAsia="it-IT"/>
        </w:rPr>
        <w:t>” l’inciso “</w:t>
      </w:r>
      <w:r w:rsidRPr="005E5A2E">
        <w:rPr>
          <w:rFonts w:ascii="Arial" w:eastAsia="Times New Roman" w:hAnsi="Arial" w:cs="Arial"/>
          <w:b/>
          <w:bCs/>
          <w:i/>
          <w:iCs/>
          <w:sz w:val="24"/>
          <w:szCs w:val="24"/>
          <w:lang w:eastAsia="it-IT"/>
        </w:rPr>
        <w:t>, previa motivazione,</w:t>
      </w:r>
      <w:r w:rsidRPr="005E5A2E">
        <w:rPr>
          <w:rFonts w:ascii="Arial" w:eastAsia="Times New Roman" w:hAnsi="Arial" w:cs="Arial"/>
          <w:sz w:val="24"/>
          <w:szCs w:val="24"/>
          <w:lang w:eastAsia="it-IT"/>
        </w:rPr>
        <w:t>” cancellato dalla legge di conversione.</w:t>
      </w:r>
    </w:p>
    <w:p w:rsidR="006D1617" w:rsidRPr="005E5A2E" w:rsidRDefault="006D1617" w:rsidP="006D1617">
      <w:pPr>
        <w:spacing w:after="101" w:line="240" w:lineRule="auto"/>
        <w:rPr>
          <w:rFonts w:ascii="Arial" w:eastAsia="Times New Roman" w:hAnsi="Arial" w:cs="Arial"/>
          <w:sz w:val="24"/>
          <w:szCs w:val="24"/>
          <w:lang w:eastAsia="it-IT"/>
        </w:rPr>
      </w:pPr>
      <w:r w:rsidRPr="005E5A2E">
        <w:rPr>
          <w:rFonts w:ascii="Arial" w:eastAsia="Times New Roman" w:hAnsi="Arial" w:cs="Arial"/>
          <w:sz w:val="24"/>
          <w:szCs w:val="24"/>
          <w:lang w:eastAsia="it-IT"/>
        </w:rPr>
        <w:t>In queste condizioni, oggi, le stazioni appaltanti </w:t>
      </w:r>
      <w:r w:rsidRPr="005E5A2E">
        <w:rPr>
          <w:rFonts w:ascii="Arial" w:eastAsia="Times New Roman" w:hAnsi="Arial" w:cs="Arial"/>
          <w:b/>
          <w:bCs/>
          <w:sz w:val="24"/>
          <w:szCs w:val="24"/>
          <w:lang w:eastAsia="it-IT"/>
        </w:rPr>
        <w:t>potranno scegliere in maniera del tutto discrezionale uno dei due criteri di aggiudicazione</w:t>
      </w:r>
      <w:r w:rsidRPr="005E5A2E">
        <w:rPr>
          <w:rFonts w:ascii="Arial" w:eastAsia="Times New Roman" w:hAnsi="Arial" w:cs="Arial"/>
          <w:sz w:val="24"/>
          <w:szCs w:val="24"/>
          <w:lang w:eastAsia="it-IT"/>
        </w:rPr>
        <w:t> con la precisazione contenuta, appunto nel comma 3 dell’articolo 95 del Codice dei contratti in cui è precisato che devono essere aggiudicati </w:t>
      </w:r>
      <w:r w:rsidRPr="005E5A2E">
        <w:rPr>
          <w:rFonts w:ascii="Arial" w:eastAsia="Times New Roman" w:hAnsi="Arial" w:cs="Arial"/>
          <w:b/>
          <w:bCs/>
          <w:sz w:val="24"/>
          <w:szCs w:val="24"/>
          <w:lang w:eastAsia="it-IT"/>
        </w:rPr>
        <w:t>esclusivamente sulla base del criterio dell’offerta economicamente più vantaggiosa</w:t>
      </w:r>
      <w:r w:rsidRPr="005E5A2E">
        <w:rPr>
          <w:rFonts w:ascii="Arial" w:eastAsia="Times New Roman" w:hAnsi="Arial" w:cs="Arial"/>
          <w:sz w:val="24"/>
          <w:szCs w:val="24"/>
          <w:lang w:eastAsia="it-IT"/>
        </w:rPr>
        <w:t> individuata sulla base del miglior rapporto qualità/prezzo:</w:t>
      </w:r>
    </w:p>
    <w:p w:rsidR="006D1617" w:rsidRPr="005E5A2E" w:rsidRDefault="006D1617" w:rsidP="006D1617">
      <w:pPr>
        <w:numPr>
          <w:ilvl w:val="0"/>
          <w:numId w:val="21"/>
        </w:numPr>
        <w:shd w:val="clear" w:color="auto" w:fill="FFFFFF"/>
        <w:spacing w:before="100" w:beforeAutospacing="1" w:after="100" w:afterAutospacing="1" w:line="240" w:lineRule="auto"/>
        <w:ind w:firstLine="0"/>
        <w:rPr>
          <w:rFonts w:ascii="Arial" w:eastAsia="Times New Roman" w:hAnsi="Arial" w:cs="Arial"/>
          <w:color w:val="000000"/>
          <w:sz w:val="24"/>
          <w:szCs w:val="24"/>
          <w:lang w:eastAsia="it-IT"/>
        </w:rPr>
      </w:pPr>
      <w:r w:rsidRPr="005E5A2E">
        <w:rPr>
          <w:rFonts w:ascii="Arial" w:eastAsia="Times New Roman" w:hAnsi="Arial" w:cs="Arial"/>
          <w:b/>
          <w:bCs/>
          <w:i/>
          <w:iCs/>
          <w:color w:val="000000"/>
          <w:sz w:val="24"/>
          <w:szCs w:val="24"/>
          <w:lang w:eastAsia="it-IT"/>
        </w:rPr>
        <w:t>a)</w:t>
      </w:r>
      <w:r w:rsidRPr="005E5A2E">
        <w:rPr>
          <w:rFonts w:ascii="Arial" w:eastAsia="Times New Roman" w:hAnsi="Arial" w:cs="Arial"/>
          <w:color w:val="000000"/>
          <w:sz w:val="24"/>
          <w:szCs w:val="24"/>
          <w:lang w:eastAsia="it-IT"/>
        </w:rPr>
        <w:t> i contratti relativi ai servizi sociali e di ristorazione ospedaliera, assi-stenziale e scolastica, nonché ai servizi ad alta intensità di manodopera, come definiti all’articolo 50, comma 1 , fatti salvi gli affidamenti ai sensi dell’articolo 36, comma 2, lettera a) ;</w:t>
      </w:r>
    </w:p>
    <w:p w:rsidR="006D1617" w:rsidRPr="005E5A2E" w:rsidRDefault="006D1617" w:rsidP="006D1617">
      <w:pPr>
        <w:numPr>
          <w:ilvl w:val="0"/>
          <w:numId w:val="21"/>
        </w:numPr>
        <w:shd w:val="clear" w:color="auto" w:fill="FFFFFF"/>
        <w:spacing w:before="100" w:beforeAutospacing="1" w:after="100" w:afterAutospacing="1" w:line="240" w:lineRule="auto"/>
        <w:ind w:firstLine="0"/>
        <w:rPr>
          <w:rFonts w:ascii="Arial" w:eastAsia="Times New Roman" w:hAnsi="Arial" w:cs="Arial"/>
          <w:color w:val="000000"/>
          <w:sz w:val="24"/>
          <w:szCs w:val="24"/>
          <w:lang w:eastAsia="it-IT"/>
        </w:rPr>
      </w:pPr>
      <w:r w:rsidRPr="005E5A2E">
        <w:rPr>
          <w:rFonts w:ascii="Arial" w:eastAsia="Times New Roman" w:hAnsi="Arial" w:cs="Arial"/>
          <w:b/>
          <w:bCs/>
          <w:i/>
          <w:iCs/>
          <w:color w:val="000000"/>
          <w:sz w:val="24"/>
          <w:szCs w:val="24"/>
          <w:lang w:eastAsia="it-IT"/>
        </w:rPr>
        <w:t>b)</w:t>
      </w:r>
      <w:r w:rsidRPr="005E5A2E">
        <w:rPr>
          <w:rFonts w:ascii="Arial" w:eastAsia="Times New Roman" w:hAnsi="Arial" w:cs="Arial"/>
          <w:color w:val="000000"/>
          <w:sz w:val="24"/>
          <w:szCs w:val="24"/>
          <w:lang w:eastAsia="it-IT"/>
        </w:rPr>
        <w:t> i contratti relativi all’affidamento dei servizi di ingegneria e architettu-ra e degli altri servizi di natura tecnica e intellettuale di importo pari o superiore a 40.000 euro ;</w:t>
      </w:r>
    </w:p>
    <w:p w:rsidR="006D1617" w:rsidRPr="005E5A2E" w:rsidRDefault="006D1617" w:rsidP="006D1617">
      <w:pPr>
        <w:numPr>
          <w:ilvl w:val="0"/>
          <w:numId w:val="21"/>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b/>
          <w:bCs/>
          <w:color w:val="000000"/>
          <w:sz w:val="24"/>
          <w:szCs w:val="24"/>
          <w:lang w:eastAsia="it-IT"/>
        </w:rPr>
        <w:t>b-bis)</w:t>
      </w:r>
      <w:r w:rsidRPr="005E5A2E">
        <w:rPr>
          <w:rFonts w:ascii="Arial" w:eastAsia="Times New Roman" w:hAnsi="Arial" w:cs="Arial"/>
          <w:color w:val="000000"/>
          <w:sz w:val="24"/>
          <w:szCs w:val="24"/>
          <w:lang w:eastAsia="it-IT"/>
        </w:rPr>
        <w:t> i contratti di servizi e le forniture di importo pari o superiore a 40.000 euro caratterizzati da notevole contenuto tecnologico o che hanno un carattere innovativo.</w:t>
      </w:r>
    </w:p>
    <w:p w:rsidR="006D1617" w:rsidRPr="005E5A2E" w:rsidRDefault="006D1617" w:rsidP="006D1617">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In atto, quindi, </w:t>
      </w:r>
      <w:r w:rsidRPr="005E5A2E">
        <w:rPr>
          <w:rFonts w:ascii="Arial" w:eastAsia="Times New Roman" w:hAnsi="Arial" w:cs="Arial"/>
          <w:b/>
          <w:bCs/>
          <w:color w:val="000000"/>
          <w:sz w:val="24"/>
          <w:szCs w:val="24"/>
          <w:lang w:eastAsia="it-IT"/>
        </w:rPr>
        <w:t>per quanto riguarda i lavori</w:t>
      </w:r>
      <w:r w:rsidRPr="005E5A2E">
        <w:rPr>
          <w:rFonts w:ascii="Arial" w:eastAsia="Times New Roman" w:hAnsi="Arial" w:cs="Arial"/>
          <w:color w:val="000000"/>
          <w:sz w:val="24"/>
          <w:szCs w:val="24"/>
          <w:lang w:eastAsia="it-IT"/>
        </w:rPr>
        <w:t>, libertà assoluta di scelta tra i due criteri quello del criterio del minor prezzo e quello del criterio dell’offerta economicamente più vantaggiosa.</w:t>
      </w:r>
    </w:p>
    <w:p w:rsidR="006D1617" w:rsidRPr="005E5A2E" w:rsidRDefault="006D1617" w:rsidP="006D1617">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Prima dell’entrata in vigore, invece, del decreto-legge n. 32/2019 per utilizzare, nei contratti sotto soglia, il criterio di aggiudicazione del minor prezzo, era necessario fare riferimento alle previgenti lettere a) e c) del comma 4 dell’articolo 95 del codie dei contratti che erano le seguenti: “</w:t>
      </w:r>
      <w:r w:rsidRPr="005E5A2E">
        <w:rPr>
          <w:rFonts w:ascii="Arial" w:eastAsia="Times New Roman" w:hAnsi="Arial" w:cs="Arial"/>
          <w:i/>
          <w:iCs/>
          <w:color w:val="000000"/>
          <w:sz w:val="24"/>
          <w:szCs w:val="24"/>
          <w:lang w:eastAsia="it-IT"/>
        </w:rPr>
        <w:t>a) fermo restando quanto previsto dall’articolo 36, comma 2, lettera d), per i lavori di importo pari o inferiore a 2.000.000 di euro, quando l’affidamento dei lavori avviene con procedure ordinarie, sulla base del progetto esecutivo; in tali ipotesi, qualora la stazione appaltante applichi l’esclusione automatica, la stessa ha l’obbligo di ricorrere alle procedure di cui all’articolo 97, commi 2 e 8; c) per i servizi e le forniture di importo fino a 40.000 euro, nonché per i servizi e le forniture di importo pari o superiore a 40.000 euro e sino alla soglia di cui all’articolo 35 solo se ca-ratterizzati da elevata ripetitività, fatta eccezione per quelli di notevole contenuto tecno-logico o che hanno un carattere innovativo</w:t>
      </w:r>
      <w:r w:rsidRPr="005E5A2E">
        <w:rPr>
          <w:rFonts w:ascii="Arial" w:eastAsia="Times New Roman" w:hAnsi="Arial" w:cs="Arial"/>
          <w:color w:val="000000"/>
          <w:sz w:val="24"/>
          <w:szCs w:val="24"/>
          <w:lang w:eastAsia="it-IT"/>
        </w:rPr>
        <w:t>”.</w:t>
      </w:r>
    </w:p>
    <w:p w:rsidR="006D1617" w:rsidRPr="005E5A2E" w:rsidRDefault="006D1617" w:rsidP="006D1617">
      <w:pPr>
        <w:pStyle w:val="NormaleWeb"/>
        <w:shd w:val="clear" w:color="auto" w:fill="FFFFFF"/>
        <w:spacing w:before="0" w:beforeAutospacing="0" w:after="150" w:afterAutospacing="0"/>
        <w:rPr>
          <w:rFonts w:ascii="Arial" w:hAnsi="Arial" w:cs="Arial"/>
          <w:color w:val="000000"/>
        </w:rPr>
      </w:pPr>
      <w:r w:rsidRPr="005E5A2E">
        <w:rPr>
          <w:rFonts w:ascii="Arial" w:hAnsi="Arial" w:cs="Arial"/>
          <w:color w:val="000000"/>
        </w:rPr>
        <w:t>Antecedentemente, quindi, all’entrata in vigore del decreto-legge n. 32/2019, il criterio del minor prezzo era utilizzabile soltanto in particolari casi tutti riportati nell’articolo 95, comma 4 del Codice dei contratti.</w:t>
      </w:r>
    </w:p>
    <w:p w:rsidR="006D1617" w:rsidRPr="005E5A2E" w:rsidRDefault="006D1617" w:rsidP="006D1617">
      <w:pPr>
        <w:pStyle w:val="NormaleWeb"/>
        <w:shd w:val="clear" w:color="auto" w:fill="FFFFFF"/>
        <w:spacing w:before="0" w:beforeAutospacing="0" w:after="150" w:afterAutospacing="0"/>
        <w:rPr>
          <w:rFonts w:ascii="Arial" w:hAnsi="Arial" w:cs="Arial"/>
          <w:color w:val="000000"/>
        </w:rPr>
      </w:pPr>
      <w:r w:rsidRPr="005E5A2E">
        <w:rPr>
          <w:rFonts w:ascii="Arial" w:hAnsi="Arial" w:cs="Arial"/>
          <w:color w:val="000000"/>
        </w:rPr>
        <w:t xml:space="preserve">Per ultimo vale la pena ricordare che nel caso di scelta del criterio di aggiudicazione del minor prezzo occorre evidenziare come, per i contratti sotto la soglia comunitaria, con le modifiche introdotte al comma 8 dell’articolo 97 (rubricato “offerte anormalmente basse”, </w:t>
      </w:r>
      <w:r w:rsidRPr="005E5A2E">
        <w:rPr>
          <w:rFonts w:ascii="Arial" w:hAnsi="Arial" w:cs="Arial"/>
          <w:color w:val="000000"/>
        </w:rPr>
        <w:lastRenderedPageBreak/>
        <w:t>nasce lìobbligo per le stazioni appaltanti di inserire nel bando l’esclusione automatica dalla gara delle offerte che presentano una percentuale di ribasso pari o superiore alla soglia di anomalia individuata ai sensi del comma 2 </w:t>
      </w:r>
      <w:r w:rsidRPr="005E5A2E">
        <w:rPr>
          <w:rStyle w:val="Enfasigrassetto"/>
          <w:rFonts w:ascii="Arial" w:hAnsi="Arial" w:cs="Arial"/>
          <w:color w:val="000000"/>
        </w:rPr>
        <w:t>e dei commi 2-</w:t>
      </w:r>
      <w:r w:rsidRPr="005E5A2E">
        <w:rPr>
          <w:rStyle w:val="Enfasicorsivo"/>
          <w:rFonts w:ascii="Arial" w:hAnsi="Arial" w:cs="Arial"/>
          <w:b/>
          <w:bCs/>
          <w:color w:val="000000"/>
        </w:rPr>
        <w:t>bis</w:t>
      </w:r>
      <w:r w:rsidRPr="005E5A2E">
        <w:rPr>
          <w:rStyle w:val="Enfasigrassetto"/>
          <w:rFonts w:ascii="Arial" w:hAnsi="Arial" w:cs="Arial"/>
          <w:color w:val="000000"/>
        </w:rPr>
        <w:t> e 2-</w:t>
      </w:r>
      <w:r w:rsidRPr="005E5A2E">
        <w:rPr>
          <w:rStyle w:val="Enfasicorsivo"/>
          <w:rFonts w:ascii="Arial" w:hAnsi="Arial" w:cs="Arial"/>
          <w:b/>
          <w:bCs/>
          <w:color w:val="000000"/>
        </w:rPr>
        <w:t>ter del citato articolo 97</w:t>
      </w:r>
      <w:r w:rsidRPr="005E5A2E">
        <w:rPr>
          <w:rFonts w:ascii="Arial" w:hAnsi="Arial" w:cs="Arial"/>
          <w:color w:val="000000"/>
        </w:rPr>
        <w:t>.</w:t>
      </w:r>
    </w:p>
    <w:p w:rsidR="00745BC1" w:rsidRPr="005E5A2E" w:rsidRDefault="00745BC1" w:rsidP="006D1617">
      <w:pPr>
        <w:spacing w:line="240" w:lineRule="auto"/>
        <w:rPr>
          <w:rFonts w:ascii="Arial" w:hAnsi="Arial" w:cs="Arial"/>
          <w:b/>
          <w:sz w:val="24"/>
          <w:szCs w:val="24"/>
        </w:rPr>
      </w:pPr>
    </w:p>
    <w:p w:rsidR="00E675CE" w:rsidRPr="005E5A2E" w:rsidRDefault="00745BC1" w:rsidP="00945B05">
      <w:pPr>
        <w:spacing w:line="240" w:lineRule="auto"/>
        <w:rPr>
          <w:rFonts w:ascii="Arial" w:hAnsi="Arial" w:cs="Arial"/>
          <w:sz w:val="24"/>
          <w:szCs w:val="24"/>
        </w:rPr>
      </w:pPr>
      <w:r w:rsidRPr="005E5A2E">
        <w:rPr>
          <w:rFonts w:ascii="Arial" w:hAnsi="Arial" w:cs="Arial"/>
          <w:sz w:val="24"/>
          <w:szCs w:val="24"/>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Avvio delle procedure -</w:t>
      </w:r>
      <w:r w:rsidRPr="005E5A2E">
        <w:rPr>
          <w:rFonts w:ascii="Arial" w:hAnsi="Arial" w:cs="Arial"/>
          <w:sz w:val="24"/>
          <w:szCs w:val="24"/>
        </w:rPr>
        <w:sym w:font="Wingdings" w:char="F0E0"/>
      </w:r>
      <w:r w:rsidRPr="005E5A2E">
        <w:rPr>
          <w:rFonts w:ascii="Arial" w:hAnsi="Arial" w:cs="Arial"/>
          <w:sz w:val="24"/>
          <w:szCs w:val="24"/>
        </w:rPr>
        <w:t>Le stazioni appaltanti devono predeterminare gli elementi essenziali del contratto ed i criteri di selezione degli operatori e delle offerte Art. 32, comma 2°</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Efficacia temporale offerte</w:t>
      </w:r>
      <w:r w:rsidRPr="005E5A2E">
        <w:rPr>
          <w:rFonts w:ascii="Arial" w:hAnsi="Arial" w:cs="Arial"/>
          <w:sz w:val="24"/>
          <w:szCs w:val="24"/>
        </w:rPr>
        <w:sym w:font="Wingdings" w:char="F0E0"/>
      </w:r>
      <w:r w:rsidRPr="005E5A2E">
        <w:rPr>
          <w:rFonts w:ascii="Arial" w:hAnsi="Arial" w:cs="Arial"/>
          <w:sz w:val="24"/>
          <w:szCs w:val="24"/>
        </w:rPr>
        <w:t xml:space="preserve"> L’offerta è vincolante per il periodo indicato nel bando o lettera di invito. In caso di mancata indicazione: 180 gg.. La stazione appaltante può chiedere il differimento Art. 32, comma 4°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Proposta di aggiudicazione (ex aggiudicazione provvisoria) </w:t>
      </w:r>
      <w:r w:rsidRPr="005E5A2E">
        <w:rPr>
          <w:rFonts w:ascii="Arial" w:hAnsi="Arial" w:cs="Arial"/>
          <w:sz w:val="24"/>
          <w:szCs w:val="24"/>
        </w:rPr>
        <w:sym w:font="Wingdings" w:char="F0E0"/>
      </w:r>
      <w:r w:rsidRPr="005E5A2E">
        <w:rPr>
          <w:rFonts w:ascii="Arial" w:hAnsi="Arial" w:cs="Arial"/>
          <w:sz w:val="24"/>
          <w:szCs w:val="24"/>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Aggiudicazione (ex aggiudicazione definitiva) </w:t>
      </w:r>
      <w:r w:rsidRPr="005E5A2E">
        <w:rPr>
          <w:rFonts w:ascii="Arial" w:hAnsi="Arial" w:cs="Arial"/>
          <w:sz w:val="24"/>
          <w:szCs w:val="24"/>
        </w:rPr>
        <w:sym w:font="Wingdings" w:char="F0E0"/>
      </w:r>
      <w:r w:rsidRPr="005E5A2E">
        <w:rPr>
          <w:rFonts w:ascii="Arial" w:hAnsi="Arial" w:cs="Arial"/>
          <w:sz w:val="24"/>
          <w:szCs w:val="24"/>
        </w:rPr>
        <w:t xml:space="preserve">La stazione appaltante verifica la legittimità della proposta di aggiudicazione e dispone l’aggiudicazione (definitiva) Art. 32, comma 5° </w:t>
      </w:r>
    </w:p>
    <w:p w:rsidR="00415505" w:rsidRPr="005E5A2E" w:rsidRDefault="00B26354" w:rsidP="00945B05">
      <w:pPr>
        <w:spacing w:line="240" w:lineRule="auto"/>
        <w:rPr>
          <w:rFonts w:ascii="Arial" w:hAnsi="Arial" w:cs="Arial"/>
          <w:sz w:val="24"/>
          <w:szCs w:val="24"/>
        </w:rPr>
      </w:pPr>
      <w:r w:rsidRPr="005E5A2E">
        <w:rPr>
          <w:rFonts w:ascii="Arial" w:hAnsi="Arial" w:cs="Arial"/>
          <w:sz w:val="24"/>
          <w:szCs w:val="24"/>
        </w:rPr>
        <w:t>Efficacia ed irrevocabilità dell’aggiudicazione L’aggiudicazione (definitiva):</w:t>
      </w:r>
      <w:r w:rsidRPr="005E5A2E">
        <w:rPr>
          <w:rFonts w:ascii="Arial" w:hAnsi="Arial" w:cs="Arial"/>
          <w:sz w:val="24"/>
          <w:szCs w:val="24"/>
        </w:rPr>
        <w:sym w:font="Wingdings" w:char="F0E0"/>
      </w:r>
      <w:r w:rsidRPr="005E5A2E">
        <w:rPr>
          <w:rFonts w:ascii="Arial" w:hAnsi="Arial" w:cs="Arial"/>
          <w:sz w:val="24"/>
          <w:szCs w:val="24"/>
        </w:rPr>
        <w:t xml:space="preserve"> </w:t>
      </w:r>
      <w:r w:rsidRPr="005E5A2E">
        <w:rPr>
          <w:rFonts w:ascii="Arial" w:hAnsi="Arial" w:cs="Arial"/>
          <w:sz w:val="24"/>
          <w:szCs w:val="24"/>
        </w:rPr>
        <w:sym w:font="Symbol" w:char="F0A7"/>
      </w:r>
      <w:r w:rsidRPr="005E5A2E">
        <w:rPr>
          <w:rFonts w:ascii="Arial" w:hAnsi="Arial" w:cs="Arial"/>
          <w:sz w:val="24"/>
          <w:szCs w:val="24"/>
        </w:rPr>
        <w:t xml:space="preserve"> Non equivale ad accettazione dell’offerta; Art. 32, commi 6°, 7° ed 8°. Diviene efficace solo dopo l’intervenuta e positiva verifica del possesso dei requisiti autodichiarati.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Stipulazione del contratto </w:t>
      </w:r>
      <w:r w:rsidRPr="005E5A2E">
        <w:rPr>
          <w:rFonts w:ascii="Arial" w:hAnsi="Arial" w:cs="Arial"/>
          <w:sz w:val="24"/>
          <w:szCs w:val="24"/>
        </w:rPr>
        <w:sym w:font="Wingdings" w:char="F0E0"/>
      </w:r>
      <w:r w:rsidRPr="005E5A2E">
        <w:rPr>
          <w:rFonts w:ascii="Arial" w:hAnsi="Arial" w:cs="Arial"/>
          <w:sz w:val="24"/>
          <w:szCs w:val="24"/>
        </w:rPr>
        <w:t xml:space="preserve">Deve avvenire entro 60 gg. dall’intervenuta efficacia dell’aggiudicazione definitiva, fatto salvo il rispetto del termine dilatorio (art. 32, comma 9°). Art. 32, comma 8°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Esecuzione anticipata in via d’urgenza del contratto </w:t>
      </w:r>
      <w:r w:rsidRPr="005E5A2E">
        <w:rPr>
          <w:rFonts w:ascii="Arial" w:hAnsi="Arial" w:cs="Arial"/>
          <w:sz w:val="24"/>
          <w:szCs w:val="24"/>
        </w:rPr>
        <w:sym w:font="Wingdings" w:char="F0E0"/>
      </w:r>
      <w:r w:rsidRPr="005E5A2E">
        <w:rPr>
          <w:rFonts w:ascii="Arial" w:hAnsi="Arial" w:cs="Arial"/>
          <w:sz w:val="24"/>
          <w:szCs w:val="24"/>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Stand still (termine dilatorio) </w:t>
      </w:r>
      <w:r w:rsidR="00C53056" w:rsidRPr="005E5A2E">
        <w:rPr>
          <w:rFonts w:ascii="Arial" w:hAnsi="Arial" w:cs="Arial"/>
          <w:sz w:val="24"/>
          <w:szCs w:val="24"/>
        </w:rPr>
        <w:sym w:font="Wingdings" w:char="F0E0"/>
      </w:r>
      <w:r w:rsidRPr="005E5A2E">
        <w:rPr>
          <w:rFonts w:ascii="Arial" w:hAnsi="Arial" w:cs="Arial"/>
          <w:sz w:val="24"/>
          <w:szCs w:val="24"/>
        </w:rPr>
        <w:t>Il contratto non può essere stipulato prima di trentacinque giorni dall'invio dell'ultima delle comunicazioni del provvedimento di aggiudicazione. Tale termine dilatorio non si applica in caso di:</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lastRenderedPageBreak/>
        <w:t xml:space="preserve"> a) Unica offerta presentata o ammessa se non sono state tempestivamente proposte impugnazioni del bando o della lettera di invito o queste impugnazioni risultano già respinte con decisione definitiva;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b) Appalto basato su un accordo quadro;</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c) Appalti specifici basati su un sistema dinamico di acquisizione;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d) Acquisti effettuati attraverso il mercato elettronico;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e) Affidamenti diretti adeguatamente motivati (sotto soglia fino ad € 39.999,99);</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f) Affidamenti di beni o servizi sino alla soglia comunitaria ed affidamenti di lavori sino ad € Art. 32, commi 9° e 10° effettuati attraverso procedura negoziata previa consultazione. </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Impugnazione giurisdizionale </w:t>
      </w:r>
      <w:r w:rsidR="00C53056" w:rsidRPr="005E5A2E">
        <w:rPr>
          <w:rFonts w:ascii="Arial" w:hAnsi="Arial" w:cs="Arial"/>
          <w:sz w:val="24"/>
          <w:szCs w:val="24"/>
        </w:rPr>
        <w:sym w:font="Wingdings" w:char="F0E0"/>
      </w:r>
      <w:r w:rsidRPr="005E5A2E">
        <w:rPr>
          <w:rFonts w:ascii="Arial" w:hAnsi="Arial" w:cs="Arial"/>
          <w:sz w:val="24"/>
          <w:szCs w:val="24"/>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 Esecuzione ordinaria del contratto</w:t>
      </w:r>
      <w:r w:rsidR="00C53056" w:rsidRPr="005E5A2E">
        <w:rPr>
          <w:rFonts w:ascii="Arial" w:hAnsi="Arial" w:cs="Arial"/>
          <w:sz w:val="24"/>
          <w:szCs w:val="24"/>
        </w:rPr>
        <w:sym w:font="Wingdings" w:char="F0E0"/>
      </w:r>
      <w:r w:rsidRPr="005E5A2E">
        <w:rPr>
          <w:rFonts w:ascii="Arial" w:hAnsi="Arial" w:cs="Arial"/>
          <w:sz w:val="24"/>
          <w:szCs w:val="24"/>
        </w:rPr>
        <w:t xml:space="preserve"> L’esecuzione del contratto, eccettuati i casi di urgenza, può avere inizio solo dopo la sua intervenuta efficacia. Art. 32, comma 13° </w:t>
      </w:r>
    </w:p>
    <w:p w:rsidR="00B26354" w:rsidRPr="005E5A2E" w:rsidRDefault="00B26354" w:rsidP="00945B05">
      <w:pPr>
        <w:spacing w:line="240" w:lineRule="auto"/>
        <w:rPr>
          <w:rFonts w:ascii="Arial" w:hAnsi="Arial" w:cs="Arial"/>
          <w:sz w:val="24"/>
          <w:szCs w:val="24"/>
        </w:rPr>
      </w:pPr>
      <w:r w:rsidRPr="005E5A2E">
        <w:rPr>
          <w:rFonts w:ascii="Arial" w:hAnsi="Arial" w:cs="Arial"/>
          <w:sz w:val="24"/>
          <w:szCs w:val="24"/>
        </w:rPr>
        <w:t xml:space="preserve">Modalità di stipula del contratto </w:t>
      </w:r>
      <w:r w:rsidR="00C53056" w:rsidRPr="005E5A2E">
        <w:rPr>
          <w:rFonts w:ascii="Arial" w:hAnsi="Arial" w:cs="Arial"/>
          <w:sz w:val="24"/>
          <w:szCs w:val="24"/>
        </w:rPr>
        <w:sym w:font="Wingdings" w:char="F0E0"/>
      </w:r>
      <w:r w:rsidRPr="005E5A2E">
        <w:rPr>
          <w:rFonts w:ascii="Arial" w:hAnsi="Arial" w:cs="Arial"/>
          <w:sz w:val="24"/>
          <w:szCs w:val="24"/>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5E5A2E" w:rsidRDefault="005D2A98" w:rsidP="00945B05">
      <w:pPr>
        <w:spacing w:line="240" w:lineRule="auto"/>
        <w:rPr>
          <w:rFonts w:ascii="Arial" w:hAnsi="Arial" w:cs="Arial"/>
          <w:b/>
          <w:sz w:val="24"/>
          <w:szCs w:val="24"/>
        </w:rPr>
      </w:pPr>
      <w:r w:rsidRPr="005E5A2E">
        <w:rPr>
          <w:rFonts w:ascii="Arial" w:hAnsi="Arial" w:cs="Arial"/>
          <w:b/>
          <w:sz w:val="24"/>
          <w:szCs w:val="24"/>
        </w:rPr>
        <w:t>Offerte anormalmente basse</w:t>
      </w:r>
    </w:p>
    <w:p w:rsidR="00BC3075" w:rsidRPr="005E5A2E" w:rsidRDefault="005D2A98" w:rsidP="00945B05">
      <w:pPr>
        <w:spacing w:line="240" w:lineRule="auto"/>
        <w:rPr>
          <w:rFonts w:ascii="Arial" w:hAnsi="Arial" w:cs="Arial"/>
          <w:sz w:val="24"/>
          <w:szCs w:val="24"/>
        </w:rPr>
      </w:pPr>
      <w:r w:rsidRPr="005E5A2E">
        <w:rPr>
          <w:rFonts w:ascii="Arial" w:hAnsi="Arial" w:cs="Arial"/>
          <w:sz w:val="24"/>
          <w:szCs w:val="24"/>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5E5A2E">
        <w:rPr>
          <w:rFonts w:ascii="Arial" w:hAnsi="Arial" w:cs="Arial"/>
          <w:sz w:val="24"/>
          <w:szCs w:val="24"/>
        </w:rPr>
        <w:t xml:space="preserve"> Nel caso del criterio dell’offerta del prezzo più basso, la norma prevede che per valutare le offerte anormalmente basse sia necessario un sorteggio tra u pluralità di nuovi criteri per decidere quello da utilizzare.</w:t>
      </w:r>
    </w:p>
    <w:p w:rsidR="005D2A98" w:rsidRPr="005E5A2E" w:rsidRDefault="00BC3075" w:rsidP="00945B05">
      <w:pPr>
        <w:spacing w:line="240" w:lineRule="auto"/>
        <w:rPr>
          <w:rFonts w:ascii="Arial" w:hAnsi="Arial" w:cs="Arial"/>
          <w:sz w:val="24"/>
          <w:szCs w:val="24"/>
        </w:rPr>
      </w:pPr>
      <w:r w:rsidRPr="005E5A2E">
        <w:rPr>
          <w:rFonts w:ascii="Arial" w:hAnsi="Arial" w:cs="Arial"/>
          <w:sz w:val="24"/>
          <w:szCs w:val="24"/>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5E5A2E">
        <w:rPr>
          <w:rFonts w:ascii="Arial" w:hAnsi="Arial" w:cs="Arial"/>
          <w:sz w:val="24"/>
          <w:szCs w:val="24"/>
        </w:rPr>
        <w:t xml:space="preserve"> </w:t>
      </w:r>
    </w:p>
    <w:p w:rsidR="005647DA" w:rsidRPr="005E5A2E" w:rsidRDefault="005647DA" w:rsidP="00945B05">
      <w:pPr>
        <w:spacing w:line="240" w:lineRule="auto"/>
        <w:rPr>
          <w:rFonts w:ascii="Arial" w:hAnsi="Arial" w:cs="Arial"/>
          <w:sz w:val="24"/>
          <w:szCs w:val="24"/>
        </w:rPr>
      </w:pP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lastRenderedPageBreak/>
        <w:t>PROCEDURE SCELTA CONTRAENTE</w:t>
      </w:r>
    </w:p>
    <w:p w:rsidR="00C12084" w:rsidRPr="005E5A2E" w:rsidRDefault="00C12084" w:rsidP="00945B05">
      <w:pPr>
        <w:spacing w:line="240" w:lineRule="auto"/>
        <w:rPr>
          <w:rFonts w:ascii="Arial" w:hAnsi="Arial" w:cs="Arial"/>
          <w:sz w:val="24"/>
          <w:szCs w:val="24"/>
        </w:rPr>
      </w:pPr>
      <w:r w:rsidRPr="005E5A2E">
        <w:rPr>
          <w:rFonts w:ascii="Arial" w:hAnsi="Arial" w:cs="Arial"/>
          <w:sz w:val="24"/>
          <w:szCs w:val="24"/>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congiungot della progettazione e dell’esecuzione dei lavori ad esclusione dei casi di affidamento a contraente generale  , finanza di progetto , affidamento in concessione , partenariato pubblico e privato.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Procedura aperta</w:t>
      </w:r>
      <w:r w:rsidRPr="005E5A2E">
        <w:rPr>
          <w:rFonts w:ascii="Arial" w:hAnsi="Arial" w:cs="Arial"/>
          <w:sz w:val="24"/>
          <w:szCs w:val="24"/>
        </w:rPr>
        <w:sym w:font="Wingdings" w:char="F0E0"/>
      </w:r>
      <w:r w:rsidRPr="005E5A2E">
        <w:rPr>
          <w:rFonts w:ascii="Arial" w:hAnsi="Arial" w:cs="Arial"/>
          <w:sz w:val="24"/>
          <w:szCs w:val="24"/>
        </w:rPr>
        <w:t xml:space="preserve"> Qualsiasi operatore economico presenta un'offerta Art. 60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Procedura ristretta</w:t>
      </w:r>
      <w:r w:rsidRPr="005E5A2E">
        <w:rPr>
          <w:rFonts w:ascii="Arial" w:hAnsi="Arial" w:cs="Arial"/>
          <w:sz w:val="24"/>
          <w:szCs w:val="24"/>
        </w:rPr>
        <w:sym w:font="Wingdings" w:char="F0E0"/>
      </w:r>
      <w:r w:rsidRPr="005E5A2E">
        <w:rPr>
          <w:rFonts w:ascii="Arial" w:hAnsi="Arial" w:cs="Arial"/>
          <w:sz w:val="24"/>
          <w:szCs w:val="24"/>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Invito e ricezione offerte (trenta giorni) </w:t>
      </w:r>
    </w:p>
    <w:p w:rsidR="005E5A2E"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Procedura competitiva con negoziazione </w:t>
      </w:r>
      <w:r w:rsidRPr="005E5A2E">
        <w:rPr>
          <w:rFonts w:ascii="Arial" w:hAnsi="Arial" w:cs="Arial"/>
          <w:sz w:val="24"/>
          <w:szCs w:val="24"/>
        </w:rPr>
        <w:sym w:font="Wingdings" w:char="F0E0"/>
      </w:r>
      <w:r w:rsidR="005E5A2E" w:rsidRPr="005E5A2E">
        <w:rPr>
          <w:rFonts w:ascii="Arial" w:hAnsi="Arial" w:cs="Arial"/>
          <w:sz w:val="24"/>
          <w:szCs w:val="24"/>
        </w:rPr>
        <w:t>Nelle procedure competitive con negoziazione qualsiasi operatore economico può presentare una domanda di partecipazione in risposta a un avviso di indizione di gara, fornendo le informazioni richieste dall'amministrazione aggiudicatrice per la selezione qualitativa. Solo gli operatori economici invitati dall'amministrazione aggiudicatrice, in seguito alla valutazione delle informazioni fornite, possono presentare un'offerta iniziale che costituisce la base per la successiva negoziazione. Le amministrazioni aggiudicatrici possono limitare il numero di candidati idonei da invitare a partecipare alla procedura quando lo richieda la difficoltà o la complessità dell’opera, della fornitura o del servizio</w:t>
      </w:r>
    </w:p>
    <w:p w:rsidR="006909AB" w:rsidRPr="005E5A2E" w:rsidRDefault="005E5A2E" w:rsidP="00945B05">
      <w:pPr>
        <w:spacing w:line="240" w:lineRule="auto"/>
        <w:rPr>
          <w:rFonts w:ascii="Arial" w:hAnsi="Arial" w:cs="Arial"/>
          <w:sz w:val="24"/>
          <w:szCs w:val="24"/>
        </w:rPr>
      </w:pPr>
      <w:r w:rsidRPr="005E5A2E">
        <w:rPr>
          <w:rFonts w:ascii="Arial" w:hAnsi="Arial" w:cs="Arial"/>
          <w:sz w:val="24"/>
          <w:szCs w:val="24"/>
        </w:rPr>
        <w:t>Procedura negoziata senza bando di gara</w:t>
      </w:r>
      <w:r w:rsidRPr="005E5A2E">
        <w:rPr>
          <w:rFonts w:ascii="Arial" w:hAnsi="Arial" w:cs="Arial"/>
          <w:sz w:val="24"/>
          <w:szCs w:val="24"/>
        </w:rPr>
        <w:sym w:font="Wingdings" w:char="F0E0"/>
      </w:r>
      <w:r w:rsidRPr="005E5A2E">
        <w:rPr>
          <w:rFonts w:ascii="Arial" w:hAnsi="Arial" w:cs="Arial"/>
          <w:sz w:val="24"/>
          <w:szCs w:val="24"/>
        </w:rPr>
        <w:t xml:space="preserve">  </w:t>
      </w:r>
      <w:r w:rsidR="00C53056" w:rsidRPr="005E5A2E">
        <w:rPr>
          <w:rFonts w:ascii="Arial" w:hAnsi="Arial" w:cs="Arial"/>
          <w:sz w:val="24"/>
          <w:szCs w:val="24"/>
        </w:rPr>
        <w:t xml:space="preserve">Le amministrazioni aggiudicatrici utilizzano la procedura competitiva con negoziazione nelle seguenti ipotesi alternative (PRESUPPOSTI):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w:t>
      </w:r>
      <w:r w:rsidRPr="005E5A2E">
        <w:rPr>
          <w:rFonts w:ascii="Arial" w:hAnsi="Arial" w:cs="Arial"/>
          <w:sz w:val="24"/>
          <w:szCs w:val="24"/>
        </w:rPr>
        <w:lastRenderedPageBreak/>
        <w:t xml:space="preserve">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 Avviso di indizione di gara contenente le informazioni richieste dall’amministrazione aggiudicatrice ai fini della selezione qualitativa </w:t>
      </w:r>
      <w:r w:rsidR="006909AB" w:rsidRPr="005E5A2E">
        <w:rPr>
          <w:rFonts w:ascii="Arial" w:hAnsi="Arial" w:cs="Arial"/>
          <w:sz w:val="24"/>
          <w:szCs w:val="24"/>
        </w:rPr>
        <w:sym w:font="Wingdings" w:char="F0E0"/>
      </w:r>
      <w:r w:rsidRPr="005E5A2E">
        <w:rPr>
          <w:rFonts w:ascii="Arial" w:hAnsi="Arial" w:cs="Arial"/>
          <w:sz w:val="24"/>
          <w:szCs w:val="24"/>
        </w:rPr>
        <w:t>Domande di partecipazione (trenta giorni)</w:t>
      </w:r>
      <w:r w:rsidR="006909AB" w:rsidRPr="005E5A2E">
        <w:rPr>
          <w:rFonts w:ascii="Arial" w:hAnsi="Arial" w:cs="Arial"/>
          <w:sz w:val="24"/>
          <w:szCs w:val="24"/>
        </w:rPr>
        <w:sym w:font="Wingdings" w:char="F0E0"/>
      </w:r>
      <w:r w:rsidRPr="005E5A2E">
        <w:rPr>
          <w:rFonts w:ascii="Arial" w:hAnsi="Arial" w:cs="Arial"/>
          <w:sz w:val="24"/>
          <w:szCs w:val="24"/>
        </w:rPr>
        <w:t xml:space="preserve"> Individuazione degli operatori da invitare, sulla base della selezione qualitativa</w:t>
      </w:r>
      <w:r w:rsidR="006909AB" w:rsidRPr="005E5A2E">
        <w:rPr>
          <w:rFonts w:ascii="Arial" w:hAnsi="Arial" w:cs="Arial"/>
          <w:sz w:val="24"/>
          <w:szCs w:val="24"/>
        </w:rPr>
        <w:sym w:font="Wingdings" w:char="F0E0"/>
      </w:r>
      <w:r w:rsidRPr="005E5A2E">
        <w:rPr>
          <w:rFonts w:ascii="Arial" w:hAnsi="Arial" w:cs="Arial"/>
          <w:sz w:val="24"/>
          <w:szCs w:val="24"/>
        </w:rPr>
        <w:t xml:space="preserve"> Invito e ricezione offerte (trenta giorni)</w:t>
      </w:r>
      <w:r w:rsidR="006909AB" w:rsidRPr="005E5A2E">
        <w:rPr>
          <w:rFonts w:ascii="Arial" w:hAnsi="Arial" w:cs="Arial"/>
          <w:sz w:val="24"/>
          <w:szCs w:val="24"/>
        </w:rPr>
        <w:sym w:font="Wingdings" w:char="F0E0"/>
      </w:r>
      <w:r w:rsidRPr="005E5A2E">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5E5A2E">
        <w:rPr>
          <w:rFonts w:ascii="Arial" w:hAnsi="Arial" w:cs="Arial"/>
          <w:sz w:val="24"/>
          <w:szCs w:val="24"/>
        </w:rPr>
        <w:sym w:font="Wingdings" w:char="F0E0"/>
      </w:r>
      <w:r w:rsidRPr="005E5A2E">
        <w:rPr>
          <w:rFonts w:ascii="Arial" w:hAnsi="Arial" w:cs="Arial"/>
          <w:sz w:val="24"/>
          <w:szCs w:val="24"/>
        </w:rPr>
        <w:t xml:space="preserve">Informazione della volontà di conclusione delle negoziazioni, con fissazione di termine per offerte finali.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ragioni di estrema urgenza derivante da eventi imprevedibili dall’amministrazione aggiudicatrice, ivi comprese le emergenze di protezione civile, nonché nei 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5E5A2E" w:rsidRDefault="00C53056" w:rsidP="00945B05">
      <w:pPr>
        <w:spacing w:line="240" w:lineRule="auto"/>
        <w:rPr>
          <w:rFonts w:ascii="Arial" w:hAnsi="Arial" w:cs="Arial"/>
          <w:sz w:val="24"/>
          <w:szCs w:val="24"/>
        </w:rPr>
      </w:pPr>
      <w:r w:rsidRPr="005E5A2E">
        <w:rPr>
          <w:rFonts w:ascii="Arial" w:hAnsi="Arial" w:cs="Arial"/>
          <w:sz w:val="24"/>
          <w:szCs w:val="24"/>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5E5A2E">
        <w:rPr>
          <w:rFonts w:ascii="Arial" w:hAnsi="Arial" w:cs="Arial"/>
          <w:sz w:val="24"/>
          <w:szCs w:val="24"/>
        </w:rPr>
        <w:sym w:font="Wingdings" w:char="F0E0"/>
      </w:r>
      <w:r w:rsidRPr="005E5A2E">
        <w:rPr>
          <w:rFonts w:ascii="Arial" w:hAnsi="Arial" w:cs="Arial"/>
          <w:sz w:val="24"/>
          <w:szCs w:val="24"/>
        </w:rPr>
        <w:t xml:space="preserve">Selezione di almeno cinque </w:t>
      </w:r>
      <w:r w:rsidRPr="005E5A2E">
        <w:rPr>
          <w:rFonts w:ascii="Arial" w:hAnsi="Arial" w:cs="Arial"/>
          <w:sz w:val="24"/>
          <w:szCs w:val="24"/>
        </w:rPr>
        <w:lastRenderedPageBreak/>
        <w:t xml:space="preserve">operatori economici Previa verifica del possesso dei requisiti di partecipazione </w:t>
      </w:r>
      <w:r w:rsidR="006909AB" w:rsidRPr="005E5A2E">
        <w:rPr>
          <w:rFonts w:ascii="Arial" w:hAnsi="Arial" w:cs="Arial"/>
          <w:sz w:val="24"/>
          <w:szCs w:val="24"/>
        </w:rPr>
        <w:sym w:font="Wingdings" w:char="F0E0"/>
      </w:r>
      <w:r w:rsidRPr="005E5A2E">
        <w:rPr>
          <w:rFonts w:ascii="Arial" w:hAnsi="Arial" w:cs="Arial"/>
          <w:sz w:val="24"/>
          <w:szCs w:val="24"/>
        </w:rPr>
        <w:t xml:space="preserve">Individuazione miglior offerta, sulla base del criterio di aggiudicazione prescelto </w:t>
      </w:r>
    </w:p>
    <w:p w:rsidR="00154B2D" w:rsidRPr="005E5A2E" w:rsidRDefault="00C53056" w:rsidP="00945B05">
      <w:pPr>
        <w:spacing w:line="240" w:lineRule="auto"/>
        <w:rPr>
          <w:rFonts w:ascii="Arial" w:hAnsi="Arial" w:cs="Arial"/>
          <w:sz w:val="24"/>
          <w:szCs w:val="24"/>
        </w:rPr>
      </w:pPr>
      <w:r w:rsidRPr="005E5A2E">
        <w:rPr>
          <w:rFonts w:ascii="Arial" w:hAnsi="Arial" w:cs="Arial"/>
          <w:b/>
          <w:sz w:val="24"/>
          <w:szCs w:val="24"/>
        </w:rPr>
        <w:t>Dialogo competitivo</w:t>
      </w:r>
      <w:r w:rsidR="006909AB" w:rsidRPr="005E5A2E">
        <w:rPr>
          <w:rFonts w:ascii="Arial" w:hAnsi="Arial" w:cs="Arial"/>
          <w:sz w:val="24"/>
          <w:szCs w:val="24"/>
        </w:rPr>
        <w:sym w:font="Wingdings" w:char="F0E0"/>
      </w:r>
      <w:r w:rsidRPr="005E5A2E">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006909AB" w:rsidRPr="005E5A2E">
        <w:rPr>
          <w:rFonts w:ascii="Arial" w:hAnsi="Arial" w:cs="Arial"/>
          <w:sz w:val="24"/>
          <w:szCs w:val="24"/>
        </w:rPr>
        <w:sym w:font="Wingdings" w:char="F0E0"/>
      </w:r>
      <w:r w:rsidRPr="005E5A2E">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006909AB" w:rsidRPr="005E5A2E">
        <w:rPr>
          <w:rFonts w:ascii="Arial" w:hAnsi="Arial" w:cs="Arial"/>
          <w:sz w:val="24"/>
          <w:szCs w:val="24"/>
        </w:rPr>
        <w:sym w:font="Wingdings" w:char="F0E0"/>
      </w:r>
      <w:r w:rsidRPr="005E5A2E">
        <w:rPr>
          <w:rFonts w:ascii="Arial" w:hAnsi="Arial" w:cs="Arial"/>
          <w:sz w:val="24"/>
          <w:szCs w:val="24"/>
        </w:rPr>
        <w:t>Durante il dialogo, deve essere garantita parità di trattamento e non devono essere fornite informazioni avvantaggianti solo taluni partecipanti</w:t>
      </w:r>
      <w:r w:rsidR="006909AB" w:rsidRPr="005E5A2E">
        <w:rPr>
          <w:rFonts w:ascii="Arial" w:hAnsi="Arial" w:cs="Arial"/>
          <w:sz w:val="24"/>
          <w:szCs w:val="24"/>
        </w:rPr>
        <w:sym w:font="Wingdings" w:char="F0E0"/>
      </w:r>
      <w:r w:rsidRPr="005E5A2E">
        <w:rPr>
          <w:rFonts w:ascii="Arial" w:hAnsi="Arial" w:cs="Arial"/>
          <w:sz w:val="24"/>
          <w:szCs w:val="24"/>
        </w:rPr>
        <w:t xml:space="preserve"> Concluso il dialogo, gli operatori presentano le offerte finali</w:t>
      </w:r>
      <w:r w:rsidR="006909AB" w:rsidRPr="005E5A2E">
        <w:rPr>
          <w:rFonts w:ascii="Arial" w:hAnsi="Arial" w:cs="Arial"/>
          <w:sz w:val="24"/>
          <w:szCs w:val="24"/>
        </w:rPr>
        <w:sym w:font="Wingdings" w:char="F0E0"/>
      </w:r>
      <w:r w:rsidRPr="005E5A2E">
        <w:rPr>
          <w:rFonts w:ascii="Arial" w:hAnsi="Arial" w:cs="Arial"/>
          <w:sz w:val="24"/>
          <w:szCs w:val="24"/>
        </w:rPr>
        <w:t xml:space="preserve"> Le stazioni appaltanti valutano le offerte ricevute sulla base dei criteri prefissati</w:t>
      </w:r>
      <w:r w:rsidR="00154B2D" w:rsidRPr="005E5A2E">
        <w:rPr>
          <w:rFonts w:ascii="Arial" w:hAnsi="Arial" w:cs="Arial"/>
          <w:sz w:val="24"/>
          <w:szCs w:val="24"/>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5E5A2E" w:rsidRDefault="00F15AF4" w:rsidP="00945B05">
      <w:pPr>
        <w:spacing w:line="240" w:lineRule="auto"/>
        <w:rPr>
          <w:rFonts w:ascii="Arial" w:hAnsi="Arial" w:cs="Arial"/>
          <w:sz w:val="24"/>
          <w:szCs w:val="24"/>
        </w:rPr>
      </w:pPr>
      <w:r w:rsidRPr="005E5A2E">
        <w:rPr>
          <w:rFonts w:ascii="Arial" w:hAnsi="Arial" w:cs="Arial"/>
          <w:b/>
          <w:sz w:val="24"/>
          <w:szCs w:val="24"/>
        </w:rPr>
        <w:t>P</w:t>
      </w:r>
      <w:r w:rsidR="00C53056" w:rsidRPr="005E5A2E">
        <w:rPr>
          <w:rFonts w:ascii="Arial" w:hAnsi="Arial" w:cs="Arial"/>
          <w:b/>
          <w:sz w:val="24"/>
          <w:szCs w:val="24"/>
        </w:rPr>
        <w:t>artenariato per l'innovazione</w:t>
      </w:r>
      <w:r w:rsidR="00C53056" w:rsidRPr="005E5A2E">
        <w:rPr>
          <w:rFonts w:ascii="Arial" w:hAnsi="Arial" w:cs="Arial"/>
          <w:sz w:val="24"/>
          <w:szCs w:val="24"/>
        </w:rPr>
        <w:t xml:space="preserve"> </w:t>
      </w:r>
      <w:r w:rsidR="006909AB" w:rsidRPr="005E5A2E">
        <w:rPr>
          <w:rFonts w:ascii="Arial" w:hAnsi="Arial" w:cs="Arial"/>
          <w:sz w:val="24"/>
          <w:szCs w:val="24"/>
        </w:rPr>
        <w:sym w:font="Wingdings" w:char="F0E0"/>
      </w:r>
      <w:r w:rsidR="00C53056" w:rsidRPr="005E5A2E">
        <w:rPr>
          <w:rFonts w:ascii="Arial" w:hAnsi="Arial" w:cs="Arial"/>
          <w:sz w:val="24"/>
          <w:szCs w:val="24"/>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5E5A2E">
        <w:rPr>
          <w:rFonts w:ascii="Arial" w:hAnsi="Arial" w:cs="Arial"/>
          <w:sz w:val="24"/>
          <w:szCs w:val="24"/>
        </w:rPr>
        <w:t xml:space="preserve"> </w:t>
      </w:r>
      <w:r w:rsidR="00C53056" w:rsidRPr="005E5A2E">
        <w:rPr>
          <w:rFonts w:ascii="Arial" w:hAnsi="Arial" w:cs="Arial"/>
          <w:sz w:val="24"/>
          <w:szCs w:val="24"/>
        </w:rPr>
        <w:t xml:space="preserve">prestazioni e ai costi massimi concordati tra le stazioni appaltanti e i partecipanti. </w:t>
      </w:r>
      <w:r w:rsidRPr="005E5A2E">
        <w:rPr>
          <w:rFonts w:ascii="Arial" w:hAnsi="Arial" w:cs="Arial"/>
          <w:color w:val="222222"/>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5E5A2E" w:rsidRDefault="00FA6C5E" w:rsidP="00945B05">
      <w:pPr>
        <w:pStyle w:val="NormaleWeb"/>
        <w:shd w:val="clear" w:color="auto" w:fill="FFFFFF"/>
        <w:spacing w:before="0" w:beforeAutospacing="0" w:after="101" w:afterAutospacing="0"/>
        <w:rPr>
          <w:rFonts w:ascii="Arial" w:hAnsi="Arial" w:cs="Arial"/>
        </w:rPr>
      </w:pPr>
      <w:r w:rsidRPr="005E5A2E">
        <w:rPr>
          <w:rFonts w:ascii="Arial" w:hAnsi="Arial" w:cs="Arial"/>
          <w:b/>
        </w:rPr>
        <w:t>Accordi quadro</w:t>
      </w:r>
      <w:r w:rsidRPr="005E5A2E">
        <w:rPr>
          <w:rFonts w:ascii="Arial" w:hAnsi="Arial" w:cs="Arial"/>
          <w:b/>
        </w:rPr>
        <w:sym w:font="Wingdings" w:char="F0E0"/>
      </w:r>
      <w:r w:rsidRPr="005E5A2E">
        <w:rPr>
          <w:rFonts w:ascii="Arial" w:hAnsi="Arial" w:cs="Arial"/>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b/>
        </w:rPr>
        <w:lastRenderedPageBreak/>
        <w:t>Sistema dinamico di acquisizione</w:t>
      </w:r>
      <w:r w:rsidRPr="005E5A2E">
        <w:rPr>
          <w:rFonts w:ascii="Arial" w:hAnsi="Arial" w:cs="Arial"/>
          <w:b/>
        </w:rPr>
        <w:sym w:font="Wingdings" w:char="F0E0"/>
      </w:r>
      <w:r w:rsidRPr="005E5A2E">
        <w:rPr>
          <w:rFonts w:ascii="Arial" w:hAnsi="Arial" w:cs="Arial"/>
          <w:b/>
        </w:rPr>
        <w:t xml:space="preserve"> </w:t>
      </w:r>
      <w:r w:rsidRPr="005E5A2E">
        <w:rPr>
          <w:rStyle w:val="Enfasigrassetto"/>
          <w:rFonts w:ascii="Arial" w:hAnsi="Arial" w:cs="Arial"/>
          <w:color w:val="313840"/>
        </w:rPr>
        <w:t>Acquisizione della P.A.</w:t>
      </w:r>
      <w:r w:rsidRPr="005E5A2E">
        <w:rPr>
          <w:rFonts w:ascii="Arial" w:hAnsi="Arial" w:cs="Arial"/>
          <w:color w:val="313840"/>
        </w:rPr>
        <w:t> (SDAPA) è un processo di acquisizione interamente elettronico, aperto per tutto il periodo di validità dello stesso a qualsivoglia operatore economico che soddisfi i criteri di selezione.</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Il Sistema dinamico è caratterizzato da una procedura bifasica:</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Fase 1 - pubblicazione da parte di Consip di un bando istitutivo per una o più categorie merceologiche a cui i fornitori possono abilitarsi.</w:t>
      </w:r>
    </w:p>
    <w:p w:rsidR="00FA6C5E" w:rsidRPr="005E5A2E" w:rsidRDefault="00FA6C5E" w:rsidP="00945B05">
      <w:pPr>
        <w:pStyle w:val="NormaleWeb"/>
        <w:shd w:val="clear" w:color="auto" w:fill="FFFFFF"/>
        <w:spacing w:before="0" w:beforeAutospacing="0" w:after="101" w:afterAutospacing="0"/>
        <w:jc w:val="both"/>
        <w:rPr>
          <w:rFonts w:ascii="Arial" w:hAnsi="Arial" w:cs="Arial"/>
          <w:color w:val="313840"/>
        </w:rPr>
      </w:pPr>
      <w:r w:rsidRPr="005E5A2E">
        <w:rPr>
          <w:rFonts w:ascii="Arial" w:hAnsi="Arial" w:cs="Arial"/>
          <w:color w:val="313840"/>
        </w:rPr>
        <w:t>Fase 2 – indizione e aggiudicazione di appalti specifici in cui le Amministrazioni, definendo i quantitativi, il valore e le caratteristiche specifiche dell’appalto, invitano tutti i partecipanti ammessi a presentare un’offerta</w:t>
      </w:r>
    </w:p>
    <w:p w:rsidR="00FA6C5E" w:rsidRPr="005E5A2E"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r w:rsidRPr="005E5A2E">
        <w:rPr>
          <w:rFonts w:ascii="Arial" w:hAnsi="Arial" w:cs="Arial"/>
          <w:color w:val="3D3B39"/>
          <w:shd w:val="clear" w:color="auto" w:fill="F2EFE7"/>
        </w:rPr>
        <w:t>lo </w:t>
      </w:r>
      <w:r w:rsidRPr="005E5A2E">
        <w:rPr>
          <w:rStyle w:val="Enfasigrassetto"/>
          <w:rFonts w:ascii="Arial" w:hAnsi="Arial" w:cs="Arial"/>
          <w:color w:val="3D3B39"/>
          <w:shd w:val="clear" w:color="auto" w:fill="F2EFE7"/>
        </w:rPr>
        <w:t>SDAPA</w:t>
      </w:r>
      <w:r w:rsidRPr="005E5A2E">
        <w:rPr>
          <w:rFonts w:ascii="Arial" w:hAnsi="Arial" w:cs="Arial"/>
          <w:color w:val="3D3B39"/>
          <w:shd w:val="clear" w:color="auto" w:fill="F2EFE7"/>
        </w:rPr>
        <w:t> rappresenta uno strumento d’acquisto che ha subito nell’ultimo periodo un sempre più frequente utilizzo da parte delle amministrazioni pubbliche, principalmente per il fatto che </w:t>
      </w:r>
      <w:r w:rsidRPr="005E5A2E">
        <w:rPr>
          <w:rFonts w:ascii="Arial" w:hAnsi="Arial" w:cs="Arial"/>
          <w:color w:val="3D3B39"/>
          <w:u w:val="single"/>
          <w:shd w:val="clear" w:color="auto" w:fill="F2EFE7"/>
        </w:rPr>
        <w:t>consente di gestire mediante procedura informatica anche appalti di valore superiore alla soglia comunitaria</w:t>
      </w:r>
      <w:r w:rsidRPr="005E5A2E">
        <w:rPr>
          <w:rFonts w:ascii="Arial" w:hAnsi="Arial" w:cs="Arial"/>
          <w:color w:val="3D3B39"/>
          <w:shd w:val="clear" w:color="auto" w:fill="F2EFE7"/>
        </w:rPr>
        <w:t>.</w:t>
      </w:r>
    </w:p>
    <w:p w:rsidR="006460A5" w:rsidRPr="005E5A2E"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p>
    <w:p w:rsidR="006460A5" w:rsidRPr="005E5A2E"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5E5A2E">
        <w:rPr>
          <w:rFonts w:ascii="Arial" w:hAnsi="Arial" w:cs="Arial"/>
          <w:b/>
          <w:color w:val="313840"/>
        </w:rPr>
        <w:t>Asta elettronica</w:t>
      </w:r>
      <w:r w:rsidRPr="005E5A2E">
        <w:rPr>
          <w:rFonts w:ascii="Arial" w:hAnsi="Arial" w:cs="Arial"/>
          <w:b/>
          <w:color w:val="313840"/>
        </w:rPr>
        <w:sym w:font="Wingdings" w:char="F0E0"/>
      </w:r>
      <w:r w:rsidRPr="005E5A2E">
        <w:rPr>
          <w:rFonts w:ascii="Arial" w:hAnsi="Arial" w:cs="Arial"/>
          <w:color w:val="373737"/>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zzz), eeee), ffff) del decreto legislativo 18 aprile 2016, n. 50 (codice degli appalti). </w:t>
      </w:r>
      <w:r w:rsidRPr="005E5A2E">
        <w:rPr>
          <w:rFonts w:ascii="Arial" w:hAnsi="Arial" w:cs="Arial"/>
          <w:color w:val="373737"/>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5E5A2E">
        <w:rPr>
          <w:rFonts w:ascii="Arial" w:hAnsi="Arial" w:cs="Arial"/>
          <w:color w:val="373737"/>
          <w:bdr w:val="none" w:sz="0" w:space="0" w:color="auto" w:frame="1"/>
        </w:rPr>
        <w:br/>
        <w:t>1) solo i prezzi, quando la gara di appalto prevede che per l’aggiudicazione verrà utilizzato il criterio del prezzo più basso;</w:t>
      </w:r>
    </w:p>
    <w:p w:rsidR="006460A5" w:rsidRPr="005E5A2E"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5E5A2E">
        <w:rPr>
          <w:rFonts w:ascii="Arial" w:hAnsi="Arial" w:cs="Arial"/>
          <w:color w:val="373737"/>
          <w:bdr w:val="none" w:sz="0" w:space="0" w:color="auto" w:frame="1"/>
        </w:rPr>
        <w:t>2) il rapporto che esiste fra prezzi/valori, se il criterio di aggiudicazione del contratto di appalto si basa sul metodo dell’offerta economicamente più vantaggiosa.</w:t>
      </w:r>
    </w:p>
    <w:p w:rsidR="006460A5" w:rsidRPr="005E5A2E" w:rsidRDefault="006460A5" w:rsidP="00945B05">
      <w:pPr>
        <w:pStyle w:val="NormaleWeb"/>
        <w:shd w:val="clear" w:color="auto" w:fill="FFFFFF"/>
        <w:spacing w:before="0" w:beforeAutospacing="0" w:after="101" w:afterAutospacing="0"/>
        <w:rPr>
          <w:rFonts w:ascii="Arial" w:hAnsi="Arial" w:cs="Arial"/>
          <w:b/>
          <w:color w:val="313840"/>
        </w:rPr>
      </w:pPr>
    </w:p>
    <w:p w:rsidR="006460A5" w:rsidRPr="005E5A2E" w:rsidRDefault="006460A5" w:rsidP="00945B05">
      <w:pPr>
        <w:pStyle w:val="NormaleWeb"/>
        <w:shd w:val="clear" w:color="auto" w:fill="FFFFFF"/>
        <w:spacing w:before="0" w:beforeAutospacing="0" w:after="101" w:afterAutospacing="0"/>
        <w:rPr>
          <w:rFonts w:ascii="Arial" w:hAnsi="Arial" w:cs="Arial"/>
          <w:b/>
          <w:color w:val="313840"/>
        </w:rPr>
      </w:pPr>
      <w:r w:rsidRPr="005E5A2E">
        <w:rPr>
          <w:rFonts w:ascii="Arial" w:hAnsi="Arial" w:cs="Arial"/>
          <w:b/>
          <w:color w:val="313840"/>
        </w:rPr>
        <w:t>Le soglie comunitarie</w:t>
      </w:r>
    </w:p>
    <w:p w:rsidR="00C703E4" w:rsidRPr="005E5A2E" w:rsidRDefault="00C703E4" w:rsidP="00C703E4">
      <w:pPr>
        <w:pStyle w:val="NormaleWeb"/>
        <w:shd w:val="clear" w:color="auto" w:fill="FFFFFF"/>
        <w:spacing w:before="0" w:beforeAutospacing="0" w:after="121" w:afterAutospacing="0"/>
        <w:textAlignment w:val="baseline"/>
        <w:rPr>
          <w:rFonts w:ascii="Arial" w:hAnsi="Arial" w:cs="Arial"/>
          <w:color w:val="000000"/>
        </w:rPr>
      </w:pPr>
      <w:r w:rsidRPr="005E5A2E">
        <w:rPr>
          <w:rFonts w:ascii="Arial" w:hAnsi="Arial" w:cs="Arial"/>
          <w:color w:val="000000"/>
        </w:rPr>
        <w:t>Cambiano per il 2020 le soglie che individuano i contratti di rilevanza comunitaria negli appalti di forniture, servizi e lavori, nei concorsi di progettazione e nelle concessioni. Dal 1° gennaio è infatti in vigore la revisione biennale di tali soglie, modificate dai regolamenti delegati (Ue) del 30 ottobre 2019.</w:t>
      </w:r>
    </w:p>
    <w:p w:rsidR="00C703E4" w:rsidRPr="005E5A2E" w:rsidRDefault="00C703E4" w:rsidP="00C703E4">
      <w:pPr>
        <w:pStyle w:val="NormaleWeb"/>
        <w:shd w:val="clear" w:color="auto" w:fill="FFFFFF"/>
        <w:spacing w:before="0" w:beforeAutospacing="0" w:after="121" w:afterAutospacing="0"/>
        <w:textAlignment w:val="baseline"/>
        <w:rPr>
          <w:rFonts w:ascii="Arial" w:hAnsi="Arial" w:cs="Arial"/>
          <w:color w:val="000000"/>
        </w:rPr>
      </w:pPr>
      <w:r w:rsidRPr="005E5A2E">
        <w:rPr>
          <w:rFonts w:ascii="Arial" w:hAnsi="Arial" w:cs="Arial"/>
          <w:color w:val="000000"/>
        </w:rPr>
        <w:t>I regolamenti vanno a modificare le direttive 2014/24 Ue (articoli 4 e 13), 2014/25 Ue (articolo 15), 2009/81 Ce (articolo 8) e 2014/23 Ue (articolo 8), riducendo leggermente tutte le soglie, che, dunque, risultano così riformulate:</w:t>
      </w:r>
    </w:p>
    <w:p w:rsidR="00C703E4" w:rsidRPr="005E5A2E" w:rsidRDefault="00C703E4" w:rsidP="00C703E4">
      <w:pPr>
        <w:pStyle w:val="Titolo2"/>
        <w:shd w:val="clear" w:color="auto" w:fill="FFFFFF"/>
        <w:spacing w:before="242" w:beforeAutospacing="0" w:after="81" w:afterAutospacing="0" w:line="312"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t>Eccoli nel dettaglio i valori delle nuove soglie per appalti di forniture, servizi e lavori e concorsi di progettazione</w:t>
      </w:r>
    </w:p>
    <w:p w:rsidR="00C703E4" w:rsidRPr="005E5A2E" w:rsidRDefault="00C703E4" w:rsidP="00C703E4">
      <w:pPr>
        <w:pStyle w:val="Titolo3"/>
        <w:shd w:val="clear" w:color="auto" w:fill="FFFFFF"/>
        <w:spacing w:before="0" w:after="81" w:line="288"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lastRenderedPageBreak/>
        <w:t>Settori ordinari:</w:t>
      </w:r>
    </w:p>
    <w:p w:rsidR="00C703E4" w:rsidRPr="005E5A2E" w:rsidRDefault="00C703E4" w:rsidP="00C703E4">
      <w:pPr>
        <w:numPr>
          <w:ilvl w:val="0"/>
          <w:numId w:val="17"/>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 </w:t>
      </w:r>
      <w:r w:rsidRPr="005E5A2E">
        <w:rPr>
          <w:rStyle w:val="Enfasigrassetto"/>
          <w:rFonts w:ascii="Arial" w:hAnsi="Arial" w:cs="Arial"/>
          <w:color w:val="000000"/>
          <w:sz w:val="24"/>
          <w:szCs w:val="24"/>
          <w:bdr w:val="none" w:sz="0" w:space="0" w:color="auto" w:frame="1"/>
        </w:rPr>
        <w:t>5.350.000</w:t>
      </w:r>
      <w:r w:rsidRPr="005E5A2E">
        <w:rPr>
          <w:rFonts w:ascii="Arial" w:hAnsi="Arial" w:cs="Arial"/>
          <w:color w:val="000000"/>
          <w:sz w:val="24"/>
          <w:szCs w:val="24"/>
        </w:rPr>
        <w:t> euro per gli appalti pubblici di lavori;</w:t>
      </w:r>
    </w:p>
    <w:p w:rsidR="00C703E4" w:rsidRPr="005E5A2E" w:rsidRDefault="00C703E4" w:rsidP="00C703E4">
      <w:pPr>
        <w:numPr>
          <w:ilvl w:val="0"/>
          <w:numId w:val="17"/>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1</w:t>
      </w:r>
      <w:r w:rsidRPr="005E5A2E">
        <w:rPr>
          <w:rStyle w:val="Enfasigrassetto"/>
          <w:rFonts w:ascii="Arial" w:hAnsi="Arial" w:cs="Arial"/>
          <w:color w:val="000000"/>
          <w:sz w:val="24"/>
          <w:szCs w:val="24"/>
          <w:bdr w:val="none" w:sz="0" w:space="0" w:color="auto" w:frame="1"/>
        </w:rPr>
        <w:t>39.000</w:t>
      </w:r>
      <w:r w:rsidRPr="005E5A2E">
        <w:rPr>
          <w:rFonts w:ascii="Arial" w:hAnsi="Arial" w:cs="Arial"/>
          <w:color w:val="000000"/>
          <w:sz w:val="24"/>
          <w:szCs w:val="24"/>
        </w:rPr>
        <w:t> euro per gli appalti pubblici di forniture e di servizi aggiudicati dalle autorità governative centrali e per i concorsi di progettazione organizzati da tali autorità;</w:t>
      </w:r>
    </w:p>
    <w:p w:rsidR="00C703E4" w:rsidRPr="005E5A2E" w:rsidRDefault="00C703E4" w:rsidP="00C703E4">
      <w:pPr>
        <w:numPr>
          <w:ilvl w:val="0"/>
          <w:numId w:val="17"/>
        </w:numPr>
        <w:shd w:val="clear" w:color="auto" w:fill="FFFFFF"/>
        <w:spacing w:before="242" w:beforeAutospacing="1" w:after="81" w:afterAutospacing="1" w:line="288" w:lineRule="atLeast"/>
        <w:ind w:left="0"/>
        <w:textAlignment w:val="baseline"/>
        <w:rPr>
          <w:rFonts w:ascii="Arial" w:hAnsi="Arial" w:cs="Arial"/>
          <w:color w:val="000000"/>
          <w:sz w:val="24"/>
          <w:szCs w:val="24"/>
        </w:rPr>
      </w:pPr>
      <w:r w:rsidRPr="005E5A2E">
        <w:rPr>
          <w:rStyle w:val="Enfasigrassetto"/>
          <w:rFonts w:ascii="Arial" w:hAnsi="Arial" w:cs="Arial"/>
          <w:color w:val="000000"/>
          <w:sz w:val="24"/>
          <w:szCs w:val="24"/>
          <w:bdr w:val="none" w:sz="0" w:space="0" w:color="auto" w:frame="1"/>
        </w:rPr>
        <w:t>214.000</w:t>
      </w:r>
      <w:r w:rsidRPr="005E5A2E">
        <w:rPr>
          <w:rFonts w:ascii="Arial" w:hAnsi="Arial" w:cs="Arial"/>
          <w:color w:val="000000"/>
          <w:sz w:val="24"/>
          <w:szCs w:val="24"/>
        </w:rPr>
        <w:t> euro per gli appalti pubblici di forniture e di servizi aggiudicati da amministrazioni aggiudicatrici sub-centrali e concorsi di progettazione organizzati da tali amministrazioni.</w:t>
      </w:r>
    </w:p>
    <w:p w:rsidR="00C703E4" w:rsidRPr="005E5A2E" w:rsidRDefault="00C703E4" w:rsidP="00C703E4">
      <w:pPr>
        <w:numPr>
          <w:ilvl w:val="0"/>
          <w:numId w:val="17"/>
        </w:numPr>
        <w:shd w:val="clear" w:color="auto" w:fill="FFFFFF"/>
        <w:spacing w:before="242" w:beforeAutospacing="1" w:after="81" w:afterAutospacing="1" w:line="288" w:lineRule="atLeast"/>
        <w:ind w:left="0"/>
        <w:textAlignment w:val="baseline"/>
        <w:rPr>
          <w:rFonts w:ascii="Arial" w:hAnsi="Arial" w:cs="Arial"/>
          <w:color w:val="000000"/>
          <w:sz w:val="24"/>
          <w:szCs w:val="24"/>
        </w:rPr>
      </w:pPr>
      <w:r w:rsidRPr="005E5A2E">
        <w:rPr>
          <w:rFonts w:ascii="Arial" w:hAnsi="Arial" w:cs="Arial"/>
          <w:color w:val="000000"/>
          <w:sz w:val="24"/>
          <w:szCs w:val="24"/>
        </w:rPr>
        <w:t>Settori speciali:</w:t>
      </w:r>
    </w:p>
    <w:p w:rsidR="00C703E4" w:rsidRPr="005E5A2E" w:rsidRDefault="00C703E4" w:rsidP="00C703E4">
      <w:pPr>
        <w:numPr>
          <w:ilvl w:val="0"/>
          <w:numId w:val="18"/>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 </w:t>
      </w:r>
      <w:r w:rsidRPr="005E5A2E">
        <w:rPr>
          <w:rStyle w:val="Enfasigrassetto"/>
          <w:rFonts w:ascii="Arial" w:hAnsi="Arial" w:cs="Arial"/>
          <w:color w:val="000000"/>
          <w:sz w:val="24"/>
          <w:szCs w:val="24"/>
          <w:bdr w:val="none" w:sz="0" w:space="0" w:color="auto" w:frame="1"/>
        </w:rPr>
        <w:t>428.000</w:t>
      </w:r>
      <w:r w:rsidRPr="005E5A2E">
        <w:rPr>
          <w:rFonts w:ascii="Arial" w:hAnsi="Arial" w:cs="Arial"/>
          <w:color w:val="000000"/>
          <w:sz w:val="24"/>
          <w:szCs w:val="24"/>
        </w:rPr>
        <w:t> euro per gli appalti di forniture e di servizi nonché per i concorsi di progettazione;</w:t>
      </w:r>
    </w:p>
    <w:p w:rsidR="00C703E4" w:rsidRPr="005E5A2E" w:rsidRDefault="00C703E4" w:rsidP="00C703E4">
      <w:pPr>
        <w:numPr>
          <w:ilvl w:val="0"/>
          <w:numId w:val="18"/>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Style w:val="Enfasigrassetto"/>
          <w:rFonts w:ascii="Arial" w:hAnsi="Arial" w:cs="Arial"/>
          <w:color w:val="000000"/>
          <w:sz w:val="24"/>
          <w:szCs w:val="24"/>
          <w:bdr w:val="none" w:sz="0" w:space="0" w:color="auto" w:frame="1"/>
        </w:rPr>
        <w:t>5.350.000</w:t>
      </w:r>
      <w:r w:rsidRPr="005E5A2E">
        <w:rPr>
          <w:rFonts w:ascii="Arial" w:hAnsi="Arial" w:cs="Arial"/>
          <w:color w:val="000000"/>
          <w:sz w:val="24"/>
          <w:szCs w:val="24"/>
        </w:rPr>
        <w:t> euro per gli appalti di lavori.</w:t>
      </w:r>
    </w:p>
    <w:p w:rsidR="00C703E4" w:rsidRPr="005E5A2E" w:rsidRDefault="00C703E4" w:rsidP="00C703E4">
      <w:pPr>
        <w:pStyle w:val="Titolo3"/>
        <w:shd w:val="clear" w:color="auto" w:fill="FFFFFF"/>
        <w:spacing w:before="242" w:after="81" w:line="288"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t>Difesa e sicurezza</w:t>
      </w:r>
    </w:p>
    <w:p w:rsidR="00C703E4" w:rsidRPr="005E5A2E" w:rsidRDefault="00C703E4" w:rsidP="00C703E4">
      <w:pPr>
        <w:numPr>
          <w:ilvl w:val="0"/>
          <w:numId w:val="19"/>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Style w:val="Enfasigrassetto"/>
          <w:rFonts w:ascii="Arial" w:hAnsi="Arial" w:cs="Arial"/>
          <w:color w:val="000000"/>
          <w:sz w:val="24"/>
          <w:szCs w:val="24"/>
          <w:bdr w:val="none" w:sz="0" w:space="0" w:color="auto" w:frame="1"/>
        </w:rPr>
        <w:t>428.000</w:t>
      </w:r>
      <w:r w:rsidRPr="005E5A2E">
        <w:rPr>
          <w:rFonts w:ascii="Arial" w:hAnsi="Arial" w:cs="Arial"/>
          <w:color w:val="000000"/>
          <w:sz w:val="24"/>
          <w:szCs w:val="24"/>
        </w:rPr>
        <w:t> euro per gli appalti di forniture e di servizi;</w:t>
      </w:r>
    </w:p>
    <w:p w:rsidR="00C703E4" w:rsidRPr="005E5A2E" w:rsidRDefault="00C703E4" w:rsidP="00C703E4">
      <w:pPr>
        <w:numPr>
          <w:ilvl w:val="0"/>
          <w:numId w:val="19"/>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Style w:val="Enfasigrassetto"/>
          <w:rFonts w:ascii="Arial" w:hAnsi="Arial" w:cs="Arial"/>
          <w:color w:val="000000"/>
          <w:sz w:val="24"/>
          <w:szCs w:val="24"/>
          <w:bdr w:val="none" w:sz="0" w:space="0" w:color="auto" w:frame="1"/>
        </w:rPr>
        <w:t>5.350.000</w:t>
      </w:r>
      <w:r w:rsidRPr="005E5A2E">
        <w:rPr>
          <w:rFonts w:ascii="Arial" w:hAnsi="Arial" w:cs="Arial"/>
          <w:color w:val="000000"/>
          <w:sz w:val="24"/>
          <w:szCs w:val="24"/>
        </w:rPr>
        <w:t> euro per gli appalti di lavori.</w:t>
      </w:r>
    </w:p>
    <w:p w:rsidR="00C703E4" w:rsidRPr="005E5A2E" w:rsidRDefault="00C703E4" w:rsidP="00C703E4">
      <w:pPr>
        <w:pStyle w:val="Titolo3"/>
        <w:shd w:val="clear" w:color="auto" w:fill="FFFFFF"/>
        <w:spacing w:before="242" w:after="81" w:line="288" w:lineRule="atLeast"/>
        <w:textAlignment w:val="baseline"/>
        <w:rPr>
          <w:rFonts w:ascii="Arial" w:hAnsi="Arial" w:cs="Arial"/>
          <w:b w:val="0"/>
          <w:bCs w:val="0"/>
          <w:color w:val="000000"/>
          <w:sz w:val="24"/>
          <w:szCs w:val="24"/>
        </w:rPr>
      </w:pPr>
      <w:r w:rsidRPr="005E5A2E">
        <w:rPr>
          <w:rFonts w:ascii="Arial" w:hAnsi="Arial" w:cs="Arial"/>
          <w:b w:val="0"/>
          <w:bCs w:val="0"/>
          <w:color w:val="000000"/>
          <w:sz w:val="24"/>
          <w:szCs w:val="24"/>
        </w:rPr>
        <w:t>Concessioni </w:t>
      </w:r>
    </w:p>
    <w:p w:rsidR="00C703E4" w:rsidRPr="005E5A2E" w:rsidRDefault="00C703E4" w:rsidP="00C703E4">
      <w:pPr>
        <w:numPr>
          <w:ilvl w:val="0"/>
          <w:numId w:val="20"/>
        </w:numPr>
        <w:shd w:val="clear" w:color="auto" w:fill="FFFFFF"/>
        <w:spacing w:beforeAutospacing="1" w:after="0" w:afterAutospacing="1" w:line="240" w:lineRule="auto"/>
        <w:ind w:left="0"/>
        <w:textAlignment w:val="baseline"/>
        <w:rPr>
          <w:rFonts w:ascii="Arial" w:hAnsi="Arial" w:cs="Arial"/>
          <w:color w:val="000000"/>
          <w:sz w:val="24"/>
          <w:szCs w:val="24"/>
        </w:rPr>
      </w:pPr>
      <w:r w:rsidRPr="005E5A2E">
        <w:rPr>
          <w:rFonts w:ascii="Arial" w:hAnsi="Arial" w:cs="Arial"/>
          <w:color w:val="000000"/>
          <w:sz w:val="24"/>
          <w:szCs w:val="24"/>
        </w:rPr>
        <w:t>concessioni di valore pari o superiore a </w:t>
      </w:r>
      <w:r w:rsidRPr="005E5A2E">
        <w:rPr>
          <w:rStyle w:val="Enfasigrassetto"/>
          <w:rFonts w:ascii="Arial" w:hAnsi="Arial" w:cs="Arial"/>
          <w:color w:val="000000"/>
          <w:sz w:val="24"/>
          <w:szCs w:val="24"/>
          <w:bdr w:val="none" w:sz="0" w:space="0" w:color="auto" w:frame="1"/>
        </w:rPr>
        <w:t>5.350.000 euro</w:t>
      </w:r>
      <w:r w:rsidRPr="005E5A2E">
        <w:rPr>
          <w:rFonts w:ascii="Arial" w:hAnsi="Arial" w:cs="Arial"/>
          <w:color w:val="000000"/>
          <w:sz w:val="24"/>
          <w:szCs w:val="24"/>
        </w:rPr>
        <w:t>.</w:t>
      </w:r>
    </w:p>
    <w:p w:rsidR="00020334" w:rsidRPr="005E5A2E" w:rsidRDefault="00020334" w:rsidP="00945B05">
      <w:pPr>
        <w:shd w:val="clear" w:color="auto" w:fill="FFFFFF"/>
        <w:spacing w:after="100" w:afterAutospacing="1" w:line="240" w:lineRule="auto"/>
        <w:jc w:val="both"/>
        <w:rPr>
          <w:rFonts w:ascii="Arial" w:eastAsia="Times New Roman" w:hAnsi="Arial" w:cs="Arial"/>
          <w:b/>
          <w:bCs/>
          <w:color w:val="333333"/>
          <w:sz w:val="24"/>
          <w:szCs w:val="24"/>
          <w:lang w:eastAsia="it-IT"/>
        </w:rPr>
      </w:pPr>
      <w:r w:rsidRPr="005E5A2E">
        <w:rPr>
          <w:rFonts w:ascii="Arial" w:eastAsia="Times New Roman" w:hAnsi="Arial" w:cs="Arial"/>
          <w:b/>
          <w:bCs/>
          <w:color w:val="333333"/>
          <w:sz w:val="24"/>
          <w:szCs w:val="24"/>
          <w:lang w:eastAsia="it-IT"/>
        </w:rPr>
        <w:t>Affidamento sotto soglia comunitaria</w:t>
      </w:r>
    </w:p>
    <w:p w:rsidR="006460A5" w:rsidRPr="005E5A2E" w:rsidRDefault="006460A5" w:rsidP="00945B05">
      <w:pPr>
        <w:shd w:val="clear" w:color="auto" w:fill="FFFFFF"/>
        <w:spacing w:after="100" w:afterAutospacing="1" w:line="240" w:lineRule="auto"/>
        <w:jc w:val="both"/>
        <w:rPr>
          <w:rFonts w:ascii="Arial" w:hAnsi="Arial" w:cs="Arial"/>
          <w:sz w:val="24"/>
          <w:szCs w:val="24"/>
        </w:rPr>
      </w:pPr>
      <w:r w:rsidRPr="005E5A2E">
        <w:rPr>
          <w:rFonts w:ascii="Arial" w:hAnsi="Arial" w:cs="Arial"/>
          <w:sz w:val="24"/>
          <w:szCs w:val="24"/>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Pr="005E5A2E" w:rsidRDefault="00CA5DB5" w:rsidP="00945B05">
      <w:pPr>
        <w:shd w:val="clear" w:color="auto" w:fill="FFFFFF"/>
        <w:spacing w:after="100" w:afterAutospacing="1" w:line="240" w:lineRule="auto"/>
        <w:jc w:val="both"/>
        <w:rPr>
          <w:rFonts w:ascii="Arial" w:hAnsi="Arial" w:cs="Arial"/>
          <w:sz w:val="24"/>
          <w:szCs w:val="24"/>
        </w:rPr>
      </w:pPr>
      <w:r w:rsidRPr="005E5A2E">
        <w:rPr>
          <w:rFonts w:ascii="Arial" w:hAnsi="Arial" w:cs="Arial"/>
          <w:sz w:val="24"/>
          <w:szCs w:val="24"/>
        </w:rPr>
        <w:t>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reinvito al contraente uscente abbiano carattere eccezionale e richiedano un onere motivazionale più stringente. L’affidamento diretto o il reinvito all’operatore economico invitato in occasione del precedente affidamento, e non affidatario, deve essere motivato.</w:t>
      </w:r>
    </w:p>
    <w:p w:rsidR="008A01F8" w:rsidRPr="005E5A2E" w:rsidRDefault="00B528BB"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L</w:t>
      </w:r>
      <w:r w:rsidR="008A01F8" w:rsidRPr="005E5A2E">
        <w:rPr>
          <w:rFonts w:ascii="Arial" w:eastAsia="Times New Roman" w:hAnsi="Arial" w:cs="Arial"/>
          <w:color w:val="000000"/>
          <w:sz w:val="24"/>
          <w:szCs w:val="24"/>
          <w:lang w:eastAsia="it-IT"/>
        </w:rPr>
        <w:t>a nuova versione dell'art. 36 prevede tre tipologie di affidamento:</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affidamento diretto;</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procedura negoziata;</w:t>
      </w:r>
    </w:p>
    <w:p w:rsidR="008A01F8" w:rsidRPr="005E5A2E" w:rsidRDefault="008A01F8" w:rsidP="008A01F8">
      <w:pPr>
        <w:numPr>
          <w:ilvl w:val="0"/>
          <w:numId w:val="13"/>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lastRenderedPageBreak/>
        <w:t>procedura aperta.</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Tipologie di affidamento che, come previsto dal comma 1 dello stesso articolo, devono comunque rispettare i principi di cui agli artt. 30, comma 1, 34 e 42, e il principio di rotazione degli inviti e degli affidamenti, in modo da assicurare l’effettiva possibilità di partecipazione delle microimprese, piccole e medie imprese.</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Una procedura di importo inferiore a 40.000 euro, benché le Linee guida ANAC n. 4 affermino che "</w:t>
      </w:r>
      <w:r w:rsidRPr="005E5A2E">
        <w:rPr>
          <w:rFonts w:ascii="Arial" w:eastAsia="Times New Roman" w:hAnsi="Arial" w:cs="Arial"/>
          <w:i/>
          <w:iCs/>
          <w:color w:val="000000"/>
          <w:sz w:val="24"/>
          <w:szCs w:val="24"/>
          <w:lang w:eastAsia="it-IT"/>
        </w:rPr>
        <w:t>al fine di assicurare il rispetto dei principi di cui all’articolo 30 del Codice dei contratti pubblici e delle regole di concorrenza, la stazione appaltante può acquisire informazioni, dati, documenti volti a identificare le soluzioni presenti sul mercato per soddisfare i propri fabbisogni e la platea dei potenziali affidatari</w:t>
      </w:r>
      <w:r w:rsidRPr="005E5A2E">
        <w:rPr>
          <w:rFonts w:ascii="Arial" w:eastAsia="Times New Roman" w:hAnsi="Arial" w:cs="Arial"/>
          <w:color w:val="000000"/>
          <w:sz w:val="24"/>
          <w:szCs w:val="24"/>
          <w:lang w:eastAsia="it-IT"/>
        </w:rPr>
        <w:t>" e nel rispetto del principio di rotazione, difficilmente potrà essere affidata "direttamente" ad una stessa impresa per più di una volta senza una valida giustificazione da parte della stazione appaltante.</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Tra l’altro nel comma 1 dell’articolo 36 del Codice dei contratti viene richiamato, per tutti i contratti sottosoglia, oltre il rispetto del principio di rotazione degli inviti e degli affidamenti e in modo da assicurare l’effettiva possibilità di partecipazione delle microimprese, piccole e medie imprese anche:</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rispetto del comma 1 dell’articolo 30 del Codice dei contratti che così recita: “</w:t>
      </w:r>
      <w:r w:rsidRPr="005E5A2E">
        <w:rPr>
          <w:rFonts w:ascii="Arial" w:eastAsia="Times New Roman" w:hAnsi="Arial" w:cs="Arial"/>
          <w:i/>
          <w:iCs/>
          <w:color w:val="000000"/>
          <w:sz w:val="24"/>
          <w:szCs w:val="24"/>
          <w:lang w:eastAsia="it-IT"/>
        </w:rPr>
        <w:t>1. L’affidamento e l’esecuzione di appalti di opere, lavori, servizi, forniture e concessioni, ai sensi del presente codice</w:t>
      </w:r>
      <w:r w:rsidRPr="005E5A2E">
        <w:rPr>
          <w:rFonts w:ascii="Arial" w:eastAsia="Times New Roman" w:hAnsi="Arial" w:cs="Arial"/>
          <w:color w:val="000000"/>
          <w:sz w:val="24"/>
          <w:szCs w:val="24"/>
          <w:lang w:eastAsia="it-IT"/>
        </w:rPr>
        <w:t> </w:t>
      </w:r>
      <w:r w:rsidRPr="005E5A2E">
        <w:rPr>
          <w:rFonts w:ascii="Arial" w:eastAsia="Times New Roman" w:hAnsi="Arial" w:cs="Arial"/>
          <w:b/>
          <w:bCs/>
          <w:i/>
          <w:iCs/>
          <w:color w:val="000000"/>
          <w:sz w:val="24"/>
          <w:szCs w:val="24"/>
          <w:lang w:eastAsia="it-IT"/>
        </w:rPr>
        <w:t>garantisce la qualità delle prestazioni e si svolge nel rispetto dei principi di economicità, efficacia, tempestività e correttezza</w:t>
      </w:r>
      <w:r w:rsidRPr="005E5A2E">
        <w:rPr>
          <w:rFonts w:ascii="Arial" w:eastAsia="Times New Roman" w:hAnsi="Arial" w:cs="Arial"/>
          <w:i/>
          <w:iCs/>
          <w:color w:val="000000"/>
          <w:sz w:val="24"/>
          <w:szCs w:val="24"/>
          <w:lang w:eastAsia="it-IT"/>
        </w:rPr>
        <w:t>. Nell’affidamento degli appalti e delle concessioni, le stazioni appaltanti rispettano, altresì, i</w:t>
      </w:r>
      <w:r w:rsidRPr="005E5A2E">
        <w:rPr>
          <w:rFonts w:ascii="Arial" w:eastAsia="Times New Roman" w:hAnsi="Arial" w:cs="Arial"/>
          <w:color w:val="000000"/>
          <w:sz w:val="24"/>
          <w:szCs w:val="24"/>
          <w:lang w:eastAsia="it-IT"/>
        </w:rPr>
        <w:t> </w:t>
      </w:r>
      <w:r w:rsidRPr="005E5A2E">
        <w:rPr>
          <w:rFonts w:ascii="Arial" w:eastAsia="Times New Roman" w:hAnsi="Arial" w:cs="Arial"/>
          <w:b/>
          <w:bCs/>
          <w:i/>
          <w:iCs/>
          <w:color w:val="000000"/>
          <w:sz w:val="24"/>
          <w:szCs w:val="24"/>
          <w:lang w:eastAsia="it-IT"/>
        </w:rPr>
        <w:t>principi di libera concorrenza, non discriminazione, trasparenza, proporzionalità</w:t>
      </w:r>
      <w:r w:rsidRPr="005E5A2E">
        <w:rPr>
          <w:rFonts w:ascii="Arial" w:eastAsia="Times New Roman" w:hAnsi="Arial" w:cs="Arial"/>
          <w:i/>
          <w:iCs/>
          <w:color w:val="000000"/>
          <w:sz w:val="24"/>
          <w:szCs w:val="24"/>
          <w:lang w:eastAsia="it-IT"/>
        </w:rPr>
        <w:t>, nonché di pubblicità con le modalità indicate nel presente codice. Il principio di economicità può essere subordinato, nei limiti in cui è espressamente consentito dalle norme vigenti e dal presente codice, ai criteri, previsti nel bando, ispirati a esigenze sociali, nonché alla tutela della salute, dell’ambiente, del patrimonio culturale e alla promozione dello sviluppo sostenibile, anche dal punto di vista energetico.”;</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i/>
          <w:iCs/>
          <w:color w:val="000000"/>
          <w:sz w:val="24"/>
          <w:szCs w:val="24"/>
          <w:lang w:eastAsia="it-IT"/>
        </w:rPr>
        <w:t>il rispetto dell’articolo 34 del Codice dei contratti rubricato</w:t>
      </w:r>
      <w:r w:rsidRPr="005E5A2E">
        <w:rPr>
          <w:rFonts w:ascii="Arial" w:eastAsia="Times New Roman" w:hAnsi="Arial" w:cs="Arial"/>
          <w:color w:val="000000"/>
          <w:sz w:val="24"/>
          <w:szCs w:val="24"/>
          <w:lang w:eastAsia="it-IT"/>
        </w:rPr>
        <w:t> </w:t>
      </w:r>
      <w:r w:rsidRPr="005E5A2E">
        <w:rPr>
          <w:rFonts w:ascii="Arial" w:eastAsia="Times New Roman" w:hAnsi="Arial" w:cs="Arial"/>
          <w:i/>
          <w:iCs/>
          <w:color w:val="000000"/>
          <w:sz w:val="24"/>
          <w:szCs w:val="24"/>
          <w:lang w:eastAsia="it-IT"/>
        </w:rPr>
        <w:t>“</w:t>
      </w:r>
      <w:r w:rsidRPr="005E5A2E">
        <w:rPr>
          <w:rFonts w:ascii="Arial" w:eastAsia="Times New Roman" w:hAnsi="Arial" w:cs="Arial"/>
          <w:color w:val="000000"/>
          <w:sz w:val="24"/>
          <w:szCs w:val="24"/>
          <w:lang w:eastAsia="it-IT"/>
        </w:rPr>
        <w:t>Criteri di sostenibilità energetica e ambientale” e, quindi, l’obbligo per le stazioni appaltanti dell’inserimento, nella documentazione progettuale e di gara, almeno delle specifiche tecniche e delle clausole contrattuali contenute nei criteri ambientali minimi di cui ai varo decreti mnisteriali già pubblicati;</w:t>
      </w:r>
    </w:p>
    <w:p w:rsidR="008A01F8" w:rsidRPr="005E5A2E" w:rsidRDefault="008A01F8" w:rsidP="008A01F8">
      <w:pPr>
        <w:numPr>
          <w:ilvl w:val="0"/>
          <w:numId w:val="14"/>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rispetto dell’articolo 42 del Codice dei contratti e, quindi, l’obbligo, per le stazioni appaltanti di prevedere misure adeguate per contrastare le frodi e la corruzione nonché per individuare, prevenire e risolvere in modo efficace ogni ipotesi di conflitto di interesse nello svolgimento delle procedure di aggiudicazione degli appalti e delle concessioni, in modo da evitare qualsiasi distorsione della concorrenza e garantire la parità di trattamento di tutti gli operatori economici.</w:t>
      </w:r>
    </w:p>
    <w:p w:rsidR="008A01F8" w:rsidRPr="005E5A2E" w:rsidRDefault="008A01F8" w:rsidP="008A01F8">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In definitiva, quindi, le stazioni appaltanti, per tutti i contratti sottosoglia e, quindi, anche nell’espletamento delle procedure semplificate di cui all’articolo36 del Codice dei contratti, devono garantire: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a) il principio di economicità, l’uso ottimale delle risorse da impiegare nello svolgimento della selezione ovvero nell’esecuzione del contratto;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b) il principio di efficacia, la congruità dei propri atti rispetto al conseguimento dello scopo e dell’interesse pubblico cui sono preordinati;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lastRenderedPageBreak/>
        <w:t>c) il principio di tempestività, l’esigenza di non dilatare la durata del procedimento di selezione del contraente in assenza di obiettive ragioni;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d) il principio di correttezza, una condotta leale ed improntata a buona fede, sia nella fase di affidamento sia in quella di esecuzione;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e) il principio di libera concorrenza, l’effettiva contendibilità degli affidamenti da parte dei soggetti potenzialmente interessati;</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f) il principio di non discriminazione e di parità di trattamento, una valutazione equa ed imparziale dei concorrenti e l’eliminazione di ostacoli o restrizioni nella predisposizione delle offerte e nella loro valutazione;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g) il principio di trasparenza e pubblicità, la conoscibilità delle procedure di gara, nonché l’uso di strumenti che consentano un accesso rapido e agevole alle informazioni relative alleprocedure;</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h) il principio di proporzionalità, l’adeguatezza e idoneità dell’azione rispetto alle finalità e all’importo dell’affidamento;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 il principio di rotazione degli inviti e degli affidamenti, il non consolidarsi di rapporti solo con alcune imprese, favorendo la distribuzione delle opportunità degli operatori economici di essere affidatari di un contratto pubblico;</w:t>
      </w:r>
    </w:p>
    <w:p w:rsidR="008A01F8"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j) i criteri di sostenibilità energetica e ambientale, la previsione nella documentazione progettuale e di gara dei criteri ambientali minimi adottati con decreto del Ministro dell’ambiente e della tutela del territorio e del mare, tenendo conto di eventuali aggiornamenti;</w:t>
      </w:r>
    </w:p>
    <w:p w:rsidR="005E5A2E" w:rsidRPr="005E5A2E" w:rsidRDefault="008A01F8" w:rsidP="008A01F8">
      <w:pPr>
        <w:numPr>
          <w:ilvl w:val="0"/>
          <w:numId w:val="15"/>
        </w:num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 xml:space="preserve">k) il principio di prevenzione e risoluzione dei conflitti di interessi, l’adozione di adeguate misure di prevenzione e risoluzione dei conflitti di interesse sia nella fase di svolgimento della procedura di gara che nella fase di esecuzione del contratto, assicurando altresì una idonea vigilanza sulle misure adottate, nel rispetto della normativa vigente e in modo coerentecon le previsioni del Piano Nazionale Anticorruzione elaborato dall’ANAC, unitamente ai relativi aggiornamenti, e dei Piani Triennali per la prevenzione della corruzione e della </w:t>
      </w:r>
      <w:r w:rsidR="005E5A2E" w:rsidRPr="005E5A2E">
        <w:rPr>
          <w:rFonts w:ascii="Arial" w:eastAsia="Times New Roman" w:hAnsi="Arial" w:cs="Arial"/>
          <w:color w:val="000000"/>
          <w:sz w:val="24"/>
          <w:szCs w:val="24"/>
          <w:lang w:eastAsia="it-IT"/>
        </w:rPr>
        <w:t>Tr</w:t>
      </w:r>
      <w:r w:rsidRPr="005E5A2E">
        <w:rPr>
          <w:rFonts w:ascii="Arial" w:eastAsia="Times New Roman" w:hAnsi="Arial" w:cs="Arial"/>
          <w:color w:val="000000"/>
          <w:sz w:val="24"/>
          <w:szCs w:val="24"/>
          <w:lang w:eastAsia="it-IT"/>
        </w:rPr>
        <w:t>asparenza</w:t>
      </w:r>
    </w:p>
    <w:p w:rsidR="005E5A2E" w:rsidRPr="005E5A2E" w:rsidRDefault="005E5A2E" w:rsidP="005E5A2E">
      <w:pPr>
        <w:shd w:val="clear" w:color="auto" w:fill="FFFFFF"/>
        <w:spacing w:before="100" w:beforeAutospacing="1" w:after="100" w:afterAutospacing="1" w:line="240" w:lineRule="auto"/>
        <w:ind w:left="360"/>
        <w:rPr>
          <w:rFonts w:ascii="Arial" w:eastAsia="Times New Roman" w:hAnsi="Arial" w:cs="Arial"/>
          <w:color w:val="000000"/>
          <w:sz w:val="24"/>
          <w:szCs w:val="24"/>
          <w:lang w:eastAsia="it-IT"/>
        </w:rPr>
      </w:pPr>
    </w:p>
    <w:p w:rsidR="005E5A2E" w:rsidRPr="005E5A2E" w:rsidRDefault="005E5A2E" w:rsidP="005E5A2E">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PROCEDURE SOMMA URGENZA</w:t>
      </w:r>
    </w:p>
    <w:p w:rsidR="005E5A2E" w:rsidRPr="005E5A2E" w:rsidRDefault="005E5A2E" w:rsidP="005E5A2E">
      <w:pPr>
        <w:pStyle w:val="NormaleWeb"/>
        <w:shd w:val="clear" w:color="auto" w:fill="FFFFFF"/>
        <w:spacing w:before="0" w:beforeAutospacing="0" w:after="262" w:afterAutospacing="0" w:line="262" w:lineRule="atLeast"/>
        <w:rPr>
          <w:rFonts w:ascii="Arial" w:hAnsi="Arial" w:cs="Arial"/>
          <w:color w:val="222222"/>
        </w:rPr>
      </w:pPr>
      <w:r w:rsidRPr="005E5A2E">
        <w:rPr>
          <w:rFonts w:ascii="Arial" w:hAnsi="Arial" w:cs="Arial"/>
          <w:color w:val="222222"/>
        </w:rPr>
        <w:t>Nei settori ordinari e in casi particolari disciplinati dagli articoli 148 (per interventi nel settore dei beni culturali) e 163 del Codice (nei casi ordinari), sono attivabili anche delle procedure di somma urgenza finalizzate alla </w:t>
      </w:r>
      <w:r w:rsidRPr="005E5A2E">
        <w:rPr>
          <w:rStyle w:val="Enfasigrassetto"/>
          <w:rFonts w:ascii="Arial" w:hAnsi="Arial" w:cs="Arial"/>
          <w:color w:val="222222"/>
        </w:rPr>
        <w:t>realizzazione di opere improcrastinabili</w:t>
      </w:r>
      <w:r w:rsidRPr="005E5A2E">
        <w:rPr>
          <w:rFonts w:ascii="Arial" w:hAnsi="Arial" w:cs="Arial"/>
          <w:color w:val="222222"/>
        </w:rPr>
        <w:t> (pericolo per persone o cose) con procedure semplificate rispetto a quelle attivabili negli altri casi. Le fasi della procedura di somma urgenza sono sinteticamente riportate di seguito:</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viene nominato il RUPo un tecnico – sopralluogo – </w:t>
      </w:r>
      <w:r w:rsidRPr="005E5A2E">
        <w:rPr>
          <w:rStyle w:val="Enfasigrassetto"/>
          <w:rFonts w:ascii="Arial" w:hAnsi="Arial" w:cs="Arial"/>
          <w:color w:val="222222"/>
          <w:sz w:val="24"/>
          <w:szCs w:val="24"/>
        </w:rPr>
        <w:t>verbale di somma urgenza</w:t>
      </w:r>
      <w:r w:rsidRPr="005E5A2E">
        <w:rPr>
          <w:rFonts w:ascii="Arial" w:hAnsi="Arial" w:cs="Arial"/>
          <w:color w:val="222222"/>
          <w:sz w:val="24"/>
          <w:szCs w:val="24"/>
        </w:rPr>
        <w:t> sulle motivazioni che hanno reso necessaria tale procedura;</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ordine di esecuzione</w:t>
      </w:r>
      <w:r w:rsidRPr="005E5A2E">
        <w:rPr>
          <w:rFonts w:ascii="Arial" w:hAnsi="Arial" w:cs="Arial"/>
          <w:color w:val="222222"/>
          <w:sz w:val="24"/>
          <w:szCs w:val="24"/>
        </w:rPr>
        <w:t> del Rup con affidamento diretto fino a 200 (ordinari) o 300 mila (beni culturali) – affidamento diretto ad esecutore;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entro 10 giorni </w:t>
      </w:r>
      <w:r w:rsidRPr="005E5A2E">
        <w:rPr>
          <w:rFonts w:ascii="Arial" w:hAnsi="Arial" w:cs="Arial"/>
          <w:color w:val="222222"/>
          <w:sz w:val="24"/>
          <w:szCs w:val="24"/>
        </w:rPr>
        <w:t>dall’ordine di esecuzione = </w:t>
      </w:r>
      <w:r w:rsidRPr="005E5A2E">
        <w:rPr>
          <w:rStyle w:val="Enfasigrassetto"/>
          <w:rFonts w:ascii="Arial" w:hAnsi="Arial" w:cs="Arial"/>
          <w:color w:val="222222"/>
          <w:sz w:val="24"/>
          <w:szCs w:val="24"/>
        </w:rPr>
        <w:t>perizia giustificativa da parte del Rup</w:t>
      </w:r>
      <w:r w:rsidRPr="005E5A2E">
        <w:rPr>
          <w:rFonts w:ascii="Arial" w:hAnsi="Arial" w:cs="Arial"/>
          <w:color w:val="222222"/>
          <w:sz w:val="24"/>
          <w:szCs w:val="24"/>
        </w:rPr>
        <w:t> da trasmettere alla stazione appaltante;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prezzari ufficiali ridotti </w:t>
      </w:r>
      <w:r w:rsidRPr="005E5A2E">
        <w:rPr>
          <w:rStyle w:val="Enfasigrassetto"/>
          <w:rFonts w:ascii="Arial" w:hAnsi="Arial" w:cs="Arial"/>
          <w:color w:val="222222"/>
          <w:sz w:val="24"/>
          <w:szCs w:val="24"/>
        </w:rPr>
        <w:t>del 20%</w:t>
      </w:r>
      <w:r w:rsidRPr="005E5A2E">
        <w:rPr>
          <w:rFonts w:ascii="Arial" w:hAnsi="Arial" w:cs="Arial"/>
          <w:color w:val="222222"/>
          <w:sz w:val="24"/>
          <w:szCs w:val="24"/>
        </w:rPr>
        <w:t>;</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Fonts w:ascii="Arial" w:hAnsi="Arial" w:cs="Arial"/>
          <w:color w:val="222222"/>
          <w:sz w:val="24"/>
          <w:szCs w:val="24"/>
        </w:rPr>
        <w:t>approvazione della stazione appaltante;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somma urgenza nei beni culturali</w:t>
      </w:r>
      <w:r w:rsidRPr="005E5A2E">
        <w:rPr>
          <w:rFonts w:ascii="Arial" w:hAnsi="Arial" w:cs="Arial"/>
          <w:color w:val="222222"/>
          <w:sz w:val="24"/>
          <w:szCs w:val="24"/>
        </w:rPr>
        <w:t> fino a 300.000 euro (art. 148, c. 7 del codice);</w:t>
      </w:r>
    </w:p>
    <w:p w:rsidR="005E5A2E" w:rsidRPr="005E5A2E" w:rsidRDefault="005E5A2E" w:rsidP="005E5A2E">
      <w:pPr>
        <w:numPr>
          <w:ilvl w:val="0"/>
          <w:numId w:val="25"/>
        </w:numPr>
        <w:shd w:val="clear" w:color="auto" w:fill="FFFFFF"/>
        <w:spacing w:before="100" w:beforeAutospacing="1" w:after="100" w:afterAutospacing="1" w:line="262" w:lineRule="atLeast"/>
        <w:ind w:left="931"/>
        <w:rPr>
          <w:rFonts w:ascii="Arial" w:hAnsi="Arial" w:cs="Arial"/>
          <w:color w:val="222222"/>
          <w:sz w:val="24"/>
          <w:szCs w:val="24"/>
        </w:rPr>
      </w:pPr>
      <w:r w:rsidRPr="005E5A2E">
        <w:rPr>
          <w:rStyle w:val="Enfasigrassetto"/>
          <w:rFonts w:ascii="Arial" w:hAnsi="Arial" w:cs="Arial"/>
          <w:color w:val="222222"/>
          <w:sz w:val="24"/>
          <w:szCs w:val="24"/>
        </w:rPr>
        <w:t>somma urgenza ordinaria </w:t>
      </w:r>
      <w:r w:rsidRPr="005E5A2E">
        <w:rPr>
          <w:rFonts w:ascii="Arial" w:hAnsi="Arial" w:cs="Arial"/>
          <w:color w:val="222222"/>
          <w:sz w:val="24"/>
          <w:szCs w:val="24"/>
        </w:rPr>
        <w:t>e protezione civile fino a 200.000 euro o più se rischio incolumità (art. 163, c. 1 del codice).</w:t>
      </w:r>
    </w:p>
    <w:p w:rsidR="005E5A2E" w:rsidRPr="005E5A2E" w:rsidRDefault="005E5A2E" w:rsidP="005E5A2E">
      <w:pPr>
        <w:shd w:val="clear" w:color="auto" w:fill="FFFFFF"/>
        <w:spacing w:before="100" w:beforeAutospacing="1" w:after="100" w:afterAutospacing="1" w:line="240" w:lineRule="auto"/>
        <w:rPr>
          <w:rFonts w:ascii="Arial" w:eastAsia="Times New Roman" w:hAnsi="Arial" w:cs="Arial"/>
          <w:color w:val="000000"/>
          <w:sz w:val="24"/>
          <w:szCs w:val="24"/>
          <w:lang w:eastAsia="it-IT"/>
        </w:rPr>
      </w:pPr>
    </w:p>
    <w:p w:rsidR="00B528BB" w:rsidRPr="005E5A2E" w:rsidRDefault="00B528BB" w:rsidP="00B528BB">
      <w:pPr>
        <w:pStyle w:val="Titolo1"/>
        <w:shd w:val="clear" w:color="auto" w:fill="FFFFFF"/>
        <w:spacing w:before="0" w:after="201"/>
        <w:rPr>
          <w:rFonts w:ascii="Arial" w:hAnsi="Arial" w:cs="Arial"/>
          <w:color w:val="111111"/>
          <w:sz w:val="24"/>
          <w:szCs w:val="24"/>
        </w:rPr>
      </w:pPr>
      <w:r w:rsidRPr="005E5A2E">
        <w:rPr>
          <w:rFonts w:ascii="Arial" w:hAnsi="Arial" w:cs="Arial"/>
          <w:color w:val="111111"/>
          <w:sz w:val="24"/>
          <w:szCs w:val="24"/>
        </w:rPr>
        <w:t>Decreto Semplificazioni e affidamento diretto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Per servizi e forniture le modalità di affidamento dei contratti sottosoglia europea sono sostanzialmente due:</w:t>
      </w:r>
    </w:p>
    <w:p w:rsidR="00F02EA6" w:rsidRPr="005E5A2E" w:rsidRDefault="00190BFF" w:rsidP="00F02EA6">
      <w:pPr>
        <w:pStyle w:val="NormaleWeb"/>
        <w:numPr>
          <w:ilvl w:val="1"/>
          <w:numId w:val="14"/>
        </w:numPr>
        <w:shd w:val="clear" w:color="auto" w:fill="F5FDFE"/>
        <w:rPr>
          <w:rFonts w:ascii="Arial" w:hAnsi="Arial" w:cs="Arial"/>
          <w:color w:val="000000"/>
        </w:rPr>
      </w:pPr>
      <w:r w:rsidRPr="005E5A2E">
        <w:rPr>
          <w:rFonts w:ascii="Arial" w:hAnsi="Arial" w:cs="Arial"/>
          <w:color w:val="000000"/>
        </w:rPr>
        <w:t>affidamento diretto per lavori di importo inferiore a 150.000 euro e per servizi e forniture, ivi compresi i servizi di ingegneria e architettura e l’attività di progettazione, di importo inferiore a 75.000 euro;</w:t>
      </w:r>
      <w:r w:rsidRPr="005E5A2E">
        <w:rPr>
          <w:rFonts w:ascii="Arial" w:hAnsi="Arial" w:cs="Arial"/>
          <w:color w:val="000000"/>
        </w:rPr>
        <w:br/>
        <w:t>b) procedura negoziata, senza bando, di cui all’</w:t>
      </w:r>
      <w:hyperlink r:id="rId6" w:anchor="063" w:history="1">
        <w:r w:rsidRPr="005E5A2E">
          <w:rPr>
            <w:rStyle w:val="Collegamentoipertestuale"/>
            <w:rFonts w:ascii="Arial" w:hAnsi="Arial" w:cs="Arial"/>
          </w:rPr>
          <w:t>articolo 63 del decreto legislativo n. 50 del 2016</w:t>
        </w:r>
      </w:hyperlink>
      <w:r w:rsidRPr="005E5A2E">
        <w:rPr>
          <w:rFonts w:ascii="Arial" w:hAnsi="Arial" w:cs="Arial"/>
          <w:color w:val="000000"/>
        </w:rPr>
        <w:t>, previa consultazione di almeno cinque operatori economici, ove esistenti, nel rispetto di un criterio di rotazione degli inviti, che tenga conto anche di una diversa dislocazione territoriale delle imprese invitate, individuati in base ad indagini di mercato o tramite elenchi di operatori economici, per l’affidamento di servizi e forniture, ivi compresi i servizi di ingegneria e architettura e l’attività di progettazione, di importo pari o superiore a 75.000 euro e fino alle soglie di cui all’</w:t>
      </w:r>
      <w:hyperlink r:id="rId7" w:anchor="035" w:history="1">
        <w:r w:rsidRPr="005E5A2E">
          <w:rPr>
            <w:rStyle w:val="Collegamentoipertestuale"/>
            <w:rFonts w:ascii="Arial" w:hAnsi="Arial" w:cs="Arial"/>
          </w:rPr>
          <w:t>articolo 35 del decreto legislativo n. 50 del 2016</w:t>
        </w:r>
      </w:hyperlink>
      <w:r w:rsidRPr="005E5A2E">
        <w:rPr>
          <w:rFonts w:ascii="Arial" w:hAnsi="Arial" w:cs="Arial"/>
          <w:color w:val="000000"/>
        </w:rPr>
        <w:t> e di lavori di importo pari o superiore a 150.000 euro e inferiore a 350.000 euro, ovvero di almeno dieci operatori per lavori di importo pari o superiore a 350.000 euro e inferiore a un milione di euro, ovvero di almeno quindici operatori per lavori di importo pari o superiore a un milione di euro e fino alle soglie di cui all’articolo 35 del decreto legislativo n. 50 del 2016.</w:t>
      </w:r>
    </w:p>
    <w:p w:rsidR="00190BFF" w:rsidRPr="005E5A2E" w:rsidRDefault="00190BFF" w:rsidP="00F02EA6">
      <w:pPr>
        <w:pStyle w:val="NormaleWeb"/>
        <w:numPr>
          <w:ilvl w:val="1"/>
          <w:numId w:val="14"/>
        </w:numPr>
        <w:shd w:val="clear" w:color="auto" w:fill="F5FDFE"/>
        <w:rPr>
          <w:rFonts w:ascii="Arial" w:hAnsi="Arial" w:cs="Arial"/>
          <w:color w:val="000000"/>
        </w:rPr>
      </w:pPr>
      <w:r w:rsidRPr="005E5A2E">
        <w:rPr>
          <w:rFonts w:ascii="Arial" w:hAnsi="Arial" w:cs="Arial"/>
          <w:color w:val="000000"/>
        </w:rPr>
        <w:t xml:space="preserve"> Le stazioni appaltanti danno evidenza dell’avvio delle procedure negoziate di cui alla presente lettera tramite pubblicazione di un avviso nei rispettivi siti internet istituzionali. L’avviso sui risultati della procedura di affidamento, la cui pubblicazione nel caso di cui alla lettera a) non è obbligatoria per affidamenti inferiori ad euro 40.000, contiene anche l’indicazione dei soggetti invitati.</w:t>
      </w:r>
    </w:p>
    <w:p w:rsidR="00190BFF" w:rsidRPr="005E5A2E" w:rsidRDefault="00190BFF" w:rsidP="00B528BB">
      <w:pPr>
        <w:shd w:val="clear" w:color="auto" w:fill="FFFFFF"/>
        <w:spacing w:after="101" w:line="240" w:lineRule="auto"/>
        <w:rPr>
          <w:rFonts w:ascii="Arial" w:eastAsia="Times New Roman" w:hAnsi="Arial" w:cs="Arial"/>
          <w:color w:val="000000"/>
          <w:sz w:val="24"/>
          <w:szCs w:val="24"/>
          <w:lang w:eastAsia="it-IT"/>
        </w:rPr>
      </w:pP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Si tratta di una modalità che potremmo definire abbastanza succinta dato che prevede due sole tipologie di procedure: affidamento diretto o gara negoziata senza pubblicazione del bando. In sostanza la deroga in questione discosta fortemente le soglie di applicazione ex art. 36 di entrambe le procedure (l’articolo 36 comma 2 del D.lgs. consente infatti l’affidamento diretto senza consultazione di imprese solo fino a 40.000 euro).</w:t>
      </w:r>
    </w:p>
    <w:p w:rsidR="00B528BB" w:rsidRPr="005E5A2E" w:rsidRDefault="00B528BB" w:rsidP="00B528BB">
      <w:pPr>
        <w:shd w:val="clear" w:color="auto" w:fill="FFFFFF"/>
        <w:spacing w:after="101" w:line="240" w:lineRule="auto"/>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PER I LAVORI:</w:t>
      </w:r>
    </w:p>
    <w:p w:rsidR="00B528BB" w:rsidRPr="005E5A2E" w:rsidRDefault="00B528BB" w:rsidP="00B528BB">
      <w:pPr>
        <w:shd w:val="clear" w:color="auto" w:fill="FFFFFF"/>
        <w:spacing w:after="101" w:line="240" w:lineRule="auto"/>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lavori di importo pari o superiore a 150.000 euro e inferiore a 350.000 euro consultazione di almeno 5 operatori</w:t>
      </w:r>
    </w:p>
    <w:p w:rsidR="00B528BB" w:rsidRPr="005E5A2E" w:rsidRDefault="00B528BB" w:rsidP="00B528BB">
      <w:pPr>
        <w:shd w:val="clear" w:color="auto" w:fill="FFFFFF"/>
        <w:spacing w:after="101" w:line="240" w:lineRule="auto"/>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per lavori di importo pari o superiore a 350.000 euro e inferiore a un milione di euro consultazione di almeno dieci operatori,</w:t>
      </w:r>
    </w:p>
    <w:p w:rsidR="00B528BB" w:rsidRPr="005E5A2E" w:rsidRDefault="00B528BB" w:rsidP="00B528BB">
      <w:pPr>
        <w:shd w:val="clear" w:color="auto" w:fill="FFFFFF"/>
        <w:spacing w:after="101" w:line="240" w:lineRule="auto"/>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per lavori di importo pari o superiore a un milione di euro e fino alle soglie ovvero di almeno quindici operator</w:t>
      </w:r>
      <w:r w:rsidR="00190BFF" w:rsidRPr="005E5A2E">
        <w:rPr>
          <w:rFonts w:ascii="Arial" w:hAnsi="Arial" w:cs="Arial"/>
          <w:color w:val="000000"/>
          <w:sz w:val="24"/>
          <w:szCs w:val="24"/>
          <w:shd w:val="clear" w:color="auto" w:fill="F5FDFE"/>
        </w:rPr>
        <w:t>i</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hAnsi="Arial" w:cs="Arial"/>
          <w:color w:val="000000"/>
          <w:sz w:val="24"/>
          <w:szCs w:val="24"/>
          <w:shd w:val="clear" w:color="auto" w:fill="F5FDFE"/>
        </w:rPr>
        <w:t> </w:t>
      </w:r>
      <w:r w:rsidRPr="005E5A2E">
        <w:rPr>
          <w:rFonts w:ascii="Arial" w:hAnsi="Arial" w:cs="Arial"/>
          <w:b/>
          <w:bCs/>
          <w:color w:val="000000"/>
          <w:sz w:val="24"/>
          <w:szCs w:val="24"/>
          <w:shd w:val="clear" w:color="auto" w:fill="F5FDFE"/>
        </w:rPr>
        <w:t>Le stazioni appaltanti danno evidenza dell’avvio delle procedure negoziate di cui alla presente lettera tramite pubblicazione di un avviso nei rispettivi siti internet istituzionali. L’avviso sui risultati della procedura di affidamento, la cui pubblicazione nel caso di cui alla lettera a) non è obbligatoria per affidamenti inferiori ad euro 40.000, contiene anche l’indicazione dei soggetti invitati</w:t>
      </w:r>
      <w:r w:rsidRPr="005E5A2E">
        <w:rPr>
          <w:rFonts w:ascii="Arial" w:hAnsi="Arial" w:cs="Arial"/>
          <w:color w:val="000000"/>
          <w:sz w:val="24"/>
          <w:szCs w:val="24"/>
          <w:shd w:val="clear" w:color="auto" w:fill="F5FDFE"/>
        </w:rPr>
        <w:t>.</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lastRenderedPageBreak/>
        <w:t>Questa impostazione di affidamento diretto per lavori, servizi e forniture parrebbe abbastanza cogente in quanto testualmente recita: “</w:t>
      </w:r>
      <w:r w:rsidRPr="005E5A2E">
        <w:rPr>
          <w:rFonts w:ascii="Arial" w:eastAsia="Times New Roman" w:hAnsi="Arial" w:cs="Arial"/>
          <w:i/>
          <w:iCs/>
          <w:color w:val="000000"/>
          <w:sz w:val="24"/>
          <w:szCs w:val="24"/>
          <w:lang w:eastAsia="it-IT"/>
        </w:rPr>
        <w:t>le stazioni appaltanti procedono all'affidamento</w:t>
      </w:r>
      <w:r w:rsidRPr="005E5A2E">
        <w:rPr>
          <w:rFonts w:ascii="Arial" w:eastAsia="Times New Roman" w:hAnsi="Arial" w:cs="Arial"/>
          <w:color w:val="000000"/>
          <w:sz w:val="24"/>
          <w:szCs w:val="24"/>
          <w:lang w:eastAsia="it-IT"/>
        </w:rPr>
        <w:t>”, a differenza dell’impostazione del Codice che lascia maggior margine discrezionale alla stazione appaltante. Pertanto, ad avviso di chi scrive, sembrerebbe sempre possibile avvalersi delle procedure ordinarie, pure sottosoglia. Difatti, l’art. 36 comma 1 del Codice non è stato derogato e, di conseguenza, si ritiene che sia rimasto pienamente operativo.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Da tale articolo non deriva soltanto l’obbligo del rispetto del principio di rotazione degli inviti e degli affidamenti ma anche di quei principi di cui all'articolo 30 del D.Lgs. 50/2016 ovvero principi di economicità, efficacia, tempestività e correttezza, di libera concorrenza, non discriminazione, trasparenza, proporzionalità, nonché di pubblicità. Inoltre  - nonostante l’uso dell’ indicativo - il DL 76 “deroga”, non abroga l’art. 36 del Codice.</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Elemento di novità introdotto dal Decreto sono poi dei tempi massimi di durata degli affidamenti sotto soglia, differenziati a seconda della tipologia di procedura.</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Il mancato rispetto di tali termini, la mancata tempestiva stipulazione del contratto e il tardivo avvio dell’esecuzione dello stesso possono essere valutati ai fini della responsabilità del RUP per danno erariale e, nel caso fossero invece addebitabili all’operatore economico, costituiscono causa di esclusione dello stesso dalla procedura o di risoluzione del contratto per inadempimento che viene senza indugio dichiarata dalla stazione appaltante e opera di diritto.</w:t>
      </w:r>
    </w:p>
    <w:p w:rsidR="00B528BB" w:rsidRPr="005E5A2E" w:rsidRDefault="00B528BB" w:rsidP="00B528BB">
      <w:pPr>
        <w:shd w:val="clear" w:color="auto" w:fill="FFFFFF"/>
        <w:spacing w:after="101" w:line="240" w:lineRule="auto"/>
        <w:rPr>
          <w:rFonts w:ascii="Arial" w:eastAsia="Times New Roman" w:hAnsi="Arial" w:cs="Arial"/>
          <w:color w:val="000000"/>
          <w:sz w:val="24"/>
          <w:szCs w:val="24"/>
          <w:lang w:eastAsia="it-IT"/>
        </w:rPr>
      </w:pPr>
      <w:r w:rsidRPr="005E5A2E">
        <w:rPr>
          <w:rFonts w:ascii="Arial" w:eastAsia="Times New Roman" w:hAnsi="Arial" w:cs="Arial"/>
          <w:color w:val="000000"/>
          <w:sz w:val="24"/>
          <w:szCs w:val="24"/>
          <w:lang w:eastAsia="it-IT"/>
        </w:rPr>
        <w:t>Tuttavia appare maggiormente rischioso avvalersi di un affidamento diretto senza alcuna consultazione che garantisca di acquisire dati, informazioni, preventivi ed elementi rilevati dal mercato di riferimento che consenta l’individuazione del miglior contraente e della miglior offerta sotto il profilo tecnico ed economico.</w:t>
      </w:r>
    </w:p>
    <w:p w:rsidR="00CA5DB5" w:rsidRPr="005E5A2E" w:rsidRDefault="00B02864"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I SOGGETTI</w:t>
      </w:r>
    </w:p>
    <w:p w:rsidR="008B135A" w:rsidRPr="005E5A2E" w:rsidRDefault="008B135A" w:rsidP="00945B05">
      <w:pPr>
        <w:shd w:val="clear" w:color="auto" w:fill="FFFFFF"/>
        <w:spacing w:after="100" w:afterAutospacing="1" w:line="240" w:lineRule="auto"/>
        <w:jc w:val="both"/>
        <w:rPr>
          <w:rFonts w:ascii="Arial" w:hAnsi="Arial" w:cs="Arial"/>
          <w:color w:val="171717"/>
          <w:sz w:val="24"/>
          <w:szCs w:val="24"/>
          <w:shd w:val="clear" w:color="auto" w:fill="FFFCDD"/>
        </w:rPr>
      </w:pPr>
      <w:r w:rsidRPr="005E5A2E">
        <w:rPr>
          <w:rFonts w:ascii="Arial" w:eastAsia="Times New Roman" w:hAnsi="Arial" w:cs="Arial"/>
          <w:color w:val="333333"/>
          <w:sz w:val="24"/>
          <w:szCs w:val="24"/>
          <w:lang w:eastAsia="it-IT"/>
        </w:rPr>
        <w:t>La stazione appaltante ricomprende tutti i possibili soggetti , comprese</w:t>
      </w:r>
      <w:r w:rsidRPr="005E5A2E">
        <w:rPr>
          <w:rFonts w:ascii="Arial" w:hAnsi="Arial" w:cs="Arial"/>
          <w:color w:val="171717"/>
          <w:sz w:val="24"/>
          <w:szCs w:val="24"/>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5E5A2E" w:rsidRDefault="008B135A"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t>Secondo l'art. 3, comma a), del D. Lgs. n. 50/2016 sono </w:t>
      </w:r>
      <w:r w:rsidRPr="005E5A2E">
        <w:rPr>
          <w:rFonts w:ascii="Arial" w:hAnsi="Arial" w:cs="Arial"/>
          <w:i/>
          <w:iCs/>
          <w:color w:val="222222"/>
        </w:rPr>
        <w:t>amministrazioni aggiudicatrici</w:t>
      </w:r>
      <w:r w:rsidRPr="005E5A2E">
        <w:rPr>
          <w:rFonts w:ascii="Arial" w:hAnsi="Arial" w:cs="Arial"/>
          <w:color w:val="222222"/>
        </w:rPr>
        <w:t> le </w:t>
      </w:r>
      <w:r w:rsidR="00507C60" w:rsidRPr="005E5A2E">
        <w:rPr>
          <w:rFonts w:ascii="Arial" w:hAnsi="Arial" w:cs="Arial"/>
          <w:color w:val="222222"/>
        </w:rPr>
        <w:t xml:space="preserve">amministrazioni </w:t>
      </w:r>
      <w:r w:rsidRPr="005E5A2E">
        <w:rPr>
          <w:rFonts w:ascii="Arial" w:hAnsi="Arial" w:cs="Arial"/>
          <w:color w:val="222222"/>
        </w:rPr>
        <w:t>dello </w:t>
      </w:r>
      <w:r w:rsidR="00507C60" w:rsidRPr="005E5A2E">
        <w:rPr>
          <w:rFonts w:ascii="Arial" w:hAnsi="Arial" w:cs="Arial"/>
          <w:color w:val="222222"/>
        </w:rPr>
        <w:t>Stato</w:t>
      </w:r>
      <w:r w:rsidRPr="005E5A2E">
        <w:rPr>
          <w:rFonts w:ascii="Arial" w:hAnsi="Arial" w:cs="Arial"/>
          <w:color w:val="222222"/>
        </w:rPr>
        <w:t>, gli </w:t>
      </w:r>
      <w:r w:rsidR="00507C60" w:rsidRPr="005E5A2E">
        <w:rPr>
          <w:rFonts w:ascii="Arial" w:hAnsi="Arial" w:cs="Arial"/>
          <w:color w:val="222222"/>
        </w:rPr>
        <w:t>enti pubblici territoriali</w:t>
      </w:r>
      <w:r w:rsidRPr="005E5A2E">
        <w:rPr>
          <w:rFonts w:ascii="Arial" w:hAnsi="Arial" w:cs="Arial"/>
          <w:color w:val="222222"/>
        </w:rPr>
        <w:t>, gli altri </w:t>
      </w:r>
      <w:r w:rsidR="00507C60" w:rsidRPr="005E5A2E">
        <w:rPr>
          <w:rFonts w:ascii="Arial" w:hAnsi="Arial" w:cs="Arial"/>
          <w:color w:val="222222"/>
        </w:rPr>
        <w:t>enti pubblici</w:t>
      </w:r>
      <w:r w:rsidRPr="005E5A2E">
        <w:rPr>
          <w:rFonts w:ascii="Arial" w:hAnsi="Arial" w:cs="Arial"/>
          <w:color w:val="222222"/>
        </w:rPr>
        <w:t> non economici, gli </w:t>
      </w:r>
      <w:r w:rsidR="00507C60" w:rsidRPr="005E5A2E">
        <w:rPr>
          <w:rFonts w:ascii="Arial" w:hAnsi="Arial" w:cs="Arial"/>
          <w:color w:val="222222"/>
        </w:rPr>
        <w:t>organismi di diritto pubblico</w:t>
      </w:r>
      <w:r w:rsidRPr="005E5A2E">
        <w:rPr>
          <w:rFonts w:ascii="Arial" w:hAnsi="Arial" w:cs="Arial"/>
          <w:color w:val="222222"/>
        </w:rPr>
        <w:t> e le </w:t>
      </w:r>
      <w:r w:rsidR="00507C60" w:rsidRPr="005E5A2E">
        <w:rPr>
          <w:rFonts w:ascii="Arial" w:hAnsi="Arial" w:cs="Arial"/>
          <w:color w:val="222222"/>
        </w:rPr>
        <w:t>associazioni</w:t>
      </w:r>
      <w:r w:rsidRPr="005E5A2E">
        <w:rPr>
          <w:rFonts w:ascii="Arial" w:hAnsi="Arial" w:cs="Arial"/>
          <w:color w:val="222222"/>
        </w:rPr>
        <w:t>, unioni e </w:t>
      </w:r>
      <w:r w:rsidR="00507C60" w:rsidRPr="005E5A2E">
        <w:rPr>
          <w:rFonts w:ascii="Arial" w:hAnsi="Arial" w:cs="Arial"/>
          <w:color w:val="222222"/>
        </w:rPr>
        <w:t>consorzi</w:t>
      </w:r>
      <w:r w:rsidRPr="005E5A2E">
        <w:rPr>
          <w:rFonts w:ascii="Arial" w:hAnsi="Arial" w:cs="Arial"/>
          <w:color w:val="222222"/>
        </w:rPr>
        <w:t>, comunque denominati, costituiti da detti soggetti.</w:t>
      </w:r>
    </w:p>
    <w:p w:rsidR="008B135A" w:rsidRPr="005E5A2E" w:rsidRDefault="008B135A"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t>Il comma d) dello stesso articolo precisa che per </w:t>
      </w:r>
      <w:r w:rsidRPr="005E5A2E">
        <w:rPr>
          <w:rFonts w:ascii="Arial" w:hAnsi="Arial" w:cs="Arial"/>
          <w:i/>
          <w:iCs/>
          <w:color w:val="222222"/>
        </w:rPr>
        <w:t>organismo di diritto pubblico</w:t>
      </w:r>
      <w:r w:rsidRPr="005E5A2E">
        <w:rPr>
          <w:rFonts w:ascii="Arial" w:hAnsi="Arial" w:cs="Arial"/>
          <w:color w:val="222222"/>
        </w:rPr>
        <w:t> s'intende qualsiasi organismo, anche in forma </w:t>
      </w:r>
      <w:r w:rsidR="00507C60" w:rsidRPr="005E5A2E">
        <w:rPr>
          <w:rFonts w:ascii="Arial" w:hAnsi="Arial" w:cs="Arial"/>
          <w:color w:val="222222"/>
        </w:rPr>
        <w:t>societaria</w:t>
      </w:r>
      <w:r w:rsidRPr="005E5A2E">
        <w:rPr>
          <w:rFonts w:ascii="Arial" w:hAnsi="Arial" w:cs="Arial"/>
          <w:color w:val="222222"/>
        </w:rPr>
        <w:t>:</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istituito per soddisfare specificatamente esigenze di interesse generale, aventi carattere non industriale o commerciale</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dotato di </w:t>
      </w:r>
      <w:r w:rsidR="00507C60" w:rsidRPr="005E5A2E">
        <w:rPr>
          <w:rFonts w:ascii="Arial" w:hAnsi="Arial" w:cs="Arial"/>
          <w:color w:val="222222"/>
          <w:sz w:val="24"/>
          <w:szCs w:val="24"/>
        </w:rPr>
        <w:t xml:space="preserve">personalità giuridica </w:t>
      </w:r>
    </w:p>
    <w:p w:rsidR="008B135A" w:rsidRPr="005E5A2E"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5E5A2E" w:rsidRDefault="00945B05" w:rsidP="00945B05">
      <w:pPr>
        <w:pStyle w:val="NormaleWeb"/>
        <w:shd w:val="clear" w:color="auto" w:fill="FFFFFF"/>
        <w:spacing w:before="120" w:beforeAutospacing="0" w:after="120" w:afterAutospacing="0"/>
        <w:rPr>
          <w:rFonts w:ascii="Arial" w:hAnsi="Arial" w:cs="Arial"/>
          <w:color w:val="222222"/>
        </w:rPr>
      </w:pPr>
      <w:r w:rsidRPr="005E5A2E">
        <w:rPr>
          <w:rFonts w:ascii="Arial" w:hAnsi="Arial" w:cs="Arial"/>
          <w:color w:val="222222"/>
        </w:rPr>
        <w:t>O</w:t>
      </w:r>
      <w:r w:rsidR="008B135A" w:rsidRPr="005E5A2E">
        <w:rPr>
          <w:rFonts w:ascii="Arial" w:hAnsi="Arial" w:cs="Arial"/>
          <w:color w:val="222222"/>
        </w:rPr>
        <w:t>ltre alle amministrazioni aggiudicatrici, sono stazioni appaltanti taluni soggetti, anche privati, allorché affidino appalti contemplati nell'art. 32 del D. Lgs. n. 163/2006. Si possono ricordare: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lastRenderedPageBreak/>
        <w:t>i concessionari di lavori pubblici quando affidano lavori</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concessionari di servizi che affidano lavori pubblici strettamente strumentali alla gestione del servizio, se le opere pubbliche diventano di proprietà dell'amministrazione aggiudicatrice</w:t>
      </w:r>
    </w:p>
    <w:p w:rsidR="008B135A" w:rsidRPr="005E5A2E"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5E5A2E">
        <w:rPr>
          <w:rFonts w:ascii="Arial" w:hAnsi="Arial" w:cs="Arial"/>
          <w:color w:val="222222"/>
          <w:sz w:val="24"/>
          <w:szCs w:val="24"/>
        </w:rPr>
        <w:t>i soggetti privati, titolari di </w:t>
      </w:r>
      <w:r w:rsidR="00945B05" w:rsidRPr="005E5A2E">
        <w:rPr>
          <w:rFonts w:ascii="Arial" w:hAnsi="Arial" w:cs="Arial"/>
          <w:color w:val="222222"/>
          <w:sz w:val="24"/>
          <w:szCs w:val="24"/>
        </w:rPr>
        <w:t>permesso di costruire</w:t>
      </w:r>
      <w:r w:rsidRPr="005E5A2E">
        <w:rPr>
          <w:rFonts w:ascii="Arial" w:hAnsi="Arial" w:cs="Arial"/>
          <w:color w:val="222222"/>
          <w:sz w:val="24"/>
          <w:szCs w:val="24"/>
        </w:rPr>
        <w:t xml:space="preserve"> che assumono in via diretta l'esecuzione delle opere di urbanizzazione a scomputo totale o parziale del contributo previsto per il rilascio del permesso, quando affidano i relativi lavori</w:t>
      </w:r>
    </w:p>
    <w:p w:rsidR="008B135A" w:rsidRPr="005E5A2E" w:rsidRDefault="008B135A" w:rsidP="00945B05">
      <w:pPr>
        <w:shd w:val="clear" w:color="auto" w:fill="FFFFFF"/>
        <w:spacing w:before="100" w:beforeAutospacing="1" w:after="24" w:line="240" w:lineRule="auto"/>
        <w:ind w:left="24"/>
        <w:rPr>
          <w:rFonts w:ascii="Arial" w:hAnsi="Arial" w:cs="Arial"/>
          <w:color w:val="222222"/>
          <w:sz w:val="24"/>
          <w:szCs w:val="24"/>
        </w:rPr>
      </w:pPr>
      <w:r w:rsidRPr="005E5A2E">
        <w:rPr>
          <w:rFonts w:ascii="Arial" w:hAnsi="Arial" w:cs="Arial"/>
          <w:color w:val="222222"/>
          <w:sz w:val="24"/>
          <w:szCs w:val="24"/>
        </w:rPr>
        <w:t xml:space="preserve"> la riduzione del numero delle stazioni appaltanti è uno degli obiettivi comunitari e la disciplina è attualmente contenuta nell’art 37 che garantisce la piena autonomia di provvedere autonomamente per tutte le stazioni appaltanti per aggiudicazione servizi e forniture inferiori a 40000 e lavori inferiori a 150000.</w:t>
      </w:r>
    </w:p>
    <w:p w:rsidR="00945B05" w:rsidRPr="005E5A2E" w:rsidRDefault="008B135A"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222222"/>
          <w:sz w:val="24"/>
          <w:szCs w:val="24"/>
        </w:rPr>
        <w:t xml:space="preserve">Al di fuori di questi limiti, le stazioni appaltanti necessitano per poter provvedere in autonomia, della qualificazione prevista all’art 38 o altrimenti possono operare attraverso modelli di aggregazione. Art 37.3 </w:t>
      </w:r>
      <w:r w:rsidRPr="005E5A2E">
        <w:rPr>
          <w:rFonts w:ascii="Arial" w:hAnsi="Arial" w:cs="Arial"/>
          <w:color w:val="171717"/>
          <w:sz w:val="24"/>
          <w:szCs w:val="24"/>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5E5A2E">
        <w:rPr>
          <w:rFonts w:ascii="Arial" w:hAnsi="Arial" w:cs="Arial"/>
          <w:color w:val="171717"/>
          <w:sz w:val="24"/>
          <w:szCs w:val="24"/>
          <w:shd w:val="clear" w:color="auto" w:fill="FFFCDD"/>
        </w:rPr>
        <w:t xml:space="preserve">Risulteranno quindi due modalità per affidamenti superiori a queste soglie: </w:t>
      </w:r>
    </w:p>
    <w:p w:rsidR="00945B05"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 xml:space="preserve">1 centrale di committenza, </w:t>
      </w:r>
    </w:p>
    <w:p w:rsidR="008B135A"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2 ricorso a stazioni appaltanti qualificate</w:t>
      </w:r>
    </w:p>
    <w:p w:rsidR="00403D8C"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Se la stazione appaltante è un Comune non capoluogo deve operare obbligatoriamente per il tramite di altri soggetti</w:t>
      </w:r>
      <w:r w:rsidR="00945B05" w:rsidRPr="005E5A2E">
        <w:rPr>
          <w:rFonts w:ascii="Arial" w:hAnsi="Arial" w:cs="Arial"/>
          <w:color w:val="171717"/>
          <w:sz w:val="24"/>
          <w:szCs w:val="24"/>
          <w:shd w:val="clear" w:color="auto" w:fill="FFFCDD"/>
        </w:rPr>
        <w:t xml:space="preserve"> </w:t>
      </w:r>
      <w:r w:rsidRPr="005E5A2E">
        <w:rPr>
          <w:rFonts w:ascii="Arial" w:hAnsi="Arial" w:cs="Arial"/>
          <w:color w:val="171717"/>
          <w:sz w:val="24"/>
          <w:szCs w:val="24"/>
          <w:shd w:val="clear" w:color="auto" w:fill="FFFCDD"/>
        </w:rPr>
        <w:t>o comunque attraverso un’aggregazione della domanda; gli strumenti previsti sono infatti le Unioni di Comuni, che dovranno comunque qualificarsi, oppure la stazione appaltante unica cost</w:t>
      </w:r>
      <w:r w:rsidR="00945B05" w:rsidRPr="005E5A2E">
        <w:rPr>
          <w:rFonts w:ascii="Arial" w:hAnsi="Arial" w:cs="Arial"/>
          <w:color w:val="171717"/>
          <w:sz w:val="24"/>
          <w:szCs w:val="24"/>
          <w:shd w:val="clear" w:color="auto" w:fill="FFFCDD"/>
        </w:rPr>
        <w:t>it</w:t>
      </w:r>
      <w:r w:rsidRPr="005E5A2E">
        <w:rPr>
          <w:rFonts w:ascii="Arial" w:hAnsi="Arial" w:cs="Arial"/>
          <w:color w:val="171717"/>
          <w:sz w:val="24"/>
          <w:szCs w:val="24"/>
          <w:shd w:val="clear" w:color="auto" w:fill="FFFCDD"/>
        </w:rPr>
        <w:t>uita presso enti di area vasta, province e CM), infine il ricorso ad una centra</w:t>
      </w:r>
      <w:r w:rsidR="00945B05" w:rsidRPr="005E5A2E">
        <w:rPr>
          <w:rFonts w:ascii="Arial" w:hAnsi="Arial" w:cs="Arial"/>
          <w:color w:val="171717"/>
          <w:sz w:val="24"/>
          <w:szCs w:val="24"/>
          <w:shd w:val="clear" w:color="auto" w:fill="FFFCDD"/>
        </w:rPr>
        <w:t>l</w:t>
      </w:r>
      <w:r w:rsidRPr="005E5A2E">
        <w:rPr>
          <w:rFonts w:ascii="Arial" w:hAnsi="Arial" w:cs="Arial"/>
          <w:color w:val="171717"/>
          <w:sz w:val="24"/>
          <w:szCs w:val="24"/>
          <w:shd w:val="clear" w:color="auto" w:fill="FFFCDD"/>
        </w:rPr>
        <w:t>e di commit</w:t>
      </w:r>
      <w:r w:rsidR="00945B05" w:rsidRPr="005E5A2E">
        <w:rPr>
          <w:rFonts w:ascii="Arial" w:hAnsi="Arial" w:cs="Arial"/>
          <w:color w:val="171717"/>
          <w:sz w:val="24"/>
          <w:szCs w:val="24"/>
          <w:shd w:val="clear" w:color="auto" w:fill="FFFCDD"/>
        </w:rPr>
        <w:t>t</w:t>
      </w:r>
      <w:r w:rsidRPr="005E5A2E">
        <w:rPr>
          <w:rFonts w:ascii="Arial" w:hAnsi="Arial" w:cs="Arial"/>
          <w:color w:val="171717"/>
          <w:sz w:val="24"/>
          <w:szCs w:val="24"/>
          <w:shd w:val="clear" w:color="auto" w:fill="FFFCDD"/>
        </w:rPr>
        <w:t>enza o a soggetti aggregatori qualificati.</w:t>
      </w:r>
    </w:p>
    <w:p w:rsidR="00403D8C"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5E5A2E">
        <w:rPr>
          <w:rFonts w:ascii="Arial" w:hAnsi="Arial" w:cs="Arial"/>
          <w:color w:val="171717"/>
          <w:sz w:val="24"/>
          <w:szCs w:val="24"/>
          <w:shd w:val="clear" w:color="auto" w:fill="FFFCDD"/>
        </w:rPr>
        <w:t>o</w:t>
      </w:r>
      <w:r w:rsidRPr="005E5A2E">
        <w:rPr>
          <w:rFonts w:ascii="Arial" w:hAnsi="Arial" w:cs="Arial"/>
          <w:color w:val="171717"/>
          <w:sz w:val="24"/>
          <w:szCs w:val="24"/>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lastRenderedPageBreak/>
        <w:t xml:space="preserve">La qualificazione obbligatoria ad oggi è tesa a valutare la capacità e idoneità </w:t>
      </w:r>
      <w:r w:rsidR="009B4779" w:rsidRPr="005E5A2E">
        <w:rPr>
          <w:rFonts w:ascii="Arial" w:hAnsi="Arial" w:cs="Arial"/>
          <w:color w:val="171717"/>
          <w:sz w:val="24"/>
          <w:szCs w:val="24"/>
          <w:shd w:val="clear" w:color="auto" w:fill="FFFCDD"/>
        </w:rPr>
        <w:t>delle stazioni appaltanti o centrali di committenza a svolgere appieno il ruolo.</w:t>
      </w:r>
    </w:p>
    <w:p w:rsidR="009B4779" w:rsidRPr="005E5A2E" w:rsidRDefault="00945B05"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w:t>
      </w:r>
      <w:r w:rsidR="009B4779" w:rsidRPr="005E5A2E">
        <w:rPr>
          <w:rFonts w:ascii="Arial" w:hAnsi="Arial" w:cs="Arial"/>
          <w:color w:val="171717"/>
          <w:sz w:val="24"/>
          <w:szCs w:val="24"/>
          <w:shd w:val="clear" w:color="auto" w:fill="FFFCDD"/>
        </w:rPr>
        <w:t>a qualificazione diventa requisito necessario per svolgere in autonomia procedure di gara &gt;40000 per forniture e servizi e &gt; 150000 per i lavori.</w:t>
      </w:r>
      <w:r w:rsidRPr="005E5A2E">
        <w:rPr>
          <w:rFonts w:ascii="Arial" w:hAnsi="Arial" w:cs="Arial"/>
          <w:color w:val="171717"/>
          <w:sz w:val="24"/>
          <w:szCs w:val="24"/>
          <w:shd w:val="clear" w:color="auto" w:fill="FFFCDD"/>
        </w:rPr>
        <w:t xml:space="preserve"> L</w:t>
      </w:r>
      <w:r w:rsidR="009B4779" w:rsidRPr="005E5A2E">
        <w:rPr>
          <w:rFonts w:ascii="Arial" w:hAnsi="Arial" w:cs="Arial"/>
          <w:color w:val="171717"/>
          <w:sz w:val="24"/>
          <w:szCs w:val="24"/>
          <w:shd w:val="clear" w:color="auto" w:fill="FFFCDD"/>
        </w:rPr>
        <w:t>a legge affida all’ANAC il compito di tenere un registro delle stazioni appalti qualificate (la qualificazione viene attribuita di diritto ad alcuni soggetti come il Ministero trasporti, Consip, CM, soggetti aggregatori regionali ecc). per esser qualificati è necessario avere strutture organizzative interne, personale qualificato, numer</w:t>
      </w:r>
      <w:r w:rsidRPr="005E5A2E">
        <w:rPr>
          <w:rFonts w:ascii="Arial" w:hAnsi="Arial" w:cs="Arial"/>
          <w:color w:val="171717"/>
          <w:sz w:val="24"/>
          <w:szCs w:val="24"/>
          <w:shd w:val="clear" w:color="auto" w:fill="FFFCDD"/>
        </w:rPr>
        <w:t>o</w:t>
      </w:r>
      <w:r w:rsidR="009B4779" w:rsidRPr="005E5A2E">
        <w:rPr>
          <w:rFonts w:ascii="Arial" w:hAnsi="Arial" w:cs="Arial"/>
          <w:color w:val="171717"/>
          <w:sz w:val="24"/>
          <w:szCs w:val="24"/>
          <w:shd w:val="clear" w:color="auto" w:fill="FFFCDD"/>
        </w:rPr>
        <w:t xml:space="preserve"> di procedure svolte, regolarità nei pagamenti ecc. </w:t>
      </w:r>
    </w:p>
    <w:p w:rsidR="00DD3409" w:rsidRPr="005E5A2E"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 xml:space="preserve"> </w:t>
      </w:r>
      <w:r w:rsidR="00DD3409" w:rsidRPr="005E5A2E">
        <w:rPr>
          <w:rFonts w:ascii="Arial" w:hAnsi="Arial" w:cs="Arial"/>
          <w:color w:val="171717"/>
          <w:sz w:val="24"/>
          <w:szCs w:val="24"/>
          <w:shd w:val="clear" w:color="auto" w:fill="FFFCDD"/>
        </w:rPr>
        <w:t>OPERATORI ECONOMICI</w:t>
      </w:r>
    </w:p>
    <w:p w:rsidR="00403D8C" w:rsidRPr="005E5A2E" w:rsidRDefault="00DD3409" w:rsidP="00945B05">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171717"/>
          <w:sz w:val="24"/>
          <w:szCs w:val="24"/>
          <w:shd w:val="clear" w:color="auto" w:fill="FFFCDD"/>
        </w:rPr>
        <w:t xml:space="preserve"> </w:t>
      </w:r>
      <w:r w:rsidRPr="005E5A2E">
        <w:rPr>
          <w:rFonts w:ascii="Arial" w:hAnsi="Arial" w:cs="Arial"/>
          <w:color w:val="000000"/>
          <w:sz w:val="24"/>
          <w:szCs w:val="24"/>
          <w:shd w:val="clear" w:color="auto" w:fill="F5FDFE"/>
        </w:rPr>
        <w:t>Sono ammessi a partecipare alle procedure di affidamento dei contratti pubblici gli operatori economici di cui all’</w:t>
      </w:r>
      <w:r w:rsidR="00507C60" w:rsidRPr="005E5A2E">
        <w:rPr>
          <w:rFonts w:ascii="Arial" w:hAnsi="Arial" w:cs="Arial"/>
          <w:color w:val="000000"/>
          <w:sz w:val="24"/>
          <w:szCs w:val="24"/>
          <w:shd w:val="clear" w:color="auto" w:fill="F5FDFE"/>
        </w:rPr>
        <w:t>art 3.1 p</w:t>
      </w:r>
      <w:r w:rsidRPr="005E5A2E">
        <w:rPr>
          <w:rFonts w:ascii="Arial" w:hAnsi="Arial" w:cs="Arial"/>
          <w:sz w:val="24"/>
          <w:szCs w:val="24"/>
        </w:rPr>
        <w:t xml:space="preserve"> ( persona fisica o giuridica , un ente pubblico, un raggruppamento di tali enti o persone, comprese le associazioni temporanee di persone , un ente senza personalità giuridica, ivi compreso il gruppo europeo di interesse economico (GEIE))</w:t>
      </w:r>
      <w:r w:rsidRPr="005E5A2E">
        <w:rPr>
          <w:rFonts w:ascii="Arial" w:hAnsi="Arial" w:cs="Arial"/>
          <w:color w:val="000000"/>
          <w:sz w:val="24"/>
          <w:szCs w:val="24"/>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5E5A2E">
        <w:rPr>
          <w:rFonts w:ascii="Arial" w:hAnsi="Arial" w:cs="Arial"/>
          <w:color w:val="000000"/>
          <w:sz w:val="24"/>
          <w:szCs w:val="24"/>
          <w:shd w:val="clear" w:color="auto" w:fill="F5FDFE"/>
        </w:rPr>
        <w:t>;</w:t>
      </w:r>
      <w:r w:rsidRPr="005E5A2E">
        <w:rPr>
          <w:rFonts w:ascii="Arial" w:hAnsi="Arial" w:cs="Arial"/>
          <w:color w:val="000000"/>
          <w:sz w:val="24"/>
          <w:szCs w:val="24"/>
          <w:shd w:val="clear" w:color="auto" w:fill="F5FDFE"/>
        </w:rPr>
        <w:t>quindi rientrano nella definizione di operatore economico i seguenti soggetti:</w:t>
      </w:r>
    </w:p>
    <w:p w:rsidR="00DD3409" w:rsidRPr="005E5A2E"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z w:val="24"/>
          <w:szCs w:val="24"/>
          <w:shd w:val="clear" w:color="auto" w:fill="FFFCDD"/>
        </w:rPr>
      </w:pPr>
      <w:r w:rsidRPr="005E5A2E">
        <w:rPr>
          <w:rFonts w:ascii="Arial" w:hAnsi="Arial" w:cs="Arial"/>
          <w:color w:val="000000"/>
          <w:sz w:val="24"/>
          <w:szCs w:val="24"/>
          <w:shd w:val="clear" w:color="auto" w:fill="F5FDFE"/>
        </w:rPr>
        <w:t>a) gli imprenditori individuali, anche artigiani, e le società, anche cooperative;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c) i consorzi stabili, costituiti anche in forma di società consortili ai sensi dell'</w:t>
      </w:r>
      <w:r w:rsidR="00507C60" w:rsidRPr="005E5A2E">
        <w:rPr>
          <w:rFonts w:ascii="Arial" w:hAnsi="Arial" w:cs="Arial"/>
          <w:color w:val="000000"/>
          <w:sz w:val="24"/>
          <w:szCs w:val="24"/>
          <w:shd w:val="clear" w:color="auto" w:fill="F5FDFE"/>
        </w:rPr>
        <w:t>2615 cc</w:t>
      </w:r>
      <w:r w:rsidRPr="005E5A2E">
        <w:rPr>
          <w:rFonts w:ascii="Arial" w:hAnsi="Arial" w:cs="Arial"/>
          <w:color w:val="000000"/>
          <w:sz w:val="24"/>
          <w:szCs w:val="24"/>
          <w:shd w:val="clear" w:color="auto" w:fill="F5FDFE"/>
        </w:rPr>
        <w:t>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e) i consorzi ordinari di concorrenti di cui all'</w:t>
      </w:r>
      <w:r w:rsidR="00507C60" w:rsidRPr="005E5A2E">
        <w:rPr>
          <w:rFonts w:ascii="Arial" w:hAnsi="Arial" w:cs="Arial"/>
          <w:color w:val="000000"/>
          <w:sz w:val="24"/>
          <w:szCs w:val="24"/>
          <w:shd w:val="clear" w:color="auto" w:fill="F5FDFE"/>
        </w:rPr>
        <w:t>art 2602 cc</w:t>
      </w:r>
      <w:r w:rsidRPr="005E5A2E">
        <w:rPr>
          <w:rFonts w:ascii="Arial" w:hAnsi="Arial" w:cs="Arial"/>
          <w:color w:val="000000"/>
          <w:sz w:val="24"/>
          <w:szCs w:val="24"/>
          <w:shd w:val="clear" w:color="auto" w:fill="F5FDFE"/>
        </w:rPr>
        <w:t>, costituiti tra i soggetti di cui alle lettere a), b) e c) del presente comma, anche in forma di società ai sensi dell'</w:t>
      </w:r>
      <w:r w:rsidR="00507C60" w:rsidRPr="005E5A2E">
        <w:rPr>
          <w:rFonts w:ascii="Arial" w:hAnsi="Arial" w:cs="Arial"/>
          <w:color w:val="000000"/>
          <w:sz w:val="24"/>
          <w:szCs w:val="24"/>
          <w:shd w:val="clear" w:color="auto" w:fill="F5FDFE"/>
        </w:rPr>
        <w:t>art 2615 ter cc</w:t>
      </w:r>
      <w:r w:rsidRPr="005E5A2E">
        <w:rPr>
          <w:rFonts w:ascii="Arial" w:hAnsi="Arial" w:cs="Arial"/>
          <w:color w:val="000000"/>
          <w:sz w:val="24"/>
          <w:szCs w:val="24"/>
          <w:shd w:val="clear" w:color="auto" w:fill="F5FDFE"/>
        </w:rPr>
        <w:t>; </w:t>
      </w:r>
      <w:r w:rsidRPr="005E5A2E">
        <w:rPr>
          <w:rFonts w:ascii="Arial" w:hAnsi="Arial" w:cs="Arial"/>
          <w:color w:val="000000"/>
          <w:sz w:val="24"/>
          <w:szCs w:val="24"/>
        </w:rPr>
        <w:br/>
      </w:r>
      <w:r w:rsidRPr="005E5A2E">
        <w:rPr>
          <w:rFonts w:ascii="Arial" w:hAnsi="Arial" w:cs="Arial"/>
          <w:color w:val="000000"/>
          <w:sz w:val="24"/>
          <w:szCs w:val="24"/>
          <w:shd w:val="clear" w:color="auto" w:fill="F5FDFE"/>
        </w:rPr>
        <w:t>f) le aggregazioni tra le imprese aderenti al contratto di rete ai sensi dell'</w:t>
      </w:r>
      <w:r w:rsidR="00507C60" w:rsidRPr="005E5A2E">
        <w:rPr>
          <w:rFonts w:ascii="Arial" w:hAnsi="Arial" w:cs="Arial"/>
          <w:color w:val="000000"/>
          <w:sz w:val="24"/>
          <w:szCs w:val="24"/>
          <w:shd w:val="clear" w:color="auto" w:fill="F5FDFE"/>
        </w:rPr>
        <w:t>art 3 .4 ter dl 5/</w:t>
      </w:r>
      <w:r w:rsidRPr="005E5A2E">
        <w:rPr>
          <w:rFonts w:ascii="Arial" w:hAnsi="Arial" w:cs="Arial"/>
          <w:color w:val="000000"/>
          <w:sz w:val="24"/>
          <w:szCs w:val="24"/>
          <w:shd w:val="clear" w:color="auto" w:fill="F5FDFE"/>
        </w:rPr>
        <w:t>g) i soggetti che abbiano stipulato il contratto di gruppo europeo di interesse economico (GEIE) ai sensi del decreto legislativo 23 luglio 1991, n. 240;</w:t>
      </w:r>
    </w:p>
    <w:p w:rsidR="00DD3409" w:rsidRPr="005E5A2E" w:rsidRDefault="00DD3409"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5E5A2E">
        <w:rPr>
          <w:rFonts w:ascii="Arial" w:hAnsi="Arial" w:cs="Arial"/>
          <w:color w:val="171717"/>
          <w:sz w:val="24"/>
          <w:szCs w:val="24"/>
          <w:shd w:val="clear" w:color="auto" w:fill="FFFCDD"/>
        </w:rPr>
        <w:t xml:space="preserve"> </w:t>
      </w:r>
      <w:r w:rsidRPr="005E5A2E">
        <w:rPr>
          <w:rFonts w:ascii="Arial" w:hAnsi="Arial" w:cs="Arial"/>
          <w:color w:val="171717"/>
          <w:sz w:val="24"/>
          <w:szCs w:val="24"/>
          <w:shd w:val="clear" w:color="auto" w:fill="FFFCDD"/>
        </w:rPr>
        <w:t>e contributive, c</w:t>
      </w:r>
      <w:r w:rsidR="00945B05" w:rsidRPr="005E5A2E">
        <w:rPr>
          <w:rFonts w:ascii="Arial" w:hAnsi="Arial" w:cs="Arial"/>
          <w:color w:val="171717"/>
          <w:sz w:val="24"/>
          <w:szCs w:val="24"/>
          <w:shd w:val="clear" w:color="auto" w:fill="FFFCDD"/>
        </w:rPr>
        <w:t>h</w:t>
      </w:r>
      <w:r w:rsidRPr="005E5A2E">
        <w:rPr>
          <w:rFonts w:ascii="Arial" w:hAnsi="Arial" w:cs="Arial"/>
          <w:color w:val="171717"/>
          <w:sz w:val="24"/>
          <w:szCs w:val="24"/>
          <w:shd w:val="clear" w:color="auto" w:fill="FFFCDD"/>
        </w:rPr>
        <w:t xml:space="preserve">iarendo le soglie critiche e specificando </w:t>
      </w:r>
      <w:r w:rsidR="00E46233" w:rsidRPr="005E5A2E">
        <w:rPr>
          <w:rFonts w:ascii="Arial" w:hAnsi="Arial" w:cs="Arial"/>
          <w:color w:val="171717"/>
          <w:sz w:val="24"/>
          <w:szCs w:val="24"/>
          <w:shd w:val="clear" w:color="auto" w:fill="FFFCDD"/>
        </w:rPr>
        <w:t xml:space="preserve">in quali casi possa ritenersi non </w:t>
      </w:r>
      <w:r w:rsidR="00E46233" w:rsidRPr="005E5A2E">
        <w:rPr>
          <w:rFonts w:ascii="Arial" w:hAnsi="Arial" w:cs="Arial"/>
          <w:color w:val="171717"/>
          <w:sz w:val="24"/>
          <w:szCs w:val="24"/>
          <w:shd w:val="clear" w:color="auto" w:fill="FFFCDD"/>
        </w:rPr>
        <w:lastRenderedPageBreak/>
        <w:t>definitivamente accertata la situazione ostativa. Infine nell’elenco del comma 5 ritroviamo i casi di presunta carenza di moralità professionale.</w:t>
      </w:r>
    </w:p>
    <w:p w:rsidR="008B135A" w:rsidRPr="005E5A2E" w:rsidRDefault="009C46DD"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5E5A2E">
        <w:rPr>
          <w:rFonts w:ascii="Arial" w:hAnsi="Arial" w:cs="Arial"/>
          <w:color w:val="171717"/>
          <w:sz w:val="24"/>
          <w:szCs w:val="24"/>
          <w:shd w:val="clear" w:color="auto" w:fill="FFFCDD"/>
        </w:rPr>
        <w:t>Per l’accesso alle procedure ad evidenza pubblica, il codice prevede la necessaria sussistenza di alcuni requisiti, generalmente riconducibili a 4 categorie principali: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morali (o generali)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formali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economico-finanziari</w:t>
      </w:r>
    </w:p>
    <w:p w:rsidR="009C46DD" w:rsidRPr="005E5A2E"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5E5A2E">
        <w:rPr>
          <w:rFonts w:ascii="Arial" w:hAnsi="Arial" w:cs="Arial"/>
          <w:color w:val="222222"/>
          <w:sz w:val="24"/>
          <w:szCs w:val="24"/>
        </w:rPr>
        <w:t>tecnici</w:t>
      </w:r>
    </w:p>
    <w:p w:rsidR="0020519D" w:rsidRPr="005E5A2E" w:rsidRDefault="009C46DD" w:rsidP="00945B05">
      <w:pPr>
        <w:shd w:val="clear" w:color="auto" w:fill="FFFFFF"/>
        <w:spacing w:before="100" w:beforeAutospacing="1" w:after="24" w:line="240" w:lineRule="auto"/>
        <w:ind w:left="24"/>
        <w:rPr>
          <w:rFonts w:ascii="Arial" w:hAnsi="Arial" w:cs="Arial"/>
          <w:color w:val="222222"/>
          <w:sz w:val="24"/>
          <w:szCs w:val="24"/>
        </w:rPr>
      </w:pPr>
      <w:r w:rsidRPr="005E5A2E">
        <w:rPr>
          <w:rFonts w:ascii="Arial" w:hAnsi="Arial" w:cs="Arial"/>
          <w:color w:val="222222"/>
          <w:sz w:val="24"/>
          <w:szCs w:val="24"/>
        </w:rPr>
        <w:t>i requisiti devono esser posseduti dai candidati per tutta la durata della procedura</w:t>
      </w:r>
      <w:r w:rsidR="007A76DB" w:rsidRPr="005E5A2E">
        <w:rPr>
          <w:rFonts w:ascii="Arial" w:hAnsi="Arial" w:cs="Arial"/>
          <w:color w:val="222222"/>
          <w:sz w:val="24"/>
          <w:szCs w:val="24"/>
        </w:rPr>
        <w:t>. In sede di offerta o di domanda di partecipazione, i concorrenti devono dimostrare il possesso dei requisiti attraverso le dichiarazioni sostitutive ex art 46 e 47 dpr 445/00; solo in un second</w:t>
      </w:r>
      <w:r w:rsidR="00945B05" w:rsidRPr="005E5A2E">
        <w:rPr>
          <w:rFonts w:ascii="Arial" w:hAnsi="Arial" w:cs="Arial"/>
          <w:color w:val="222222"/>
          <w:sz w:val="24"/>
          <w:szCs w:val="24"/>
        </w:rPr>
        <w:t>o</w:t>
      </w:r>
      <w:r w:rsidR="007A76DB" w:rsidRPr="005E5A2E">
        <w:rPr>
          <w:rFonts w:ascii="Arial" w:hAnsi="Arial" w:cs="Arial"/>
          <w:color w:val="222222"/>
          <w:sz w:val="24"/>
          <w:szCs w:val="24"/>
        </w:rPr>
        <w:t xml:space="preserve"> momento con sorteggio a campione in corso della procedura devono comprovare i requisiti mediante la documentazione necessaria.(tale documentazione deve confluire in una banca dati nazionale dei contratti pubblici ist</w:t>
      </w:r>
      <w:r w:rsidR="00945B05" w:rsidRPr="005E5A2E">
        <w:rPr>
          <w:rFonts w:ascii="Arial" w:hAnsi="Arial" w:cs="Arial"/>
          <w:color w:val="222222"/>
          <w:sz w:val="24"/>
          <w:szCs w:val="24"/>
        </w:rPr>
        <w:t>i</w:t>
      </w:r>
      <w:r w:rsidR="007A76DB" w:rsidRPr="005E5A2E">
        <w:rPr>
          <w:rFonts w:ascii="Arial" w:hAnsi="Arial" w:cs="Arial"/>
          <w:color w:val="222222"/>
          <w:sz w:val="24"/>
          <w:szCs w:val="24"/>
        </w:rPr>
        <w:t>t</w:t>
      </w:r>
      <w:r w:rsidR="00945B05" w:rsidRPr="005E5A2E">
        <w:rPr>
          <w:rFonts w:ascii="Arial" w:hAnsi="Arial" w:cs="Arial"/>
          <w:color w:val="222222"/>
          <w:sz w:val="24"/>
          <w:szCs w:val="24"/>
        </w:rPr>
        <w:t>u</w:t>
      </w:r>
      <w:r w:rsidR="007A76DB" w:rsidRPr="005E5A2E">
        <w:rPr>
          <w:rFonts w:ascii="Arial" w:hAnsi="Arial" w:cs="Arial"/>
          <w:color w:val="222222"/>
          <w:sz w:val="24"/>
          <w:szCs w:val="24"/>
        </w:rPr>
        <w:t>ita ad opera del DL 5/2012.</w:t>
      </w:r>
      <w:r w:rsidR="0020519D" w:rsidRPr="005E5A2E">
        <w:rPr>
          <w:rFonts w:ascii="Arial" w:hAnsi="Arial" w:cs="Arial"/>
          <w:color w:val="222222"/>
          <w:sz w:val="24"/>
          <w:szCs w:val="24"/>
        </w:rPr>
        <w:t xml:space="preserve"> Il principio della inderogabilità delle clausole di esclusione viene tutelato mediante la sanzione della nullità per le clausole di lex specialis contrarie.</w:t>
      </w:r>
    </w:p>
    <w:p w:rsidR="009C46DD" w:rsidRPr="005E5A2E" w:rsidRDefault="0020519D" w:rsidP="00945B05">
      <w:pPr>
        <w:shd w:val="clear" w:color="auto" w:fill="FFFFFF"/>
        <w:spacing w:before="100" w:beforeAutospacing="1" w:after="24" w:line="240" w:lineRule="auto"/>
        <w:ind w:left="24"/>
        <w:rPr>
          <w:rFonts w:ascii="Arial" w:hAnsi="Arial" w:cs="Arial"/>
          <w:b/>
          <w:color w:val="222222"/>
          <w:sz w:val="24"/>
          <w:szCs w:val="24"/>
        </w:rPr>
      </w:pPr>
      <w:r w:rsidRPr="005E5A2E">
        <w:rPr>
          <w:rFonts w:ascii="Arial" w:hAnsi="Arial" w:cs="Arial"/>
          <w:color w:val="222222"/>
          <w:sz w:val="24"/>
          <w:szCs w:val="24"/>
        </w:rPr>
        <w:t xml:space="preserve">E’ stato inoltre introdotto il </w:t>
      </w:r>
      <w:r w:rsidRPr="005E5A2E">
        <w:rPr>
          <w:rFonts w:ascii="Arial" w:hAnsi="Arial" w:cs="Arial"/>
          <w:b/>
          <w:color w:val="222222"/>
          <w:sz w:val="24"/>
          <w:szCs w:val="24"/>
        </w:rPr>
        <w:t>potere di soccorso previsto dall’art 46</w:t>
      </w:r>
      <w:r w:rsidRPr="005E5A2E">
        <w:rPr>
          <w:rFonts w:ascii="Arial" w:hAnsi="Arial" w:cs="Arial"/>
          <w:color w:val="222222"/>
          <w:sz w:val="24"/>
          <w:szCs w:val="24"/>
        </w:rPr>
        <w:t xml:space="preserve"> che si sostanzia nel dovere della stazione appaltante di regolarizzare certificati, documenti o dichiarazioni esistenti ovvero di completarli ma solo in relazione ai requisiti soggettivi di partecipazione</w:t>
      </w:r>
      <w:r w:rsidR="00981B62" w:rsidRPr="005E5A2E">
        <w:rPr>
          <w:rFonts w:ascii="Arial" w:hAnsi="Arial" w:cs="Arial"/>
          <w:color w:val="222222"/>
          <w:sz w:val="24"/>
          <w:szCs w:val="24"/>
        </w:rPr>
        <w:t>, chiedere chiarimenti, rettificare errori materiali</w:t>
      </w:r>
      <w:r w:rsidR="00945B05" w:rsidRPr="005E5A2E">
        <w:rPr>
          <w:rFonts w:ascii="Arial" w:hAnsi="Arial" w:cs="Arial"/>
          <w:color w:val="222222"/>
          <w:sz w:val="24"/>
          <w:szCs w:val="24"/>
        </w:rPr>
        <w:t xml:space="preserve">   </w:t>
      </w:r>
      <w:r w:rsidR="00981B62" w:rsidRPr="005E5A2E">
        <w:rPr>
          <w:rFonts w:ascii="Arial" w:hAnsi="Arial" w:cs="Arial"/>
          <w:color w:val="222222"/>
          <w:sz w:val="24"/>
          <w:szCs w:val="24"/>
        </w:rPr>
        <w:t xml:space="preserve">o refusi, fornire interpretazioni di clausole ambigue nel rispetto della par condicio dei concorrenti; </w:t>
      </w:r>
      <w:r w:rsidR="00981B62" w:rsidRPr="005E5A2E">
        <w:rPr>
          <w:rFonts w:ascii="Arial" w:hAnsi="Arial" w:cs="Arial"/>
          <w:color w:val="222222"/>
          <w:sz w:val="24"/>
          <w:szCs w:val="24"/>
          <w:u w:val="single"/>
        </w:rPr>
        <w:t>non possono certamente esser sanate le violazioni che comportano una incertezza assoluta sul contenuto o sulla provenienza dell’offerta</w:t>
      </w:r>
      <w:r w:rsidR="00945B05" w:rsidRPr="005E5A2E">
        <w:rPr>
          <w:rFonts w:ascii="Arial" w:hAnsi="Arial" w:cs="Arial"/>
          <w:color w:val="222222"/>
          <w:sz w:val="24"/>
          <w:szCs w:val="24"/>
          <w:u w:val="single"/>
        </w:rPr>
        <w:t xml:space="preserve"> </w:t>
      </w:r>
      <w:r w:rsidR="00981B62" w:rsidRPr="005E5A2E">
        <w:rPr>
          <w:rFonts w:ascii="Arial" w:hAnsi="Arial" w:cs="Arial"/>
          <w:color w:val="222222"/>
          <w:sz w:val="24"/>
          <w:szCs w:val="24"/>
          <w:u w:val="single"/>
        </w:rPr>
        <w:t xml:space="preserve">per difetto di sottoscrizione o altri elementi essenziali; </w:t>
      </w:r>
      <w:r w:rsidR="00981B62" w:rsidRPr="005E5A2E">
        <w:rPr>
          <w:rFonts w:ascii="Arial" w:hAnsi="Arial" w:cs="Arial"/>
          <w:b/>
          <w:color w:val="222222"/>
          <w:sz w:val="24"/>
          <w:szCs w:val="24"/>
        </w:rPr>
        <w:t>per quanto riguarda le irregolarità sanabili invece si prev</w:t>
      </w:r>
      <w:r w:rsidR="00945B05" w:rsidRPr="005E5A2E">
        <w:rPr>
          <w:rFonts w:ascii="Arial" w:hAnsi="Arial" w:cs="Arial"/>
          <w:b/>
          <w:color w:val="222222"/>
          <w:sz w:val="24"/>
          <w:szCs w:val="24"/>
        </w:rPr>
        <w:t>e</w:t>
      </w:r>
      <w:r w:rsidR="00981B62" w:rsidRPr="005E5A2E">
        <w:rPr>
          <w:rFonts w:ascii="Arial" w:hAnsi="Arial" w:cs="Arial"/>
          <w:b/>
          <w:color w:val="222222"/>
          <w:sz w:val="24"/>
          <w:szCs w:val="24"/>
        </w:rPr>
        <w:t>de che la SA non può escludere un operatore senza prima aver chiesto al stesso di sanarle</w:t>
      </w:r>
      <w:r w:rsidR="00945B05" w:rsidRPr="005E5A2E">
        <w:rPr>
          <w:rFonts w:ascii="Arial" w:hAnsi="Arial" w:cs="Arial"/>
          <w:b/>
          <w:color w:val="222222"/>
          <w:sz w:val="24"/>
          <w:szCs w:val="24"/>
        </w:rPr>
        <w:t xml:space="preserve"> </w:t>
      </w:r>
      <w:r w:rsidR="00981B62" w:rsidRPr="005E5A2E">
        <w:rPr>
          <w:rFonts w:ascii="Arial" w:hAnsi="Arial" w:cs="Arial"/>
          <w:b/>
          <w:color w:val="222222"/>
          <w:sz w:val="24"/>
          <w:szCs w:val="24"/>
        </w:rPr>
        <w:t>entro termine non superiore a 10 g.</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b/>
          <w:color w:val="0C0C0F"/>
          <w:bdr w:val="none" w:sz="0" w:space="0" w:color="auto" w:frame="1"/>
        </w:rPr>
        <w:t>Il </w:t>
      </w:r>
      <w:r w:rsidRPr="005E5A2E">
        <w:rPr>
          <w:rStyle w:val="Enfasigrassetto"/>
          <w:rFonts w:ascii="Arial" w:hAnsi="Arial" w:cs="Arial"/>
          <w:b w:val="0"/>
          <w:color w:val="0C0C0F"/>
          <w:bdr w:val="none" w:sz="0" w:space="0" w:color="auto" w:frame="1"/>
        </w:rPr>
        <w:t>soccorso istruttorio</w:t>
      </w:r>
      <w:r w:rsidRPr="005E5A2E">
        <w:rPr>
          <w:rFonts w:ascii="Arial" w:hAnsi="Arial" w:cs="Arial"/>
          <w:b/>
          <w:color w:val="0C0C0F"/>
          <w:bdr w:val="none" w:sz="0" w:space="0" w:color="auto" w:frame="1"/>
        </w:rPr>
        <w:t> è un istituto che trova applicazione in relazione a qualunque procedimento amministrativo in virtù dell</w:t>
      </w:r>
      <w:r w:rsidR="00507C60" w:rsidRPr="005E5A2E">
        <w:rPr>
          <w:rFonts w:ascii="Arial" w:hAnsi="Arial" w:cs="Arial"/>
          <w:b/>
          <w:color w:val="0C0C0F"/>
          <w:bdr w:val="none" w:sz="0" w:space="0" w:color="auto" w:frame="1"/>
        </w:rPr>
        <w:t>’ art 6 legge 241/90</w:t>
      </w:r>
      <w:r w:rsidRPr="005E5A2E">
        <w:rPr>
          <w:rFonts w:ascii="Arial" w:hAnsi="Arial" w:cs="Arial"/>
          <w:b/>
          <w:color w:val="0C0C0F"/>
          <w:bdr w:val="none" w:sz="0" w:space="0" w:color="auto" w:frame="1"/>
        </w:rPr>
        <w:t> che codifica il potere del RUP di adottare detto strumento al fine di colmare lacune documentali, rettificare dichiarazioni o correggere errori che dovessero emergere in fase istruttoria</w:t>
      </w:r>
      <w:r w:rsidRPr="005E5A2E">
        <w:rPr>
          <w:rFonts w:ascii="Arial" w:hAnsi="Arial" w:cs="Arial"/>
          <w:color w:val="0C0C0F"/>
          <w:bdr w:val="none" w:sz="0" w:space="0" w:color="auto" w:frame="1"/>
        </w:rPr>
        <w:t>.</w:t>
      </w:r>
    </w:p>
    <w:p w:rsidR="00981B62" w:rsidRPr="005E5A2E" w:rsidRDefault="00981B62" w:rsidP="00945B05">
      <w:pPr>
        <w:pStyle w:val="NormaleWeb"/>
        <w:shd w:val="clear" w:color="auto" w:fill="FFFFFF"/>
        <w:spacing w:before="0" w:beforeAutospacing="0" w:after="141" w:afterAutospacing="0"/>
        <w:textAlignment w:val="baseline"/>
        <w:rPr>
          <w:rFonts w:ascii="Arial" w:hAnsi="Arial" w:cs="Arial"/>
          <w:color w:val="0C0C0F"/>
          <w:u w:val="single"/>
        </w:rPr>
      </w:pPr>
      <w:r w:rsidRPr="005E5A2E">
        <w:rPr>
          <w:rFonts w:ascii="Arial" w:hAnsi="Arial" w:cs="Arial"/>
          <w:color w:val="0C0C0F"/>
        </w:rPr>
        <w:t xml:space="preserve">Nell’ambito delle procedure di affidamento dei contratti pubblici, in particolare, </w:t>
      </w:r>
      <w:r w:rsidRPr="005E5A2E">
        <w:rPr>
          <w:rFonts w:ascii="Arial" w:hAnsi="Arial" w:cs="Arial"/>
          <w:color w:val="0C0C0F"/>
          <w:u w:val="single"/>
        </w:rPr>
        <w:t>il soccorso istruttorio è lo strumento che consente di rimediare a eventuali omissioni, incompletezze e/o irregolarità di informazioni e documenti utili ai fini della partecipazione alla gara mediante l’integrazione</w:t>
      </w:r>
      <w:r w:rsidRPr="005E5A2E">
        <w:rPr>
          <w:rFonts w:ascii="Arial" w:hAnsi="Arial" w:cs="Arial"/>
          <w:color w:val="0C0C0F"/>
        </w:rPr>
        <w:t xml:space="preserve">, in caso di omissione od incompletezza della documentazione, o la regolarizzazione di documenti già </w:t>
      </w:r>
      <w:r w:rsidRPr="005E5A2E">
        <w:rPr>
          <w:rFonts w:ascii="Arial" w:hAnsi="Arial" w:cs="Arial"/>
          <w:color w:val="0C0C0F"/>
          <w:u w:val="single"/>
        </w:rPr>
        <w:t>presentati ma affetti da irregolarità o errori materiali.</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u w:val="single"/>
        </w:rPr>
        <w:t>La ratio dell’istituto è evidentemente quella di limitare le ipotesi di esclusione degli operatori economici dalle procedure di gara ai soli casi di carenze gravi e sostanziali dei requisiti di partecipazione alla gara</w:t>
      </w:r>
      <w:r w:rsidRPr="005E5A2E">
        <w:rPr>
          <w:rFonts w:ascii="Arial" w:hAnsi="Arial" w:cs="Arial"/>
          <w:color w:val="0C0C0F"/>
        </w:rPr>
        <w:t>, conseguentemente ampliando la possibilità di concorrere all’aggiudicazione del contratto pubblico, in ossequio al principio del </w:t>
      </w:r>
      <w:r w:rsidRPr="005E5A2E">
        <w:rPr>
          <w:rStyle w:val="Enfasicorsivo"/>
          <w:rFonts w:ascii="Arial" w:hAnsi="Arial" w:cs="Arial"/>
          <w:color w:val="0C0C0F"/>
          <w:bdr w:val="none" w:sz="0" w:space="0" w:color="auto" w:frame="1"/>
        </w:rPr>
        <w:t>favor partecipationis</w:t>
      </w:r>
      <w:r w:rsidRPr="005E5A2E">
        <w:rPr>
          <w:rFonts w:ascii="Arial" w:hAnsi="Arial" w:cs="Arial"/>
          <w:color w:val="0C0C0F"/>
        </w:rPr>
        <w:t>.</w:t>
      </w:r>
    </w:p>
    <w:p w:rsidR="00981B62" w:rsidRPr="005E5A2E" w:rsidRDefault="00981B62"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L’istituto ha origine comunitaria risalente. Nasce infatti in virtù della direttiva europea n. 71/305/CEE del 26 luglio 1971.</w:t>
      </w:r>
    </w:p>
    <w:p w:rsidR="00981B62" w:rsidRPr="005E5A2E" w:rsidRDefault="00981B62" w:rsidP="00945B05">
      <w:pPr>
        <w:pStyle w:val="NormaleWeb"/>
        <w:shd w:val="clear" w:color="auto" w:fill="FFFFFF"/>
        <w:spacing w:before="0" w:beforeAutospacing="0" w:after="0" w:afterAutospacing="0"/>
        <w:textAlignment w:val="baseline"/>
        <w:rPr>
          <w:rFonts w:ascii="Arial" w:hAnsi="Arial" w:cs="Arial"/>
          <w:color w:val="0C0C0F"/>
        </w:rPr>
      </w:pPr>
    </w:p>
    <w:p w:rsidR="00981B62" w:rsidRPr="005E5A2E" w:rsidRDefault="00981B62" w:rsidP="00945B05">
      <w:pPr>
        <w:shd w:val="clear" w:color="auto" w:fill="FFFFFF"/>
        <w:spacing w:before="100" w:beforeAutospacing="1" w:after="24" w:line="240" w:lineRule="auto"/>
        <w:ind w:left="24"/>
        <w:rPr>
          <w:rFonts w:ascii="Arial" w:hAnsi="Arial" w:cs="Arial"/>
          <w:color w:val="0C0C0F"/>
          <w:sz w:val="24"/>
          <w:szCs w:val="24"/>
          <w:shd w:val="clear" w:color="auto" w:fill="FFFFFF"/>
        </w:rPr>
      </w:pPr>
      <w:r w:rsidRPr="005E5A2E">
        <w:rPr>
          <w:rFonts w:ascii="Arial" w:hAnsi="Arial" w:cs="Arial"/>
          <w:color w:val="222222"/>
          <w:sz w:val="24"/>
          <w:szCs w:val="24"/>
        </w:rPr>
        <w:lastRenderedPageBreak/>
        <w:t xml:space="preserve">Art 83.9 </w:t>
      </w:r>
      <w:r w:rsidRPr="005E5A2E">
        <w:rPr>
          <w:rFonts w:ascii="Arial" w:hAnsi="Arial" w:cs="Arial"/>
          <w:color w:val="0C0C0F"/>
          <w:sz w:val="24"/>
          <w:szCs w:val="24"/>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5E5A2E">
        <w:rPr>
          <w:rFonts w:ascii="Arial" w:hAnsi="Arial" w:cs="Arial"/>
          <w:color w:val="0C0C0F"/>
          <w:sz w:val="24"/>
          <w:szCs w:val="24"/>
        </w:rPr>
        <w:br/>
      </w:r>
      <w:r w:rsidRPr="005E5A2E">
        <w:rPr>
          <w:rFonts w:ascii="Arial" w:hAnsi="Arial" w:cs="Arial"/>
          <w:color w:val="0C0C0F"/>
          <w:sz w:val="24"/>
          <w:szCs w:val="24"/>
          <w:shd w:val="clear" w:color="auto" w:fill="FFFFFF"/>
        </w:rPr>
        <w:t> </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La riscrittura della norma di cui all’art. 83, comma 9</w:t>
      </w:r>
      <w:r w:rsidRPr="005E5A2E">
        <w:rPr>
          <w:rFonts w:ascii="Arial" w:hAnsi="Arial" w:cs="Arial"/>
          <w:color w:val="0C0C0F"/>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In particolare il correttivo conferma la sanabilità delle sole carenze “formali” degli elementi da produrre in sede di gara e di quelli relativi al Documento di Gara Unico Europeo (D.G.U.E.)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Nello specifico sono sanabili la mancanza, l’incompletezza ed ogni altra irregolarità essenziale e non degli elementi da produrre in sede di gara e di quelli relativi al Documento di Gara Unico Europeo (D.G.U.E.).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Sono escluse invece dal soccorso istruttorio le carenze (mancanza, incompletezza e ogni altra irregolarità) dell’offerta tecnica ed economica. Detta previsione, frutto del recepimento a livello normativo di un indirizzo interpretativo che si era già consolidato sotto la vigenza del Codice del 2006) era stata condivisa anche dall’ANAC (Determinazione n. 1/2015) al fine di evitare violazioni del principio della par condicio tra i concorrenti.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fronte di irregolarità insanabili si procederà all’immediata esclusione dell’operatore dalla gara. In presenza di irregolarità sanabili, invece, il R.U.P. (come già previsto nel testo ante Correttivo) attiva (ha l’obbligo di attivare) il procedimento di regolarizzazione assegnando all’operatore economico un termine non superiore a 10 giorni entro il quale dovrà procedere alle integrazioni. Il R.U.P. dovrà indicare sia l’operazione da compiere che i soggetti tenuti all’integrazione.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L’inutile decorso del termine di regolarizzazione comporta l’esclusione dalla gara del soggetto soccorso.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lastRenderedPageBreak/>
        <w:t>Nonostante l’entrata in vigore del Decreto Correttivo, restano acquisti all’istituto in commento alcuni principi elaborati e precisati dalla giurisprudenza più recente in relazione a casi formatisi sotto il vigore della disciplina previgente.</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D) Soccorso istruttorio successivo all’aggiudicazione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L’Amministrazione può ricorrere al soccorso istruttorio anche in un momento successivo all’aggiudicazione della gara. In tal senso si è espresso recentemente T.A.R. Roma, sez. II°, 15/3/2017 n. 3541.</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rPr>
        <w:t>Nel caso sottoposto al Collegio la ricorrente (seconda graduata) lamentava che il R.T.I.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5E5A2E">
        <w:rPr>
          <w:rFonts w:ascii="Arial" w:hAnsi="Arial" w:cs="Arial"/>
          <w:color w:val="0C0C0F"/>
        </w:rPr>
        <w:t>art 38 dlgs 163/2006</w:t>
      </w:r>
      <w:r w:rsidRPr="005E5A2E">
        <w:rPr>
          <w:rFonts w:ascii="Arial" w:hAnsi="Arial" w:cs="Arial"/>
          <w:color w:val="0C0C0F"/>
        </w:rPr>
        <w:t>, in capo agli amministratori dell'impresa cedente.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ratione temporis al caso di specie), dopo le modifiche introdotte dall'art. 39 del d.l. 24 giugno 2014, n. 90, conv.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ratio e la finalità dell'istituto, deve ritenersi che il relativo subprocedimento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lastRenderedPageBreak/>
        <w:t>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consentire la regolarizzazione di vizi dell'offerta senza per questo inficiare la correttezza della gara espletata”.</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Style w:val="Enfasigrassetto"/>
          <w:rFonts w:ascii="Arial" w:hAnsi="Arial" w:cs="Arial"/>
          <w:color w:val="0C0C0F"/>
          <w:bdr w:val="none" w:sz="0" w:space="0" w:color="auto" w:frame="1"/>
        </w:rPr>
        <w:t>E) Soccorso istruttorio processuale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Una ipotesi particolare di soccorso istruttorio successivo all’aggiudicazione è quella del soccorso istruttorio processuale sul quale si è pronunciato recentemente il Consiglio di Stato, Sez. III, con le sentenze nn. 975 e 976 del 2 marzo 2017.</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L’istituto in commento, privo di puntuale disciplina normativa, riguarda le ipotesi nelle quali risulta accertato in giudizio che: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Preliminarmente la Sezione ricorda che la disciplina del soccorso istruttorio è diretta espressione dell’impostazione sostanzialistica delle procedure di affidamento che devono “…mirare ad appurare, in modo efficiente, quale sia l’offerta migliore, nel rispetto delle regole di concorrenza, verificando la sussistenza dei requisiti tecnici, economici, morali e professionali dell’aggiudicatario”. In sostanza l’istituto “…tende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Sulla base di tale premessa il Collegio esclude che il soccorso istruttorio sui requisiti di partecipazione disposto successivamente all’intervenuta l’aggiudicazione violi il principio della “par condicio” tra i concorrenti. Infatti “…la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“…la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 xml:space="preserve">Per contro, rileva il Collegio, escludere la possibilità di ricorso al soccorso istruttorio comporterebbe effetti del tutto irragionevoli e sproporzionati poiché l’impresa aggiudicataria sarebbe privata della possibilità di stipulare il contratto, pur disponendo, in </w:t>
      </w:r>
      <w:r w:rsidRPr="005E5A2E">
        <w:rPr>
          <w:rFonts w:ascii="Arial" w:hAnsi="Arial" w:cs="Arial"/>
          <w:color w:val="0C0C0F"/>
        </w:rPr>
        <w:lastRenderedPageBreak/>
        <w:t>via sostanziale, dei necessari requisiti e potrebbe azionare una domanda risarcitoria nei confronti della stazione appaltante.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5E5A2E"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5E5A2E">
        <w:rPr>
          <w:rFonts w:ascii="Arial" w:hAnsi="Arial" w:cs="Arial"/>
          <w:color w:val="0C0C0F"/>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8" w:anchor="art2697" w:history="1">
        <w:r w:rsidRPr="005E5A2E">
          <w:rPr>
            <w:rStyle w:val="Collegamentoipertestuale"/>
            <w:rFonts w:ascii="Arial" w:hAnsi="Arial" w:cs="Arial"/>
            <w:b/>
            <w:bCs/>
            <w:color w:val="1E5192"/>
            <w:bdr w:val="none" w:sz="0" w:space="0" w:color="auto" w:frame="1"/>
          </w:rPr>
          <w:t>art. 2697 c.c.</w:t>
        </w:r>
      </w:hyperlink>
      <w:r w:rsidRPr="005E5A2E">
        <w:rPr>
          <w:rFonts w:ascii="Arial" w:hAnsi="Arial" w:cs="Arial"/>
          <w:color w:val="0C0C0F"/>
        </w:rPr>
        <w:t>, essa dovrà superare “…la prova di resistenza, non potendo pretendere di paralizzare l’azione di annullamento, adducendo, solo in via ipotetica, la violazione del principio del soccorso istruttorio, ma deve dimostrare in giudizio che, ove fosse stato attivato, correttamente, tale rimedio l’esito sarebbe stato ad essa favorevole, disponendo del requisito in contestazione”.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Ciò premesso il Collegio ha valutato i possibili esiti della istruttoria processuale.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conformativo, l’obbligo di ingiungere la sanzione”.</w:t>
      </w:r>
    </w:p>
    <w:p w:rsidR="005E13CC" w:rsidRPr="005E5A2E"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5E5A2E">
        <w:rPr>
          <w:rFonts w:ascii="Arial" w:hAnsi="Arial" w:cs="Arial"/>
          <w:color w:val="0C0C0F"/>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AVVALIMENTO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shd w:val="clear" w:color="auto" w:fill="F9F9F9"/>
        </w:rPr>
        <w:t xml:space="preserve">L’avvalimento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dell’avvalimento è oggi disciplinato dagli articoli 49 e 50 del d.lgs. 12 aprile 2006, n. 163 (d’ora innanzi “Codice”). In particolare si può distinguere, in relazione al dato normativo, tra: avvalimento nella singola gara, di cui all’articolo 49, comma 1, che prevede l’utilizzo dei requisiti di un terzo esclusivamente per partecipare alla procedura di affidamento di una specifica gara, ed avvalimento stabile, finalizzato all’ottenimento di un’attestazione di qualificazione. </w:t>
      </w:r>
      <w:r w:rsidRPr="005E5A2E">
        <w:rPr>
          <w:rFonts w:ascii="Arial" w:hAnsi="Arial" w:cs="Arial"/>
          <w:color w:val="000000"/>
        </w:rPr>
        <w:t>L’articolo 49  del Codice aggiunge che l’avvalimento comporta: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a) la responsabilità in solido, nei confronti della stazione appaltante, in relazione alle prestazioni oggetto del contratto;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b) l’applicazione degli obblighi previsti dalla normativa antimafia a carico del concorrente anche nei confronti del soggetto ausiliario, in ragione dell’importo dell’appalto posto a base di gara;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lastRenderedPageBreak/>
        <w:t>c) la sottoposizione ad una serie di limiti quali:</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 per i lavori, la possibilità di avvalersi di una sola impresa ausiliaria per ciascuna categoria, salva diversa previsione del bando il quale può ammettere l’avvalimento di più imprese ausiliarie in ragione dell’importo dell’appalto o della peculiarità delle prestazioni, fermo restando il divieto di utilizzo frazionato dei requisiti che hanno consentito il rilascio dell’attestazione SOA;</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-per i servizi e le forniture, è ammesso che il concorrente possa avvalersi di più imprese ausiliarie per il medesimo requisito;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 il divieto, a pena di esclusione, per l’impresa ausiliaria, di partecipare in proprio alla stessa gara dell’impresa ausiliata;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l’avvalimento nei confronti di più di un concorrente, sino ad un massimo indicato nel bando stesso, impegnandosi a fornire la particolare attrezzatura tecnica, alle medesime condizioni, all’aggiudicatario.</w:t>
      </w:r>
    </w:p>
    <w:p w:rsidR="005E13CC" w:rsidRPr="005E5A2E" w:rsidRDefault="005E13CC" w:rsidP="00945B05">
      <w:pPr>
        <w:pStyle w:val="NormaleWeb"/>
        <w:shd w:val="clear" w:color="auto" w:fill="F9F9F9"/>
        <w:rPr>
          <w:rFonts w:ascii="Arial" w:hAnsi="Arial" w:cs="Arial"/>
          <w:color w:val="000000"/>
        </w:rPr>
      </w:pPr>
      <w:r w:rsidRPr="005E5A2E">
        <w:rPr>
          <w:rFonts w:ascii="Arial" w:hAnsi="Arial" w:cs="Arial"/>
          <w:color w:val="000000"/>
        </w:rPr>
        <w:t>E’ opportuno che tali prescrizioni siano espressamente previste nei documenti di gara.</w:t>
      </w:r>
    </w:p>
    <w:p w:rsidR="005E13CC"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 xml:space="preserve">L’art 89 specifica che è possibile l’avvalimento interno tra imprese dello stesso raggruppamento temporaneo. </w:t>
      </w:r>
    </w:p>
    <w:p w:rsidR="008B135A" w:rsidRPr="005E5A2E"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Nel caso di prestito di requisiti di esperienza, per quanto riguarda i criteri relativi all’indicazione del titolo di studio e professionali</w:t>
      </w:r>
      <w:r w:rsidR="00677A61" w:rsidRPr="005E5A2E">
        <w:rPr>
          <w:rFonts w:ascii="Arial" w:eastAsia="Times New Roman" w:hAnsi="Arial" w:cs="Arial"/>
          <w:color w:val="333333"/>
          <w:sz w:val="24"/>
          <w:szCs w:val="24"/>
          <w:lang w:eastAsia="it-IT"/>
        </w:rPr>
        <w:t xml:space="preserve"> o alle esperienze professionali, gli operatori economici possono avvalersi delle capacità altrui solo se quest’ultimieseguono direttamente i lavori o i serivizi per cui tali capacità sono richieste., con obbligo di verifica del RUP dell’effettiva esecuzione dell’appalto da parte dell’ausiliaria.</w:t>
      </w:r>
    </w:p>
    <w:p w:rsidR="00152D01" w:rsidRPr="005E5A2E" w:rsidRDefault="00152D01" w:rsidP="00945B05">
      <w:pPr>
        <w:shd w:val="clear" w:color="auto" w:fill="FFFFFF"/>
        <w:spacing w:after="100" w:afterAutospacing="1" w:line="240" w:lineRule="auto"/>
        <w:jc w:val="both"/>
        <w:rPr>
          <w:rFonts w:ascii="Arial" w:eastAsia="Times New Roman" w:hAnsi="Arial" w:cs="Arial"/>
          <w:color w:val="333333"/>
          <w:sz w:val="24"/>
          <w:szCs w:val="24"/>
          <w:lang w:eastAsia="it-IT"/>
        </w:rPr>
      </w:pPr>
    </w:p>
    <w:p w:rsidR="00677A61" w:rsidRPr="005E5A2E" w:rsidRDefault="00677A61"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5E5A2E">
        <w:rPr>
          <w:rFonts w:ascii="Arial" w:eastAsia="Times New Roman" w:hAnsi="Arial" w:cs="Arial"/>
          <w:color w:val="333333"/>
          <w:sz w:val="24"/>
          <w:szCs w:val="24"/>
          <w:lang w:eastAsia="it-IT"/>
        </w:rPr>
        <w:t>IL RUP</w:t>
      </w:r>
    </w:p>
    <w:p w:rsidR="00677A61" w:rsidRPr="005E5A2E" w:rsidRDefault="00677A61" w:rsidP="00945B05">
      <w:pPr>
        <w:pStyle w:val="NormaleWeb"/>
        <w:shd w:val="clear" w:color="auto" w:fill="FFFFFF"/>
        <w:spacing w:before="0" w:beforeAutospacing="0" w:after="262" w:afterAutospacing="0"/>
        <w:rPr>
          <w:rFonts w:ascii="Arial" w:hAnsi="Arial" w:cs="Arial"/>
          <w:b/>
          <w:color w:val="222222"/>
        </w:rPr>
      </w:pPr>
      <w:r w:rsidRPr="005E5A2E">
        <w:rPr>
          <w:rFonts w:ascii="Arial" w:hAnsi="Arial" w:cs="Arial"/>
          <w:color w:val="000000"/>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5E5A2E">
        <w:rPr>
          <w:rFonts w:ascii="Arial" w:hAnsi="Arial" w:cs="Arial"/>
          <w:b/>
          <w:color w:val="000000"/>
          <w:shd w:val="clear" w:color="auto" w:fill="F5FDFE"/>
        </w:rPr>
        <w:t>per le fasi della programmazione, della progettazione, dell'affidamento, dell'esecuzione</w:t>
      </w:r>
    </w:p>
    <w:p w:rsidR="00677A61" w:rsidRPr="005E5A2E" w:rsidRDefault="00677A61" w:rsidP="00945B05">
      <w:pPr>
        <w:pStyle w:val="NormaleWeb"/>
        <w:shd w:val="clear" w:color="auto" w:fill="FFFFFF"/>
        <w:spacing w:before="0" w:beforeAutospacing="0" w:after="262" w:afterAutospacing="0"/>
        <w:rPr>
          <w:rFonts w:ascii="Arial" w:hAnsi="Arial" w:cs="Arial"/>
          <w:color w:val="111111"/>
        </w:rPr>
      </w:pPr>
      <w:r w:rsidRPr="005E5A2E">
        <w:rPr>
          <w:rFonts w:ascii="Arial" w:hAnsi="Arial" w:cs="Arial"/>
          <w:color w:val="222222"/>
        </w:rPr>
        <w:t>Per i lavori e servizi attinenti all’architettura e ingegneria il Rup </w:t>
      </w:r>
      <w:r w:rsidRPr="005E5A2E">
        <w:rPr>
          <w:rStyle w:val="Enfasigrassetto"/>
          <w:rFonts w:ascii="Arial" w:hAnsi="Arial" w:cs="Arial"/>
          <w:color w:val="222222"/>
        </w:rPr>
        <w:t>deve essere un tecnico</w:t>
      </w:r>
      <w:r w:rsidRPr="005E5A2E">
        <w:rPr>
          <w:rFonts w:ascii="Arial" w:hAnsi="Arial" w:cs="Arial"/>
          <w:color w:val="222222"/>
        </w:rPr>
        <w:t>, </w:t>
      </w:r>
      <w:r w:rsidRPr="005E5A2E">
        <w:rPr>
          <w:rStyle w:val="Enfasigrassetto"/>
          <w:rFonts w:ascii="Arial" w:hAnsi="Arial" w:cs="Arial"/>
          <w:color w:val="222222"/>
        </w:rPr>
        <w:t>in assenza di tale figura</w:t>
      </w:r>
      <w:r w:rsidRPr="005E5A2E">
        <w:rPr>
          <w:rFonts w:ascii="Arial" w:hAnsi="Arial" w:cs="Arial"/>
          <w:color w:val="222222"/>
        </w:rPr>
        <w:t> le competenze sono attribuite al responsabile del servizio (che può avvalersi di tecnici – anche esterni – abilitati, con funzioni di supporto).</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 caso di servizi di architettura e ingegneria il Rup deve essere un </w:t>
      </w:r>
      <w:r w:rsidRPr="005E5A2E">
        <w:rPr>
          <w:rStyle w:val="Enfasigrassetto"/>
          <w:rFonts w:ascii="Arial" w:hAnsi="Arial" w:cs="Arial"/>
          <w:color w:val="222222"/>
        </w:rPr>
        <w:t>tecnico abilitato all’esercizio della professione</w:t>
      </w:r>
      <w:r w:rsidRPr="005E5A2E">
        <w:rPr>
          <w:rFonts w:ascii="Arial" w:hAnsi="Arial" w:cs="Arial"/>
          <w:color w:val="222222"/>
        </w:rPr>
        <w:t> e in regola con gli obblighi formativi di cui all’articolo 7 del d.P.R. 137/2012.</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Negli appalti di lavori i requisiti del Rup sono i seguenti (Linee guida n. 3, ANAC, Parte II, punto 4.2)::</w:t>
      </w:r>
    </w:p>
    <w:p w:rsidR="00677A61" w:rsidRPr="005E5A2E"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5E5A2E">
        <w:rPr>
          <w:rFonts w:ascii="Arial" w:hAnsi="Arial" w:cs="Arial"/>
          <w:color w:val="222222"/>
          <w:sz w:val="24"/>
          <w:szCs w:val="24"/>
        </w:rPr>
        <w:lastRenderedPageBreak/>
        <w:t>sotto 1.000.000 euro = almeno possesso di diploma di geometra (o studi quinquennali equivalenti) con esperienza di 10 anni;</w:t>
      </w:r>
    </w:p>
    <w:p w:rsidR="00677A61" w:rsidRPr="005E5A2E"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5E5A2E">
        <w:rPr>
          <w:rFonts w:ascii="Arial" w:hAnsi="Arial" w:cs="Arial"/>
          <w:color w:val="222222"/>
          <w:sz w:val="24"/>
          <w:szCs w:val="24"/>
        </w:rPr>
        <w:t>tra 1.000.000 euro e soglia = laurea triennale in architettura, ingegneria o equipollenti con esperienza 5 anni oppure tecnici con diploma di  geometra/tecnico delle costruzioni con esperienza di 15 anni;</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Rup è </w:t>
      </w:r>
      <w:r w:rsidRPr="005E5A2E">
        <w:rPr>
          <w:rStyle w:val="Enfasigrassetto"/>
          <w:rFonts w:ascii="Arial" w:hAnsi="Arial" w:cs="Arial"/>
          <w:color w:val="222222"/>
        </w:rPr>
        <w:t>nominato con atto formale</w:t>
      </w:r>
      <w:r w:rsidRPr="005E5A2E">
        <w:rPr>
          <w:rFonts w:ascii="Arial" w:hAnsi="Arial" w:cs="Arial"/>
          <w:color w:val="222222"/>
        </w:rPr>
        <w:t> del soggetto responsabile (di livello apicale) dell’unità organizzativa, viene individuato tra i dipendenti di ruolo che fanno parte della stessa unità e deve essere in possesso delle competenze professionali adeguate ai compiti per cui è nominato. </w:t>
      </w:r>
      <w:r w:rsidRPr="005E5A2E">
        <w:rPr>
          <w:rStyle w:val="Enfasigrassetto"/>
          <w:rFonts w:ascii="Arial" w:hAnsi="Arial" w:cs="Arial"/>
          <w:color w:val="222222"/>
        </w:rPr>
        <w:t>Nel caso di carenza accertata</w:t>
      </w:r>
      <w:r w:rsidRPr="005E5A2E">
        <w:rPr>
          <w:rFonts w:ascii="Arial" w:hAnsi="Arial" w:cs="Arial"/>
          <w:color w:val="222222"/>
        </w:rPr>
        <w:t>nell’organico per tale ruolo, il Rup è nominato tra gli altri dipendenti in servizio oppure a soggetti selezionati con le procedure di cui al Codice.</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 caso di appalti complessi il Rup propone in conferimento di </w:t>
      </w:r>
      <w:r w:rsidRPr="005E5A2E">
        <w:rPr>
          <w:rStyle w:val="Enfasigrassetto"/>
          <w:rFonts w:ascii="Arial" w:hAnsi="Arial" w:cs="Arial"/>
          <w:color w:val="222222"/>
        </w:rPr>
        <w:t>incarichi a supporto</w:t>
      </w:r>
      <w:r w:rsidRPr="005E5A2E">
        <w:rPr>
          <w:rFonts w:ascii="Arial" w:hAnsi="Arial" w:cs="Arial"/>
          <w:color w:val="222222"/>
        </w:rPr>
        <w:t> che possono essere affidati anche a soggetti esterni dotati di polizze assicurative.</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Le centrali di committenza designano un Rup per le attività di propria competenza.</w:t>
      </w:r>
    </w:p>
    <w:p w:rsidR="00677A61" w:rsidRPr="005E5A2E" w:rsidRDefault="00677A6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Rup, nell’esercizio delle sue funzioni è qualificabile come un </w:t>
      </w:r>
      <w:r w:rsidRPr="005E5A2E">
        <w:rPr>
          <w:rStyle w:val="Enfasigrassetto"/>
          <w:rFonts w:ascii="Arial" w:hAnsi="Arial" w:cs="Arial"/>
          <w:color w:val="222222"/>
        </w:rPr>
        <w:t>pubblico ufficiale</w:t>
      </w:r>
      <w:r w:rsidRPr="005E5A2E">
        <w:rPr>
          <w:rFonts w:ascii="Arial" w:hAnsi="Arial" w:cs="Arial"/>
          <w:color w:val="222222"/>
        </w:rPr>
        <w:t> e le funzioni non possono essere assunte da personale che versa nelle ipotesi di cui all’art. 42, comma 2 del Codice (conflitto di interessi). Il ruolo di Rup è incompatibile con le funzioni di commissario di gara.</w:t>
      </w:r>
    </w:p>
    <w:p w:rsidR="002648B4" w:rsidRPr="005E5A2E" w:rsidRDefault="002648B4"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000000"/>
          <w:shd w:val="clear" w:color="auto" w:fill="F5FDFE"/>
        </w:rPr>
        <w:t>Nel caso in cui l'organico della stazione appaltante presenti carenze accertate o in esso non sia compreso nessun soggetto in possesso della specifica professionalità necessaria per lo 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l RUP,  svolge tutti i compiti relativi alle procedure di programmazione, progettazione, affidamento ed esecuzione previste dal presente codice, che non siano specificatamente attribuiti ad altri organi o soggetti.</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Oltre ai compiti specificatamente previsti da altre disposizioni del codice, in particolare, il RUP:</w:t>
      </w:r>
    </w:p>
    <w:p w:rsidR="002648B4" w:rsidRPr="005E5A2E" w:rsidRDefault="002648B4" w:rsidP="00945B05">
      <w:pPr>
        <w:pStyle w:val="NormaleWeb"/>
        <w:shd w:val="clear" w:color="auto" w:fill="F5FDFE"/>
        <w:rPr>
          <w:rFonts w:ascii="Arial" w:hAnsi="Arial" w:cs="Arial"/>
          <w:color w:val="000000"/>
        </w:rPr>
      </w:pPr>
      <w:r w:rsidRPr="005E5A2E">
        <w:rPr>
          <w:rFonts w:ascii="Arial" w:hAnsi="Arial" w:cs="Arial"/>
          <w:color w:val="000000"/>
        </w:rPr>
        <w:t>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preinformazione; </w:t>
      </w:r>
      <w:r w:rsidRPr="005E5A2E">
        <w:rPr>
          <w:rFonts w:ascii="Arial" w:hAnsi="Arial" w:cs="Arial"/>
          <w:color w:val="000000"/>
        </w:rPr>
        <w:br/>
        <w:t>b) cura, in ciascuna fase di attuazione degli interventi, il controllo sui livelli di prestazione, di qualità e di prezzo determinati in coerenza alla copertura finanziaria e ai tempi di realizzazione dei programmi; </w:t>
      </w:r>
      <w:r w:rsidRPr="005E5A2E">
        <w:rPr>
          <w:rFonts w:ascii="Arial" w:hAnsi="Arial" w:cs="Arial"/>
          <w:color w:val="000000"/>
        </w:rPr>
        <w:br/>
        <w:t>c) cura il corretto e razionale svolgimento delle procedure; </w:t>
      </w:r>
      <w:r w:rsidRPr="005E5A2E">
        <w:rPr>
          <w:rFonts w:ascii="Arial" w:hAnsi="Arial" w:cs="Arial"/>
          <w:color w:val="000000"/>
        </w:rPr>
        <w:br/>
        <w:t>d) segnala eventuali disfunzioni, impedimenti, ritardi nell'attuazione degli interventi; </w:t>
      </w:r>
      <w:r w:rsidRPr="005E5A2E">
        <w:rPr>
          <w:rFonts w:ascii="Arial" w:hAnsi="Arial" w:cs="Arial"/>
          <w:color w:val="000000"/>
        </w:rPr>
        <w:br/>
        <w:t>e) accerta la libera disponibilità di aree e immobili necessari; </w:t>
      </w:r>
      <w:r w:rsidRPr="005E5A2E">
        <w:rPr>
          <w:rFonts w:ascii="Arial" w:hAnsi="Arial" w:cs="Arial"/>
          <w:color w:val="000000"/>
        </w:rPr>
        <w:br/>
        <w:t xml:space="preserve">f) fornisce all'amministrazione aggiudicatrice i dati e le informazioni relativi alle principali fasi di svolgimento dell'attuazione dell'intervento, necessari per l'attività di coordinamento, </w:t>
      </w:r>
      <w:r w:rsidRPr="005E5A2E">
        <w:rPr>
          <w:rFonts w:ascii="Arial" w:hAnsi="Arial" w:cs="Arial"/>
          <w:color w:val="000000"/>
        </w:rPr>
        <w:lastRenderedPageBreak/>
        <w:t>indirizzo e controllo di sua competenza e sorveglia la efficiente gestione economica dell’intervento; </w:t>
      </w:r>
      <w:r w:rsidRPr="005E5A2E">
        <w:rPr>
          <w:rFonts w:ascii="Arial" w:hAnsi="Arial" w:cs="Arial"/>
          <w:color w:val="000000"/>
        </w:rPr>
        <w:br/>
        <w:t>g) propone all'amministrazione aggiudicatrice la conclusione di un accordo di programma, ai sensi delle norme vigenti, quando si rende necessaria l'azione integrata e coordinata di diverse amministrazioni; </w:t>
      </w:r>
      <w:r w:rsidRPr="005E5A2E">
        <w:rPr>
          <w:rFonts w:ascii="Arial" w:hAnsi="Arial" w:cs="Arial"/>
          <w:color w:val="000000"/>
        </w:rPr>
        <w:br/>
        <w:t>h) propone l'indizione o, ove competente, indice la conferenza di servizi quando sia necessario o utile per l'acquisizione di intese, pareri, concessioni, autorizzazioni, permessi, licenze, nulla osta, assensi, comunque denominati;</w:t>
      </w:r>
      <w:r w:rsidRPr="005E5A2E">
        <w:rPr>
          <w:rFonts w:ascii="Arial" w:hAnsi="Arial" w:cs="Arial"/>
          <w:color w:val="000000"/>
        </w:rPr>
        <w:br/>
        <w:t>i) verifica e vigila sul rispetto delle prescrizioni contrattuali nelle concessioni.</w:t>
      </w:r>
    </w:p>
    <w:p w:rsidR="00677A61" w:rsidRPr="005E5A2E" w:rsidRDefault="00152D01" w:rsidP="00945B05">
      <w:pPr>
        <w:pStyle w:val="NormaleWeb"/>
        <w:shd w:val="clear" w:color="auto" w:fill="FFFFFF"/>
        <w:spacing w:before="0" w:beforeAutospacing="0" w:after="262" w:afterAutospacing="0"/>
        <w:rPr>
          <w:rFonts w:ascii="Arial" w:hAnsi="Arial" w:cs="Arial"/>
          <w:color w:val="000000"/>
          <w:shd w:val="clear" w:color="auto" w:fill="F5FDFE"/>
        </w:rPr>
      </w:pPr>
      <w:r w:rsidRPr="005E5A2E">
        <w:rPr>
          <w:rFonts w:ascii="Arial" w:hAnsi="Arial" w:cs="Arial"/>
          <w:color w:val="000000"/>
          <w:shd w:val="clear" w:color="auto" w:fill="F5FDFE"/>
        </w:rPr>
        <w:t xml:space="preserve">La </w:t>
      </w:r>
      <w:r w:rsidR="002648B4" w:rsidRPr="005E5A2E">
        <w:rPr>
          <w:rFonts w:ascii="Arial" w:hAnsi="Arial" w:cs="Arial"/>
          <w:color w:val="000000"/>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5E5A2E" w:rsidRDefault="00152D0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IL DIRETTORE DEI LAVORI</w:t>
      </w:r>
    </w:p>
    <w:p w:rsidR="00FA5BBE" w:rsidRPr="005E5A2E" w:rsidRDefault="00152D01"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5E5A2E" w:rsidRDefault="00FA5BBE" w:rsidP="00945B05">
      <w:pPr>
        <w:pStyle w:val="NormaleWeb"/>
        <w:shd w:val="clear" w:color="auto" w:fill="F5FDFE"/>
        <w:rPr>
          <w:rFonts w:ascii="Arial" w:hAnsi="Arial" w:cs="Arial"/>
          <w:color w:val="000000"/>
        </w:rPr>
      </w:pPr>
      <w:r w:rsidRPr="005E5A2E">
        <w:rPr>
          <w:rFonts w:ascii="Arial" w:hAnsi="Arial" w:cs="Arial"/>
          <w:color w:val="000000"/>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5E5A2E" w:rsidRDefault="00FA5BBE" w:rsidP="00945B05">
      <w:pPr>
        <w:pStyle w:val="NormaleWeb"/>
        <w:shd w:val="clear" w:color="auto" w:fill="F5FDFE"/>
        <w:spacing w:before="0" w:beforeAutospacing="0" w:after="0" w:afterAutospacing="0"/>
        <w:rPr>
          <w:rFonts w:ascii="Arial" w:hAnsi="Arial" w:cs="Arial"/>
          <w:color w:val="000000"/>
        </w:rPr>
      </w:pPr>
      <w:r w:rsidRPr="005E5A2E">
        <w:rPr>
          <w:rFonts w:ascii="Arial" w:hAnsi="Arial" w:cs="Arial"/>
          <w:color w:val="000000"/>
        </w:rPr>
        <w:t>a) verificare periodicamente il possesso e la regolarità da parte dell'esecutore e del subappaltatore della documentazione prevista dalle leggi vigenti in materia di obblighi nei confronti dei dipendenti;</w:t>
      </w:r>
    </w:p>
    <w:p w:rsidR="00FA5BBE" w:rsidRPr="005E5A2E" w:rsidRDefault="00FA5BBE" w:rsidP="00945B05">
      <w:pPr>
        <w:pStyle w:val="NormaleWeb"/>
        <w:shd w:val="clear" w:color="auto" w:fill="F5FDFE"/>
        <w:spacing w:before="0" w:beforeAutospacing="0" w:after="0" w:afterAutospacing="0"/>
        <w:rPr>
          <w:rFonts w:ascii="Arial" w:hAnsi="Arial" w:cs="Arial"/>
          <w:color w:val="000000"/>
        </w:rPr>
      </w:pPr>
      <w:r w:rsidRPr="005E5A2E">
        <w:rPr>
          <w:rFonts w:ascii="Arial" w:hAnsi="Arial" w:cs="Arial"/>
          <w:color w:val="000000"/>
        </w:rPr>
        <w:t>b) curare la costante verifica di validità del programma di manutenzione, dei manuali d'uso e dei manuali di manutenzione, modificandone e aggiornandone i contenuti a lavori ultimati; </w:t>
      </w:r>
      <w:r w:rsidRPr="005E5A2E">
        <w:rPr>
          <w:rFonts w:ascii="Arial" w:hAnsi="Arial" w:cs="Arial"/>
          <w:color w:val="000000"/>
        </w:rPr>
        <w:br/>
        <w:t>c) provvedere alla segnalazione al responsabile del procedimento, dell'inosservanza, da parte dell'esecutore, dell'art 105; </w:t>
      </w:r>
      <w:r w:rsidRPr="005E5A2E">
        <w:rPr>
          <w:rFonts w:ascii="Arial" w:hAnsi="Arial" w:cs="Arial"/>
          <w:color w:val="000000"/>
        </w:rPr>
        <w:br/>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Si aggiungono inoltre i seguenti compiti:</w:t>
      </w:r>
    </w:p>
    <w:p w:rsidR="00FA5BBE"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-rilasciare per i contratti pubblici inferiori alla sog</w:t>
      </w:r>
      <w:r w:rsidR="003F0224" w:rsidRPr="005E5A2E">
        <w:rPr>
          <w:rFonts w:ascii="Arial" w:hAnsi="Arial" w:cs="Arial"/>
          <w:color w:val="222222"/>
        </w:rPr>
        <w:t>l</w:t>
      </w:r>
      <w:r w:rsidRPr="005E5A2E">
        <w:rPr>
          <w:rFonts w:ascii="Arial" w:hAnsi="Arial" w:cs="Arial"/>
          <w:color w:val="222222"/>
        </w:rPr>
        <w:t>ia comunitaria il certificato di regolare esecuzione che sostituisce il certificato di collaudo e il certificato di verifica i conformità</w:t>
      </w:r>
    </w:p>
    <w:p w:rsidR="00FA5BBE"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lastRenderedPageBreak/>
        <w:t>-sospende l’esecuzione dei lavori in tutti i casi in cui ci sono circostanze speciali che impediscono in via temporanea che i lavori procedano utilmente a regola d’arte.</w:t>
      </w:r>
    </w:p>
    <w:p w:rsidR="00A4602C" w:rsidRPr="005E5A2E" w:rsidRDefault="00FA5BBE"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Nell’esercizio delle sue funzioni può esser coadiuvato da un ufficio di direzione di cui è responsabile . la direzione dei lavori può esser affidata escl</w:t>
      </w:r>
      <w:r w:rsidR="003F0224" w:rsidRPr="005E5A2E">
        <w:rPr>
          <w:rFonts w:ascii="Arial" w:hAnsi="Arial" w:cs="Arial"/>
          <w:color w:val="222222"/>
        </w:rPr>
        <w:t>u</w:t>
      </w:r>
      <w:r w:rsidRPr="005E5A2E">
        <w:rPr>
          <w:rFonts w:ascii="Arial" w:hAnsi="Arial" w:cs="Arial"/>
          <w:color w:val="222222"/>
        </w:rPr>
        <w:t>sivamente a iscritti n</w:t>
      </w:r>
      <w:r w:rsidR="003F0224" w:rsidRPr="005E5A2E">
        <w:rPr>
          <w:rFonts w:ascii="Arial" w:hAnsi="Arial" w:cs="Arial"/>
          <w:color w:val="222222"/>
        </w:rPr>
        <w:t>e</w:t>
      </w:r>
      <w:r w:rsidRPr="005E5A2E">
        <w:rPr>
          <w:rFonts w:ascii="Arial" w:hAnsi="Arial" w:cs="Arial"/>
          <w:color w:val="222222"/>
        </w:rPr>
        <w:t>ll’albo na</w:t>
      </w:r>
      <w:r w:rsidR="003F0224" w:rsidRPr="005E5A2E">
        <w:rPr>
          <w:rFonts w:ascii="Arial" w:hAnsi="Arial" w:cs="Arial"/>
          <w:color w:val="222222"/>
        </w:rPr>
        <w:t>z</w:t>
      </w:r>
      <w:r w:rsidRPr="005E5A2E">
        <w:rPr>
          <w:rFonts w:ascii="Arial" w:hAnsi="Arial" w:cs="Arial"/>
          <w:color w:val="222222"/>
        </w:rPr>
        <w:t>ionale tenuto presso il Ministero IT. Nei contratti relat</w:t>
      </w:r>
      <w:r w:rsidR="003F0224" w:rsidRPr="005E5A2E">
        <w:rPr>
          <w:rFonts w:ascii="Arial" w:hAnsi="Arial" w:cs="Arial"/>
          <w:color w:val="222222"/>
        </w:rPr>
        <w:t>i</w:t>
      </w:r>
      <w:r w:rsidRPr="005E5A2E">
        <w:rPr>
          <w:rFonts w:ascii="Arial" w:hAnsi="Arial" w:cs="Arial"/>
          <w:color w:val="222222"/>
        </w:rPr>
        <w:t>vi a servizi e forniture il direttore dell’esecuzione del contratto è di norma il RUP</w:t>
      </w:r>
    </w:p>
    <w:p w:rsidR="00FA5BBE" w:rsidRPr="005E5A2E" w:rsidRDefault="00A4602C" w:rsidP="00945B05">
      <w:pPr>
        <w:pStyle w:val="NormaleWeb"/>
        <w:shd w:val="clear" w:color="auto" w:fill="FFFFFF"/>
        <w:spacing w:before="0" w:beforeAutospacing="0" w:after="262" w:afterAutospacing="0"/>
        <w:rPr>
          <w:rFonts w:ascii="Arial" w:hAnsi="Arial" w:cs="Arial"/>
          <w:color w:val="222222"/>
        </w:rPr>
      </w:pPr>
      <w:r w:rsidRPr="005E5A2E">
        <w:rPr>
          <w:rFonts w:ascii="Arial" w:hAnsi="Arial" w:cs="Arial"/>
          <w:color w:val="222222"/>
        </w:rPr>
        <w:t>ANAC</w:t>
      </w:r>
    </w:p>
    <w:p w:rsidR="00A4602C" w:rsidRPr="005E5A2E" w:rsidRDefault="00A4602C" w:rsidP="00945B05">
      <w:pPr>
        <w:pStyle w:val="NormaleWeb"/>
        <w:shd w:val="clear" w:color="auto" w:fill="FFFFFF"/>
        <w:spacing w:before="0" w:beforeAutospacing="0" w:after="262" w:afterAutospacing="0"/>
        <w:rPr>
          <w:rFonts w:ascii="Arial" w:hAnsi="Arial" w:cs="Arial"/>
          <w:color w:val="000000"/>
          <w:shd w:val="clear" w:color="auto" w:fill="FFFFFF"/>
        </w:rPr>
      </w:pPr>
      <w:r w:rsidRPr="005E5A2E">
        <w:rPr>
          <w:rFonts w:ascii="Arial" w:hAnsi="Arial" w:cs="Arial"/>
          <w:color w:val="000000"/>
          <w:shd w:val="clear" w:color="auto" w:fill="FFFFFF"/>
        </w:rPr>
        <w:t>L'Autorità nazionale anticorruzione è nata con il decreto legge n.90/2014 convertito in legge n.114/2014 che ha soppresso l'Autorità per la vigilanza sui contratti pubblici di lavori, servizi e forniture (Avcp). Si tratta di un'autorità amministrativa indipendente.  La sua missione è quella di </w:t>
      </w:r>
      <w:r w:rsidRPr="005E5A2E">
        <w:rPr>
          <w:rFonts w:ascii="Arial" w:hAnsi="Arial" w:cs="Arial"/>
          <w:b/>
          <w:bCs/>
          <w:color w:val="000000"/>
          <w:shd w:val="clear" w:color="auto" w:fill="FFFFFF"/>
        </w:rPr>
        <w:t>prevenire la corruzione nell'ambito delle amministrazioni pubbliche</w:t>
      </w:r>
      <w:r w:rsidRPr="005E5A2E">
        <w:rPr>
          <w:rFonts w:ascii="Arial" w:hAnsi="Arial" w:cs="Arial"/>
          <w:color w:val="000000"/>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5E5A2E">
        <w:rPr>
          <w:rFonts w:ascii="Arial" w:hAnsi="Arial" w:cs="Arial"/>
          <w:color w:val="000000"/>
          <w:shd w:val="clear" w:color="auto" w:fill="FFFFFF"/>
        </w:rPr>
        <w:t xml:space="preserve"> </w:t>
      </w:r>
      <w:r w:rsidRPr="005E5A2E">
        <w:rPr>
          <w:rFonts w:ascii="Arial" w:hAnsi="Arial" w:cs="Arial"/>
          <w:color w:val="000000"/>
          <w:shd w:val="clear" w:color="auto" w:fill="FFFFFF"/>
        </w:rPr>
        <w:t>Svolge un ruolo fondamentale nell’attuazione del nuovo codice, mediante atti di indir</w:t>
      </w:r>
      <w:r w:rsidR="00945B05" w:rsidRPr="005E5A2E">
        <w:rPr>
          <w:rFonts w:ascii="Arial" w:hAnsi="Arial" w:cs="Arial"/>
          <w:color w:val="000000"/>
          <w:shd w:val="clear" w:color="auto" w:fill="FFFFFF"/>
        </w:rPr>
        <w:t>i</w:t>
      </w:r>
      <w:r w:rsidRPr="005E5A2E">
        <w:rPr>
          <w:rFonts w:ascii="Arial" w:hAnsi="Arial" w:cs="Arial"/>
          <w:color w:val="000000"/>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5E5A2E">
        <w:rPr>
          <w:rFonts w:ascii="Arial" w:hAnsi="Arial" w:cs="Arial"/>
          <w:color w:val="000000"/>
          <w:shd w:val="clear" w:color="auto" w:fill="FFFFFF"/>
        </w:rPr>
        <w:t xml:space="preserve"> </w:t>
      </w:r>
      <w:r w:rsidRPr="005E5A2E">
        <w:rPr>
          <w:rFonts w:ascii="Arial" w:hAnsi="Arial" w:cs="Arial"/>
          <w:color w:val="000000"/>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5E5A2E">
        <w:rPr>
          <w:rFonts w:ascii="Arial" w:hAnsi="Arial" w:cs="Arial"/>
          <w:color w:val="000000"/>
          <w:shd w:val="clear" w:color="auto" w:fill="FFFFFF"/>
        </w:rPr>
        <w:t>a</w:t>
      </w:r>
      <w:r w:rsidRPr="005E5A2E">
        <w:rPr>
          <w:rFonts w:ascii="Arial" w:hAnsi="Arial" w:cs="Arial"/>
          <w:color w:val="000000"/>
          <w:shd w:val="clear" w:color="auto" w:fill="FFFFFF"/>
        </w:rPr>
        <w:t>ltanti che fanno affidamenti in house, l’albo dei commissari di gara</w:t>
      </w:r>
    </w:p>
    <w:p w:rsidR="005C66DC" w:rsidRPr="005E5A2E" w:rsidRDefault="005C66DC" w:rsidP="00945B05">
      <w:pPr>
        <w:pStyle w:val="NormaleWeb"/>
        <w:shd w:val="clear" w:color="auto" w:fill="FFFFFF"/>
        <w:spacing w:before="0" w:beforeAutospacing="0" w:after="262" w:afterAutospacing="0"/>
        <w:rPr>
          <w:rFonts w:ascii="Arial" w:hAnsi="Arial" w:cs="Arial"/>
          <w:color w:val="000000"/>
          <w:shd w:val="clear" w:color="auto" w:fill="FFFFFF"/>
        </w:rPr>
      </w:pPr>
      <w:r w:rsidRPr="005E5A2E">
        <w:rPr>
          <w:rFonts w:ascii="Arial" w:hAnsi="Arial" w:cs="Arial"/>
          <w:color w:val="000000"/>
          <w:shd w:val="clear" w:color="auto" w:fill="FFFFFF"/>
        </w:rPr>
        <w:t>MEPA</w:t>
      </w:r>
    </w:p>
    <w:p w:rsidR="005C66DC" w:rsidRPr="005E5A2E"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r w:rsidRPr="005E5A2E">
        <w:rPr>
          <w:rFonts w:ascii="Arial" w:hAnsi="Arial" w:cs="Arial"/>
          <w:color w:val="222222"/>
        </w:rPr>
        <w:t>Il </w:t>
      </w:r>
      <w:r w:rsidRPr="005E5A2E">
        <w:rPr>
          <w:rFonts w:ascii="Arial" w:hAnsi="Arial" w:cs="Arial"/>
          <w:b/>
          <w:bCs/>
          <w:color w:val="222222"/>
        </w:rPr>
        <w:t>Mercato elettronico della Pubblica amministrazione</w:t>
      </w:r>
      <w:r w:rsidRPr="005E5A2E">
        <w:rPr>
          <w:rFonts w:ascii="Arial" w:hAnsi="Arial" w:cs="Arial"/>
          <w:color w:val="222222"/>
        </w:rPr>
        <w:t> (</w:t>
      </w:r>
      <w:r w:rsidRPr="005E5A2E">
        <w:rPr>
          <w:rFonts w:ascii="Arial" w:hAnsi="Arial" w:cs="Arial"/>
          <w:b/>
          <w:bCs/>
          <w:color w:val="222222"/>
        </w:rPr>
        <w:t>MePA</w:t>
      </w:r>
      <w:r w:rsidRPr="005E5A2E">
        <w:rPr>
          <w:rFonts w:ascii="Arial" w:hAnsi="Arial" w:cs="Arial"/>
          <w:color w:val="222222"/>
        </w:rPr>
        <w:t>) è uno strumento di commercio telematico, , a disposizione delle PA per effettuare acquisti di importo inferiore alla soglia comunitaria . Nel MePA, le pubbliche amministrazioni registrate possono consultare il catalogo elettronico, confrontare e acquistare i beni e servizi offerti dai fornitori abilitati sul sistema. Le tipologie di beni e servizi e le condizioni generali per la loro fornitura sono definite in specifici bandi.Il Mercato elettronico della PA è uno strumento del MEF</w:t>
      </w:r>
      <w:r w:rsidRPr="005E5A2E">
        <w:rPr>
          <w:rFonts w:ascii="Arial" w:hAnsi="Arial" w:cs="Arial"/>
          <w:color w:val="222222"/>
          <w:vertAlign w:val="superscript"/>
        </w:rPr>
        <w:t xml:space="preserve"> </w:t>
      </w:r>
      <w:hyperlink r:id="rId9" w:anchor="cite_note-1" w:history="1">
        <w:r w:rsidRPr="005E5A2E">
          <w:rPr>
            <w:rStyle w:val="Collegamentoipertestuale"/>
            <w:rFonts w:ascii="Arial" w:hAnsi="Arial" w:cs="Arial"/>
            <w:color w:val="0B0080"/>
            <w:vertAlign w:val="superscript"/>
          </w:rPr>
          <w:t>[1]</w:t>
        </w:r>
      </w:hyperlink>
      <w:r w:rsidRPr="005E5A2E">
        <w:rPr>
          <w:rFonts w:ascii="Arial" w:hAnsi="Arial" w:cs="Arial"/>
          <w:color w:val="222222"/>
        </w:rPr>
        <w:t xml:space="preserve"> avviato e gestito da CONSIP dal 2003. </w:t>
      </w:r>
      <w:r w:rsidRPr="005E5A2E">
        <w:rPr>
          <w:rFonts w:ascii="Arial" w:hAnsi="Arial" w:cs="Arial"/>
          <w:color w:val="222222"/>
          <w:shd w:val="clear" w:color="auto" w:fill="FFFFFF"/>
        </w:rPr>
        <w:t>Il MePA permette alle amministrazioni pubbliche di consultare i cataloghi delle offerte pubblicate ed emettere direttamente ordini d'acquisto (OdA) o richieste d'offerta (RdO). I fornitori abilitati possono, invece, offrire i propri beni e servizi direttamente online e rispondere alle eventuali richieste di offerta avanzate dalle PA. Per concludere le transazioni, amministrazioni e imprese devono essere dotati di firma digitale. Il MePA permette dunque l'acquisto online di beni e servizi con caratteristiche di standardizzabilità, per acquisti ripetitivi e/o per volumi ridotti.</w:t>
      </w:r>
    </w:p>
    <w:p w:rsidR="005C66DC" w:rsidRPr="005E5A2E" w:rsidRDefault="005C66DC" w:rsidP="005C66DC">
      <w:pPr>
        <w:pStyle w:val="NormaleWeb"/>
        <w:shd w:val="clear" w:color="auto" w:fill="FFFFFF"/>
        <w:spacing w:before="0" w:beforeAutospacing="0" w:after="0" w:afterAutospacing="0"/>
        <w:rPr>
          <w:rFonts w:ascii="Arial" w:hAnsi="Arial" w:cs="Arial"/>
          <w:color w:val="333333"/>
        </w:rPr>
      </w:pPr>
      <w:r w:rsidRPr="005E5A2E">
        <w:rPr>
          <w:rFonts w:ascii="Arial" w:hAnsi="Arial" w:cs="Arial"/>
          <w:color w:val="333333"/>
        </w:rPr>
        <w:t xml:space="preserve">Per accedere al MePA, gestito dalla Consip per conto del Ministero delle Economie e Finanze, le imprese devono essere in possesso di determinati requisiti e procedere all’iscrizione al MePa, seguendo una specifica procedura, verificare poi che il </w:t>
      </w:r>
      <w:r w:rsidRPr="005E5A2E">
        <w:rPr>
          <w:rFonts w:ascii="Arial" w:hAnsi="Arial" w:cs="Arial"/>
          <w:color w:val="333333"/>
        </w:rPr>
        <w:lastRenderedPageBreak/>
        <w:t>bene/servizio offerto per la vendita, sia previsto tra quelli negoziabili sul mercato elettronico PA. Tale verifica, si effettua, accedendo alla vetrina del portale e vedere se tra i Bandi attivi alla data di consultazione, che ricordiamo sono differenti per diverse categorie merceologiche, ce ne è uno che fa al caso dell’impresa.</w:t>
      </w:r>
    </w:p>
    <w:p w:rsidR="005C66DC" w:rsidRPr="005E5A2E" w:rsidRDefault="005C66DC" w:rsidP="005C66DC">
      <w:pPr>
        <w:pStyle w:val="NormaleWeb"/>
        <w:shd w:val="clear" w:color="auto" w:fill="FFFFFF"/>
        <w:spacing w:before="0" w:beforeAutospacing="0" w:after="0" w:afterAutospacing="0"/>
        <w:rPr>
          <w:rFonts w:ascii="Arial" w:hAnsi="Arial" w:cs="Arial"/>
          <w:color w:val="333333"/>
        </w:rPr>
      </w:pPr>
      <w:r w:rsidRPr="005E5A2E">
        <w:rPr>
          <w:rFonts w:ascii="Arial" w:hAnsi="Arial" w:cs="Arial"/>
          <w:color w:val="333333"/>
        </w:rPr>
        <w:t>Se c’è, allora l’impresa scarica online il bando MePA con la relativa documentazione e procede ad inviare la richiesta di abilitazione al bando individuato.</w:t>
      </w:r>
    </w:p>
    <w:p w:rsidR="005C66DC" w:rsidRPr="005E5A2E"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p>
    <w:p w:rsidR="005C66DC" w:rsidRPr="005E5A2E" w:rsidRDefault="005C66DC" w:rsidP="005C66DC">
      <w:pPr>
        <w:shd w:val="clear" w:color="auto" w:fill="FFFFFF"/>
        <w:spacing w:before="120" w:after="120" w:line="240" w:lineRule="auto"/>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Il mercato elettronico offre alle Amministrazioni registrate la possibilità di concludere contratti attraverso due diverse procedure di acquisto:</w:t>
      </w:r>
    </w:p>
    <w:p w:rsidR="005C66DC" w:rsidRPr="005E5A2E"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l'ordine d'acquisto: (OdA)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Pr="005E5A2E"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 richiesta d'offerta (RdO):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CONCESSIONI</w:t>
      </w:r>
    </w:p>
    <w:p w:rsidR="00327B0E" w:rsidRPr="005E5A2E" w:rsidRDefault="00327B0E"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 xml:space="preserve">Art 3 </w:t>
      </w:r>
      <w:r w:rsidR="000D1DDF" w:rsidRPr="005E5A2E">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hAnsi="Arial" w:cs="Arial"/>
          <w:color w:val="000000"/>
          <w:sz w:val="24"/>
          <w:szCs w:val="24"/>
        </w:rPr>
        <w:br/>
      </w:r>
      <w:r w:rsidRPr="005E5A2E">
        <w:rPr>
          <w:rFonts w:ascii="Arial" w:hAnsi="Arial" w:cs="Arial"/>
          <w:color w:val="000000"/>
          <w:sz w:val="24"/>
          <w:szCs w:val="24"/>
          <w:shd w:val="clear" w:color="auto" w:fill="F5FDFE"/>
        </w:rPr>
        <w:t>vv) «concessione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Pr="005E5A2E"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lastRenderedPageBreak/>
        <w:t xml:space="preserve">Il trasferimento in capo al privato del rischio operativo presuppone a sua volta l’equilibrio economico finanziario definito dall’art 3 fff come </w:t>
      </w:r>
      <w:r w:rsidRPr="005E5A2E">
        <w:rPr>
          <w:rFonts w:ascii="Arial" w:hAnsi="Arial" w:cs="Arial"/>
          <w:color w:val="000000"/>
          <w:sz w:val="24"/>
          <w:szCs w:val="24"/>
          <w:shd w:val="clear" w:color="auto" w:fill="F5FDFE"/>
        </w:rPr>
        <w:t>la contemporanea presenza delle condizioni di convenienza economica e sostenibilità finanziaria. Per convenienza economica si intende la capacità del progetto di creare valore nell’arco dell'efficacia del contratto e di generare un livello di redditività adeguato per il capitale investito; per sostenibilità finanziaria si intende la capacità del progetto di generare flussi di cassa sufficienti a garantire il rimborso del finanziamento</w:t>
      </w:r>
      <w:r w:rsidRPr="005E5A2E">
        <w:rPr>
          <w:rFonts w:ascii="Arial" w:eastAsia="Times New Roman" w:hAnsi="Arial" w:cs="Arial"/>
          <w:color w:val="222222"/>
          <w:sz w:val="24"/>
          <w:szCs w:val="24"/>
          <w:lang w:eastAsia="it-IT"/>
        </w:rPr>
        <w:t xml:space="preserve"> </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Lo schema base della concessione appare quindi il seguente : l’ammiistrazione può dar vita ad una gara in cui sia possibile il recupero delle spese e l’acquisizione di introiti fino alla scadenza del rapporto. Sarà poi l’abilità del concessionario a determinare il quantum di tali guadagni in base al rischio operativo.</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5E5A2E">
        <w:rPr>
          <w:rFonts w:ascii="Arial" w:eastAsia="Times New Roman" w:hAnsi="Arial" w:cs="Arial"/>
          <w:color w:val="222222"/>
          <w:sz w:val="24"/>
          <w:szCs w:val="24"/>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Pr="005E5A2E"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Pr="005E5A2E"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5E5A2E">
        <w:rPr>
          <w:rFonts w:ascii="Arial" w:hAnsi="Arial" w:cs="Arial"/>
          <w:color w:val="000000"/>
          <w:sz w:val="24"/>
          <w:szCs w:val="24"/>
          <w:shd w:val="clear" w:color="auto" w:fill="F5FDFE"/>
        </w:rPr>
        <w:t>Le concessioni aventi per oggetto sia lavori che servizi sono aggiudicate secondo le disposizioni applicabili al tipo di concessione che caratterizza l'oggetto principale del contratto.</w:t>
      </w:r>
    </w:p>
    <w:p w:rsidR="000D1DDF" w:rsidRPr="005E5A2E"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p>
    <w:p w:rsidR="005C66DC" w:rsidRPr="005E5A2E" w:rsidRDefault="005C66DC" w:rsidP="005C66DC">
      <w:pPr>
        <w:pStyle w:val="NormaleWeb"/>
        <w:shd w:val="clear" w:color="auto" w:fill="FFFFFF"/>
        <w:spacing w:before="120" w:beforeAutospacing="0" w:after="120" w:afterAutospacing="0"/>
        <w:rPr>
          <w:rFonts w:ascii="Arial" w:hAnsi="Arial" w:cs="Arial"/>
          <w:color w:val="222222"/>
        </w:rPr>
      </w:pPr>
    </w:p>
    <w:p w:rsidR="005C66DC" w:rsidRPr="005E5A2E" w:rsidRDefault="005C66DC" w:rsidP="00945B05">
      <w:pPr>
        <w:pStyle w:val="NormaleWeb"/>
        <w:shd w:val="clear" w:color="auto" w:fill="FFFFFF"/>
        <w:spacing w:before="0" w:beforeAutospacing="0" w:after="262" w:afterAutospacing="0"/>
        <w:rPr>
          <w:rFonts w:ascii="Arial" w:hAnsi="Arial" w:cs="Arial"/>
          <w:color w:val="222222"/>
        </w:rPr>
      </w:pPr>
    </w:p>
    <w:sectPr w:rsidR="005C66DC" w:rsidRPr="005E5A2E"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DC6320"/>
    <w:multiLevelType w:val="multilevel"/>
    <w:tmpl w:val="2A569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544CD8"/>
    <w:multiLevelType w:val="multilevel"/>
    <w:tmpl w:val="6CA6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5D7B43"/>
    <w:multiLevelType w:val="multilevel"/>
    <w:tmpl w:val="01DE1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640246"/>
    <w:multiLevelType w:val="multilevel"/>
    <w:tmpl w:val="B32C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E05860"/>
    <w:multiLevelType w:val="multilevel"/>
    <w:tmpl w:val="2B1A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9CD1FE3"/>
    <w:multiLevelType w:val="multilevel"/>
    <w:tmpl w:val="0A20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D65737"/>
    <w:multiLevelType w:val="multilevel"/>
    <w:tmpl w:val="2D18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FE047C1"/>
    <w:multiLevelType w:val="multilevel"/>
    <w:tmpl w:val="A4B07F4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501456CA"/>
    <w:multiLevelType w:val="multilevel"/>
    <w:tmpl w:val="853A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abstractNum w:abstractNumId="23">
    <w:nsid w:val="6B6F482C"/>
    <w:multiLevelType w:val="multilevel"/>
    <w:tmpl w:val="12D4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E9B6402"/>
    <w:multiLevelType w:val="multilevel"/>
    <w:tmpl w:val="EE886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0"/>
  </w:num>
  <w:num w:numId="5">
    <w:abstractNumId w:val="6"/>
  </w:num>
  <w:num w:numId="6">
    <w:abstractNumId w:val="7"/>
  </w:num>
  <w:num w:numId="7">
    <w:abstractNumId w:val="0"/>
  </w:num>
  <w:num w:numId="8">
    <w:abstractNumId w:val="22"/>
  </w:num>
  <w:num w:numId="9">
    <w:abstractNumId w:val="9"/>
  </w:num>
  <w:num w:numId="10">
    <w:abstractNumId w:val="10"/>
  </w:num>
  <w:num w:numId="11">
    <w:abstractNumId w:val="17"/>
  </w:num>
  <w:num w:numId="12">
    <w:abstractNumId w:val="16"/>
  </w:num>
  <w:num w:numId="13">
    <w:abstractNumId w:val="19"/>
  </w:num>
  <w:num w:numId="14">
    <w:abstractNumId w:val="14"/>
  </w:num>
  <w:num w:numId="15">
    <w:abstractNumId w:val="13"/>
  </w:num>
  <w:num w:numId="16">
    <w:abstractNumId w:val="4"/>
  </w:num>
  <w:num w:numId="1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8"/>
  </w:num>
  <w:num w:numId="22">
    <w:abstractNumId w:val="1"/>
  </w:num>
  <w:num w:numId="23">
    <w:abstractNumId w:val="11"/>
  </w:num>
  <w:num w:numId="24">
    <w:abstractNumId w:val="3"/>
  </w:num>
  <w:num w:numId="2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46DD4"/>
    <w:rsid w:val="00071BE3"/>
    <w:rsid w:val="000A6C17"/>
    <w:rsid w:val="000B1CA5"/>
    <w:rsid w:val="000D1DDF"/>
    <w:rsid w:val="001160ED"/>
    <w:rsid w:val="00126BDB"/>
    <w:rsid w:val="00152D01"/>
    <w:rsid w:val="00154B2D"/>
    <w:rsid w:val="00165D06"/>
    <w:rsid w:val="00190BFF"/>
    <w:rsid w:val="00195C11"/>
    <w:rsid w:val="0020519D"/>
    <w:rsid w:val="00217F9E"/>
    <w:rsid w:val="00224312"/>
    <w:rsid w:val="002648B4"/>
    <w:rsid w:val="002D2EF6"/>
    <w:rsid w:val="00307A25"/>
    <w:rsid w:val="00314B79"/>
    <w:rsid w:val="00327B0E"/>
    <w:rsid w:val="003F0224"/>
    <w:rsid w:val="00403D8C"/>
    <w:rsid w:val="00415505"/>
    <w:rsid w:val="00445673"/>
    <w:rsid w:val="00500478"/>
    <w:rsid w:val="00507C60"/>
    <w:rsid w:val="005647DA"/>
    <w:rsid w:val="005A636F"/>
    <w:rsid w:val="005C66DC"/>
    <w:rsid w:val="005D2A98"/>
    <w:rsid w:val="005E13CC"/>
    <w:rsid w:val="005E5A2E"/>
    <w:rsid w:val="005E7D08"/>
    <w:rsid w:val="006460A5"/>
    <w:rsid w:val="00677A61"/>
    <w:rsid w:val="006909AB"/>
    <w:rsid w:val="006B2EAE"/>
    <w:rsid w:val="006D1617"/>
    <w:rsid w:val="006F5386"/>
    <w:rsid w:val="00745BC1"/>
    <w:rsid w:val="00770AB7"/>
    <w:rsid w:val="0079009D"/>
    <w:rsid w:val="007A76DB"/>
    <w:rsid w:val="008051BB"/>
    <w:rsid w:val="008A01F8"/>
    <w:rsid w:val="008B135A"/>
    <w:rsid w:val="008D627E"/>
    <w:rsid w:val="00921F27"/>
    <w:rsid w:val="00941479"/>
    <w:rsid w:val="00945B05"/>
    <w:rsid w:val="00981B62"/>
    <w:rsid w:val="009B4779"/>
    <w:rsid w:val="009C46DD"/>
    <w:rsid w:val="00A4602C"/>
    <w:rsid w:val="00A513C0"/>
    <w:rsid w:val="00A77E61"/>
    <w:rsid w:val="00B02864"/>
    <w:rsid w:val="00B22444"/>
    <w:rsid w:val="00B26354"/>
    <w:rsid w:val="00B528BB"/>
    <w:rsid w:val="00BA64C3"/>
    <w:rsid w:val="00BC3075"/>
    <w:rsid w:val="00C12084"/>
    <w:rsid w:val="00C12677"/>
    <w:rsid w:val="00C53056"/>
    <w:rsid w:val="00C703E4"/>
    <w:rsid w:val="00C7195F"/>
    <w:rsid w:val="00CA20A7"/>
    <w:rsid w:val="00CA5DB5"/>
    <w:rsid w:val="00D573D7"/>
    <w:rsid w:val="00DA1724"/>
    <w:rsid w:val="00DD3409"/>
    <w:rsid w:val="00E46233"/>
    <w:rsid w:val="00E675CE"/>
    <w:rsid w:val="00F02EA6"/>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1">
    <w:name w:val="heading 1"/>
    <w:basedOn w:val="Normale"/>
    <w:next w:val="Normale"/>
    <w:link w:val="Titolo1Carattere"/>
    <w:uiPriority w:val="9"/>
    <w:qFormat/>
    <w:rsid w:val="00B528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 w:type="paragraph" w:customStyle="1" w:styleId="allegato">
    <w:name w:val="allegato"/>
    <w:basedOn w:val="Normale"/>
    <w:rsid w:val="00C703E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B528B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3722096">
      <w:bodyDiv w:val="1"/>
      <w:marLeft w:val="0"/>
      <w:marRight w:val="0"/>
      <w:marTop w:val="0"/>
      <w:marBottom w:val="0"/>
      <w:divBdr>
        <w:top w:val="none" w:sz="0" w:space="0" w:color="auto"/>
        <w:left w:val="none" w:sz="0" w:space="0" w:color="auto"/>
        <w:bottom w:val="none" w:sz="0" w:space="0" w:color="auto"/>
        <w:right w:val="none" w:sz="0" w:space="0" w:color="auto"/>
      </w:divBdr>
    </w:div>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349111840">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492381092">
      <w:bodyDiv w:val="1"/>
      <w:marLeft w:val="0"/>
      <w:marRight w:val="0"/>
      <w:marTop w:val="0"/>
      <w:marBottom w:val="0"/>
      <w:divBdr>
        <w:top w:val="none" w:sz="0" w:space="0" w:color="auto"/>
        <w:left w:val="none" w:sz="0" w:space="0" w:color="auto"/>
        <w:bottom w:val="none" w:sz="0" w:space="0" w:color="auto"/>
        <w:right w:val="none" w:sz="0" w:space="0" w:color="auto"/>
      </w:divBdr>
      <w:divsChild>
        <w:div w:id="119615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7586880">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285904">
      <w:bodyDiv w:val="1"/>
      <w:marLeft w:val="0"/>
      <w:marRight w:val="0"/>
      <w:marTop w:val="0"/>
      <w:marBottom w:val="0"/>
      <w:divBdr>
        <w:top w:val="none" w:sz="0" w:space="0" w:color="auto"/>
        <w:left w:val="none" w:sz="0" w:space="0" w:color="auto"/>
        <w:bottom w:val="none" w:sz="0" w:space="0" w:color="auto"/>
        <w:right w:val="none" w:sz="0" w:space="0" w:color="auto"/>
      </w:divBdr>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001734">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9866193">
      <w:bodyDiv w:val="1"/>
      <w:marLeft w:val="0"/>
      <w:marRight w:val="0"/>
      <w:marTop w:val="0"/>
      <w:marBottom w:val="0"/>
      <w:divBdr>
        <w:top w:val="none" w:sz="0" w:space="0" w:color="auto"/>
        <w:left w:val="none" w:sz="0" w:space="0" w:color="auto"/>
        <w:bottom w:val="none" w:sz="0" w:space="0" w:color="auto"/>
        <w:right w:val="none" w:sz="0" w:space="0" w:color="auto"/>
      </w:divBdr>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770194055">
      <w:bodyDiv w:val="1"/>
      <w:marLeft w:val="0"/>
      <w:marRight w:val="0"/>
      <w:marTop w:val="0"/>
      <w:marBottom w:val="0"/>
      <w:divBdr>
        <w:top w:val="none" w:sz="0" w:space="0" w:color="auto"/>
        <w:left w:val="none" w:sz="0" w:space="0" w:color="auto"/>
        <w:bottom w:val="none" w:sz="0" w:space="0" w:color="auto"/>
        <w:right w:val="none" w:sz="0" w:space="0" w:color="auto"/>
      </w:divBdr>
    </w:div>
    <w:div w:id="1872299808">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44264049">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talex.com/documents/news/2015/01/02/della-tutela-dei-diritti-delle-prove" TargetMode="External"/><Relationship Id="rId3" Type="http://schemas.openxmlformats.org/officeDocument/2006/relationships/styles" Target="styles.xml"/><Relationship Id="rId7" Type="http://schemas.openxmlformats.org/officeDocument/2006/relationships/hyperlink" Target="https://www.bosettiegatti.eu/info/norme/statali/2016_0050.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osettiegatti.eu/info/norme/statali/2016_0050.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t.wikipedia.org/wiki/Mercato_elettronico_della_pubblica_amministrazion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AE1372-D416-4C45-B0D8-A965AC0B8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1</Pages>
  <Words>15085</Words>
  <Characters>85989</Characters>
  <Application>Microsoft Office Word</Application>
  <DocSecurity>0</DocSecurity>
  <Lines>716</Lines>
  <Paragraphs>201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2021-06-10T07:58:00Z</dcterms:created>
  <dcterms:modified xsi:type="dcterms:W3CDTF">2021-06-14T12:27:00Z</dcterms:modified>
</cp:coreProperties>
</file>