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595" w:rsidRPr="00334595" w:rsidRDefault="00334595" w:rsidP="00334595">
      <w:pPr>
        <w:jc w:val="center"/>
        <w:rPr>
          <w:rFonts w:ascii="Arial" w:hAnsi="Arial" w:cs="Arial"/>
          <w:b/>
          <w:sz w:val="72"/>
          <w:szCs w:val="72"/>
        </w:rPr>
      </w:pPr>
      <w:r w:rsidRPr="00334595">
        <w:rPr>
          <w:rFonts w:ascii="Arial" w:hAnsi="Arial" w:cs="Arial"/>
          <w:b/>
          <w:sz w:val="72"/>
          <w:szCs w:val="72"/>
        </w:rPr>
        <w:t>DIRITTO REGIONALE</w:t>
      </w:r>
    </w:p>
    <w:p w:rsidR="004D7F91" w:rsidRPr="00C773C2" w:rsidRDefault="004D7F91" w:rsidP="004D7F91">
      <w:pPr>
        <w:rPr>
          <w:rFonts w:ascii="Arial" w:hAnsi="Arial" w:cs="Arial"/>
          <w:szCs w:val="24"/>
        </w:rPr>
      </w:pPr>
      <w:r w:rsidRPr="00C773C2">
        <w:rPr>
          <w:rFonts w:ascii="Arial" w:hAnsi="Arial" w:cs="Arial"/>
          <w:b/>
          <w:szCs w:val="24"/>
        </w:rPr>
        <w:t>FRIULI VENEZIA GIULIA</w:t>
      </w:r>
      <w:r w:rsidRPr="00C773C2">
        <w:rPr>
          <w:rFonts w:ascii="Arial" w:hAnsi="Arial" w:cs="Arial"/>
          <w:szCs w:val="24"/>
        </w:rPr>
        <w:t xml:space="preserve"> Le ragioni storiche che sottendono la specialità della Regione Friuli Venezia Giulia sono strettamente legate al problema dell’unità regionale. Si è soliti compendiare tali ragioni nella delicata situazione confinaria ad est sul piano internazionale, a seguito delle note vicende belliche, nell’arretratezza economica di larghe porzioni del suo territorio, nella presenza di minoranze linguistiche e di marcate diversità territoriali.</w:t>
      </w:r>
    </w:p>
    <w:p w:rsidR="00334595" w:rsidRDefault="004D7F91" w:rsidP="004D7F91">
      <w:pPr>
        <w:rPr>
          <w:rFonts w:ascii="Arial" w:hAnsi="Arial" w:cs="Arial"/>
          <w:szCs w:val="24"/>
        </w:rPr>
      </w:pPr>
      <w:r w:rsidRPr="00C773C2">
        <w:rPr>
          <w:rFonts w:ascii="Arial" w:hAnsi="Arial" w:cs="Arial"/>
          <w:szCs w:val="24"/>
        </w:rPr>
        <w:t xml:space="preserve"> E’ opportuno partire da una riflessione retrospettiva sulle ragioni che indussero, prima il legislatore costituente, nel 1946-47, a inserire la Regione Friuli Venezia Giulia tra le autonomie speciali e poi il legislatore costituzionale nel 1963 a scegliere un determinato assetto dell’autonomia speciale prevista dalla Costituzione. Durante i lavori dell’Assemblea costituente, il territorio che poi sarebbe divenuto quello della Regione Friuli Venezia Giulia si trovava, a seguito degli eventi bellici, in una condizione di incertezza sul piano del diritto internazionale. Mentre altre regioni a statuto speciale erano già state istituite con atti provvisori poi ratificati dall’Assemblea costituente, l’inclusione della Regione Friuli Venezia Giulia nell’elenco delle Regioni a Statuto speciale fu deciso all’ultimo momento dall’Assemblea senza passaggi in Commissione. Nella discussione però non emerse con chiarezza per quali ragioni si optò per la specialità: furono soprattutto il carattere di regione di confine e la presenza di minoranze linguistiche in tali zone che convinsero i costituenti in questo senso. Ma l’inserzione della Venezia Giulia, accanto al Friuli (unione che non tutti condividevano all’epoca) ebbe anche un significato simbolico: dimostrare la volontà (e la speranza) dello Stato italiano di recuperare all’interno dei suoi confini questa parte nord-orientale del territorio italiano allora occupata da forze straniere a causa degli eventi bellici. Tuttavia la successiva evoluzione della situazione internazionale portò all’approvazione della X disposizione transitoria della Costituzione che intendeva consentire, in attesa dell’approvazione dello statuto speciale, la immediata applicabilità del titolo V della parte II (e cioè la creazione di una regione ordinaria nella parte rimasta sotto la sovranità italiana), ferma restando la tutela delle minoranze linguistiche, a norma dell’articolo 6 della costituzione. La norma transitoria, però, non ebbe pratica applicazione, sia perché le regioni ordinarie vennero istituite appena nel 1970, ben dopo l’emanazione dello Statuto speciale del ‘63, sia perché con il Memorandum di Londra del 1954 una parte del territorio triestino tornò sotto l’amministrazione italiana. Con la legge costituzionale 31 gennaio 1963, n. 1, lo Stato diede attuazione alla previsione dell’art. 116 per la Regione Friuli-Venezia Giulia approvando lo Statuto Speciale. Tuttavia già dopo il Memorandum di Londra, del 5 ottobre 1954, con il ritorno di Trieste e della ex zona A sotto la sovranità italiana, la questione dell’approvazione dello Statuto si pose all’attenzione delle forze politiche regionali: numerose proposte di statuto vennero avanzate, sia al di fuori del Parlamento, sia in seno allo stesso. I punti controversi erano soprattutto la articolazione territoriale della Regione (Regione unitaria o autonomia delle componenti territoriali, sul modello del Trentino Alto Adige) e la scelta del capoluogo: sul primo punto prevalse la scelta unitaria, senza quindi dare una speciale autonomia alle singole province, sul secondo punto si scelse come capoluogo la città di Trieste, prevedendo tuttavia la possibilità di stabilire, con legge regionale, la sede degli uffici regionali anche in altre città. Lo Statuto, poi, non accolse alcuna forma di tutela della minoranza slovena (mai menzionata), nonostante la presenza di minoranze linguistiche era stata considerata tra le ragioni giustificatrici della specialità in seno alla Costituente, salvo un generico riconoscimento della “parità di diritti e di </w:t>
      </w:r>
      <w:r w:rsidRPr="00C773C2">
        <w:rPr>
          <w:rFonts w:ascii="Arial" w:hAnsi="Arial" w:cs="Arial"/>
          <w:szCs w:val="24"/>
        </w:rPr>
        <w:lastRenderedPageBreak/>
        <w:t xml:space="preserve">trattamento a tutti i cittadini, qualunque sia il gruppo linguistico al quale appartengono, con la salvaguardia delle rispettive caratteristiche etniche e culturali” (art. 3). </w:t>
      </w:r>
    </w:p>
    <w:p w:rsidR="004D7F91" w:rsidRPr="00C773C2" w:rsidRDefault="004D7F91" w:rsidP="004D7F91">
      <w:pPr>
        <w:rPr>
          <w:rFonts w:ascii="Arial" w:hAnsi="Arial" w:cs="Arial"/>
          <w:szCs w:val="24"/>
        </w:rPr>
      </w:pPr>
      <w:r w:rsidRPr="00C773C2">
        <w:rPr>
          <w:rFonts w:ascii="Arial" w:hAnsi="Arial" w:cs="Arial"/>
          <w:szCs w:val="24"/>
        </w:rPr>
        <w:t xml:space="preserve"> </w:t>
      </w:r>
    </w:p>
    <w:p w:rsidR="00334595" w:rsidRDefault="004D7F91" w:rsidP="004D7F91">
      <w:pPr>
        <w:rPr>
          <w:rFonts w:ascii="Arial" w:hAnsi="Arial" w:cs="Arial"/>
          <w:szCs w:val="24"/>
        </w:rPr>
      </w:pPr>
      <w:r w:rsidRPr="00C773C2">
        <w:rPr>
          <w:rFonts w:ascii="Arial" w:hAnsi="Arial" w:cs="Arial"/>
          <w:szCs w:val="24"/>
        </w:rPr>
        <w:t xml:space="preserve">La specialità, quale venne a concretizzarsi nel testo statutario del 1963, va pertanto ricercata in altre direzioni e segnatamente nell’elenco delle materie attribuite alla competenza legislativa ed amministrativa della Regione: si volle infatti attribuire alla nuova Regione una accentuata autonomia nel governo dell’economia, assegnandole la competenza in molti settori produttivi non previsti dall’art. 117 per le regioni ordinarie, come l’industria e il commercio, la pesca marittima, l’economia montana, la cooperazione, le miniere, l’ordinamento delle Casse di risparmio e rurali. Ciò nella convinzione che le politiche economiche attuate dalla Regione potessero far decollare lo sviluppo di zone allora depresse, come il Friuli, o in grave declino a causa delle mutilazioni territoriali, come la Venezia Giulia. Rispetto al 1947 (allorché fu approvato l’art. 116 della Carta costituzionale), ma anche rispetto al 1963, quando fu approvato lo Statuto, la situazione internazionale è oggi profondamente mutata. Alla cortina di ferro dell’epoca della guerra fredda con la Jugoslavia comunista si è sostituito un confine fra Stati appartenenti ad un’unica organizzazione di stampo federale, l’Unione europea. Anche il problema delle minoranze linguistiche ha mutato volto: superata l’esigenza di un mero divieto di discriminazione delle minoranze nazionali presenti nei due territori degli stati confinanti, la necessità è ora quella di preservare e valorizzare, attraverso tutele positive, un pluralismo linguistico e culturale su territori che hanno sempre visto mescolarsi e convivere lingue, culture ed etnie diverse. L’integrazione della Slovenia e il prossimo ingresso della Croazia nell’Unione europea richiedono una sempre più armonica politica di rispetto e tutela delle rispettive minoranze, che passa anche attraverso il rafforzarsi della collaborazione transfrontaliera in materia economica e commerciale. Le condizioni socio-economiche del FVG non sono più quelle di arretratezza dei primi anni ’60: oggi, superato il ritardo economico che allora la penalizzava, la Regione si trova al centro di una rete di relazioni economiche, sociali, culturali destinate ad intensificarsi con l’allargamento dell’Unione europea e che interessa una vasta area (una potenziale “euroregione”) comprendente una pluralità di entità statuali e regionali, alcune delle quali di fresca formazione e di recente apertura all’economia di mercato. Tuttavia persistono aree relativamente prossime al Friuli Venezia Giulia ancora fuori dall’Unione europea e che pongono tuttora rilevanti problemi di stabilità e sottosviluppo: questa Regione per la sua collocazione geografica e le sue tradizioni improntate all’accoglienza e alla pacifica convivenza di popolazioni diverse, può svolgere un ruolo insostituibile nell’opera di avvicinamento all’Unione europea di queste aree anche nell’interesse dello Stato. L’allargamento ad Est dell’Unione europea e l’eliminazione dei residui ostacoli alla circolazione di beni e fattori produttivi espongono poi questa Regione, molto più di altre, ai rischi di un declino economico se non saprà reggere (e se non avrà adeguati strumenti per farlo) la concorrenza delle nuove aree produttive sviluppando innovazione, ricerca, efficienza e attrattività del proprio tessuto economico-produttivo. Viene qui in considerazione la riforma del sistema di relazioni finanziarie fra Stato-Regione (cd Federalismo fiscale) come opportunità per il Friuli Venezia Giulia, anche in considerazione della sua collocazione geografica, di ottenere strumenti (leva fiscale e fiscalità di vantaggio) in grado di dare maggiore flessibilità e manovrabilità al prelievo fiscale sul sistema produttivo di questa Regione per consentirle di reggere la concorrenza fiscale pregiudizievole dei Paesi confinanti ed evitare così che imprese italiane si trasferiscano oltre confine (in Austria e Slovenia) perché attratte naturalmente dal vantaggio fiscale. Il trovarsi al centro delle comunicazioni tra la “vecchia” Comunità europea e il sud-est </w:t>
      </w:r>
      <w:r w:rsidRPr="00C773C2">
        <w:rPr>
          <w:rFonts w:ascii="Arial" w:hAnsi="Arial" w:cs="Arial"/>
          <w:szCs w:val="24"/>
        </w:rPr>
        <w:lastRenderedPageBreak/>
        <w:t xml:space="preserve">dell’Europa, costituisce un ulteriore fattore di specialità del Friuli Venezia Giulia che richiede particolari strumenti per la programmazione delle infrastrutture di comunicazione, anche in termini di partecipazione “ascensionale” alle politiche comunitarie in tema di trasporti, e per la valutazione del loro impatto ambientale e sul sistema insediativo. </w:t>
      </w:r>
    </w:p>
    <w:p w:rsidR="004D7F91" w:rsidRPr="00C773C2" w:rsidRDefault="004D7F91" w:rsidP="004D7F91">
      <w:pPr>
        <w:rPr>
          <w:rFonts w:ascii="Arial" w:hAnsi="Arial" w:cs="Arial"/>
          <w:szCs w:val="24"/>
        </w:rPr>
      </w:pPr>
      <w:r w:rsidRPr="00C773C2">
        <w:rPr>
          <w:rFonts w:ascii="Arial" w:hAnsi="Arial" w:cs="Arial"/>
          <w:szCs w:val="24"/>
        </w:rPr>
        <w:t>Un ultimo elemento di specialità di questa Regione, presente fin dalle origini, ma non considerato nella formulazione dello Statuto del 1963, è dato dal “policentrismo”, che si sostanzia nelle marcate differenziazioni tra le sue componenti territoriali. Policentrismo che si manifesta in più dimensioni: la dimensione linguistica (con aree di diffusione di lingue minoritarie, come il friulano, lo sloveno, il tedesco, e aree di diffusione della parlata veneta), la dimensione socio-economica e insediativa (l’area metropolitana triestina con il suo porto internazionale, l’area a sviluppo economico e urbano diffuso della pianura e della pedemontana friulana, la montagna friulana con persistenti problemi di ritardo nello sviluppo).</w:t>
      </w:r>
    </w:p>
    <w:p w:rsidR="00610B4B" w:rsidRPr="00C773C2" w:rsidRDefault="00610B4B" w:rsidP="00610B4B">
      <w:pPr>
        <w:spacing w:before="240" w:after="120"/>
        <w:rPr>
          <w:rFonts w:ascii="Arial" w:hAnsi="Arial" w:cs="Arial"/>
          <w:szCs w:val="24"/>
        </w:rPr>
      </w:pPr>
      <w:r w:rsidRPr="00C773C2">
        <w:rPr>
          <w:rFonts w:ascii="Arial" w:hAnsi="Arial" w:cs="Arial"/>
          <w:szCs w:val="24"/>
        </w:rPr>
        <w:t>In Italia, tutte le Regione hanno uno Statuto ma, distinguiamo le Regioni a Statuto Speciale da quelle a Statuto Ordinario. Le Regioni Ordinarie sono sottoposte ad una disciplina comune dettata dal Titolo V della Costituzione che ne definisce la potestà legislativa. Le Regioni Speciali (e le due province autonome di Trento e Bolzano) hanno ciascuna una loro disciplina, derogatoria rispetto a quella comune dettata dalla Costituzione.</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 Il loro Statuto costituisce il fondamento stesso della loro autonomia, di cui definisce i limiti e i modi di esercizio. Gli Statuti delle regioni Speciali sono adottati con legge Costituzionale, secondo quanto dispone l’art.116 della Costituzione che, rinvia allo Statuto stesso la definizione di forme e condizioni particolari di autonomia</w:t>
      </w:r>
    </w:p>
    <w:p w:rsidR="00F16815" w:rsidRDefault="00610B4B" w:rsidP="00610B4B">
      <w:pPr>
        <w:spacing w:before="240" w:after="120"/>
        <w:rPr>
          <w:rFonts w:ascii="Arial" w:hAnsi="Arial" w:cs="Arial"/>
          <w:szCs w:val="24"/>
        </w:rPr>
      </w:pPr>
      <w:r w:rsidRPr="00C773C2">
        <w:rPr>
          <w:rFonts w:ascii="Arial" w:hAnsi="Arial" w:cs="Arial"/>
          <w:szCs w:val="24"/>
        </w:rPr>
        <w:t xml:space="preserve">La funzione degli Statuti delle Regioni ordinarie e del tutto diversa poiché, per queste, le condizioni di autonomia sono già definite dalla Costituzione anche se, dopo la riforma del 1999 gli statuti delle Regioni ordinarie hanno acquisito una funzione molto importante. Infatti, mentre in precedenza era la stessa Costituzione a disciplinare i tratti fondamentali della forma di governo delle Regioni, lasciando agli Statuti uno spazio normativo assai ridotto, ora è demandato proprio ad essi di ridefinire la forma di governo della Regione. </w:t>
      </w:r>
    </w:p>
    <w:p w:rsidR="00610B4B" w:rsidRPr="00C773C2" w:rsidRDefault="00610B4B" w:rsidP="00610B4B">
      <w:pPr>
        <w:spacing w:before="240" w:after="120"/>
        <w:rPr>
          <w:rFonts w:ascii="Arial" w:hAnsi="Arial" w:cs="Arial"/>
          <w:szCs w:val="24"/>
        </w:rPr>
      </w:pPr>
      <w:r w:rsidRPr="00C773C2">
        <w:rPr>
          <w:rFonts w:ascii="Arial" w:hAnsi="Arial" w:cs="Arial"/>
          <w:szCs w:val="24"/>
          <w:u w:val="single"/>
        </w:rPr>
        <w:t>Con la legge del 2001 anche alle Regioni Speciali è stata concessa una certa autonomia nello scegliersi la forma di governo e la legge elettorale. Quindi, un’unica legge costituzionale ha modificato ogni singolo statuto speciale prevedendo che la Regione possa dotarsi di una legge statutaria che ridisegni la forma di governo e il sistema elettorale</w:t>
      </w:r>
      <w:r w:rsidRPr="00C773C2">
        <w:rPr>
          <w:rFonts w:ascii="Arial" w:hAnsi="Arial" w:cs="Arial"/>
          <w:szCs w:val="24"/>
        </w:rPr>
        <w:t xml:space="preserve">. </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Si tratta di una </w:t>
      </w:r>
      <w:r w:rsidRPr="00C773C2">
        <w:rPr>
          <w:rFonts w:ascii="Arial" w:hAnsi="Arial" w:cs="Arial"/>
          <w:b/>
          <w:szCs w:val="24"/>
        </w:rPr>
        <w:t>legge regionale rinforzata</w:t>
      </w:r>
      <w:r w:rsidRPr="00C773C2">
        <w:rPr>
          <w:rFonts w:ascii="Arial" w:hAnsi="Arial" w:cs="Arial"/>
          <w:szCs w:val="24"/>
        </w:rPr>
        <w:t xml:space="preserve"> poichè,  deve essere approvata a maggioranza assoluta e può essere sottoposta ad un referendum approvativo. </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L'esigenza di concedere particolari forme di autonomia ad alcuni territori si venne a creare immediatamente dopo la fine della seconda guerra mondiale. Con il decreto legge n° 21 del 27 gennaio 1944 e con il d.l. n° 91 del 18 marzo 1944 furono create le figure rispettivamente dell'Alto Commissario per la Sardegna e dell'Alto Commissario per la Sicilia; queste figure furono coadiuvate da una Giunta consultiva (istituita con d.l. </w:t>
      </w:r>
      <w:r w:rsidRPr="00C773C2">
        <w:rPr>
          <w:rFonts w:ascii="Arial" w:hAnsi="Arial" w:cs="Arial"/>
          <w:szCs w:val="24"/>
        </w:rPr>
        <w:lastRenderedPageBreak/>
        <w:t>n° 90 del 16 marzo 1944 per la Sardegna, e con il sopracitato d.l. 91/1944 per la Sicilia) e quindi da una Consulta regionale rappresentativa dei partiti e dei sindacati regionali (istituita per la Sicilia con decreto legislativo luogotenenziale n° 416 del 28 dicembre 1944 e per la Sardegna con d. lgs. lgt. n° 417 dello stesso giorno). La Sicilia ebbe il suo Statuto speciale con d. lgs. lgt. 455 del 15 maggio 1946, dunque prima dello stesso referendum istituzionale del 2 giugno 1946 oltre che della Costituzione repubblicana italiana. Il 5 settembre 1946, nell'ambito della Conferenza di pace di Parigi, venne firmato l'Accordo De Gasperi-Gruber, che prevedeva la concessione alle Province di Trento e Bolzano di un "potere legislativo ed esecutivo regionale autonomo". Entrò così in vigore il d. lgs. lgt. n° 545 del 7 settembre 1945 che costituiva la Circoscrizione autonoma della Valle d'Aosta. Le autonomie speciali così concesse furono coperte dall'articolo 116 della nuova Costituzione italiana, entrata in vigore il 1º gennaio 1948. La XVIII disposizione transitoria e finale della Costituzione previde che l'Assemblea Costituente avrebbe dovuto decidere in materia di Statuti regionali speciali (oltre che di legge elettorale del "nuovo" Senato della Repubblica e legge sulla stampa) entro il 31 gennaio 1948: in virtù di questa previsione il 26 febbraio 1948 vennero approvate le leggi costituzionali contenenti gli Statuti in questione, in deroga al procedimento ordinario di approvazione di una legge costituzionale previsto dall'articolo 138: L. cost. 2/1948: Conversione in legge costituzionale dello Statuto della Regione siciliana; L. cost. 3/1948: Statuto speciale per la Sardegna; L. cost. 4/1948: Statuto speciale per la Valle d'Aosta; L. cost. 5/1948: Statuto speciale per il Trentino-Alto Adige;</w:t>
      </w:r>
    </w:p>
    <w:p w:rsidR="00610B4B" w:rsidRPr="00C773C2" w:rsidRDefault="00610B4B" w:rsidP="00610B4B">
      <w:pPr>
        <w:spacing w:before="240" w:after="120"/>
        <w:rPr>
          <w:rFonts w:ascii="Arial" w:hAnsi="Arial" w:cs="Arial"/>
          <w:szCs w:val="24"/>
        </w:rPr>
      </w:pPr>
      <w:r w:rsidRPr="00C773C2">
        <w:rPr>
          <w:rFonts w:ascii="Arial" w:hAnsi="Arial" w:cs="Arial"/>
          <w:szCs w:val="24"/>
        </w:rPr>
        <w:t xml:space="preserve"> L'ultima Regione differenziata ad essere costituita fu il Friuli-Venezia Giulia, la determinazione dei cui confini fu resa delicata dalla loro rilevante importanza geopolitica nell'ambito della Guerra fredda, in quanto vi correva la divisione tra il blocco occidentale e quello socialista. </w:t>
      </w:r>
      <w:r w:rsidRPr="00C773C2">
        <w:rPr>
          <w:rFonts w:ascii="Arial" w:hAnsi="Arial" w:cs="Arial"/>
          <w:b/>
          <w:szCs w:val="24"/>
        </w:rPr>
        <w:t>Lo Statuto della Regione Friuli-Venezia Giulia fu approvato con l. cost. n° 1 del 31 gennaio 1963</w:t>
      </w:r>
      <w:r w:rsidRPr="00C773C2">
        <w:rPr>
          <w:rFonts w:ascii="Arial" w:hAnsi="Arial" w:cs="Arial"/>
          <w:szCs w:val="24"/>
        </w:rPr>
        <w:t>. Statuto speciale e leggi statutarie</w:t>
      </w:r>
    </w:p>
    <w:p w:rsidR="00610B4B" w:rsidRPr="00C773C2" w:rsidRDefault="00610B4B" w:rsidP="00610B4B">
      <w:pPr>
        <w:spacing w:before="240" w:after="120"/>
        <w:rPr>
          <w:rFonts w:ascii="Arial" w:hAnsi="Arial" w:cs="Arial"/>
          <w:szCs w:val="24"/>
        </w:rPr>
      </w:pPr>
      <w:r w:rsidRPr="00C773C2">
        <w:rPr>
          <w:rFonts w:ascii="Arial" w:hAnsi="Arial" w:cs="Arial"/>
          <w:szCs w:val="24"/>
        </w:rPr>
        <w:t>Le particolari forme e condizioni di autonomia della Regione sono fissate dallo Statuto regionale.</w:t>
      </w:r>
    </w:p>
    <w:p w:rsidR="00E7114E" w:rsidRPr="00C773C2" w:rsidRDefault="00610B4B" w:rsidP="00610B4B">
      <w:pPr>
        <w:spacing w:before="240" w:after="120"/>
        <w:rPr>
          <w:rFonts w:ascii="Arial" w:hAnsi="Arial" w:cs="Arial"/>
          <w:szCs w:val="24"/>
        </w:rPr>
      </w:pPr>
      <w:r w:rsidRPr="00C773C2">
        <w:rPr>
          <w:rFonts w:ascii="Arial" w:hAnsi="Arial" w:cs="Arial"/>
          <w:szCs w:val="24"/>
        </w:rPr>
        <w:t xml:space="preserve">La riforma del Titolo V della Costituzione del 2001 ha accresciuto i poteri delle regioni a statuto ordinario, soprattutto per un aumento delle materie con competenza concorrente tra Stato e Regione, tanto che si parla di una riduzione (relativa) dell'autonomia delle regioni a statuto speciale. </w:t>
      </w:r>
      <w:r w:rsidRPr="00C773C2">
        <w:rPr>
          <w:rFonts w:ascii="Arial" w:hAnsi="Arial" w:cs="Arial"/>
          <w:b/>
          <w:szCs w:val="24"/>
        </w:rPr>
        <w:t>La l. cost. 2/2001, per ovviare a questo inconveniente, ha previsto la possibilità per le Regioni a Statuto speciale di deliberare leggi statutarie (o "di governo").</w:t>
      </w:r>
    </w:p>
    <w:p w:rsidR="004B431C" w:rsidRPr="00C773C2" w:rsidRDefault="00610B4B" w:rsidP="00610B4B">
      <w:pPr>
        <w:spacing w:before="240" w:after="120"/>
        <w:rPr>
          <w:rFonts w:ascii="Arial" w:hAnsi="Arial" w:cs="Arial"/>
          <w:szCs w:val="24"/>
        </w:rPr>
      </w:pPr>
      <w:r w:rsidRPr="00C773C2">
        <w:rPr>
          <w:rFonts w:ascii="Arial" w:hAnsi="Arial" w:cs="Arial"/>
          <w:szCs w:val="24"/>
        </w:rPr>
        <w:t>Questa categoria di atti si differenzia da una normale legge regionale, perché: necessita di una sola approvazione a maggioranza assoluta del Consiglio regionale; è sottoponibile a referendum confermativo preventivo su richiesta entro 3 mesi dalla pubblicazione da parte di 1/5 dei consiglieri regionali o di 50.000 iscritti agli albi elettorali regionali; è sottoponibile a controllo preventivo di costituzionalità su richiesta entro 30 giorni dalla pubblicazione  da parte del Governo.</w:t>
      </w:r>
    </w:p>
    <w:p w:rsidR="00610B4B" w:rsidRPr="00C773C2" w:rsidRDefault="00610B4B" w:rsidP="00610B4B">
      <w:pPr>
        <w:spacing w:before="240" w:after="120"/>
        <w:rPr>
          <w:rFonts w:ascii="Arial" w:hAnsi="Arial" w:cs="Arial"/>
          <w:b/>
          <w:szCs w:val="24"/>
        </w:rPr>
      </w:pPr>
      <w:r w:rsidRPr="00C773C2">
        <w:rPr>
          <w:rFonts w:ascii="Arial" w:hAnsi="Arial" w:cs="Arial"/>
          <w:szCs w:val="24"/>
        </w:rPr>
        <w:t xml:space="preserve"> Tuttavia la legge statutaria si differenzia anche dallo Statuto regionale ordinario, che necessita di doppia deliberazione (a maggioranza assoluta), ed inoltre abbraccia un ambito oggettivo di disciplina non perfettamente coincidente: la Regione o la Provincia di diritto differenziato infatti può regolare con </w:t>
      </w:r>
      <w:r w:rsidRPr="00C773C2">
        <w:rPr>
          <w:rFonts w:ascii="Arial" w:hAnsi="Arial" w:cs="Arial"/>
          <w:szCs w:val="24"/>
          <w:u w:val="single"/>
        </w:rPr>
        <w:t xml:space="preserve">legge statutaria la materia elettorale, la </w:t>
      </w:r>
      <w:r w:rsidRPr="00C773C2">
        <w:rPr>
          <w:rFonts w:ascii="Arial" w:hAnsi="Arial" w:cs="Arial"/>
          <w:szCs w:val="24"/>
          <w:u w:val="single"/>
        </w:rPr>
        <w:lastRenderedPageBreak/>
        <w:t>forma di governo, l'iniziativa legislativa popolare ed il referendum</w:t>
      </w:r>
      <w:r w:rsidRPr="00C773C2">
        <w:rPr>
          <w:rFonts w:ascii="Arial" w:hAnsi="Arial" w:cs="Arial"/>
          <w:szCs w:val="24"/>
        </w:rPr>
        <w:t>, ma non può porre norme di principio analoghe alle norme programmatiche statutarie degli Statuti ordinari. I principi stabiliti negli statuti speciali vengono definiti da una Commissione paritetica StatoRegione con i decreti legislativi di attuazione, che si differenziano dalla figura generale dei decreti legislativi ex art. 76 perché non necessitano di apposita legge di delega.</w:t>
      </w:r>
    </w:p>
    <w:p w:rsidR="009F77D6" w:rsidRPr="00C773C2" w:rsidRDefault="00827E04" w:rsidP="00E7114E">
      <w:pPr>
        <w:spacing w:before="240" w:after="120"/>
        <w:rPr>
          <w:rFonts w:ascii="Arial" w:hAnsi="Arial" w:cs="Arial"/>
          <w:szCs w:val="24"/>
        </w:rPr>
      </w:pPr>
      <w:r w:rsidRPr="00C773C2">
        <w:rPr>
          <w:rFonts w:ascii="Arial" w:hAnsi="Arial" w:cs="Arial"/>
          <w:b/>
          <w:szCs w:val="24"/>
        </w:rPr>
        <w:t>L’autonomia legislativa</w:t>
      </w:r>
      <w:r w:rsidR="00E7114E" w:rsidRPr="00C773C2">
        <w:rPr>
          <w:rFonts w:ascii="Arial" w:hAnsi="Arial" w:cs="Arial"/>
          <w:b/>
          <w:szCs w:val="24"/>
        </w:rPr>
        <w:t xml:space="preserve"> </w:t>
      </w:r>
      <w:r w:rsidRPr="00C773C2">
        <w:rPr>
          <w:rFonts w:ascii="Arial" w:hAnsi="Arial" w:cs="Arial"/>
          <w:szCs w:val="24"/>
        </w:rPr>
        <w:t xml:space="preserve">La </w:t>
      </w:r>
      <w:r w:rsidRPr="00C773C2">
        <w:rPr>
          <w:rFonts w:ascii="Arial" w:hAnsi="Arial" w:cs="Arial"/>
          <w:b/>
          <w:szCs w:val="24"/>
        </w:rPr>
        <w:t>potestà legislativa</w:t>
      </w:r>
      <w:r w:rsidRPr="00C773C2">
        <w:rPr>
          <w:rFonts w:ascii="Arial" w:hAnsi="Arial" w:cs="Arial"/>
          <w:szCs w:val="24"/>
        </w:rPr>
        <w:t xml:space="preserve"> della Regione, come delineata dallo Statuto d’autonomia, si articola su tre distinti livelli: </w:t>
      </w:r>
      <w:r w:rsidRPr="00C773C2">
        <w:rPr>
          <w:rFonts w:ascii="Arial" w:hAnsi="Arial" w:cs="Arial"/>
          <w:b/>
          <w:szCs w:val="24"/>
        </w:rPr>
        <w:t>esclusiva, concorrente o ripartita e integrativa o attuativa</w:t>
      </w:r>
      <w:r w:rsidRPr="00C773C2">
        <w:rPr>
          <w:rFonts w:ascii="Arial" w:hAnsi="Arial" w:cs="Arial"/>
          <w:szCs w:val="24"/>
        </w:rPr>
        <w:t>.</w:t>
      </w:r>
    </w:p>
    <w:p w:rsidR="009F77D6" w:rsidRPr="00C773C2" w:rsidRDefault="00827E04">
      <w:pPr>
        <w:pStyle w:val="Rientrocorpodeltesto"/>
        <w:rPr>
          <w:rFonts w:ascii="Arial" w:hAnsi="Arial" w:cs="Arial"/>
          <w:szCs w:val="24"/>
        </w:rPr>
      </w:pPr>
      <w:r w:rsidRPr="00C773C2">
        <w:rPr>
          <w:rFonts w:ascii="Arial" w:hAnsi="Arial" w:cs="Arial"/>
          <w:szCs w:val="24"/>
        </w:rPr>
        <w:t>I limiti che la Regione</w:t>
      </w:r>
      <w:r w:rsidR="00E7114E" w:rsidRPr="00C773C2">
        <w:rPr>
          <w:rFonts w:ascii="Arial" w:hAnsi="Arial" w:cs="Arial"/>
          <w:szCs w:val="24"/>
        </w:rPr>
        <w:t xml:space="preserve"> fvg </w:t>
      </w:r>
      <w:r w:rsidRPr="00C773C2">
        <w:rPr>
          <w:rFonts w:ascii="Arial" w:hAnsi="Arial" w:cs="Arial"/>
          <w:szCs w:val="24"/>
        </w:rPr>
        <w:t xml:space="preserve"> incontra nell’esercizio della potestà legislativa esclusiva non sono più quelli fissati dall’articolo 4 dello Statuto speciale (armonia con la Costituzione, con i principi generali dell’ordinamento giuridico dello Stato, con le norme fondamentali delle riforme economico – sociali, con gli obblighi internazionali dello Stato, nonché rispetto degli interessi nazionali e delle altre Regioni), bensì quelli definiti dall’articolo 117 della Costituzione.</w:t>
      </w:r>
    </w:p>
    <w:p w:rsidR="009F77D6" w:rsidRPr="00C773C2" w:rsidRDefault="00827E04">
      <w:pPr>
        <w:ind w:firstLine="567"/>
        <w:jc w:val="both"/>
        <w:rPr>
          <w:rFonts w:ascii="Arial" w:hAnsi="Arial" w:cs="Arial"/>
          <w:szCs w:val="24"/>
        </w:rPr>
      </w:pPr>
      <w:r w:rsidRPr="00C773C2">
        <w:rPr>
          <w:rFonts w:ascii="Arial" w:hAnsi="Arial" w:cs="Arial"/>
          <w:szCs w:val="24"/>
          <w:u w:val="single"/>
        </w:rPr>
        <w:t xml:space="preserve">I </w:t>
      </w:r>
      <w:r w:rsidRPr="00C773C2">
        <w:rPr>
          <w:rFonts w:ascii="Arial" w:hAnsi="Arial" w:cs="Arial"/>
          <w:b/>
          <w:szCs w:val="24"/>
          <w:u w:val="single"/>
        </w:rPr>
        <w:t>limiti</w:t>
      </w:r>
      <w:r w:rsidRPr="00C773C2">
        <w:rPr>
          <w:rFonts w:ascii="Arial" w:hAnsi="Arial" w:cs="Arial"/>
          <w:szCs w:val="24"/>
          <w:u w:val="single"/>
        </w:rPr>
        <w:t>, pertanto, sono quello del rispetto della Costituzione, nonché dei vincoli derivanti dall’ordinamento comunitario e dagli obblighi internazionali</w:t>
      </w:r>
      <w:r w:rsidRPr="00C773C2">
        <w:rPr>
          <w:rFonts w:ascii="Arial" w:hAnsi="Arial" w:cs="Arial"/>
          <w:szCs w:val="24"/>
        </w:rPr>
        <w:t xml:space="preserve">. A questi potremmo per altro aggiungere un limite implicito, che è quello </w:t>
      </w:r>
      <w:r w:rsidRPr="00C773C2">
        <w:rPr>
          <w:rFonts w:ascii="Arial" w:hAnsi="Arial" w:cs="Arial"/>
          <w:szCs w:val="24"/>
          <w:u w:val="single"/>
        </w:rPr>
        <w:t>dell’interesse nazionale, sancito dall’articolo 5 della Costituzione che sancisce l’unità e l’indivisibilità della Repubblica.</w:t>
      </w:r>
      <w:r w:rsidRPr="00C773C2">
        <w:rPr>
          <w:rFonts w:ascii="Arial" w:hAnsi="Arial" w:cs="Arial"/>
          <w:szCs w:val="24"/>
        </w:rPr>
        <w:t xml:space="preserve"> Rimane altresì, per le materie di competenza regionale che riguardano diritti civili o sociali, un vincolo di determinazione per legge statale dei livelli essenziali delle prestazioni da garantire su tutto il territorio nazionale, materia che rimane di competenza esclusiva dello Stato, ai sensi dell’articolo 117, comma secondo, lettera m), della Costituzione.</w:t>
      </w:r>
    </w:p>
    <w:p w:rsidR="009F77D6" w:rsidRPr="00C773C2" w:rsidRDefault="00827E04">
      <w:pPr>
        <w:ind w:firstLine="567"/>
        <w:jc w:val="both"/>
        <w:rPr>
          <w:rFonts w:ascii="Arial" w:hAnsi="Arial" w:cs="Arial"/>
          <w:szCs w:val="24"/>
        </w:rPr>
      </w:pPr>
      <w:r w:rsidRPr="00C773C2">
        <w:rPr>
          <w:rFonts w:ascii="Arial" w:hAnsi="Arial" w:cs="Arial"/>
          <w:szCs w:val="24"/>
        </w:rPr>
        <w:t>Per verificare quindi in quali materie la  Regione abbia competenza esclusiva o concorrente, non è più sufficiente leggere gli articoli 4 e 5 dello Statuto, ma occorre effettuare una lettura comparata di questi con le materie elencate nell’articolo 117 della Costituzione.</w:t>
      </w:r>
    </w:p>
    <w:p w:rsidR="009F77D6" w:rsidRPr="00C773C2" w:rsidRDefault="00827E04">
      <w:pPr>
        <w:ind w:firstLine="567"/>
        <w:jc w:val="both"/>
        <w:rPr>
          <w:rFonts w:ascii="Arial" w:hAnsi="Arial" w:cs="Arial"/>
          <w:b/>
          <w:szCs w:val="24"/>
        </w:rPr>
      </w:pPr>
      <w:r w:rsidRPr="00C773C2">
        <w:rPr>
          <w:rFonts w:ascii="Arial" w:hAnsi="Arial" w:cs="Arial"/>
          <w:szCs w:val="24"/>
        </w:rPr>
        <w:t xml:space="preserve">Secondo </w:t>
      </w:r>
      <w:r w:rsidRPr="00C773C2">
        <w:rPr>
          <w:rFonts w:ascii="Arial" w:hAnsi="Arial" w:cs="Arial"/>
          <w:b/>
          <w:szCs w:val="24"/>
        </w:rPr>
        <w:t>l’articolo 4 dello Statuto, la  Regione ha competenza legislativa esclusiva nelle seguenti materie: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ordinamento degli Uffici e degli Enti dipendenti dalla Regione e stato giuridico ed economico del personale ad essi addetto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ordinamento degli enti locali e delle relative circoscrizioni;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agricoltura e foreste, bonifiche, ordinamento delle minime unità culturali e ricomposizione fondiaria, irrigazione, opere di miglioramento agrario e fondiario, zootecnia, ittica, economia montana, corpo forestale;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caccia e pesca;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usi civici;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impianto e tenuta dei libri fondiari;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industria e commercio;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artigianato;</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mercati e fiere;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viabilità, acquedotti e lavori pubblici d’interesse locale e regionale;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turismo e industria alberghiera;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trasporti su funivie e linee automobilistiche, tranviarie e filoviarie, d’interesse regionale;</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urbanistica;</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t>acque minerali e termali;</w:t>
      </w:r>
    </w:p>
    <w:p w:rsidR="009F77D6" w:rsidRPr="00C773C2" w:rsidRDefault="00827E04" w:rsidP="00827E04">
      <w:pPr>
        <w:numPr>
          <w:ilvl w:val="0"/>
          <w:numId w:val="1"/>
        </w:numPr>
        <w:jc w:val="both"/>
        <w:rPr>
          <w:rFonts w:ascii="Arial" w:hAnsi="Arial" w:cs="Arial"/>
          <w:szCs w:val="24"/>
        </w:rPr>
      </w:pPr>
      <w:r w:rsidRPr="00C773C2">
        <w:rPr>
          <w:rFonts w:ascii="Arial" w:hAnsi="Arial" w:cs="Arial"/>
          <w:szCs w:val="24"/>
        </w:rPr>
        <w:lastRenderedPageBreak/>
        <w:t>istituzioni culturali, ricreative e sportive; musei e biblioteche d’interesse locale e regionale.</w:t>
      </w:r>
    </w:p>
    <w:p w:rsidR="009F77D6" w:rsidRPr="00C773C2" w:rsidRDefault="00827E04">
      <w:pPr>
        <w:ind w:firstLine="567"/>
        <w:jc w:val="both"/>
        <w:rPr>
          <w:rFonts w:ascii="Arial" w:hAnsi="Arial" w:cs="Arial"/>
          <w:szCs w:val="24"/>
        </w:rPr>
      </w:pPr>
      <w:r w:rsidRPr="00C773C2">
        <w:rPr>
          <w:rFonts w:ascii="Arial" w:hAnsi="Arial" w:cs="Arial"/>
          <w:b/>
          <w:szCs w:val="24"/>
        </w:rPr>
        <w:t>Ha invece competenza legislativa concorrente</w:t>
      </w:r>
      <w:r w:rsidRPr="00C773C2">
        <w:rPr>
          <w:rFonts w:ascii="Arial" w:hAnsi="Arial" w:cs="Arial"/>
          <w:szCs w:val="24"/>
        </w:rPr>
        <w:t xml:space="preserve">, </w:t>
      </w:r>
      <w:r w:rsidRPr="00C773C2">
        <w:rPr>
          <w:rFonts w:ascii="Arial" w:hAnsi="Arial" w:cs="Arial"/>
          <w:b/>
          <w:szCs w:val="24"/>
        </w:rPr>
        <w:t>secondo l’articolo 5 dello Statuto, nelle seguenti materie: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del referendum previsto negli artt. 7 e 33;</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istituzione di tributi regionali prevista nell'art. 51;</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dei controlli previsti nell'articolo 60;</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istituzioni pubbliche d’assistenza e beneficenza;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disciplina dei servizi pubblici d’interesse regionale ed assunzione di tali servizi;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ordinamento delle Casse di risparmio, delle Casse rurali, degli Enti aventi carattere locale o regionale nella Regione;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istituzione e ordinamento d’Enti di carattere locale o regionale per lo studio di programmi di sviluppo economico;</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miniere, cave e torbiere;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espropriazione per pubblica utilità non riguardanti opere a carico dello Stato;</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linee marittime di cabotaggio tra gli scali della Regione;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polizia locale, urbana e rurale;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utilizzazione delle acque pubbliche, escluse le grandi derivazioni; opere idrauliche di 4ª e 5ª categoria;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istruzione artigiana e professionale successiva alla scuola obbligatoria; assistenza scolastica;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igiene e sanità, assistenza sanitaria ed ospedaliera, nonché il recupero dei minorati fisici e mentali;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cooperazione, compresa la vigilanza sulle cooperative;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edilizia popolare;</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toponomastica;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servizi antincendi;</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annona;</w:t>
      </w:r>
    </w:p>
    <w:p w:rsidR="009F77D6" w:rsidRPr="00C773C2" w:rsidRDefault="00827E04" w:rsidP="00827E04">
      <w:pPr>
        <w:numPr>
          <w:ilvl w:val="0"/>
          <w:numId w:val="3"/>
        </w:numPr>
        <w:jc w:val="both"/>
        <w:rPr>
          <w:rFonts w:ascii="Arial" w:hAnsi="Arial" w:cs="Arial"/>
          <w:szCs w:val="24"/>
        </w:rPr>
      </w:pPr>
      <w:r w:rsidRPr="00C773C2">
        <w:rPr>
          <w:rFonts w:ascii="Arial" w:hAnsi="Arial" w:cs="Arial"/>
          <w:szCs w:val="24"/>
        </w:rPr>
        <w:t>opere di prevenzione e soccorso per calamità naturali.</w:t>
      </w:r>
    </w:p>
    <w:p w:rsidR="009F77D6" w:rsidRPr="00C773C2" w:rsidRDefault="00827E04">
      <w:pPr>
        <w:ind w:firstLine="567"/>
        <w:jc w:val="both"/>
        <w:rPr>
          <w:rFonts w:ascii="Arial" w:hAnsi="Arial" w:cs="Arial"/>
          <w:szCs w:val="24"/>
        </w:rPr>
      </w:pPr>
      <w:r w:rsidRPr="00C773C2">
        <w:rPr>
          <w:rFonts w:ascii="Arial" w:hAnsi="Arial" w:cs="Arial"/>
          <w:szCs w:val="24"/>
        </w:rPr>
        <w:t>Va subito rilevato che la Regione ha competenza legislativa esclusiva in materia d’ordinamento degli Enti locali, che, nelle regioni a statuto ordinario, rientra invece nella competenza legislativa esclusiva dello Stato, ai sensi dell’articolo 117, comma secondo, lettera p).</w:t>
      </w:r>
    </w:p>
    <w:p w:rsidR="00E7114E" w:rsidRPr="00C773C2" w:rsidRDefault="00E7114E">
      <w:pPr>
        <w:ind w:firstLine="567"/>
        <w:jc w:val="both"/>
        <w:rPr>
          <w:rFonts w:ascii="Arial" w:hAnsi="Arial" w:cs="Arial"/>
          <w:szCs w:val="24"/>
        </w:rPr>
      </w:pPr>
    </w:p>
    <w:p w:rsidR="009F77D6" w:rsidRPr="00C773C2" w:rsidRDefault="00827E04">
      <w:pPr>
        <w:ind w:firstLine="567"/>
        <w:jc w:val="both"/>
        <w:rPr>
          <w:rFonts w:ascii="Arial" w:hAnsi="Arial" w:cs="Arial"/>
          <w:szCs w:val="24"/>
        </w:rPr>
      </w:pPr>
      <w:r w:rsidRPr="00C773C2">
        <w:rPr>
          <w:rFonts w:ascii="Arial" w:hAnsi="Arial" w:cs="Arial"/>
          <w:szCs w:val="24"/>
        </w:rPr>
        <w:t xml:space="preserve">Le materie ove le </w:t>
      </w:r>
      <w:r w:rsidRPr="00C773C2">
        <w:rPr>
          <w:rFonts w:ascii="Arial" w:hAnsi="Arial" w:cs="Arial"/>
          <w:b/>
          <w:szCs w:val="24"/>
        </w:rPr>
        <w:t>Regioni a statuto ordinario</w:t>
      </w:r>
      <w:r w:rsidRPr="00C773C2">
        <w:rPr>
          <w:rFonts w:ascii="Arial" w:hAnsi="Arial" w:cs="Arial"/>
          <w:szCs w:val="24"/>
        </w:rPr>
        <w:t xml:space="preserve"> hanno competenza legislativa concorrente, salvo che per la determinazione dei principi fondamentali, sono: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rapporti internazionali e con l’Unione europea delle Regioni;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commercio con l’estero;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tutela e sicurezza del lavoro;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istruzione (salva l’autonomia delle istituzioni scolastiche e con esclusione dell’istruzione e della formazione professionale);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professioni;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ricerca scientifica e tecnologica e sostegno all’innovazione per i settori produttivi;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tutela della salute;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alimentazione;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ordinamento sportivo;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protezione civile;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governo del territorio;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porti e aeroporti civili;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lastRenderedPageBreak/>
        <w:t>grandi reti di trasporto e di navigazione;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ordinamento della comunicazione;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produzione, trasporto e distribuzione nazionale dell’energia;</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previdenza complementare e integrativa;</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armonizzazione dei bilanci pubblici e coordinamento della finanza pubblica e del sistema tributario;</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valorizzazione dei beni culturali e ambientali e promozione e organizzazione d’attività culturali;</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casse di risparmio, casse rurali, aziende di credito a carattere regionale;</w:t>
      </w:r>
    </w:p>
    <w:p w:rsidR="009F77D6" w:rsidRPr="00C773C2" w:rsidRDefault="00827E04" w:rsidP="00827E04">
      <w:pPr>
        <w:numPr>
          <w:ilvl w:val="0"/>
          <w:numId w:val="2"/>
        </w:numPr>
        <w:jc w:val="both"/>
        <w:rPr>
          <w:rFonts w:ascii="Arial" w:hAnsi="Arial" w:cs="Arial"/>
          <w:szCs w:val="24"/>
        </w:rPr>
      </w:pPr>
      <w:r w:rsidRPr="00C773C2">
        <w:rPr>
          <w:rFonts w:ascii="Arial" w:hAnsi="Arial" w:cs="Arial"/>
          <w:szCs w:val="24"/>
        </w:rPr>
        <w:t>enti di credito fondiario e agrario a carattere regionale.</w:t>
      </w:r>
    </w:p>
    <w:p w:rsidR="009F77D6" w:rsidRPr="00C773C2" w:rsidRDefault="00827E04">
      <w:pPr>
        <w:ind w:firstLine="567"/>
        <w:jc w:val="both"/>
        <w:rPr>
          <w:rFonts w:ascii="Arial" w:hAnsi="Arial" w:cs="Arial"/>
          <w:szCs w:val="24"/>
        </w:rPr>
      </w:pPr>
      <w:r w:rsidRPr="00C773C2">
        <w:rPr>
          <w:rFonts w:ascii="Arial" w:hAnsi="Arial" w:cs="Arial"/>
          <w:szCs w:val="24"/>
        </w:rPr>
        <w:t>Ai sensi dell’articolo 117, secondo comma, della Costituzione lo Stato ha competenza esclusiva nelle seguenti materie: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politica estera e rapporti internazionali dello Stato; rapporti dello Stato con l’Unione europea; diritto d’asilo e condizione giuridica dei cittadini di Stati non appartenenti all'Unione europea;</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immigrazione;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rapporti tra la Repubblica e le confessioni religiose;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difesa e Forze armate; sicurezza dello Stato; armi, munizioni ed esplosivi;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moneta, tutela del risparmio e mercati finanziari; tutela della concorrenza; sistema valutario; sistema tributario e contabile dello Stato; perequazione delle risorse finanziarie;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organi dello Stato e relative leggi elettorali; referendum statali; elezione del Parlamento europeo;</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ordinamento e organizzazione amministrativa dello Stato e degli enti pubblici nazionali;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ordine pubblico e sicurezza, ad esclusione della polizia amministrativa locale;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cittadinanza, stato civile e anagrafi;</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giurisdizione e norme processuali; ordinamento civile e penale; giustizia amministrativa;</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determinazione dei livelli essenziali delle prestazioni concernenti i diritti civili e sociali che devono essere garantiti su tutto il territorio nazionale;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norme generali sull’istruzione;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previdenza sociale;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legislazione elettorale, organi di governo e funzioni fondamentali di Comuni, Province e Città metropolitane;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dogane, protezione dei confini nazionali e profilassi internazionale;</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pesi, misure e determinazione del tempo; coordinamento informativo statistico e informatico dei dati dell'amministrazione statale, regionale e locale; opere dell’ingegno;</w:t>
      </w:r>
    </w:p>
    <w:p w:rsidR="009F77D6" w:rsidRPr="00C773C2" w:rsidRDefault="00827E04" w:rsidP="00827E04">
      <w:pPr>
        <w:numPr>
          <w:ilvl w:val="0"/>
          <w:numId w:val="4"/>
        </w:numPr>
        <w:jc w:val="both"/>
        <w:rPr>
          <w:rFonts w:ascii="Arial" w:hAnsi="Arial" w:cs="Arial"/>
          <w:szCs w:val="24"/>
        </w:rPr>
      </w:pPr>
      <w:r w:rsidRPr="00C773C2">
        <w:rPr>
          <w:rFonts w:ascii="Arial" w:hAnsi="Arial" w:cs="Arial"/>
          <w:szCs w:val="24"/>
        </w:rPr>
        <w:t>tutela dell’ambiente, dell’ecosistema e dei beni culturali.</w:t>
      </w:r>
    </w:p>
    <w:p w:rsidR="00E7114E" w:rsidRPr="00C773C2" w:rsidRDefault="00E7114E" w:rsidP="00E7114E">
      <w:pPr>
        <w:jc w:val="both"/>
        <w:rPr>
          <w:rFonts w:ascii="Arial" w:hAnsi="Arial" w:cs="Arial"/>
          <w:szCs w:val="24"/>
        </w:rPr>
      </w:pPr>
    </w:p>
    <w:p w:rsidR="009F77D6" w:rsidRPr="00C773C2" w:rsidRDefault="00827E04" w:rsidP="00E7114E">
      <w:pPr>
        <w:ind w:firstLine="567"/>
        <w:jc w:val="both"/>
        <w:rPr>
          <w:rFonts w:ascii="Arial" w:hAnsi="Arial" w:cs="Arial"/>
          <w:szCs w:val="24"/>
        </w:rPr>
      </w:pPr>
      <w:r w:rsidRPr="00C773C2">
        <w:rPr>
          <w:rFonts w:ascii="Arial" w:hAnsi="Arial" w:cs="Arial"/>
          <w:b/>
          <w:szCs w:val="24"/>
        </w:rPr>
        <w:t>L’articolo 6 dello Statuto, inoltre, prevede la competenza legislativa integrativa e attuativa della Regione</w:t>
      </w:r>
      <w:r w:rsidRPr="00C773C2">
        <w:rPr>
          <w:rFonts w:ascii="Arial" w:hAnsi="Arial" w:cs="Arial"/>
          <w:szCs w:val="24"/>
        </w:rPr>
        <w:t xml:space="preserve"> nelle seguenti materie:</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scuola materna; istruzione elementare; media; classica; scientifica; magistrale; tecnica ed artistica;</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lavoro, previdenza e assistenza sociale;</w:t>
      </w:r>
    </w:p>
    <w:p w:rsidR="009F77D6" w:rsidRPr="00C773C2" w:rsidRDefault="00827E04" w:rsidP="00827E04">
      <w:pPr>
        <w:numPr>
          <w:ilvl w:val="0"/>
          <w:numId w:val="5"/>
        </w:numPr>
        <w:jc w:val="both"/>
        <w:rPr>
          <w:rFonts w:ascii="Arial" w:hAnsi="Arial" w:cs="Arial"/>
          <w:szCs w:val="24"/>
        </w:rPr>
      </w:pPr>
      <w:r w:rsidRPr="00C773C2">
        <w:rPr>
          <w:rFonts w:ascii="Arial" w:hAnsi="Arial" w:cs="Arial"/>
          <w:szCs w:val="24"/>
        </w:rPr>
        <w:t>antichità e belle arti, tutela del paesaggio, della flora e della fauna, oltre che nelle materie per le quali le leggi dello Stato attribuiscano alla Regione questa facoltà.</w:t>
      </w:r>
    </w:p>
    <w:p w:rsidR="009F77D6" w:rsidRPr="00C773C2" w:rsidRDefault="00827E04">
      <w:pPr>
        <w:pStyle w:val="Rientrocorpodeltesto"/>
        <w:rPr>
          <w:rFonts w:ascii="Arial" w:hAnsi="Arial" w:cs="Arial"/>
          <w:szCs w:val="24"/>
        </w:rPr>
      </w:pPr>
      <w:r w:rsidRPr="00C773C2">
        <w:rPr>
          <w:rFonts w:ascii="Arial" w:hAnsi="Arial" w:cs="Arial"/>
          <w:szCs w:val="24"/>
        </w:rPr>
        <w:lastRenderedPageBreak/>
        <w:t>In queste materie la Regione può soltanto integrare il sistema delle leggi nazionali, sempre che il sistema nazionale stesso rechi spazi liberi, non si componga cioè di norme a fattispecie esclusiva.</w:t>
      </w:r>
    </w:p>
    <w:p w:rsidR="009F77D6" w:rsidRPr="00C773C2" w:rsidRDefault="00827E04">
      <w:pPr>
        <w:pStyle w:val="Rientrocorpodeltesto"/>
        <w:rPr>
          <w:rFonts w:ascii="Arial" w:hAnsi="Arial" w:cs="Arial"/>
          <w:szCs w:val="24"/>
        </w:rPr>
      </w:pPr>
      <w:r w:rsidRPr="00C773C2">
        <w:rPr>
          <w:rFonts w:ascii="Arial" w:hAnsi="Arial" w:cs="Arial"/>
          <w:szCs w:val="24"/>
        </w:rPr>
        <w:t>La Regione, quindi, ha competenza legislativa esclusiva nelle materie elencate nell’articolo 4 dello Statuto, in tutte le altre materie non elencate dall’articolo 117, comma secondo della Costituzione, con esclusione delle materie elencate nell’articolo 117, comma terzo della Costituzione (dove ha competenza legislativa concorrente). L’impatto del nuovo riparto di competenze recato dalle modifiche al titolo quinto della Costituzione può quindi essere riassunto come segue: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la Regione Friuli Venezia Giulia gode di una competenza legislativa generale, di tipo esclusivo (come le Regioni a statuto ordinario), e di una competenza su materie indicate;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nell’ipotesi in cui una competenza esclusiva dello Stato trovi corrispondenza, in tutto o in parte, in una voce dell’elenco statutario della competenza piena od esclusiva della Regione si verifica la cedevolezza della potestà statale e il radicarsi della materia in capo alla Regione;</w:t>
      </w:r>
    </w:p>
    <w:p w:rsidR="009F77D6" w:rsidRPr="00C773C2" w:rsidRDefault="00827E04" w:rsidP="00827E04">
      <w:pPr>
        <w:pStyle w:val="Rientrocorpodeltesto"/>
        <w:numPr>
          <w:ilvl w:val="0"/>
          <w:numId w:val="7"/>
        </w:numPr>
        <w:rPr>
          <w:rFonts w:ascii="Arial" w:hAnsi="Arial" w:cs="Arial"/>
          <w:szCs w:val="24"/>
        </w:rPr>
      </w:pPr>
      <w:r w:rsidRPr="00C773C2">
        <w:rPr>
          <w:rFonts w:ascii="Arial" w:hAnsi="Arial" w:cs="Arial"/>
          <w:szCs w:val="24"/>
        </w:rPr>
        <w:t>la sovrapposizione, parziale o totale, delle voci statutarie della competenza concorrente, con quelle della competenza esclusiva dello Stato degrada quest’ultima al rango della competenza concorrente; lo stesso va detto per le voci statutarie della competenza integrativo – attuativa, che realizzano una forma di riduzione della competenza esclusiva dello Stato.</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non indichi nessuna competenza, mentre l’articolo 117 attribuisca la competenza esclusiva alle Regioni, sono introdotte tutte quelle materie, che potranno emergere, anche successivamente con l’evoluzione delle esigenze di regolazione degli interessi affidati alla cura della pubblica amministrazione, e che ora non compaiono in alcun elenco; in questo caso la Regione acquista nuove competenze.</w:t>
      </w:r>
    </w:p>
    <w:p w:rsidR="009F77D6" w:rsidRPr="00C773C2" w:rsidRDefault="00827E04">
      <w:pPr>
        <w:pStyle w:val="Rientrocorpodeltesto"/>
        <w:rPr>
          <w:rFonts w:ascii="Arial" w:hAnsi="Arial" w:cs="Arial"/>
          <w:szCs w:val="24"/>
        </w:rPr>
      </w:pPr>
      <w:r w:rsidRPr="00C773C2">
        <w:rPr>
          <w:rFonts w:ascii="Arial" w:hAnsi="Arial" w:cs="Arial"/>
          <w:szCs w:val="24"/>
        </w:rPr>
        <w:t>Analogamente accade per quanto riguarda la competenza legislativa concorrente. In quest’ultimo caso rientrerebbero le seguenti materie:</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rapporti internazionali e con l’Unione europea;</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commercio con l’estero;</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professioni;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ricerca scientifica e tecnologica e sostegno all’innovazione per i settori produttivi;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alimentazione, ordinamento sportivo;</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porti e aeroporti civili;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grandi reti di trasporto e di navigazione;</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produzione, trasporto e distribuzione naturale dell’energia elettrica;</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armonizzazione dei bilanci pubblici;</w:t>
      </w:r>
    </w:p>
    <w:p w:rsidR="009F77D6" w:rsidRPr="00C773C2" w:rsidRDefault="00827E04" w:rsidP="00827E04">
      <w:pPr>
        <w:pStyle w:val="Rientrocorpodeltesto"/>
        <w:numPr>
          <w:ilvl w:val="0"/>
          <w:numId w:val="8"/>
        </w:numPr>
        <w:rPr>
          <w:rFonts w:ascii="Arial" w:hAnsi="Arial" w:cs="Arial"/>
          <w:szCs w:val="24"/>
        </w:rPr>
      </w:pPr>
      <w:r w:rsidRPr="00C773C2">
        <w:rPr>
          <w:rFonts w:ascii="Arial" w:hAnsi="Arial" w:cs="Arial"/>
          <w:szCs w:val="24"/>
        </w:rPr>
        <w:t>coordinamento della finanza pubblica e del sistema tributario.</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indichi la competenza legislativa esclusiva della Regione, mentre la Costituzione la attribuisce allo Stato, come sua esclusiva, o concorrente con le Regioni, la competenza rimane in capo alla Regione.</w:t>
      </w:r>
    </w:p>
    <w:p w:rsidR="009F77D6" w:rsidRPr="00C773C2" w:rsidRDefault="00827E04">
      <w:pPr>
        <w:pStyle w:val="Rientrocorpodeltesto"/>
        <w:rPr>
          <w:rFonts w:ascii="Arial" w:hAnsi="Arial" w:cs="Arial"/>
          <w:szCs w:val="24"/>
        </w:rPr>
      </w:pPr>
      <w:r w:rsidRPr="00C773C2">
        <w:rPr>
          <w:rFonts w:ascii="Arial" w:hAnsi="Arial" w:cs="Arial"/>
          <w:szCs w:val="24"/>
        </w:rPr>
        <w:t>Allorché lo Statuto preveda la competenza legislativa esclusiva, e la Costituzione prevede la competenza regionale esclusiva, la competenza diventa residuale esclusiva, esercitata solo nei limiti generali di rispetto della Costituzione, dei vincoli comunitari e degli obblighi internazionali.</w:t>
      </w:r>
    </w:p>
    <w:p w:rsidR="009F77D6" w:rsidRPr="00C773C2" w:rsidRDefault="00827E04">
      <w:pPr>
        <w:pStyle w:val="Rientrocorpodeltesto"/>
        <w:rPr>
          <w:rFonts w:ascii="Arial" w:hAnsi="Arial" w:cs="Arial"/>
          <w:szCs w:val="24"/>
        </w:rPr>
      </w:pPr>
      <w:r w:rsidRPr="00C773C2">
        <w:rPr>
          <w:rFonts w:ascii="Arial" w:hAnsi="Arial" w:cs="Arial"/>
          <w:szCs w:val="24"/>
        </w:rPr>
        <w:t>Nel caso in cui lo Statuto preveda la competenza legislativa concorrente, e la Costituzione quella esclusiva statale, la competenza rimane in capo alla Regione.</w:t>
      </w:r>
    </w:p>
    <w:p w:rsidR="009F77D6" w:rsidRPr="00C773C2" w:rsidRDefault="00827E04">
      <w:pPr>
        <w:pStyle w:val="Rientrocorpodeltesto"/>
        <w:rPr>
          <w:rFonts w:ascii="Arial" w:hAnsi="Arial" w:cs="Arial"/>
          <w:szCs w:val="24"/>
        </w:rPr>
      </w:pPr>
      <w:r w:rsidRPr="00C773C2">
        <w:rPr>
          <w:rFonts w:ascii="Arial" w:hAnsi="Arial" w:cs="Arial"/>
          <w:szCs w:val="24"/>
        </w:rPr>
        <w:lastRenderedPageBreak/>
        <w:t>Nel caso sia lo Statuto sia la Costituzione prevedano la competenza legislativa concorrente, non vi è alcuna modifica, se non per quanto riguarda i limiti, che la Costituzione fissa ora come meno rigorosi.</w:t>
      </w:r>
    </w:p>
    <w:p w:rsidR="009F77D6" w:rsidRPr="00C773C2" w:rsidRDefault="00827E04">
      <w:pPr>
        <w:pStyle w:val="Rientrocorpodeltesto"/>
        <w:rPr>
          <w:rFonts w:ascii="Arial" w:hAnsi="Arial" w:cs="Arial"/>
          <w:szCs w:val="24"/>
        </w:rPr>
      </w:pPr>
      <w:r w:rsidRPr="00C773C2">
        <w:rPr>
          <w:rFonts w:ascii="Arial" w:hAnsi="Arial" w:cs="Arial"/>
          <w:szCs w:val="24"/>
        </w:rPr>
        <w:t>Nei casi in cui la competenza legislativa regionale sia integrativa, diventerà rispettivamente esclusiva o concorrente quando la Costituzione preveda in tal senso per le Regioni a statuto ordinario.</w:t>
      </w:r>
    </w:p>
    <w:p w:rsidR="009F77D6" w:rsidRPr="00C773C2" w:rsidRDefault="00827E04">
      <w:pPr>
        <w:ind w:firstLine="567"/>
        <w:jc w:val="both"/>
        <w:rPr>
          <w:rFonts w:ascii="Arial" w:hAnsi="Arial" w:cs="Arial"/>
          <w:szCs w:val="24"/>
        </w:rPr>
      </w:pPr>
      <w:r w:rsidRPr="00C773C2">
        <w:rPr>
          <w:rFonts w:ascii="Arial" w:hAnsi="Arial" w:cs="Arial"/>
          <w:szCs w:val="24"/>
        </w:rPr>
        <w:t>L’articolo 7 dello Statuto dispone poi che la Regione disponga con legge in alcune materie, come l’approvazione dei bilanci di previsione e dei rendiconti consuntivi, la contrattazione dei mutui e l’emissione di prestiti, l’istituzione di nuovi comuni, la modifica delle loro circoscrizioni e denominazioni.</w:t>
      </w:r>
    </w:p>
    <w:p w:rsidR="009F77D6" w:rsidRPr="00C773C2" w:rsidRDefault="00827E04">
      <w:pPr>
        <w:ind w:firstLine="567"/>
        <w:jc w:val="both"/>
        <w:rPr>
          <w:rFonts w:ascii="Arial" w:hAnsi="Arial" w:cs="Arial"/>
          <w:szCs w:val="24"/>
        </w:rPr>
      </w:pPr>
      <w:r w:rsidRPr="00C773C2">
        <w:rPr>
          <w:rFonts w:ascii="Arial" w:hAnsi="Arial" w:cs="Arial"/>
          <w:szCs w:val="24"/>
        </w:rPr>
        <w:t>Va però ricordato che, avendo ora la Regione competenza esclusiva in materia d’ordinamento d’enti locali, è pure possibile provvedere, sempre con legge, anche all’istituzione di nuove province. A tal proposito va ricordata l’importanza delle norme d’attuazione contenute nel decreto legislativo 2 gennaio 1997, n. 9, relative all’ordinamento degli enti locali.</w:t>
      </w:r>
    </w:p>
    <w:p w:rsidR="009F77D6" w:rsidRPr="00C773C2" w:rsidRDefault="00827E04">
      <w:pPr>
        <w:ind w:firstLine="567"/>
        <w:jc w:val="both"/>
        <w:rPr>
          <w:rFonts w:ascii="Arial" w:hAnsi="Arial" w:cs="Arial"/>
          <w:szCs w:val="24"/>
        </w:rPr>
      </w:pPr>
      <w:r w:rsidRPr="00C773C2">
        <w:rPr>
          <w:rFonts w:ascii="Arial" w:hAnsi="Arial" w:cs="Arial"/>
          <w:szCs w:val="24"/>
        </w:rPr>
        <w:t>L’ultimo comma dell’articolo 117 della Costituzione detta infine una norma del tutto innovativa, consentendo infatti che la Regione, nelle materie di propria competenza, possa concludere accordi con Stati e intese con enti territoriali interni ad altro Stato, anche se solo nei casi e con le forme disciplinate da leggi dello Stato.</w:t>
      </w:r>
    </w:p>
    <w:p w:rsidR="009F77D6" w:rsidRPr="00C773C2" w:rsidRDefault="00827E04">
      <w:pPr>
        <w:spacing w:before="240" w:after="120"/>
        <w:jc w:val="center"/>
        <w:rPr>
          <w:rFonts w:ascii="Arial" w:hAnsi="Arial" w:cs="Arial"/>
          <w:b/>
          <w:szCs w:val="24"/>
        </w:rPr>
      </w:pPr>
      <w:r w:rsidRPr="00C773C2">
        <w:rPr>
          <w:rFonts w:ascii="Arial" w:hAnsi="Arial" w:cs="Arial"/>
          <w:b/>
          <w:szCs w:val="24"/>
        </w:rPr>
        <w:t>La potestà regolamentare e amministrativa</w:t>
      </w:r>
    </w:p>
    <w:p w:rsidR="009F77D6" w:rsidRPr="00C773C2" w:rsidRDefault="00827E04">
      <w:pPr>
        <w:ind w:firstLine="567"/>
        <w:jc w:val="both"/>
        <w:rPr>
          <w:rFonts w:ascii="Arial" w:hAnsi="Arial" w:cs="Arial"/>
          <w:szCs w:val="24"/>
        </w:rPr>
      </w:pPr>
      <w:r w:rsidRPr="00C773C2">
        <w:rPr>
          <w:rFonts w:ascii="Arial" w:hAnsi="Arial" w:cs="Arial"/>
          <w:szCs w:val="24"/>
        </w:rPr>
        <w:t xml:space="preserve">L’articolo 117, sesto comma, della Costituzione dispone che la </w:t>
      </w:r>
      <w:r w:rsidRPr="00C773C2">
        <w:rPr>
          <w:rFonts w:ascii="Arial" w:hAnsi="Arial" w:cs="Arial"/>
          <w:b/>
          <w:szCs w:val="24"/>
        </w:rPr>
        <w:t>potestà regolamentare</w:t>
      </w:r>
      <w:r w:rsidRPr="00C773C2">
        <w:rPr>
          <w:rFonts w:ascii="Arial" w:hAnsi="Arial" w:cs="Arial"/>
          <w:szCs w:val="24"/>
        </w:rPr>
        <w:t xml:space="preserve"> spetti:</w:t>
      </w:r>
    </w:p>
    <w:p w:rsidR="009F77D6" w:rsidRPr="00C773C2" w:rsidRDefault="00827E04" w:rsidP="00827E04">
      <w:pPr>
        <w:numPr>
          <w:ilvl w:val="0"/>
          <w:numId w:val="9"/>
        </w:numPr>
        <w:jc w:val="both"/>
        <w:rPr>
          <w:rFonts w:ascii="Arial" w:hAnsi="Arial" w:cs="Arial"/>
          <w:szCs w:val="24"/>
        </w:rPr>
      </w:pPr>
      <w:r w:rsidRPr="00C773C2">
        <w:rPr>
          <w:rFonts w:ascii="Arial" w:hAnsi="Arial" w:cs="Arial"/>
          <w:szCs w:val="24"/>
        </w:rPr>
        <w:t>allo Stato nelle materie di legislazione esclusiva (salvo delega alle Regioni);</w:t>
      </w:r>
    </w:p>
    <w:p w:rsidR="009F77D6" w:rsidRPr="00C773C2" w:rsidRDefault="00827E04" w:rsidP="00827E04">
      <w:pPr>
        <w:numPr>
          <w:ilvl w:val="0"/>
          <w:numId w:val="9"/>
        </w:numPr>
        <w:jc w:val="both"/>
        <w:rPr>
          <w:rFonts w:ascii="Arial" w:hAnsi="Arial" w:cs="Arial"/>
          <w:szCs w:val="24"/>
        </w:rPr>
      </w:pPr>
      <w:r w:rsidRPr="00C773C2">
        <w:rPr>
          <w:rFonts w:ascii="Arial" w:hAnsi="Arial" w:cs="Arial"/>
          <w:szCs w:val="24"/>
        </w:rPr>
        <w:t>alle Regioni in ogni altra materia.</w:t>
      </w:r>
    </w:p>
    <w:p w:rsidR="009F77D6" w:rsidRPr="00C773C2" w:rsidRDefault="00827E04">
      <w:pPr>
        <w:pStyle w:val="Rientrocorpodeltesto"/>
        <w:rPr>
          <w:rFonts w:ascii="Arial" w:hAnsi="Arial" w:cs="Arial"/>
          <w:szCs w:val="24"/>
        </w:rPr>
      </w:pPr>
      <w:r w:rsidRPr="00C773C2">
        <w:rPr>
          <w:rFonts w:ascii="Arial" w:hAnsi="Arial" w:cs="Arial"/>
          <w:szCs w:val="24"/>
        </w:rPr>
        <w:t>Questo comporta che anche nostra alla Regione spetta il potere regolamentare in tutte le altre materie, concorrenti e residuali; la novità è costituita dal fatto che la Regione potrà produrre norme secondarie anche in area statale. I regolamenti statali vigenti nelle materie regionali dovrebbero essere recessivi rispetto a norme legislative e regolamentari regionali.</w:t>
      </w:r>
    </w:p>
    <w:p w:rsidR="009F77D6" w:rsidRPr="00C773C2" w:rsidRDefault="00827E04">
      <w:pPr>
        <w:ind w:firstLine="567"/>
        <w:jc w:val="both"/>
        <w:rPr>
          <w:rFonts w:ascii="Arial" w:hAnsi="Arial" w:cs="Arial"/>
          <w:szCs w:val="24"/>
        </w:rPr>
      </w:pPr>
      <w:r w:rsidRPr="00C773C2">
        <w:rPr>
          <w:rFonts w:ascii="Arial" w:hAnsi="Arial" w:cs="Arial"/>
          <w:b/>
          <w:szCs w:val="24"/>
        </w:rPr>
        <w:t>Nelle materie in cui la Regione ha competenza legislativa ha anche competenza amministrativa</w:t>
      </w:r>
      <w:r w:rsidRPr="00C773C2">
        <w:rPr>
          <w:rFonts w:ascii="Arial" w:hAnsi="Arial" w:cs="Arial"/>
          <w:szCs w:val="24"/>
        </w:rPr>
        <w:t>. Questa attività amministrativa, diversamente dalla legislativa, non è direttamente esercitabile in base alle generiche disposizioni dello Statuto speciale, ma richiede un puntuale e preciso fondamento legislativo da parte della Regione stessa.</w:t>
      </w:r>
    </w:p>
    <w:p w:rsidR="009F77D6" w:rsidRPr="00C773C2" w:rsidRDefault="00827E04">
      <w:pPr>
        <w:ind w:firstLine="567"/>
        <w:jc w:val="both"/>
        <w:rPr>
          <w:rFonts w:ascii="Arial" w:hAnsi="Arial" w:cs="Arial"/>
          <w:szCs w:val="24"/>
        </w:rPr>
      </w:pPr>
      <w:r w:rsidRPr="00C773C2">
        <w:rPr>
          <w:rFonts w:ascii="Arial" w:hAnsi="Arial" w:cs="Arial"/>
          <w:szCs w:val="24"/>
        </w:rPr>
        <w:t>L’articolo 10 dello Statuto dispone che lo Stato possa, con legge, delegare alla Regione l’esercizio di funzioni amministrative proprie. Il secondo comma del medesimo articolo dispone che le amministrazioni centrali dello Stato, per l’esercizio di funzioni di propria competenza nel territorio della Regione, possono avvalersi degli uffici della Regione stessa; tale avvalimento è però subordinato ad un’intesa fra i Ministri competenti e il Presidente della Regione.</w:t>
      </w:r>
    </w:p>
    <w:p w:rsidR="009F77D6" w:rsidRPr="00C773C2" w:rsidRDefault="00827E04">
      <w:pPr>
        <w:ind w:firstLine="567"/>
        <w:jc w:val="both"/>
        <w:rPr>
          <w:rFonts w:ascii="Arial" w:hAnsi="Arial" w:cs="Arial"/>
          <w:szCs w:val="24"/>
        </w:rPr>
      </w:pPr>
      <w:r w:rsidRPr="00C773C2">
        <w:rPr>
          <w:rFonts w:ascii="Arial" w:hAnsi="Arial" w:cs="Arial"/>
          <w:szCs w:val="24"/>
        </w:rPr>
        <w:t>L’articolo 11 dello Statuto detta un’importante norma di decentramento, disponendo che la Regione, di norma, esercita le proprie funzioni amministrative mediante l’istituto della delega agli Enti locali o l’avvalimento degli uffici degli stessi. Si tratta di una norma che ha avuto scarsa attuazione.</w:t>
      </w:r>
    </w:p>
    <w:p w:rsidR="009F77D6" w:rsidRPr="00C773C2" w:rsidRDefault="00827E04">
      <w:pPr>
        <w:ind w:firstLine="567"/>
        <w:jc w:val="both"/>
        <w:rPr>
          <w:rFonts w:ascii="Arial" w:hAnsi="Arial" w:cs="Arial"/>
          <w:szCs w:val="24"/>
        </w:rPr>
      </w:pPr>
      <w:r w:rsidRPr="00C773C2">
        <w:rPr>
          <w:rFonts w:ascii="Arial" w:hAnsi="Arial" w:cs="Arial"/>
          <w:szCs w:val="24"/>
        </w:rPr>
        <w:t xml:space="preserve">In ogni caso di tratta di una delega e non di un trasferimento di competenze, per cui la titolarità dei poteri spetta pur sempre allo Stato o alla Regione; le deleghe sono in ogni momento revocabili da parte del delegante, che deve conservare, sotto pena d’invalidità della delegazione, i poteri direttivi di controllo e di sostituzione. Poiché l’atto </w:t>
      </w:r>
      <w:r w:rsidRPr="00C773C2">
        <w:rPr>
          <w:rFonts w:ascii="Arial" w:hAnsi="Arial" w:cs="Arial"/>
          <w:szCs w:val="24"/>
        </w:rPr>
        <w:lastRenderedPageBreak/>
        <w:t>delegante incide notevolmente sull’organizzazione amministrativa esso deve essere effettuato con legge.</w:t>
      </w:r>
    </w:p>
    <w:p w:rsidR="009F77D6" w:rsidRPr="00C773C2" w:rsidRDefault="00827E04">
      <w:pPr>
        <w:ind w:firstLine="567"/>
        <w:jc w:val="both"/>
        <w:rPr>
          <w:rFonts w:ascii="Arial" w:hAnsi="Arial" w:cs="Arial"/>
          <w:szCs w:val="24"/>
        </w:rPr>
      </w:pPr>
      <w:r w:rsidRPr="00C773C2">
        <w:rPr>
          <w:rFonts w:ascii="Arial" w:hAnsi="Arial" w:cs="Arial"/>
          <w:szCs w:val="24"/>
        </w:rPr>
        <w:t>In ordine alla potestà amministrativa della Regione, l’articolo 8 dello Statuto dispone che essa esercita le funzioni amministrative nelle materie in cui ha potestà legislativa. La norma va però letta in uno con il disposto dell’articolo 118 della Costituzione, che dispone espressamente che le funzioni amministrative sono attribuite ai Comuni, salvo che, per assicurarne l’esercizio unitario, esse siano conferite a Province, Città metropolitane, Regioni e Stato, sulla base dei principi di:</w:t>
      </w:r>
    </w:p>
    <w:p w:rsidR="009F77D6" w:rsidRPr="00C773C2" w:rsidRDefault="00827E04" w:rsidP="00827E04">
      <w:pPr>
        <w:numPr>
          <w:ilvl w:val="0"/>
          <w:numId w:val="10"/>
        </w:numPr>
        <w:jc w:val="both"/>
        <w:rPr>
          <w:rFonts w:ascii="Arial" w:hAnsi="Arial" w:cs="Arial"/>
          <w:b/>
          <w:szCs w:val="24"/>
        </w:rPr>
      </w:pPr>
      <w:r w:rsidRPr="00C773C2">
        <w:rPr>
          <w:rFonts w:ascii="Arial" w:hAnsi="Arial" w:cs="Arial"/>
          <w:b/>
          <w:szCs w:val="24"/>
        </w:rPr>
        <w:t>sussidiarietà;</w:t>
      </w:r>
    </w:p>
    <w:p w:rsidR="009F77D6" w:rsidRPr="00C773C2" w:rsidRDefault="00827E04" w:rsidP="00827E04">
      <w:pPr>
        <w:numPr>
          <w:ilvl w:val="0"/>
          <w:numId w:val="10"/>
        </w:numPr>
        <w:jc w:val="both"/>
        <w:rPr>
          <w:rFonts w:ascii="Arial" w:hAnsi="Arial" w:cs="Arial"/>
          <w:b/>
          <w:szCs w:val="24"/>
        </w:rPr>
      </w:pPr>
      <w:r w:rsidRPr="00C773C2">
        <w:rPr>
          <w:rFonts w:ascii="Arial" w:hAnsi="Arial" w:cs="Arial"/>
          <w:b/>
          <w:szCs w:val="24"/>
        </w:rPr>
        <w:t>differenziazione;</w:t>
      </w:r>
    </w:p>
    <w:p w:rsidR="009F77D6" w:rsidRPr="00C773C2" w:rsidRDefault="00827E04" w:rsidP="00827E04">
      <w:pPr>
        <w:numPr>
          <w:ilvl w:val="0"/>
          <w:numId w:val="10"/>
        </w:numPr>
        <w:jc w:val="both"/>
        <w:rPr>
          <w:rFonts w:ascii="Arial" w:hAnsi="Arial" w:cs="Arial"/>
          <w:szCs w:val="24"/>
        </w:rPr>
      </w:pPr>
      <w:r w:rsidRPr="00C773C2">
        <w:rPr>
          <w:rFonts w:ascii="Arial" w:hAnsi="Arial" w:cs="Arial"/>
          <w:b/>
          <w:szCs w:val="24"/>
        </w:rPr>
        <w:t>adeguatezza</w:t>
      </w:r>
      <w:r w:rsidRPr="00C773C2">
        <w:rPr>
          <w:rFonts w:ascii="Arial" w:hAnsi="Arial" w:cs="Arial"/>
          <w:szCs w:val="24"/>
        </w:rPr>
        <w:t>.</w:t>
      </w:r>
    </w:p>
    <w:p w:rsidR="009F77D6" w:rsidRPr="00C773C2" w:rsidRDefault="00827E04">
      <w:pPr>
        <w:spacing w:before="240" w:after="120"/>
        <w:jc w:val="center"/>
        <w:rPr>
          <w:rFonts w:ascii="Arial" w:hAnsi="Arial" w:cs="Arial"/>
          <w:b/>
          <w:szCs w:val="24"/>
        </w:rPr>
      </w:pPr>
      <w:r w:rsidRPr="00C773C2">
        <w:rPr>
          <w:rFonts w:ascii="Arial" w:hAnsi="Arial" w:cs="Arial"/>
          <w:b/>
          <w:szCs w:val="24"/>
        </w:rPr>
        <w:t xml:space="preserve"> Il nuovo ruolo internazionale della Regione</w:t>
      </w:r>
    </w:p>
    <w:p w:rsidR="009F77D6" w:rsidRPr="00C773C2" w:rsidRDefault="00827E04">
      <w:pPr>
        <w:pStyle w:val="Rientrocorpodeltesto"/>
        <w:rPr>
          <w:rFonts w:ascii="Arial" w:hAnsi="Arial" w:cs="Arial"/>
          <w:szCs w:val="24"/>
        </w:rPr>
      </w:pPr>
      <w:r w:rsidRPr="00C773C2">
        <w:rPr>
          <w:rFonts w:ascii="Arial" w:hAnsi="Arial" w:cs="Arial"/>
          <w:szCs w:val="24"/>
        </w:rPr>
        <w:t xml:space="preserve">La riforma costituzionale ha introdotto una relativa soggettività internazionale delle </w:t>
      </w:r>
      <w:r w:rsidRPr="00C773C2">
        <w:rPr>
          <w:rFonts w:ascii="Arial" w:hAnsi="Arial" w:cs="Arial"/>
          <w:b/>
          <w:szCs w:val="24"/>
        </w:rPr>
        <w:t>Regioni</w:t>
      </w:r>
      <w:r w:rsidRPr="00C773C2">
        <w:rPr>
          <w:rFonts w:ascii="Arial" w:hAnsi="Arial" w:cs="Arial"/>
          <w:szCs w:val="24"/>
        </w:rPr>
        <w:t xml:space="preserve">, poiché non solo sono previsti rapporti internazionali e con l’Unione europea (materia in cui le Regioni agiscono e legiferano), ma </w:t>
      </w:r>
      <w:r w:rsidRPr="00C773C2">
        <w:rPr>
          <w:rFonts w:ascii="Arial" w:hAnsi="Arial" w:cs="Arial"/>
          <w:b/>
          <w:szCs w:val="24"/>
        </w:rPr>
        <w:t>possono anche stringere accordi con altri Stati, come fattispecie distinta fra Regioni ed enti territoriali autonomi</w:t>
      </w:r>
      <w:r w:rsidRPr="00C773C2">
        <w:rPr>
          <w:rFonts w:ascii="Arial" w:hAnsi="Arial" w:cs="Arial"/>
          <w:szCs w:val="24"/>
        </w:rPr>
        <w:t>.</w:t>
      </w:r>
    </w:p>
    <w:p w:rsidR="009F77D6" w:rsidRPr="00C773C2" w:rsidRDefault="00827E04">
      <w:pPr>
        <w:pStyle w:val="Rientrocorpodeltesto"/>
        <w:rPr>
          <w:rFonts w:ascii="Arial" w:hAnsi="Arial" w:cs="Arial"/>
          <w:szCs w:val="24"/>
        </w:rPr>
      </w:pPr>
      <w:r w:rsidRPr="00C773C2">
        <w:rPr>
          <w:rFonts w:ascii="Arial" w:hAnsi="Arial" w:cs="Arial"/>
          <w:szCs w:val="24"/>
        </w:rPr>
        <w:t>Il ruolo di soggetto di diritto internazionale comporta la titolarità del diritto a concludere accordi con altri Stati e intese con altri enti territoriali interni di altro Stato (sempre che abbiano analoga facoltà). Nell’ambito internazionale potrà essere ipotizzato un ruolo differenziato della Regione, come espressione di una rinnovata specialità, proprio per la sua posizione geografica.</w:t>
      </w:r>
    </w:p>
    <w:p w:rsidR="009F77D6" w:rsidRPr="00C773C2" w:rsidRDefault="00827E04">
      <w:pPr>
        <w:spacing w:after="240"/>
        <w:jc w:val="center"/>
        <w:rPr>
          <w:rFonts w:ascii="Arial" w:hAnsi="Arial" w:cs="Arial"/>
          <w:b/>
          <w:caps/>
          <w:szCs w:val="24"/>
        </w:rPr>
      </w:pPr>
      <w:r w:rsidRPr="00C773C2">
        <w:rPr>
          <w:rFonts w:ascii="Arial" w:hAnsi="Arial" w:cs="Arial"/>
          <w:b/>
          <w:szCs w:val="24"/>
        </w:rPr>
        <w:t>GLI ORGANI REGIONALI</w:t>
      </w:r>
    </w:p>
    <w:p w:rsidR="009F77D6" w:rsidRPr="00C773C2" w:rsidRDefault="00827E04">
      <w:pPr>
        <w:spacing w:after="120"/>
        <w:jc w:val="center"/>
        <w:rPr>
          <w:rFonts w:ascii="Arial" w:hAnsi="Arial" w:cs="Arial"/>
          <w:b/>
          <w:szCs w:val="24"/>
        </w:rPr>
      </w:pPr>
      <w:r w:rsidRPr="00C773C2">
        <w:rPr>
          <w:rFonts w:ascii="Arial" w:hAnsi="Arial" w:cs="Arial"/>
          <w:b/>
          <w:szCs w:val="24"/>
        </w:rPr>
        <w:t xml:space="preserve"> Il Consiglio regionale</w:t>
      </w:r>
    </w:p>
    <w:p w:rsidR="009F77D6" w:rsidRPr="00C773C2" w:rsidRDefault="00827E04">
      <w:pPr>
        <w:pStyle w:val="Rientrocorpodeltesto2"/>
        <w:rPr>
          <w:rFonts w:ascii="Arial" w:hAnsi="Arial" w:cs="Arial"/>
          <w:szCs w:val="24"/>
        </w:rPr>
      </w:pPr>
      <w:r w:rsidRPr="00C773C2">
        <w:rPr>
          <w:rFonts w:ascii="Arial" w:hAnsi="Arial" w:cs="Arial"/>
          <w:szCs w:val="24"/>
        </w:rPr>
        <w:t>Gli organi della Regione sono il Consiglio regionale, la Giunta regionale e il Presidente della Regione.</w:t>
      </w:r>
    </w:p>
    <w:p w:rsidR="009F77D6" w:rsidRPr="00C773C2" w:rsidRDefault="00827E04">
      <w:pPr>
        <w:ind w:firstLine="567"/>
        <w:jc w:val="both"/>
        <w:rPr>
          <w:rFonts w:ascii="Arial" w:hAnsi="Arial" w:cs="Arial"/>
          <w:szCs w:val="24"/>
        </w:rPr>
      </w:pPr>
      <w:r w:rsidRPr="00C773C2">
        <w:rPr>
          <w:rFonts w:ascii="Arial" w:hAnsi="Arial" w:cs="Arial"/>
          <w:szCs w:val="24"/>
        </w:rPr>
        <w:t xml:space="preserve">Il secondo comma dell’articolo 12 dello Statuto dispone che, in armonia con la Costituzione, con i principi dell’ordinamento giuridico della Repubblica, e con l’osservanza di quanto disposto dal titolo terzo dello Statuto stesso, </w:t>
      </w:r>
      <w:r w:rsidRPr="00C773C2">
        <w:rPr>
          <w:rFonts w:ascii="Arial" w:hAnsi="Arial" w:cs="Arial"/>
          <w:b/>
          <w:szCs w:val="24"/>
        </w:rPr>
        <w:t>la legge regionale, approvata a maggioranza assoluta dei componenti del Consiglio regionale, determini</w:t>
      </w:r>
      <w:r w:rsidRPr="00C773C2">
        <w:rPr>
          <w:rFonts w:ascii="Arial" w:hAnsi="Arial" w:cs="Arial"/>
          <w:szCs w:val="24"/>
        </w:rPr>
        <w:t>:</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forma di governo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le modalità di elezione del Consiglio regionale, del Presidente della Regione e degli assessori;</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i rapporti tra gli organi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presentazione e l’approvazione della mozione motivata di sfiducia nei confronti del Presidente della Regione;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i casi di ineleggibilità e incompatibilità con le predette cariche;</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l’esercizio del diritto di iniziativa popolare delle leggi regionali;</w:t>
      </w:r>
    </w:p>
    <w:p w:rsidR="009F77D6" w:rsidRPr="00C773C2" w:rsidRDefault="00827E04" w:rsidP="00827E04">
      <w:pPr>
        <w:numPr>
          <w:ilvl w:val="0"/>
          <w:numId w:val="11"/>
        </w:numPr>
        <w:jc w:val="both"/>
        <w:rPr>
          <w:rFonts w:ascii="Arial" w:hAnsi="Arial" w:cs="Arial"/>
          <w:szCs w:val="24"/>
        </w:rPr>
      </w:pPr>
      <w:r w:rsidRPr="00C773C2">
        <w:rPr>
          <w:rFonts w:ascii="Arial" w:hAnsi="Arial" w:cs="Arial"/>
          <w:szCs w:val="24"/>
        </w:rPr>
        <w:t>la disciplina del referendum regionale abrogativo, propositivo e consultivo.</w:t>
      </w:r>
    </w:p>
    <w:p w:rsidR="009F77D6" w:rsidRPr="00C773C2" w:rsidRDefault="00827E04">
      <w:pPr>
        <w:pStyle w:val="Rientrocorpodeltesto"/>
        <w:rPr>
          <w:rFonts w:ascii="Arial" w:hAnsi="Arial" w:cs="Arial"/>
          <w:szCs w:val="24"/>
        </w:rPr>
      </w:pPr>
      <w:r w:rsidRPr="00C773C2">
        <w:rPr>
          <w:rFonts w:ascii="Arial" w:hAnsi="Arial" w:cs="Arial"/>
          <w:szCs w:val="24"/>
        </w:rPr>
        <w:t>La stessa legge deve promuovere condizioni di parità per l’accesso alle consultazioni elettorali, per conseguire l’equilibrio della rappresentanza dei sessi.</w:t>
      </w:r>
    </w:p>
    <w:p w:rsidR="009F77D6" w:rsidRPr="00C773C2" w:rsidRDefault="00827E04">
      <w:pPr>
        <w:pStyle w:val="Rientrocorpodeltesto"/>
        <w:rPr>
          <w:rFonts w:ascii="Arial" w:hAnsi="Arial" w:cs="Arial"/>
          <w:szCs w:val="24"/>
        </w:rPr>
      </w:pPr>
      <w:r w:rsidRPr="00C773C2">
        <w:rPr>
          <w:rFonts w:ascii="Arial" w:hAnsi="Arial" w:cs="Arial"/>
          <w:szCs w:val="24"/>
        </w:rPr>
        <w:t xml:space="preserve">La legge elettorale, a differenza delle altre leggi, non è comunicata al Commissario del Governo, ma su di essa il Governo della Repubblica può promuovere la questione di legittimità costituzionale alla Corte costituzionale, entro il termine perentorio di trenta giorni dalla sua pubblicazione. La legge è sottoposta a referendum regionale, se, entro tre mesi dalla sua pubblicazione, lo richieda un cinquantesimo degli elettori della Regione (o un quinto dei componenti del Consiglio regionale); la legge così </w:t>
      </w:r>
      <w:r w:rsidRPr="00C773C2">
        <w:rPr>
          <w:rFonts w:ascii="Arial" w:hAnsi="Arial" w:cs="Arial"/>
          <w:szCs w:val="24"/>
        </w:rPr>
        <w:lastRenderedPageBreak/>
        <w:t>sottoposta a referendum non è promulgata se non è approvata almeno dalla maggioranza dei voti validi.</w:t>
      </w:r>
    </w:p>
    <w:p w:rsidR="009F77D6" w:rsidRPr="00C773C2" w:rsidRDefault="00827E04">
      <w:pPr>
        <w:pStyle w:val="Rientrocorpodeltesto"/>
        <w:rPr>
          <w:rFonts w:ascii="Arial" w:hAnsi="Arial" w:cs="Arial"/>
          <w:szCs w:val="24"/>
        </w:rPr>
      </w:pPr>
      <w:r w:rsidRPr="00C773C2">
        <w:rPr>
          <w:rFonts w:ascii="Arial" w:hAnsi="Arial" w:cs="Arial"/>
          <w:szCs w:val="24"/>
        </w:rPr>
        <w:t>Qualora la legge sia stata approvata a maggioranza dei due terzi dei componenti il consiglio regionale, si effettua il referendum solo se, entro tre mesi dalla pubblicazione, la richiesta è sottoscritta da un trentesimo degli aventi diritto al voto per l’elezione del Consiglio regionale.</w:t>
      </w:r>
    </w:p>
    <w:p w:rsidR="009E6815" w:rsidRPr="00C773C2" w:rsidRDefault="009E6815">
      <w:pPr>
        <w:pStyle w:val="Rientrocorpodeltesto"/>
        <w:rPr>
          <w:rFonts w:ascii="Arial" w:hAnsi="Arial" w:cs="Arial"/>
          <w:szCs w:val="24"/>
        </w:rPr>
      </w:pPr>
    </w:p>
    <w:p w:rsidR="009F77D6" w:rsidRPr="00C773C2" w:rsidRDefault="00827E04">
      <w:pPr>
        <w:pStyle w:val="Rientrocorpodeltesto"/>
        <w:rPr>
          <w:rFonts w:ascii="Arial" w:hAnsi="Arial" w:cs="Arial"/>
          <w:szCs w:val="24"/>
        </w:rPr>
      </w:pPr>
      <w:r w:rsidRPr="00C773C2">
        <w:rPr>
          <w:rFonts w:ascii="Arial" w:hAnsi="Arial" w:cs="Arial"/>
          <w:szCs w:val="24"/>
        </w:rPr>
        <w:t>L’articolo 5 della legge costituzionale 31 gennaio 2001, n. 2, ha disposto che, fino alla data d’entrata in vigore della legge sopra descritta, il Presidente della Regione è eletto a suffragio universale e diretto, contestualmente al rinnovo del Consiglio regionale. Entro dieci giorni dalla proclamazione degli eletti il Presidente della Regione nomina gli assessori (e può poi revocarli), attribuendo ad uno di essi le funzioni di Vicepresidente.</w:t>
      </w:r>
    </w:p>
    <w:p w:rsidR="009F77D6" w:rsidRPr="00C773C2" w:rsidRDefault="00827E04">
      <w:pPr>
        <w:pStyle w:val="Rientrocorpodeltesto"/>
        <w:rPr>
          <w:rFonts w:ascii="Arial" w:hAnsi="Arial" w:cs="Arial"/>
          <w:szCs w:val="24"/>
        </w:rPr>
      </w:pPr>
      <w:r w:rsidRPr="00C773C2">
        <w:rPr>
          <w:rFonts w:ascii="Arial" w:hAnsi="Arial" w:cs="Arial"/>
          <w:szCs w:val="24"/>
        </w:rPr>
        <w:t>Il comma 3 dell’articolo 5 della legge n. 2 del 2001 detta norme relative alle modalità di svolgimento delle elezioni. Il Consiglio regionale, nella seduta dell’11 marzo 2002, aveva bensì approvato, a maggioranza dei due terzi, la legge regionale prevista dall’articolo 12 dello Statuto, ma la legge non riuscì a superare il referendum popolare confermativo (tenutosi il 29 settembre 2002), e così non poté essere promulgata. Nella consultazione elettorale del giugno 2003, che ha dato inizio alla nona legislatura, è stata quindi applicata la disciplina transitoria, che si caratterizza per i seguenti elementi:</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contestualità dell’elezione dell’organo rappresentativo e del vertice dell’esecutivo regionale;</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elezione del Presidente della Regione strettamente collegata alla formula del Consiglio regionale: il capo della lista ivi prevista è il candidato Presidente e viene eletto direttamente; si tratta cioè di un unico e inscindibile procedimento;</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il meccanismo di voto è a turno unico, per cui l’elettore vota così il candidato Presidente e non da solo, ma in una sorta di opzione della quale fanno necessariamente parte anche una lista regionale di candidati (il cosiddetto listino), pari a un quinto dei componenti del Consiglio, a sua volta obbligatoriamente collegata con una pluralità di liste circoscrizionali;</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la formula elettorale (ricalcata da quella prevista per le Regioni a statuto ordinario) fa sì che la composizione del Consiglio è strutturata in modo tale da garantire la maggioranza dei seggi alla coalizione di sostegno della liste regionale e del suo capolista candidato Presidente;</w:t>
      </w:r>
    </w:p>
    <w:p w:rsidR="009F77D6" w:rsidRPr="00C773C2" w:rsidRDefault="00827E04" w:rsidP="00827E04">
      <w:pPr>
        <w:pStyle w:val="Rientrocorpodeltesto"/>
        <w:numPr>
          <w:ilvl w:val="0"/>
          <w:numId w:val="12"/>
        </w:numPr>
        <w:rPr>
          <w:rFonts w:ascii="Arial" w:hAnsi="Arial" w:cs="Arial"/>
          <w:szCs w:val="24"/>
        </w:rPr>
      </w:pPr>
      <w:r w:rsidRPr="00C773C2">
        <w:rPr>
          <w:rFonts w:ascii="Arial" w:hAnsi="Arial" w:cs="Arial"/>
          <w:szCs w:val="24"/>
        </w:rPr>
        <w:t>il Presidente eletto fa parte a pieno titolo del Consiglio, come anche il suo avversario principale, cioè il candidato Presidente non eletto, ma arrivato secondo.</w:t>
      </w:r>
    </w:p>
    <w:p w:rsidR="009F77D6" w:rsidRPr="00C773C2" w:rsidRDefault="00827E04">
      <w:pPr>
        <w:pStyle w:val="Rientrocorpodeltesto"/>
        <w:rPr>
          <w:rFonts w:ascii="Arial" w:hAnsi="Arial" w:cs="Arial"/>
          <w:szCs w:val="24"/>
        </w:rPr>
      </w:pPr>
      <w:r w:rsidRPr="00C773C2">
        <w:rPr>
          <w:rFonts w:ascii="Arial" w:hAnsi="Arial" w:cs="Arial"/>
          <w:szCs w:val="24"/>
        </w:rPr>
        <w:t>Con legge regionale 7 marzo 2003, n. 5, è stato disciplinato il referendum abrogativo, propositivo e consultivo.</w:t>
      </w:r>
    </w:p>
    <w:p w:rsidR="009F77D6" w:rsidRPr="00C773C2" w:rsidRDefault="00827E04">
      <w:pPr>
        <w:pStyle w:val="Rientrocorpodeltesto"/>
        <w:rPr>
          <w:rFonts w:ascii="Arial" w:hAnsi="Arial" w:cs="Arial"/>
          <w:szCs w:val="24"/>
        </w:rPr>
      </w:pPr>
      <w:r w:rsidRPr="00C773C2">
        <w:rPr>
          <w:rFonts w:ascii="Arial" w:hAnsi="Arial" w:cs="Arial"/>
          <w:szCs w:val="24"/>
        </w:rPr>
        <w:t xml:space="preserve">L’articolo 13 dello Statuto detta ulteriori </w:t>
      </w:r>
      <w:r w:rsidRPr="00C773C2">
        <w:rPr>
          <w:rFonts w:ascii="Arial" w:hAnsi="Arial" w:cs="Arial"/>
          <w:b/>
          <w:szCs w:val="24"/>
        </w:rPr>
        <w:t>norme sull’elezione del Consiglio regionale</w:t>
      </w:r>
      <w:r w:rsidRPr="00C773C2">
        <w:rPr>
          <w:rFonts w:ascii="Arial" w:hAnsi="Arial" w:cs="Arial"/>
          <w:szCs w:val="24"/>
        </w:rPr>
        <w:t>, e cioè:</w:t>
      </w:r>
    </w:p>
    <w:p w:rsidR="009F77D6" w:rsidRPr="00C773C2" w:rsidRDefault="00827E04" w:rsidP="00827E04">
      <w:pPr>
        <w:pStyle w:val="Rientrocorpodeltesto"/>
        <w:numPr>
          <w:ilvl w:val="0"/>
          <w:numId w:val="13"/>
        </w:numPr>
        <w:rPr>
          <w:rFonts w:ascii="Arial" w:hAnsi="Arial" w:cs="Arial"/>
          <w:szCs w:val="24"/>
        </w:rPr>
      </w:pPr>
      <w:r w:rsidRPr="00C773C2">
        <w:rPr>
          <w:rFonts w:ascii="Arial" w:hAnsi="Arial" w:cs="Arial"/>
          <w:szCs w:val="24"/>
        </w:rPr>
        <w:t>il Consiglio è eletto a suffragio universale diretto, uguale e segreto;</w:t>
      </w:r>
    </w:p>
    <w:p w:rsidR="009F77D6" w:rsidRPr="00C773C2" w:rsidRDefault="00827E04" w:rsidP="00827E04">
      <w:pPr>
        <w:pStyle w:val="Rientrocorpodeltesto"/>
        <w:numPr>
          <w:ilvl w:val="0"/>
          <w:numId w:val="13"/>
        </w:numPr>
        <w:rPr>
          <w:rFonts w:ascii="Arial" w:hAnsi="Arial" w:cs="Arial"/>
          <w:szCs w:val="24"/>
        </w:rPr>
      </w:pPr>
      <w:r w:rsidRPr="00C773C2">
        <w:rPr>
          <w:rFonts w:ascii="Arial" w:hAnsi="Arial" w:cs="Arial"/>
          <w:szCs w:val="24"/>
        </w:rPr>
        <w:t xml:space="preserve">il numero dei consiglieri regionali è determinato in ragione di uno ogni </w:t>
      </w:r>
      <w:r w:rsidR="00FA3C68" w:rsidRPr="00C773C2">
        <w:rPr>
          <w:rFonts w:ascii="Arial" w:hAnsi="Arial" w:cs="Arial"/>
          <w:szCs w:val="24"/>
        </w:rPr>
        <w:t>25000</w:t>
      </w:r>
      <w:r w:rsidRPr="00C773C2">
        <w:rPr>
          <w:rFonts w:ascii="Arial" w:hAnsi="Arial" w:cs="Arial"/>
          <w:szCs w:val="24"/>
        </w:rPr>
        <w:t xml:space="preserve"> abitanti (o frazioni superiori a diecimila abitanti), secondo i dati ufficiali dell’ultimo censimento.</w:t>
      </w:r>
    </w:p>
    <w:p w:rsidR="009F77D6" w:rsidRPr="00C773C2" w:rsidRDefault="00827E04">
      <w:pPr>
        <w:pStyle w:val="Rientrocorpodeltesto"/>
        <w:rPr>
          <w:rFonts w:ascii="Arial" w:hAnsi="Arial" w:cs="Arial"/>
          <w:color w:val="FF0000"/>
          <w:szCs w:val="24"/>
        </w:rPr>
      </w:pPr>
      <w:r w:rsidRPr="00C773C2">
        <w:rPr>
          <w:rFonts w:ascii="Arial" w:hAnsi="Arial" w:cs="Arial"/>
          <w:szCs w:val="24"/>
        </w:rPr>
        <w:t xml:space="preserve">Attualmente, il Consiglio regionale è composto </w:t>
      </w:r>
      <w:r w:rsidR="00446DE2" w:rsidRPr="00C773C2">
        <w:rPr>
          <w:rFonts w:ascii="Arial" w:hAnsi="Arial" w:cs="Arial"/>
          <w:color w:val="FF0000"/>
          <w:szCs w:val="24"/>
        </w:rPr>
        <w:t>49</w:t>
      </w:r>
      <w:r w:rsidRPr="00C773C2">
        <w:rPr>
          <w:rFonts w:ascii="Arial" w:hAnsi="Arial" w:cs="Arial"/>
          <w:color w:val="FF0000"/>
          <w:szCs w:val="24"/>
        </w:rPr>
        <w:t xml:space="preserve"> consiglieri</w:t>
      </w:r>
      <w:r w:rsidR="00446DE2" w:rsidRPr="00C773C2">
        <w:rPr>
          <w:rFonts w:ascii="Arial" w:hAnsi="Arial" w:cs="Arial"/>
          <w:color w:val="FF0000"/>
          <w:szCs w:val="24"/>
        </w:rPr>
        <w:t xml:space="preserve"> compreso Il Presidente</w:t>
      </w:r>
    </w:p>
    <w:p w:rsidR="009F77D6" w:rsidRPr="00C773C2" w:rsidRDefault="00827E04">
      <w:pPr>
        <w:ind w:firstLine="567"/>
        <w:jc w:val="both"/>
        <w:rPr>
          <w:rFonts w:ascii="Arial" w:hAnsi="Arial" w:cs="Arial"/>
          <w:szCs w:val="24"/>
        </w:rPr>
      </w:pPr>
      <w:r w:rsidRPr="00C773C2">
        <w:rPr>
          <w:rFonts w:ascii="Arial" w:hAnsi="Arial" w:cs="Arial"/>
          <w:szCs w:val="24"/>
        </w:rPr>
        <w:t>L’articolo 14 dello Statuto dispone che il Consiglio regionale duri in carica cinque anni, il quinquennio decorre dalla data delle elezioni; queste sono indette dal Presidente della Regione; esse possono tenersi dalla quarta domenica precedente alla seconda domenica successiva al compimento del quinquennio.</w:t>
      </w:r>
    </w:p>
    <w:p w:rsidR="009F77D6" w:rsidRPr="00C773C2" w:rsidRDefault="00827E04">
      <w:pPr>
        <w:ind w:firstLine="567"/>
        <w:jc w:val="both"/>
        <w:rPr>
          <w:rFonts w:ascii="Arial" w:hAnsi="Arial" w:cs="Arial"/>
          <w:szCs w:val="24"/>
        </w:rPr>
      </w:pPr>
      <w:r w:rsidRPr="00C773C2">
        <w:rPr>
          <w:rFonts w:ascii="Arial" w:hAnsi="Arial" w:cs="Arial"/>
          <w:szCs w:val="24"/>
        </w:rPr>
        <w:lastRenderedPageBreak/>
        <w:t xml:space="preserve">I </w:t>
      </w:r>
      <w:r w:rsidRPr="00C773C2">
        <w:rPr>
          <w:rFonts w:ascii="Arial" w:hAnsi="Arial" w:cs="Arial"/>
          <w:b/>
          <w:szCs w:val="24"/>
        </w:rPr>
        <w:t>consiglieri regionali rappresentano tutta la Regione senza vincolo di mandato</w:t>
      </w:r>
      <w:r w:rsidRPr="00C773C2">
        <w:rPr>
          <w:rFonts w:ascii="Arial" w:hAnsi="Arial" w:cs="Arial"/>
          <w:szCs w:val="24"/>
        </w:rPr>
        <w:t>, analogamente a quanto è già previsto dall’articolo 67 della Costituzione. Questo significa che il rapporto consigliere – elettori è rapporto di rappresentanza politica, fondato sull’interpretazione, priva di vincoli, da parte del rappresentante degli interessi rappresentati, e non, invece, una rappresentanza giuridica, intesa come rappresentanza di volontà da rispettare assolutamente; ciò implica, inoltre, l’inammissibilità di sanzioni giuridiche nei confronti dei consigliere che non rispetta gli impegni politici assunti in precedenza. Tutto questo, naturalmente, non fa venire meno la responsabilità politica, con le conseguenti sanzioni politiche, in relazione al collegamento del consigliere con forze politiche organizzate.</w:t>
      </w:r>
    </w:p>
    <w:p w:rsidR="009F77D6" w:rsidRPr="00C773C2" w:rsidRDefault="00827E04">
      <w:pPr>
        <w:ind w:firstLine="567"/>
        <w:jc w:val="both"/>
        <w:rPr>
          <w:rFonts w:ascii="Arial" w:hAnsi="Arial" w:cs="Arial"/>
          <w:szCs w:val="24"/>
        </w:rPr>
      </w:pPr>
      <w:r w:rsidRPr="00C773C2">
        <w:rPr>
          <w:rFonts w:ascii="Arial" w:hAnsi="Arial" w:cs="Arial"/>
          <w:szCs w:val="24"/>
        </w:rPr>
        <w:t>I consiglieri non possono essere poi perseguiti per le opinioni espresse e i voti dati nell’esercizio delle loro funzioni. In relazione alla loro attività di consiglieri, quindi, essi non hanno alcuna responsabilità, penale, civile o amministrativa che dir si voglia. Questa immunità, però, non si riferisce alla condotta extra consiliare. Non viene esteso ai consiglieri regionali l’istituto dell’immunità parlamentare, seppure nella forma ridotta prevista dai commi secondo e terzo dell’articolo 68 della Costituzione.</w:t>
      </w:r>
    </w:p>
    <w:p w:rsidR="009F77D6" w:rsidRPr="00C773C2" w:rsidRDefault="00827E04">
      <w:pPr>
        <w:ind w:firstLine="567"/>
        <w:jc w:val="both"/>
        <w:rPr>
          <w:rFonts w:ascii="Arial" w:hAnsi="Arial" w:cs="Arial"/>
          <w:szCs w:val="24"/>
        </w:rPr>
      </w:pPr>
      <w:r w:rsidRPr="00C773C2">
        <w:rPr>
          <w:rFonts w:ascii="Arial" w:hAnsi="Arial" w:cs="Arial"/>
          <w:b/>
          <w:szCs w:val="24"/>
        </w:rPr>
        <w:t>L’elettorato attivo</w:t>
      </w:r>
      <w:r w:rsidRPr="00C773C2">
        <w:rPr>
          <w:rFonts w:ascii="Arial" w:hAnsi="Arial" w:cs="Arial"/>
          <w:szCs w:val="24"/>
        </w:rPr>
        <w:t xml:space="preserve"> si acquisisce con l’iscrizione nelle liste elettorali dei Comuni della Regione, mentre per </w:t>
      </w:r>
      <w:r w:rsidRPr="00C773C2">
        <w:rPr>
          <w:rFonts w:ascii="Arial" w:hAnsi="Arial" w:cs="Arial"/>
          <w:b/>
          <w:szCs w:val="24"/>
        </w:rPr>
        <w:t>l’elettorato passivo</w:t>
      </w:r>
      <w:r w:rsidRPr="00C773C2">
        <w:rPr>
          <w:rFonts w:ascii="Arial" w:hAnsi="Arial" w:cs="Arial"/>
          <w:szCs w:val="24"/>
        </w:rPr>
        <w:t xml:space="preserve"> è richiesto lo status di elettore e l’età di venticinque anni.</w:t>
      </w:r>
    </w:p>
    <w:p w:rsidR="00446DE2" w:rsidRPr="00C773C2" w:rsidRDefault="00446DE2" w:rsidP="00446DE2">
      <w:pPr>
        <w:ind w:firstLine="567"/>
        <w:rPr>
          <w:rFonts w:ascii="Arial" w:hAnsi="Arial" w:cs="Arial"/>
          <w:color w:val="000000"/>
          <w:szCs w:val="24"/>
          <w:shd w:val="clear" w:color="auto" w:fill="FFFFFF"/>
        </w:rPr>
      </w:pPr>
      <w:r w:rsidRPr="00C773C2">
        <w:rPr>
          <w:rFonts w:ascii="Arial" w:hAnsi="Arial" w:cs="Arial"/>
          <w:color w:val="000000"/>
          <w:szCs w:val="24"/>
          <w:shd w:val="clear" w:color="auto" w:fill="FFFFFF"/>
        </w:rPr>
        <w:t> .</w:t>
      </w:r>
    </w:p>
    <w:p w:rsidR="000E0B98" w:rsidRPr="00C773C2" w:rsidRDefault="000E0B98" w:rsidP="00446DE2">
      <w:pPr>
        <w:ind w:firstLine="567"/>
        <w:rPr>
          <w:rFonts w:ascii="Arial" w:hAnsi="Arial" w:cs="Arial"/>
          <w:szCs w:val="24"/>
        </w:rPr>
      </w:pPr>
      <w:r w:rsidRPr="00C773C2">
        <w:rPr>
          <w:rFonts w:ascii="Arial" w:hAnsi="Arial" w:cs="Arial"/>
          <w:szCs w:val="24"/>
        </w:rPr>
        <w:t xml:space="preserve">All’apertura di ogni legislatura presiede provvisoriamente l’Assemblea il Consigliere più anziano di età fra i presenti; i due Consiglieri più giovani fungono da Segretari. Capo II Costituzione dell’Ufficio di Presidenza del Consiglio </w:t>
      </w:r>
    </w:p>
    <w:p w:rsidR="000E0B98" w:rsidRPr="00C773C2" w:rsidRDefault="000E0B98" w:rsidP="000E0B98">
      <w:pPr>
        <w:pStyle w:val="Nessunaspaziatura"/>
        <w:rPr>
          <w:rFonts w:ascii="Arial" w:hAnsi="Arial" w:cs="Arial"/>
          <w:szCs w:val="24"/>
        </w:rPr>
      </w:pPr>
      <w:r w:rsidRPr="00C773C2">
        <w:rPr>
          <w:rFonts w:ascii="Arial" w:hAnsi="Arial" w:cs="Arial"/>
          <w:szCs w:val="24"/>
        </w:rPr>
        <w:t>Costituito l’Ufficio di Presidenza provvisorio, il Consiglio procede alla elezione del Presidente, di due Vicepresidenti e di quattro Segretari.</w:t>
      </w:r>
    </w:p>
    <w:p w:rsidR="000E0B98" w:rsidRPr="00C773C2" w:rsidRDefault="000E0B98" w:rsidP="000E0B98">
      <w:pPr>
        <w:pStyle w:val="Nessunaspaziatura"/>
        <w:rPr>
          <w:rFonts w:ascii="Arial" w:hAnsi="Arial" w:cs="Arial"/>
          <w:szCs w:val="24"/>
        </w:rPr>
      </w:pPr>
      <w:r w:rsidRPr="00C773C2">
        <w:rPr>
          <w:rFonts w:ascii="Arial" w:hAnsi="Arial" w:cs="Arial"/>
          <w:szCs w:val="24"/>
        </w:rPr>
        <w:t>L’elezione del Presidente ha luogo per scrutinio segreto a maggioranza assoluta dei componenti il Consiglio; dopo la seconda votazione, da tenersi nella stessa seduta, è sufficiente la maggioranza relativa dei voti validi espressi.</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Al Presidente spettano i poteri di rappresentanza dell'Assemblea consiliare e ne dirige e coordina i lavori.</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E' l'oratore ufficiale dell'Assemblea, dirige e modera la discussione, concede la facoltà di parlare, stabilisce l'ordine delle votazioni e ne annuncia il risultato.</w:t>
      </w:r>
    </w:p>
    <w:p w:rsidR="00446DE2" w:rsidRPr="00C773C2" w:rsidRDefault="00446DE2" w:rsidP="00446DE2">
      <w:pPr>
        <w:shd w:val="clear" w:color="auto" w:fill="FFFFFF"/>
        <w:spacing w:after="150"/>
        <w:rPr>
          <w:rFonts w:ascii="Arial" w:hAnsi="Arial" w:cs="Arial"/>
          <w:color w:val="000000"/>
          <w:szCs w:val="24"/>
        </w:rPr>
      </w:pPr>
      <w:r w:rsidRPr="00C773C2">
        <w:rPr>
          <w:rFonts w:ascii="Arial" w:hAnsi="Arial" w:cs="Arial"/>
          <w:color w:val="000000"/>
          <w:szCs w:val="24"/>
        </w:rPr>
        <w:t>Riguardo agli adempimenti connessi con i lavori e l'organizzazione del Consiglio, il Presidente: opera in collaborazione con i Presidenti dei Gruppi consiliari per la formazione del programma e del calendario delle sedute e dell'ordine dei lavori e per definire, laddove previsto dal Regolamento interno del Consiglio, la composizione degli altri organi consiliari; convoca e presiede l'Ufficio di Presidenza</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I Vicepresidenti del Consiglio coadiuvano il Presidente e lo sostituiscono in caso di assenza o impedimento. Adempiono, inoltre, a quelle funzioni di competenza del Presidente che vengono loro delegate dallo stesso. Il Presidente, in caso di temporaneo impedimento, designa il Vicepresidente che deve sostituirlo.</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I Segretari collaborano con il Presidente del Consiglio nell’espletamento delle sue funzioni.  I Segretari a turno sovrintendono alla redazione del processo verbale dell’Assemblea, che deve contenere soltanto le deliberazioni e gli atti della medesima; tengono nota dei Consiglieri che hanno chiesto la parola, secondo l’ordine; procedono agli appelli; danno lettura delle proposte e dei documenti; tengono nota, quando occorra, dei singoli voti; curano che il resoconto integrale dei lavori dell’Assemblea sia pubblicato nel termine prescritto dal Presidente e non vi sia alterazione dei discorsi; </w:t>
      </w:r>
      <w:r w:rsidRPr="00C773C2">
        <w:rPr>
          <w:rFonts w:ascii="Arial" w:hAnsi="Arial" w:cs="Arial"/>
          <w:szCs w:val="24"/>
        </w:rPr>
        <w:lastRenderedPageBreak/>
        <w:t>verificano il testo dei progetti di legge e di quant’altro viene deliberato dall’Assemblea; concorrono al buon andamento dei lavori.  I Segretari sovrintendono, inoltre, secondo le disposizioni del Presidente del Consiglio, al cerimoniale, alla polizia e ai servizi interni.</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L’Ufficio di Presidenza è composto dal Presidente del Consiglio, dai due Vicepresidenti e dai quattro Segretari. Alle sue riunioni partecipa il Segretario generale del Consiglio con funzione consultiva.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L’Ufficio di Presidenza: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a) nell’ambito della piena autonomia organizzativa, funzionale e contabile del Consiglio, vigila sull’amministrazione del bilancio interno e sull’andamento della gestione e adotta i provvedimenti di riequilibrio fra capitoli eventualmente necessari, salvo quanto previsto dall’articolo 6, comma 6;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b) redige annualmente il progetto di bilancio di previsione e il conto consuntivo dell’anno precedente e propone all’Assemblea eventuali variazioni di bilancio conseguenti ad entrate straordinarie;</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c) richiede alla Giunta regionale di iscrivere nel bilancio della Regione lo stanziamento necessario al fabbisogno annuale di spesa per il funzionamento del Consiglio e dei relativi uffici;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d) delibera i contratti del Consiglio; </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e) adotta il Regolamento di contabilità e quello per le spese in economia;</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f) adotta il Regolamento di organizzazione e provvede, con apposite deliberazioni, a tutti i servizi interni del Consiglio;</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g) delibera su tutte le materie e questioni che al Consiglio siano demandate da leggi regionali o siano deferite dal Presidente;</w:t>
      </w:r>
    </w:p>
    <w:p w:rsidR="000E0B98" w:rsidRPr="00C773C2" w:rsidRDefault="000E0B98" w:rsidP="00446DE2">
      <w:pPr>
        <w:shd w:val="clear" w:color="auto" w:fill="FFFFFF"/>
        <w:spacing w:after="150"/>
        <w:rPr>
          <w:rFonts w:ascii="Arial" w:hAnsi="Arial" w:cs="Arial"/>
          <w:szCs w:val="24"/>
        </w:rPr>
      </w:pPr>
      <w:r w:rsidRPr="00C773C2">
        <w:rPr>
          <w:rFonts w:ascii="Arial" w:hAnsi="Arial" w:cs="Arial"/>
          <w:szCs w:val="24"/>
        </w:rPr>
        <w:t xml:space="preserve"> h) può affidare incarichi di prestazione d’opera intellettuale a docenti, a ricercatori o istituti universitari, a professionisti o a istituzioni scientifiche</w:t>
      </w:r>
    </w:p>
    <w:p w:rsidR="000E0B98" w:rsidRPr="00C773C2" w:rsidRDefault="000E0B98" w:rsidP="00446DE2">
      <w:pPr>
        <w:shd w:val="clear" w:color="auto" w:fill="FFFFFF"/>
        <w:spacing w:after="150"/>
        <w:rPr>
          <w:rFonts w:ascii="Arial" w:hAnsi="Arial" w:cs="Arial"/>
          <w:color w:val="000000"/>
          <w:szCs w:val="24"/>
        </w:rPr>
      </w:pPr>
      <w:r w:rsidRPr="00C773C2">
        <w:rPr>
          <w:rFonts w:ascii="Arial" w:hAnsi="Arial" w:cs="Arial"/>
          <w:b/>
          <w:color w:val="000000"/>
          <w:szCs w:val="24"/>
          <w:shd w:val="clear" w:color="auto" w:fill="FFFFFF"/>
        </w:rPr>
        <w:t>Gruppi consiliari</w:t>
      </w:r>
      <w:r w:rsidRPr="00C773C2">
        <w:rPr>
          <w:rFonts w:ascii="Arial" w:hAnsi="Arial" w:cs="Arial"/>
          <w:color w:val="000000"/>
          <w:szCs w:val="24"/>
          <w:shd w:val="clear" w:color="auto" w:fill="FFFFFF"/>
        </w:rPr>
        <w:t xml:space="preserve"> sono organi necessari del Consiglio; entro sette giorni dall'insediamento del Consiglio, ciascun Consigliere è tenuto a dichiarare a quale Gruppo politico intenda aderire.</w:t>
      </w:r>
      <w:r w:rsidRPr="00C773C2">
        <w:rPr>
          <w:rFonts w:ascii="Arial" w:hAnsi="Arial" w:cs="Arial"/>
          <w:color w:val="000000"/>
          <w:szCs w:val="24"/>
        </w:rPr>
        <w:br/>
      </w:r>
      <w:r w:rsidRPr="00C773C2">
        <w:rPr>
          <w:rFonts w:ascii="Arial" w:hAnsi="Arial" w:cs="Arial"/>
          <w:color w:val="000000"/>
          <w:szCs w:val="24"/>
          <w:shd w:val="clear" w:color="auto" w:fill="FFFFFF"/>
        </w:rPr>
        <w:t>I Gruppi rappresentano la proiezione delle forze politiche presenti in Consiglio anche se il raccordo tra l'organizzazione consiliare e il sistema dei partiti non è automatico: è prevista infatti una esplicita dichiarazione di appartenenza da parte di ciascun Consigliere e nel caso ciò non avvenga, il Consigliere viene assegnato al Gruppo misto, assieme ai Consiglieri che non raggiugono il numero richiesto per formare un Gruppo a se stante.</w:t>
      </w:r>
      <w:r w:rsidRPr="00C773C2">
        <w:rPr>
          <w:rFonts w:ascii="Arial" w:hAnsi="Arial" w:cs="Arial"/>
          <w:color w:val="000000"/>
          <w:szCs w:val="24"/>
        </w:rPr>
        <w:br/>
      </w:r>
      <w:r w:rsidRPr="00C773C2">
        <w:rPr>
          <w:rFonts w:ascii="Arial" w:hAnsi="Arial" w:cs="Arial"/>
          <w:color w:val="000000"/>
          <w:szCs w:val="24"/>
          <w:shd w:val="clear" w:color="auto" w:fill="FFFFFF"/>
        </w:rPr>
        <w:t>Ogni Gruppo consiliare procede alla costituzione del proprio Ufficio di Presidenza ed all'indicazione del Presidente che lo rappresenta.Più gruppi consiliari possono costituire una coalizione di gruppi, che assume una propria denominazione</w:t>
      </w:r>
    </w:p>
    <w:p w:rsidR="00446DE2" w:rsidRPr="00C773C2" w:rsidRDefault="000E0B98" w:rsidP="00446DE2">
      <w:pPr>
        <w:ind w:firstLine="567"/>
        <w:rPr>
          <w:rFonts w:ascii="Arial" w:hAnsi="Arial" w:cs="Arial"/>
          <w:color w:val="000000"/>
          <w:szCs w:val="24"/>
          <w:shd w:val="clear" w:color="auto" w:fill="FFFFFF"/>
        </w:rPr>
      </w:pPr>
      <w:r w:rsidRPr="00C773C2">
        <w:rPr>
          <w:rFonts w:ascii="Arial" w:hAnsi="Arial" w:cs="Arial"/>
          <w:szCs w:val="24"/>
        </w:rPr>
        <w:t xml:space="preserve">La Conferenza dei Presidenti dei gruppi consiliari è composta dai Presidenti dei gruppi consiliari ed è presieduta dal Presidente del Consiglio. Il Presidente di un gruppo che non possa intervenire ad una seduta può farsi sostituire da un componente dello stesso gruppo. La Conferenza può riunirsi validamente, decorsi dieci giorni dalla prima seduta del Consiglio, qualora siano stati costituiti gli Uffici di Presidenza dei gruppi consiliari che comprendano almeno i due terzi dei Consiglieri assegnati alla Regione. 2. Il Presidente convoca la Conferenza per stabilire il programma dei lavori del Consiglio e </w:t>
      </w:r>
      <w:r w:rsidRPr="00C773C2">
        <w:rPr>
          <w:rFonts w:ascii="Arial" w:hAnsi="Arial" w:cs="Arial"/>
          <w:szCs w:val="24"/>
        </w:rPr>
        <w:lastRenderedPageBreak/>
        <w:t>il calendario dei lavori dell’Assemblea o per esaminare altre questioni di competenza del Consiglio. La Conferenza esercita inoltre le competenze ad essa attribuite dal presente Regolamento.</w:t>
      </w:r>
    </w:p>
    <w:p w:rsidR="00446DE2" w:rsidRPr="00C773C2" w:rsidRDefault="00446DE2" w:rsidP="00446DE2">
      <w:pPr>
        <w:ind w:firstLine="567"/>
        <w:rPr>
          <w:rFonts w:ascii="Arial" w:hAnsi="Arial" w:cs="Arial"/>
          <w:szCs w:val="24"/>
        </w:rPr>
      </w:pPr>
    </w:p>
    <w:p w:rsidR="000E0B98" w:rsidRPr="00C773C2" w:rsidRDefault="00827E04">
      <w:pPr>
        <w:pStyle w:val="Rientrocorpodeltesto"/>
        <w:rPr>
          <w:rFonts w:ascii="Arial" w:hAnsi="Arial" w:cs="Arial"/>
          <w:szCs w:val="24"/>
        </w:rPr>
      </w:pPr>
      <w:r w:rsidRPr="00C773C2">
        <w:rPr>
          <w:rFonts w:ascii="Arial" w:hAnsi="Arial" w:cs="Arial"/>
          <w:szCs w:val="24"/>
        </w:rPr>
        <w:t xml:space="preserve">Gli articoli 18 e 20 dello Statuto disciplinano l’organizzazione e il funzionamento del Consiglio regionale. Ai sensi dell’articolo 21 al Consiglio è attribuita poi, come per le Camere, la potestà regolamentare interna; l’approvazione del regolamento interno rappresenta la manifestazione naturale dell’indiscusso potere consiliare di auto organizzazione. Viene così attuata una riserva di regolamento, per la cui approvazione è richiesta, a differenza di quanto previsto per le leggi, la maggioranza assoluta. </w:t>
      </w:r>
    </w:p>
    <w:p w:rsidR="000E0B98" w:rsidRPr="00C773C2" w:rsidRDefault="000E0B98" w:rsidP="000E0B98">
      <w:pPr>
        <w:pStyle w:val="NormaleWeb"/>
        <w:shd w:val="clear" w:color="auto" w:fill="FFFFFF"/>
        <w:spacing w:before="0" w:beforeAutospacing="0" w:after="150" w:afterAutospacing="0"/>
        <w:rPr>
          <w:rFonts w:ascii="Arial" w:hAnsi="Arial" w:cs="Arial"/>
          <w:color w:val="000000"/>
        </w:rPr>
      </w:pPr>
      <w:r w:rsidRPr="00C773C2">
        <w:rPr>
          <w:rFonts w:ascii="Arial" w:hAnsi="Arial" w:cs="Arial"/>
          <w:color w:val="000000"/>
        </w:rPr>
        <w:t>Il Regolamento mira  quindi a garantire lo svolgimento ordinato e spedito dell'attività consiliare (legislativa, di controllo, ecc.), e a salvaguardare la diversità di opinioni dei singoli e dei gruppi di opposizione, assicurando loro la possibilità - in Aula e nelle Commissioni - di incidere in ogni fase del dibattito.</w:t>
      </w:r>
    </w:p>
    <w:p w:rsidR="000E0B98" w:rsidRPr="00C773C2" w:rsidRDefault="006A3838" w:rsidP="000E0B98">
      <w:pPr>
        <w:pStyle w:val="NormaleWeb"/>
        <w:shd w:val="clear" w:color="auto" w:fill="FFFFFF"/>
        <w:spacing w:before="0" w:beforeAutospacing="0" w:after="150" w:afterAutospacing="0"/>
        <w:rPr>
          <w:rFonts w:ascii="Arial" w:hAnsi="Arial" w:cs="Arial"/>
          <w:color w:val="000000"/>
        </w:rPr>
      </w:pPr>
      <w:r w:rsidRPr="00C773C2">
        <w:rPr>
          <w:rFonts w:ascii="Arial" w:hAnsi="Arial" w:cs="Arial"/>
          <w:color w:val="000000"/>
        </w:rPr>
        <w:t>Commissioni</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Le Commissioni sono organi interni che svolgono funzioni referenti, consultive, conoscitive, di indirizzo e controllo, nei quali si articola l'attività del Consiglio. La loro composizione è proporzionale, e rispetta i rapporti di forza presenti in Consiglio; la designazione dei Consiglieri nelle Commissioni avviene su segnalazione del Gruppo di appartenenza.</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Ciascun Consigliere deve far parte di almeno una Commissione.</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Il Compito principale delle Commissioni permanenti è quello di concorrere al procedimento di formazione delle leggi regionali, nel settore di competenza, con l'esame preliminare dei progetti di legge assegnati dal Presidente del Consiglio.</w:t>
      </w:r>
    </w:p>
    <w:p w:rsidR="006A3838" w:rsidRPr="00C773C2" w:rsidRDefault="006A3838" w:rsidP="006A3838">
      <w:pPr>
        <w:pStyle w:val="NormaleWeb"/>
        <w:shd w:val="clear" w:color="auto" w:fill="FFFFFF"/>
        <w:spacing w:before="0" w:beforeAutospacing="0" w:after="136" w:afterAutospacing="0"/>
        <w:rPr>
          <w:rFonts w:ascii="Arial" w:hAnsi="Arial" w:cs="Arial"/>
          <w:color w:val="000000"/>
        </w:rPr>
      </w:pPr>
      <w:r w:rsidRPr="00C773C2">
        <w:rPr>
          <w:rFonts w:ascii="Arial" w:hAnsi="Arial" w:cs="Arial"/>
          <w:color w:val="000000"/>
        </w:rPr>
        <w:t>Il numero e le materie di competenza delle Commissioni permanenti sono stabilite dal Regolamento interno del Consiglio regionale.</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Le Commissioni permanenti , sono istituite a norma del presente Regolamento e ad esse sono attribuite specifiche competenze per materia; esse sono organi interni del Consiglio e svolgono funzioni referenti, consultive, conoscitive e di indirizzo e controllo</w:t>
      </w:r>
    </w:p>
    <w:p w:rsidR="006A3838" w:rsidRPr="00C773C2" w:rsidRDefault="006A3838" w:rsidP="000E0B98">
      <w:pPr>
        <w:pStyle w:val="NormaleWeb"/>
        <w:shd w:val="clear" w:color="auto" w:fill="FFFFFF"/>
        <w:spacing w:before="0" w:beforeAutospacing="0" w:after="150" w:afterAutospacing="0"/>
        <w:rPr>
          <w:rFonts w:ascii="Arial" w:hAnsi="Arial" w:cs="Arial"/>
          <w:color w:val="000000"/>
          <w:shd w:val="clear" w:color="auto" w:fill="FFFFFF"/>
        </w:rPr>
      </w:pPr>
      <w:r w:rsidRPr="00C773C2">
        <w:rPr>
          <w:rFonts w:ascii="Arial" w:hAnsi="Arial" w:cs="Arial"/>
          <w:color w:val="000000"/>
          <w:shd w:val="clear" w:color="auto" w:fill="FFFFFF"/>
        </w:rPr>
        <w:t>Il Consiglio regionale può disporre l'istituzione anche di Commissioni speciali e di Commissioni d'inchiesta, stabilendone il mandato e la durata.</w:t>
      </w:r>
      <w:r w:rsidRPr="00C773C2">
        <w:rPr>
          <w:rFonts w:ascii="Arial" w:hAnsi="Arial" w:cs="Arial"/>
          <w:color w:val="000000"/>
        </w:rPr>
        <w:br/>
      </w:r>
      <w:r w:rsidRPr="00C773C2">
        <w:rPr>
          <w:rFonts w:ascii="Arial" w:hAnsi="Arial" w:cs="Arial"/>
          <w:color w:val="000000"/>
        </w:rPr>
        <w:br/>
      </w:r>
      <w:r w:rsidRPr="00C773C2">
        <w:rPr>
          <w:rFonts w:ascii="Arial" w:hAnsi="Arial" w:cs="Arial"/>
          <w:color w:val="000000"/>
          <w:shd w:val="clear" w:color="auto" w:fill="FFFFFF"/>
        </w:rPr>
        <w:t>Ogni Commissione può inoltre articolarsi in sottocommissioni relativamente a determinati settori o problemi o istituire comitati ristretti (quest'ultimi solitamente per l'approfondimento di progetti di legge riguardanti il medesimo argomento); è comunque riservata alla Commissione in seduta plenaria l'approvazione definitiva del testo - progetto di legge o eventuale deliberazione - da porre all'attenzione dell'Assemblea.</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Convocazione e ordine del giorno delle sedute</w:t>
      </w:r>
      <w:r w:rsidRPr="00C773C2">
        <w:rPr>
          <w:rFonts w:ascii="Arial" w:hAnsi="Arial" w:cs="Arial"/>
        </w:rPr>
        <w:sym w:font="Wingdings" w:char="F0E0"/>
      </w:r>
      <w:r w:rsidRPr="00C773C2">
        <w:rPr>
          <w:rFonts w:ascii="Arial" w:hAnsi="Arial" w:cs="Arial"/>
        </w:rPr>
        <w:t xml:space="preserve"> L’Assemblea è convocata dal Presidente, di norma per sessioni, in attuazione del programma e del calendario dei lavori. L’ordine del giorno delle sedute è pubblicato nell’albo del Consiglio e diramato ad ogni Consigliere, di regola, almeno cinque giorni prima della seduta, salvo la facoltà del Presidente di abbreviare il suddetto termine per motivi di particolare urgenza.  L’Assemblea si riunisce di diritto il primo giorno non festivo di febbraio e di ottobre.  L’Assemblea si riunisce, inoltre, quando il Presidente lo ritenga opportuno. </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Il Presidente deve convocare l’Assemblea entro quindici giorni, quando ne faccia richiesta il Presidente della Regione o un quarto dei Consiglieri assegnati alla Regione.  </w:t>
      </w:r>
      <w:r w:rsidRPr="00C773C2">
        <w:rPr>
          <w:rFonts w:ascii="Arial" w:hAnsi="Arial" w:cs="Arial"/>
        </w:rPr>
        <w:lastRenderedPageBreak/>
        <w:t xml:space="preserve">L’Assemblea può discutere e deliberare soltanto sugli argomenti che siano iscritti all’ordine del giorno. Per discutere e deliberare sugli argomenti che non siano all’ordine del giorno  è necessaria una deliberazione dell’Assemblea a maggioranza di due terzi dei votanti. </w:t>
      </w:r>
    </w:p>
    <w:p w:rsidR="006A3838" w:rsidRPr="00C773C2" w:rsidRDefault="006A3838" w:rsidP="000E0B98">
      <w:pPr>
        <w:pStyle w:val="NormaleWeb"/>
        <w:shd w:val="clear" w:color="auto" w:fill="FFFFFF"/>
        <w:spacing w:before="0" w:beforeAutospacing="0" w:after="150" w:afterAutospacing="0"/>
        <w:rPr>
          <w:rFonts w:ascii="Arial" w:hAnsi="Arial" w:cs="Arial"/>
        </w:rPr>
      </w:pPr>
      <w:r w:rsidRPr="00C773C2">
        <w:rPr>
          <w:rFonts w:ascii="Arial" w:hAnsi="Arial" w:cs="Arial"/>
        </w:rPr>
        <w:t>Tuttavia un oggetto su cui l’Assemblea abbia adottato una deliberazione negativa non può essere riproposto all’esame e al voto dell’Assemblea stessa, nemmeno sotto forma di altra proposta di deliberazione che ne riproduca sostanzialmente il contenuto, se non siano trascorsi, dalla data della deliberazione negativa, rispettivamente almeno sei mesi per i progetti di legge o per gli emendamenti, e almeno due mesi per le altre proposte di deliberazione.</w:t>
      </w:r>
    </w:p>
    <w:p w:rsidR="00446DE2" w:rsidRPr="00C773C2" w:rsidRDefault="006A3838" w:rsidP="006A383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Le sedute dell’Assemblea sono pubbliche. </w:t>
      </w:r>
    </w:p>
    <w:p w:rsidR="006A3838" w:rsidRPr="00C773C2" w:rsidRDefault="006A3838" w:rsidP="006A3838">
      <w:pPr>
        <w:pStyle w:val="NormaleWeb"/>
        <w:shd w:val="clear" w:color="auto" w:fill="FFFFFF"/>
        <w:spacing w:before="0" w:beforeAutospacing="0" w:after="150" w:afterAutospacing="0"/>
        <w:rPr>
          <w:rFonts w:ascii="Arial" w:hAnsi="Arial" w:cs="Arial"/>
        </w:rPr>
      </w:pPr>
      <w:r w:rsidRPr="00C773C2">
        <w:rPr>
          <w:rFonts w:ascii="Arial" w:hAnsi="Arial" w:cs="Arial"/>
        </w:rPr>
        <w:t>Le deliberazioni dell’Assemblea non sono valide se non è presente la maggioranza dei suoi componenti. . Ogni deliberazione dell’Assemblea è approvata quando i voti favorevoli prevalgono sui contrari, salvo per quelle materie e in quei casi in cui sia prescritta una maggioranza qualificata. In caso di parità di voti, la proposta si intende non approvata. Non si tiene conto dei voti di astensione.</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Il Presidente della Regione e gli Assessori, anche quando non fanno parte del Consiglio, hanno diritto di intervenire alle sedute dell’Assemblea, con diritto di parola e di proposta. Essi possono prendere la parola ogni qual volta la richiedano,</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 xml:space="preserve">Il Presidente della Regione e gli Assessori hanno posti appositamente riservati all’interno dell’Aula. Essi possono farsi assistere da funzionari della Giunta, previa autorizzazione del Presidente del Consiglio. </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Gli Assessori hanno l’obbligo di intervenire qualora lo richieda un gruppo consiliare, in sede di programmazione dei lavori. In tal caso la convocazione della seduta indica l’argomento per il quale è obbligatoria la presenza dell’Assessore. In ogni caso un rappresentante della Giunta ha l’obbligo di assistere alle sedute se lo richiedono almeno due Consiglieri.  Il Presidente della Regione ha l’obbligo di intervenire quando lo richieda il Presidente del Consiglio, sentita la Conferenza dei Presidenti dei gruppi consiliari. In tal caso le modalità di partecipazione ai lavori della Assemblea sono concordate dal Presidente del Consiglio con il Presidente della Regione.</w:t>
      </w:r>
    </w:p>
    <w:p w:rsidR="006A739A" w:rsidRPr="00C773C2" w:rsidRDefault="006A739A" w:rsidP="006A3838">
      <w:pPr>
        <w:pStyle w:val="NormaleWeb"/>
        <w:shd w:val="clear" w:color="auto" w:fill="FFFFFF"/>
        <w:spacing w:before="0" w:beforeAutospacing="0" w:after="150" w:afterAutospacing="0"/>
        <w:rPr>
          <w:rFonts w:ascii="Arial" w:hAnsi="Arial" w:cs="Arial"/>
        </w:rPr>
      </w:pPr>
      <w:r w:rsidRPr="00C773C2">
        <w:rPr>
          <w:rFonts w:ascii="Arial" w:hAnsi="Arial" w:cs="Arial"/>
        </w:rPr>
        <w:t>PROCEDIMENTO LEGGI REGIONALI</w:t>
      </w:r>
    </w:p>
    <w:p w:rsidR="00334595"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Il progetto di legge è un atto di iniziativa legislativa che si compone di una relazione accompagnatoria, uno o più articoli ed eventuali allegati e che rende possibile l'avvio di un procedimento legislativo: tale iniziativa spetta, ai sensi dello Statuto di autonomia, alla Giunta, a ciascun Consigliere regionale e agli elettori, in numero non inferiore a 15.000.</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 Nella prassi i progetti della Giunta sono chiamati "disegni di legge": in particolare solo la Giunta può presentate i disegni di legge di approvazione del bilancio e del conto consuntivo. Gli altri progetti sono invece chiamati "proposte di legge". Lo stralcio è la deliberazione adottata dalla Commissione o dall'Aula (dal 1 gennaio 2006 però solo l'Aula può deliberare lo stralcio) con cui si decide di esaminare separatamente talune disposizioni aventi autonoma valenza normativa, contenute nel progetto di legge o in emendamenti aggiuntivi; esso comporta la ripresa dall'inizio dell'iter: infatti, se lo stralcio è deliberato dall'Aula, le relative disposizioni tornano alla Commissione competente per materia per l'esame e, se l'iter si concluderà positivamente, esse diverranno una legge </w:t>
      </w:r>
      <w:r w:rsidRPr="00C773C2">
        <w:rPr>
          <w:rFonts w:ascii="Arial" w:hAnsi="Arial" w:cs="Arial"/>
          <w:color w:val="000000"/>
          <w:szCs w:val="24"/>
        </w:rPr>
        <w:lastRenderedPageBreak/>
        <w:t>autonoma. Vi sono casi, peraltro non frequenti, in cui le disposizioni sono stralciate da un altro stralcio (si parla in tal caso di "substralcio"). In base al nuovo regolamento consiliare, lo stralcio può essere disposto anche dal Presidente del Consiglio, in presenza di disposizioni, contenute nel progetto di legge, soggette al procedimento aggravato di cui all’art. 12 dello statuto, oppure estranee al contenuto proprio delle leggi finanziarie e strumentali alla manovra di bilancio . Il rinvio "limitato" (per gli iter conclusi prima dell'8 novembre 2001) derivava da una prassi in base alla quale il Governo, nel rinviare parzialmente una legge finanziaria o di bilancio, per non bloccare l'intera legge, con la conseguente paralisi della macchina regionale, ne autorizzava la promulgazione e pubblicazione, limitatamente alla parte non oggetto di rilievi, mentre la parte rimanente doveva tornare all'esame del Consiglio riprendendo l'iter dall'inizio, come se fosse un nuovo progetto di legge. Poiché in caso di stralcio e di rinvio limitato, il procedimento legislativo, pur essendo sempre riferibile formalmente all'atto di iniziativa legislativa originaria, ripercorre da capo i vari passaggi procedurali, si è ritenuto opportuno rappresentarlo in schede separate, contrassegnate dal numero del progetto di legge originario seguito da un trattino e da un numero arabo, per gli stralci, da un ulteriore numero arabo separato da un punto per i substralci, o da un numero romano, per i rinvii limitati.</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Il Presidente del Consiglio appena ricevuto il progetto di legge provvede alla sua assegnazione alla Commissione permanente competente per materia; se il progetto interessa più materie, lo assegna a più Commissioni (questa ipotesi non è più ammessa dal nuovo regolamento e quindi dai progetti assegnati dopo l'1 gennaio 2006) che dovranno riunirsi congiuntamente, ma se una delle materie è prevalente, lo assegna solo alla Commissione competente su tale materia, mentre le altre dovranno limitarsi a fornire il loro parere alla Commissione predetta. In base al nuovo regolamento, le proposte di legge che interessano le autonomie locali, all’atto dell’assegnazione sono trasmesse al Consiglio delle autonomie locali per l’espressione del parere. </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La Commissioneesamina quindi il progetto e gli eventuali emendamenti, che possono essere presentati dai Consiglieri (anche se non fanno parte della Commissione) e dalla Giunta. La Commissione, quando ha all'esame più progetti aventi identico oggetto, procede all'esame abbinato dei progetti per i quali i proponenti non manifestino parere contrario all'abbinamento. Essa può procedere in due modi: o elaborare un testo unificato (che costituisce la sintesi dei vari progetti) ovvero scegliere uno dei progetti come testo base. Nel primo caso i successivi passaggi procedurali vengono evidenziati in ciascuna scheda dei progetti abbinati, nel secondo caso invece le schede dei progetti abbinati diversi dal testo base rimandano alla scheda di quest'ultimo che contiene i successivi passaggi (e lo stato iter riporta la formula: “progetto assorbito in testo di analogo oggetto”). </w:t>
      </w:r>
    </w:p>
    <w:p w:rsidR="006A20DF"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La Commissioneinfine licenzia il testo, eventualmente modificato rispetto a quello del progetto di legge o del testo base (in tali casi il testo viene riprodotto su due colonne, evidenziando sulla colonna di destra le parti modificate) e nomina uno o più relatori, che dovranno redigere una relazione accompagnatoria che illustra le finalità ed i contenuti del progetto. Se tuttavia la Commissione approva all'unanimità e senza modifiche il progetto esaminato può trasmetterlo all'Aula senza questa relazione. Se il provvedimento non è stato approvato all'unanimità, possono essere presentate una o più relazioni di minoranza da parte dei consiglieri dissenzienti (che devono preannunciare questo intendimento già in Commissione). Con il nuovo regolamento, le relazioni di minoranza possono essere corredate da un testo alternativo del progetto di legge, i cui articoli devono corrispondere a quelli del testo proposto dalla maggioranza </w:t>
      </w:r>
      <w:r w:rsidRPr="00C773C2">
        <w:rPr>
          <w:rFonts w:ascii="Arial" w:hAnsi="Arial" w:cs="Arial"/>
          <w:color w:val="000000"/>
          <w:szCs w:val="24"/>
        </w:rPr>
        <w:lastRenderedPageBreak/>
        <w:t>della Commissione. Se la Commissione non conclude l'esame del progetto entro 90 giorni dall'assegnazione, il proponente può chiedere l'iscrizione dello stesso all'ordine del giorno del Consiglio, "saltando" così l'esame in Commissione (questa è una possibilità prevista dal regolamento interno): tali casi sono segnalati con una apposita nota in calce alla scheda, che ovviamente non contiene i dati ed i testi relativi a questa fase (salvo che il Consiglio a sua volta non rinvii il provvedimento in Commissione). Il Presidente, ricevuti gli atti da parte della Commissione, mette all'ordine del giorno del Consiglio il provvedimento, ma non prima che la Conferenza dei Capigruppo lo abbia inserito nella programmazione dei lavori d'Aula (attraverso gli strumenti del programma e del calendario che stabiliscono quali argomenti andranno esaminati nei periodi di tempo considerati).</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 Una volta all'ordine del giorno, il Consiglio esamina il progetto (anche se con la maggioranza dei due terzi dei votanti, il Consiglio può discutere provvedimenti non iscritti). Il Consiglio, se ritiene opportuno un approfondimento, può deliberare il rinvio in commissione; può anche decidere di non discuterlo, o di interrompere la discussione, approvando una "pregiudiziale", o ancora può rinviare la discussione approvando una "sospensiva". Di norma tuttavia, il Consiglio procede nella discussione, prima quella generale e poi quella sui singoli articoli e sui relativi emendamenti. La discussione di ciascun articolo si conclude con la sua votazione. Finiti gli articoli si procede alla votazione finale della legge nel suo complesso. Promulgazione e adempimenti successivi alla votazione in Aula Se la legge è approvata dal Consiglio, essa viene comunicata dal Presidente del Consiglio regionale al Presidente della Regione ai fini della promulgazione e pubblicazione sul BUR.</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A seguito dell'entrata in vigore della legge costituzionale 3/2001, la legge regionale ora conclude necessariamente il suo iter, dopo la approvazione del Consiglio, con la promulgazione e pubblicazione sul BUR e l'entrata in vigore, che avviene il 15° giorno successivo alla pubblicazione, se non è diversamente stabilito dalla legge stessa. Il Governo può solo, quando ritenga che la legge regionale promulgata e pubblicata ecceda la competenza della Regione, promuovere la questione di legittimità costituzionale davanti alla Corte entro 60 giorni dalla pubblicazione della legge medesima.</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 xml:space="preserve">Per i provvedimenti contabili (disegni di legge finanziaria, di approvazione e di assestamento del bilancio, di approvazione del rendiconto e il disegno di legge strumentale alla manovra di bilancio, che a partire dal 2008 accompagna il ddl finanziaria e di bilancio) l'iter legislativo presenta alcune peculiarità, che derivano dalla legge regionale di contabilità (legge regionale 21/2007) e dalle conseguenti norme del regolamento interno, pur seguendo la medesima numerazione dei progetti ordinari. Tali disegni di legge sono di iniziativa esclusiva della Giunta e sono sempre assegnati per l'esame generale alla I Commissione integrata con i Presidenti delle altre Commissioni (cd. I Commissione integrata) e per l'esame preventivo delle parti di competenza alle altre Commissioni (dette Commissioni "di merito"). L'esame dei ddl finanziaria, strumentale alla manovra di bilancio, di approvazione del bilancio ha luogo in un'apposita sessione annuale, che si tiene nel mese di dicembre, riservata a tali provvedimenti (cd. Sessione di bilancio). A partire dal 2008 l’esame del ddl di approvazione del rendiconto, deve avvenire in una sessione diversa da quella del bilancio. Nella sessione di bilancio la I Commissioneintegrata esamina congiuntamente i tre provvedimenti e deve riferire all'Aula, con un'unica relazione entro termini perentori (trascorsi i quali la discussione in Aula si svolge sul testo presentato dalla Giunta). Se la Commissione ha proposto modifiche ai ddl finanziaria e strumentale, presenta al </w:t>
      </w:r>
      <w:r w:rsidRPr="00C773C2">
        <w:rPr>
          <w:rFonts w:ascii="Arial" w:hAnsi="Arial" w:cs="Arial"/>
          <w:color w:val="000000"/>
          <w:szCs w:val="24"/>
        </w:rPr>
        <w:lastRenderedPageBreak/>
        <w:t>Consiglio (a fronte di quello della Giunta) il proprio testo, sul quale si svolgerà la discussione in Aula. Il Consiglio a sua volta può introdurvi ulteriori modifiche. Le tabelle annesse al ddl di approvazione di bilancio, invece, non vengono rielaborate durante l'iter consiliare, ma vengono adeguate, in collaborazione con i competenti uffici della Giunta regionale, agli emendamenti approvati dalla Commissione e dall'Aula alla legge finanziaria: ciò in quanto la legge di bilancio costituisce la mera trasposizione contabile della legislazione vigente e della legge finanziaria appena approvata.</w:t>
      </w:r>
    </w:p>
    <w:p w:rsidR="006A739A" w:rsidRPr="00C773C2" w:rsidRDefault="006A739A" w:rsidP="006A739A">
      <w:pPr>
        <w:shd w:val="clear" w:color="auto" w:fill="FFFFFF"/>
        <w:spacing w:before="136" w:after="136"/>
        <w:outlineLvl w:val="3"/>
        <w:rPr>
          <w:rFonts w:ascii="Arial" w:hAnsi="Arial" w:cs="Arial"/>
          <w:color w:val="434343"/>
          <w:szCs w:val="24"/>
        </w:rPr>
      </w:pPr>
      <w:r w:rsidRPr="00C773C2">
        <w:rPr>
          <w:rFonts w:ascii="Arial" w:hAnsi="Arial" w:cs="Arial"/>
          <w:color w:val="434343"/>
          <w:szCs w:val="24"/>
        </w:rPr>
        <w:t>Progetti di legge nelle materie di cui all’art. 12 dello Statuto (cd. Leggi statutarie)</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Un altro tipo di progetti di legge che presentano un iter legislativo peculiare sono i progetti di legge riguardanti le materie di cui all’art. 12 dello Statuto (forma di governo della Regione, sistema elettorale, referendum): in base allo Statuto tali progetti devono essere approvati a maggioranza assoluta dei componenti il Consiglio regionale, non possono essere promulgati prima che siano definito l’eventuale giudizio di costituzionalità che il Governo nazionale può promuovere entro 30 giorni dalla pubblicazione ovvero non si sia svolto con esito favorevole un referendum sulla legge approvata dal Consiglio, che può essere promosso da un certo numero di consiglieri o una frazione del corpo elettorale. Tali progetti di legge, in base al nuovo regolamento consiliare, devono recare nel titolo la menzione dell’art. 12 dello Statuto, pur seguendo la medesima numerazione dei progetti ordinari.</w:t>
      </w:r>
    </w:p>
    <w:p w:rsidR="006A739A" w:rsidRPr="00C773C2" w:rsidRDefault="006A739A" w:rsidP="006A739A">
      <w:pPr>
        <w:shd w:val="clear" w:color="auto" w:fill="FFFFFF"/>
        <w:spacing w:before="136" w:after="136"/>
        <w:outlineLvl w:val="3"/>
        <w:rPr>
          <w:rFonts w:ascii="Arial" w:hAnsi="Arial" w:cs="Arial"/>
          <w:color w:val="434343"/>
          <w:szCs w:val="24"/>
        </w:rPr>
      </w:pPr>
      <w:r w:rsidRPr="00C773C2">
        <w:rPr>
          <w:rFonts w:ascii="Arial" w:hAnsi="Arial" w:cs="Arial"/>
          <w:color w:val="434343"/>
          <w:szCs w:val="24"/>
        </w:rPr>
        <w:t>Progetti di legge nazionale</w:t>
      </w:r>
    </w:p>
    <w:p w:rsidR="006A739A" w:rsidRPr="00C773C2" w:rsidRDefault="006A739A" w:rsidP="006A739A">
      <w:pPr>
        <w:shd w:val="clear" w:color="auto" w:fill="FFFFFF"/>
        <w:spacing w:after="136"/>
        <w:rPr>
          <w:rFonts w:ascii="Arial" w:hAnsi="Arial" w:cs="Arial"/>
          <w:color w:val="000000"/>
          <w:szCs w:val="24"/>
        </w:rPr>
      </w:pPr>
      <w:r w:rsidRPr="00C773C2">
        <w:rPr>
          <w:rFonts w:ascii="Arial" w:hAnsi="Arial" w:cs="Arial"/>
          <w:color w:val="000000"/>
          <w:szCs w:val="24"/>
        </w:rPr>
        <w:t>L'iter di tali progetti coincide con quello dei progetti di legge regionale, con la sola differenza che dopo l'approvazione da parte del Consiglio, il testo, anziché essere trasmesso al Presidente della Regione per la promulgazione viene presentato alle Camere per il successivo esame parlamentare: il testo del progetto di legge nazionale è corredato di una relazione accompagnatoria e di una relazione tecnico- finanziaria, secondo le vigenti norme statali. Un ipotesi particolare è data dai progetti di legge di modifica dello Statuto speciale, i quali a differenza dei progetti di legge ordinaria sono trasmessi direttamente alle Camere dal Presidente del Consiglio regionale e non per il tramite del Governo nazionale.</w:t>
      </w:r>
    </w:p>
    <w:p w:rsidR="006A739A" w:rsidRPr="00C773C2" w:rsidRDefault="006A739A" w:rsidP="006A20DF">
      <w:pPr>
        <w:pStyle w:val="Rientrocorpodeltesto"/>
        <w:jc w:val="left"/>
        <w:rPr>
          <w:rFonts w:ascii="Arial" w:hAnsi="Arial" w:cs="Arial"/>
          <w:szCs w:val="24"/>
        </w:rPr>
      </w:pPr>
    </w:p>
    <w:p w:rsidR="009F77D6" w:rsidRPr="00C773C2" w:rsidRDefault="00446DE2" w:rsidP="006A20DF">
      <w:pPr>
        <w:rPr>
          <w:rFonts w:ascii="Arial" w:hAnsi="Arial" w:cs="Arial"/>
          <w:szCs w:val="24"/>
        </w:rPr>
      </w:pPr>
      <w:r w:rsidRPr="00C773C2">
        <w:rPr>
          <w:rFonts w:ascii="Arial" w:hAnsi="Arial" w:cs="Arial"/>
          <w:szCs w:val="24"/>
        </w:rPr>
        <w:t>I</w:t>
      </w:r>
      <w:r w:rsidR="00827E04" w:rsidRPr="00C773C2">
        <w:rPr>
          <w:rFonts w:ascii="Arial" w:hAnsi="Arial" w:cs="Arial"/>
          <w:szCs w:val="24"/>
        </w:rPr>
        <w:t xml:space="preserve"> </w:t>
      </w:r>
      <w:r w:rsidR="00827E04" w:rsidRPr="00C773C2">
        <w:rPr>
          <w:rFonts w:ascii="Arial" w:hAnsi="Arial" w:cs="Arial"/>
          <w:b/>
          <w:szCs w:val="24"/>
        </w:rPr>
        <w:t>casi di scioglimento del Consiglio</w:t>
      </w:r>
      <w:r w:rsidR="00827E04" w:rsidRPr="00C773C2">
        <w:rPr>
          <w:rFonts w:ascii="Arial" w:hAnsi="Arial" w:cs="Arial"/>
          <w:szCs w:val="24"/>
        </w:rPr>
        <w:t xml:space="preserve"> regionale sono indicati dagli articoli 12 e 22:</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la maggioranza dei componenti del Consiglio presenti contestualmente le dimissioni (articolo 12);</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compia atti contrari alla Costituzione o allo Statuto;</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compia gravi violazioni di legge;</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quando il Consiglio .non corrisponda all’invito del Governo della Repubblica a sostituire la Giunta regionale o il Presidente che abbiano compiuto analoghi atti o violazioni;</w:t>
      </w:r>
    </w:p>
    <w:p w:rsidR="009F77D6" w:rsidRPr="00C773C2" w:rsidRDefault="00827E04" w:rsidP="006A20DF">
      <w:pPr>
        <w:numPr>
          <w:ilvl w:val="0"/>
          <w:numId w:val="45"/>
        </w:numPr>
        <w:rPr>
          <w:rFonts w:ascii="Arial" w:hAnsi="Arial" w:cs="Arial"/>
          <w:szCs w:val="24"/>
        </w:rPr>
      </w:pPr>
      <w:r w:rsidRPr="00C773C2">
        <w:rPr>
          <w:rFonts w:ascii="Arial" w:hAnsi="Arial" w:cs="Arial"/>
          <w:szCs w:val="24"/>
        </w:rPr>
        <w:t>per ragioni di sicurezza nazionale.</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decreto di scioglimento deve essere disposto con decreto motivato del Presidente della Repubblica, previa deliberazione del Consiglio dei ministri, sentita la Commissione parlamentare per le questioni regionali.</w:t>
      </w:r>
    </w:p>
    <w:p w:rsidR="009F77D6" w:rsidRPr="00C773C2" w:rsidRDefault="00827E04" w:rsidP="006A20DF">
      <w:pPr>
        <w:rPr>
          <w:rFonts w:ascii="Arial" w:hAnsi="Arial" w:cs="Arial"/>
          <w:szCs w:val="24"/>
        </w:rPr>
      </w:pPr>
      <w:r w:rsidRPr="00C773C2">
        <w:rPr>
          <w:rFonts w:ascii="Arial" w:hAnsi="Arial" w:cs="Arial"/>
          <w:szCs w:val="24"/>
        </w:rPr>
        <w:t>Il decreto di scioglimento deve altresì contenere:</w:t>
      </w:r>
    </w:p>
    <w:p w:rsidR="009F77D6" w:rsidRPr="00C773C2" w:rsidRDefault="00827E04" w:rsidP="006A20DF">
      <w:pPr>
        <w:rPr>
          <w:rFonts w:ascii="Arial" w:hAnsi="Arial" w:cs="Arial"/>
          <w:szCs w:val="24"/>
        </w:rPr>
      </w:pPr>
      <w:r w:rsidRPr="00C773C2">
        <w:rPr>
          <w:rFonts w:ascii="Arial" w:hAnsi="Arial" w:cs="Arial"/>
          <w:szCs w:val="24"/>
        </w:rPr>
        <w:t>la nomina di una Commissione di tre cittadini, eleggibili a consigliere regionale, per l’ordinaria amministrazione (di competenza della Giunta), nonché per l’adozione di atti improrogabili, da sottoporre poi a ratifica consiliare;</w:t>
      </w:r>
    </w:p>
    <w:p w:rsidR="009F77D6" w:rsidRPr="00C773C2" w:rsidRDefault="00827E04" w:rsidP="006A20DF">
      <w:pPr>
        <w:rPr>
          <w:rFonts w:ascii="Arial" w:hAnsi="Arial" w:cs="Arial"/>
          <w:szCs w:val="24"/>
        </w:rPr>
      </w:pPr>
      <w:r w:rsidRPr="00C773C2">
        <w:rPr>
          <w:rFonts w:ascii="Arial" w:hAnsi="Arial" w:cs="Arial"/>
          <w:szCs w:val="24"/>
        </w:rPr>
        <w:t>la fissazione della data delle elezioni, da effettuarsi entro sei mesi dallo scioglimento.</w:t>
      </w:r>
    </w:p>
    <w:p w:rsidR="006A20DF" w:rsidRDefault="006A20DF">
      <w:pPr>
        <w:pStyle w:val="Corpodeltesto"/>
        <w:ind w:firstLine="567"/>
        <w:rPr>
          <w:rFonts w:ascii="Arial" w:hAnsi="Arial" w:cs="Arial"/>
          <w:szCs w:val="24"/>
        </w:rPr>
      </w:pPr>
    </w:p>
    <w:p w:rsidR="009F77D6" w:rsidRPr="00C773C2" w:rsidRDefault="00827E04" w:rsidP="006A20DF">
      <w:pPr>
        <w:pStyle w:val="Corpodeltesto"/>
        <w:jc w:val="left"/>
        <w:rPr>
          <w:rFonts w:ascii="Arial" w:hAnsi="Arial" w:cs="Arial"/>
          <w:szCs w:val="24"/>
        </w:rPr>
      </w:pPr>
      <w:r w:rsidRPr="00C773C2">
        <w:rPr>
          <w:rFonts w:ascii="Arial" w:hAnsi="Arial" w:cs="Arial"/>
          <w:szCs w:val="24"/>
        </w:rPr>
        <w:t xml:space="preserve">Le potestà legislative attribuite alla Regione sono esercitate dal Consiglio regionale. L’articolo 25 dello Statuto dispone che il </w:t>
      </w:r>
      <w:r w:rsidRPr="00C773C2">
        <w:rPr>
          <w:rFonts w:ascii="Arial" w:hAnsi="Arial" w:cs="Arial"/>
          <w:b/>
          <w:szCs w:val="24"/>
        </w:rPr>
        <w:t>Consiglio provveda con legge</w:t>
      </w:r>
      <w:r w:rsidRPr="00C773C2">
        <w:rPr>
          <w:rFonts w:ascii="Arial" w:hAnsi="Arial" w:cs="Arial"/>
          <w:szCs w:val="24"/>
        </w:rPr>
        <w:t>:</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 bilancio di previsione (entro il 31 dicembre);</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dell’esercizio provvisorio (per un periodo non superiore a quattro mesi);</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all’approvazione del conto consuntivo (entro il 31 luglio).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estranee alla propria competenza, ma che sono di particolare interesse per la Regione, il Consiglio può formulare progetti di legge da sottoporre al Parlamento; possono venire quindi presentati progetti:</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connesse agli articoli 4, 5 e 6 dello Statuto;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stesse materie enumerate al punto precedente, per le parti spettanti alla disciplina normativa dello Stato;</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nelle materie in ordine alle quali la popolazione manifesti specifiche esigenze.</w:t>
      </w:r>
    </w:p>
    <w:p w:rsidR="009F77D6" w:rsidRPr="00C773C2" w:rsidRDefault="00827E04" w:rsidP="006A20DF">
      <w:pPr>
        <w:pStyle w:val="Corpodeltesto"/>
        <w:numPr>
          <w:ilvl w:val="0"/>
          <w:numId w:val="47"/>
        </w:numPr>
        <w:jc w:val="left"/>
        <w:rPr>
          <w:rFonts w:ascii="Arial" w:hAnsi="Arial" w:cs="Arial"/>
          <w:szCs w:val="24"/>
        </w:rPr>
      </w:pPr>
      <w:r w:rsidRPr="00C773C2">
        <w:rPr>
          <w:rFonts w:ascii="Arial" w:hAnsi="Arial" w:cs="Arial"/>
          <w:szCs w:val="24"/>
        </w:rPr>
        <w:t>Tuttavia, poiché l’articolo 121 della Costituzione, nel testo novellato, dispone che il Consiglio regionale possa fare proposte di legge alle Camere, senza porre limiti, si ritiene che, essendo questa norma più favorevole, rispetto a quella sopra elencata, contenuta nello Statuto d’autonomia, possa essere senz’altro applicata anche nella nostra Regione.</w:t>
      </w:r>
    </w:p>
    <w:p w:rsidR="009F77D6" w:rsidRPr="00C773C2" w:rsidRDefault="00827E04" w:rsidP="006A20DF">
      <w:pPr>
        <w:pStyle w:val="Corpodeltesto"/>
        <w:jc w:val="left"/>
        <w:rPr>
          <w:rFonts w:ascii="Arial" w:hAnsi="Arial" w:cs="Arial"/>
          <w:szCs w:val="24"/>
        </w:rPr>
      </w:pPr>
      <w:r w:rsidRPr="00C773C2">
        <w:rPr>
          <w:rFonts w:ascii="Arial" w:hAnsi="Arial" w:cs="Arial"/>
          <w:szCs w:val="24"/>
        </w:rPr>
        <w:t>Al potere consiliare d’iniziative si accompagna anche la facoltà di presentare petizioni alle Camere e voti non formali al Governo.</w:t>
      </w:r>
    </w:p>
    <w:p w:rsidR="00344313" w:rsidRPr="00C773C2" w:rsidRDefault="00827E04" w:rsidP="00344313">
      <w:pPr>
        <w:spacing w:before="240"/>
        <w:rPr>
          <w:rFonts w:ascii="Arial" w:hAnsi="Arial" w:cs="Arial"/>
          <w:b/>
          <w:szCs w:val="24"/>
        </w:rPr>
      </w:pPr>
      <w:r w:rsidRPr="00C773C2">
        <w:rPr>
          <w:rFonts w:ascii="Arial" w:hAnsi="Arial" w:cs="Arial"/>
          <w:b/>
          <w:szCs w:val="24"/>
        </w:rPr>
        <w:t xml:space="preserve"> </w:t>
      </w:r>
    </w:p>
    <w:p w:rsidR="009F77D6" w:rsidRPr="00C773C2" w:rsidRDefault="00827E04" w:rsidP="00344313">
      <w:pPr>
        <w:spacing w:before="240"/>
        <w:rPr>
          <w:rFonts w:ascii="Arial" w:hAnsi="Arial" w:cs="Arial"/>
          <w:b/>
          <w:szCs w:val="24"/>
        </w:rPr>
      </w:pPr>
      <w:r w:rsidRPr="00C773C2">
        <w:rPr>
          <w:rFonts w:ascii="Arial" w:hAnsi="Arial" w:cs="Arial"/>
          <w:b/>
          <w:szCs w:val="24"/>
        </w:rPr>
        <w:t>Il referendum</w:t>
      </w:r>
    </w:p>
    <w:p w:rsidR="009F77D6" w:rsidRPr="00C773C2" w:rsidRDefault="00827E04">
      <w:pPr>
        <w:pStyle w:val="Rientrocorpodeltesto"/>
        <w:spacing w:before="120"/>
        <w:rPr>
          <w:rFonts w:ascii="Arial" w:hAnsi="Arial" w:cs="Arial"/>
          <w:szCs w:val="24"/>
        </w:rPr>
      </w:pPr>
      <w:r w:rsidRPr="00C773C2">
        <w:rPr>
          <w:rFonts w:ascii="Arial" w:hAnsi="Arial" w:cs="Arial"/>
          <w:szCs w:val="24"/>
        </w:rPr>
        <w:t>L’articolo 33 dello Statuto speciale prevedeva che le leggi regionali potessero essere sottoposte a referendum abrogativo, totale o parziale, qualora ne facessero richiesta almeno ventimila elettori o due consigli provinciali. Tale articolo è stato abrogato dall’articolo 5 della legge costituzionale 31 gennaio 2001, n. 2; ma, nel contempo, è stato modificato l’articolo 12 dello Statuto stesso, introducendo l’istituto del referendum cui sottoporre, eventualmente, la legge regionale di determinazione della forma di governo della Regione, già sopra esposta.</w:t>
      </w:r>
    </w:p>
    <w:p w:rsidR="009F77D6" w:rsidRPr="00C773C2" w:rsidRDefault="00827E04">
      <w:pPr>
        <w:pStyle w:val="Rientrocorpodeltesto"/>
        <w:rPr>
          <w:rFonts w:ascii="Arial" w:hAnsi="Arial" w:cs="Arial"/>
          <w:szCs w:val="24"/>
        </w:rPr>
      </w:pPr>
      <w:r w:rsidRPr="00C773C2">
        <w:rPr>
          <w:rFonts w:ascii="Arial" w:hAnsi="Arial" w:cs="Arial"/>
          <w:szCs w:val="24"/>
        </w:rPr>
        <w:t xml:space="preserve">In attuazione di questa disciplina, la legge regionale 7 marzo 2003, n. 5, ha disciplinato, oltre che in materia di iniziativa popolare delle leggi regionali, anche </w:t>
      </w:r>
      <w:r w:rsidRPr="00C773C2">
        <w:rPr>
          <w:rFonts w:ascii="Arial" w:hAnsi="Arial" w:cs="Arial"/>
          <w:b/>
          <w:szCs w:val="24"/>
        </w:rPr>
        <w:t>tre tipi di referendum</w:t>
      </w:r>
      <w:r w:rsidRPr="00C773C2">
        <w:rPr>
          <w:rFonts w:ascii="Arial" w:hAnsi="Arial" w:cs="Arial"/>
          <w:szCs w:val="24"/>
        </w:rPr>
        <w:t>:</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abrogativo;</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propositivo;</w:t>
      </w:r>
    </w:p>
    <w:p w:rsidR="009F77D6" w:rsidRPr="00C773C2" w:rsidRDefault="00827E04" w:rsidP="00827E04">
      <w:pPr>
        <w:pStyle w:val="Rientrocorpodeltesto"/>
        <w:numPr>
          <w:ilvl w:val="0"/>
          <w:numId w:val="30"/>
        </w:numPr>
        <w:rPr>
          <w:rFonts w:ascii="Arial" w:hAnsi="Arial" w:cs="Arial"/>
          <w:szCs w:val="24"/>
        </w:rPr>
      </w:pPr>
      <w:r w:rsidRPr="00C773C2">
        <w:rPr>
          <w:rFonts w:ascii="Arial" w:hAnsi="Arial" w:cs="Arial"/>
          <w:szCs w:val="24"/>
        </w:rPr>
        <w:t>consultivo.</w:t>
      </w:r>
    </w:p>
    <w:p w:rsidR="009F77D6" w:rsidRPr="00C773C2" w:rsidRDefault="00827E04">
      <w:pPr>
        <w:pStyle w:val="Rientrocorpodeltesto"/>
        <w:rPr>
          <w:rFonts w:ascii="Arial" w:hAnsi="Arial" w:cs="Arial"/>
          <w:szCs w:val="24"/>
        </w:rPr>
      </w:pPr>
      <w:r w:rsidRPr="00C773C2">
        <w:rPr>
          <w:rFonts w:ascii="Arial" w:hAnsi="Arial" w:cs="Arial"/>
          <w:szCs w:val="24"/>
        </w:rPr>
        <w:t>Le proposte sottoposte a referendum si intendono approvato se:</w:t>
      </w:r>
    </w:p>
    <w:p w:rsidR="009F77D6" w:rsidRPr="00C773C2" w:rsidRDefault="00827E04" w:rsidP="00827E04">
      <w:pPr>
        <w:pStyle w:val="Rientrocorpodeltesto"/>
        <w:numPr>
          <w:ilvl w:val="0"/>
          <w:numId w:val="33"/>
        </w:numPr>
        <w:rPr>
          <w:rFonts w:ascii="Arial" w:hAnsi="Arial" w:cs="Arial"/>
          <w:szCs w:val="24"/>
        </w:rPr>
      </w:pPr>
      <w:r w:rsidRPr="00C773C2">
        <w:rPr>
          <w:rFonts w:ascii="Arial" w:hAnsi="Arial" w:cs="Arial"/>
          <w:szCs w:val="24"/>
        </w:rPr>
        <w:t>alla votazione ha partecipato la maggioranza degli aventi diritto;</w:t>
      </w:r>
    </w:p>
    <w:p w:rsidR="009F77D6" w:rsidRPr="00C773C2" w:rsidRDefault="00827E04" w:rsidP="00827E04">
      <w:pPr>
        <w:pStyle w:val="Rientrocorpodeltesto"/>
        <w:numPr>
          <w:ilvl w:val="0"/>
          <w:numId w:val="33"/>
        </w:numPr>
        <w:rPr>
          <w:rFonts w:ascii="Arial" w:hAnsi="Arial" w:cs="Arial"/>
          <w:szCs w:val="24"/>
        </w:rPr>
      </w:pPr>
      <w:r w:rsidRPr="00C773C2">
        <w:rPr>
          <w:rFonts w:ascii="Arial" w:hAnsi="Arial" w:cs="Arial"/>
          <w:szCs w:val="24"/>
        </w:rPr>
        <w:t>se è stata raggiunta la maggioranza dei voti validamente espressi.</w:t>
      </w:r>
    </w:p>
    <w:p w:rsidR="009F77D6" w:rsidRPr="00C773C2" w:rsidRDefault="00827E04">
      <w:pPr>
        <w:pStyle w:val="Rientrocorpodeltesto"/>
        <w:rPr>
          <w:rFonts w:ascii="Arial" w:hAnsi="Arial" w:cs="Arial"/>
          <w:szCs w:val="24"/>
        </w:rPr>
      </w:pPr>
      <w:r w:rsidRPr="00C773C2">
        <w:rPr>
          <w:rFonts w:ascii="Arial" w:hAnsi="Arial" w:cs="Arial"/>
          <w:szCs w:val="24"/>
        </w:rPr>
        <w:t xml:space="preserve">Il </w:t>
      </w:r>
      <w:r w:rsidRPr="00C773C2">
        <w:rPr>
          <w:rFonts w:ascii="Arial" w:hAnsi="Arial" w:cs="Arial"/>
          <w:b/>
          <w:szCs w:val="24"/>
        </w:rPr>
        <w:t>referendum regionale abrogativo</w:t>
      </w:r>
      <w:r w:rsidRPr="00C773C2">
        <w:rPr>
          <w:rFonts w:ascii="Arial" w:hAnsi="Arial" w:cs="Arial"/>
          <w:szCs w:val="24"/>
        </w:rPr>
        <w:t xml:space="preserve"> è indetto quando lo richiedono almeno trentamila elettori, iscritti nelle liste elettorali di comuni della Regione, oppure due consigli provinciali. Possono essere sottoposte a referendum regionale abrogativo:</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le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singoli articoli di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commi completi di articoli di leggi regionali;</w:t>
      </w:r>
    </w:p>
    <w:p w:rsidR="009F77D6" w:rsidRPr="00C773C2" w:rsidRDefault="00827E04" w:rsidP="00827E04">
      <w:pPr>
        <w:pStyle w:val="Rientrocorpodeltesto"/>
        <w:numPr>
          <w:ilvl w:val="0"/>
          <w:numId w:val="31"/>
        </w:numPr>
        <w:rPr>
          <w:rFonts w:ascii="Arial" w:hAnsi="Arial" w:cs="Arial"/>
          <w:szCs w:val="24"/>
        </w:rPr>
      </w:pPr>
      <w:r w:rsidRPr="00C773C2">
        <w:rPr>
          <w:rFonts w:ascii="Arial" w:hAnsi="Arial" w:cs="Arial"/>
          <w:szCs w:val="24"/>
        </w:rPr>
        <w:t>parti di commi che siano formalmente e sostanzialmente qualificabili come precetti autonomi.</w:t>
      </w:r>
    </w:p>
    <w:p w:rsidR="009F77D6" w:rsidRPr="00C773C2" w:rsidRDefault="00827E04">
      <w:pPr>
        <w:pStyle w:val="Rientrocorpodeltesto"/>
        <w:rPr>
          <w:rFonts w:ascii="Arial" w:hAnsi="Arial" w:cs="Arial"/>
          <w:szCs w:val="24"/>
        </w:rPr>
      </w:pPr>
      <w:r w:rsidRPr="00C773C2">
        <w:rPr>
          <w:rFonts w:ascii="Arial" w:hAnsi="Arial" w:cs="Arial"/>
          <w:szCs w:val="24"/>
        </w:rPr>
        <w:t>Non possono essere sottoposte a referendum abrogativo: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lastRenderedPageBreak/>
        <w:t>le leggi regionali istitutive di tributi;</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 leggi regionali di bilancio o di variazione di bilancio;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 leggi o disposizioni di leggi regionali il cui contenuto sia obbligatorio in virtù di norme statutarie, costituzionali, o statali vincolanti per il legislatore regionale, o che siano meramente riproduttive di tali norme;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istitutive di nuovi comuni o di nuove province;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modificative delle circoscrizioni o delle denominazioni dei comuni o province;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approvate ai sensi dell’articolo 12 dello Statuto;</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o disposizioni di leggi regionali connesse al funzionamento degli organi statutari della Regione;</w:t>
      </w:r>
    </w:p>
    <w:p w:rsidR="009F77D6" w:rsidRPr="00C773C2" w:rsidRDefault="00827E04" w:rsidP="00827E04">
      <w:pPr>
        <w:pStyle w:val="Rientrocorpodeltesto"/>
        <w:numPr>
          <w:ilvl w:val="0"/>
          <w:numId w:val="32"/>
        </w:numPr>
        <w:rPr>
          <w:rFonts w:ascii="Arial" w:hAnsi="Arial" w:cs="Arial"/>
          <w:szCs w:val="24"/>
        </w:rPr>
      </w:pPr>
      <w:r w:rsidRPr="00C773C2">
        <w:rPr>
          <w:rFonts w:ascii="Arial" w:hAnsi="Arial" w:cs="Arial"/>
          <w:szCs w:val="24"/>
        </w:rPr>
        <w:t>leggi o disposizioni di legge regionali che influiscono sulla determinazione del bilancio del Consiglio regionale.</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 xml:space="preserve">La legge regionale che istituisce nuovi comuni, anche con la fusione di più comuni contigui, nonché la modificazione delle circoscrizioni o delle denominazioni comunali, ai sensi dell’articolo 7, primo comma, n. 3, dello Statuto, deve essere preceduta da un </w:t>
      </w:r>
      <w:r w:rsidRPr="00C773C2">
        <w:rPr>
          <w:rFonts w:ascii="Arial" w:hAnsi="Arial" w:cs="Arial"/>
          <w:b/>
          <w:szCs w:val="24"/>
        </w:rPr>
        <w:t>referendum consultivo</w:t>
      </w:r>
      <w:r w:rsidRPr="00C773C2">
        <w:rPr>
          <w:rFonts w:ascii="Arial" w:hAnsi="Arial" w:cs="Arial"/>
          <w:szCs w:val="24"/>
        </w:rPr>
        <w:t>.</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Qualora l’istituzione di un nuovo comune avvenga mediante la fusione di più comuni contigui, la deliberazione del Consiglio regionale, che indice il referendum, deve essere preceduta dall’acquisizione dei pareri dei consigli comunali interessati.</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Anche la legge regionale che procede alla revisione delle circoscrizioni provinciali, anche in conseguenza dell’istituzione di aree metropolitane, all’istituzione di nuove province e alla loro soppressione, deve essere sottoposta a referendum consultivo; nel caso si voglia istituire una nuova provincia, la procedura deve essere avviata da uno o più sindaci di comuni appartenenti all’ambito territoriale della nuova provincia.</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quesito sottoposto ai referendum consultivi sopra indicati si intende approvato quando la risposta affermativa ha raggiunto la maggioranza dei voti validamente espressi. Entro sessanta giorni dalla proclamazione dei risultati del referendum consultivo, se l’esito è favorevole, la giunta regionale deve presentare al Consiglio regionale un disegno di legge sull’oggetto del quesito sottoposto a referendum.</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Il Consiglio regionale, prima di procedere all’emanazione di provvedimenti di propria competenza, oppure, su proposta della Giunta regionale, prima dell’emanazione di provvedimenti di competenza giuntale, può deliberare l’indizione di</w:t>
      </w:r>
      <w:r w:rsidRPr="00C773C2">
        <w:rPr>
          <w:rFonts w:ascii="Arial" w:hAnsi="Arial" w:cs="Arial"/>
          <w:b/>
          <w:szCs w:val="24"/>
        </w:rPr>
        <w:t xml:space="preserve"> referendum consultivi </w:t>
      </w:r>
      <w:r w:rsidRPr="00C773C2">
        <w:rPr>
          <w:rFonts w:ascii="Arial" w:hAnsi="Arial" w:cs="Arial"/>
          <w:szCs w:val="24"/>
        </w:rPr>
        <w:t>delle popolazioni interessate ai referendum stessi.</w:t>
      </w:r>
    </w:p>
    <w:p w:rsidR="009F77D6" w:rsidRPr="00C773C2" w:rsidRDefault="00827E04" w:rsidP="006A20DF">
      <w:pPr>
        <w:pStyle w:val="Rientrocorpodeltesto"/>
        <w:ind w:firstLine="0"/>
        <w:jc w:val="left"/>
        <w:rPr>
          <w:rFonts w:ascii="Arial" w:hAnsi="Arial" w:cs="Arial"/>
          <w:szCs w:val="24"/>
        </w:rPr>
      </w:pPr>
      <w:r w:rsidRPr="00C773C2">
        <w:rPr>
          <w:rFonts w:ascii="Arial" w:hAnsi="Arial" w:cs="Arial"/>
          <w:szCs w:val="24"/>
        </w:rPr>
        <w:t xml:space="preserve">Gli stessi soggetti titolari dell’iniziativa di referendum abrogativo possono presentare al Consiglio regionale una proposta di legge da sottoporre a referendum popolare. Decorso un anno dalla data della deliberazione che accerta la regolarità della richiesta degli elettori, ovvero dalla deliberazione che dichiara ammissibile il referendum d’iniziativa dei consigli provinciali, se il Consiglio regionale non ha ancora deliberato sulla proposta di legge, il Presidente della Regione, con proprio decreto, indice </w:t>
      </w:r>
      <w:r w:rsidRPr="00C773C2">
        <w:rPr>
          <w:rFonts w:ascii="Arial" w:hAnsi="Arial" w:cs="Arial"/>
          <w:b/>
          <w:szCs w:val="24"/>
        </w:rPr>
        <w:t>referendum popolare propositivo</w:t>
      </w:r>
      <w:r w:rsidRPr="00C773C2">
        <w:rPr>
          <w:rFonts w:ascii="Arial" w:hAnsi="Arial" w:cs="Arial"/>
          <w:szCs w:val="24"/>
        </w:rPr>
        <w:t xml:space="preserve"> sulla stessa proposta di legge. Entro sessanta giorni dalla proclamazione dei risultati del referendum propositivo, in caso di esito positivo, il Consiglio regionale deve esaminare la proposta di legge sottoposta a referendum.</w:t>
      </w:r>
    </w:p>
    <w:p w:rsidR="009F77D6" w:rsidRPr="00C773C2" w:rsidRDefault="00827E04">
      <w:pPr>
        <w:spacing w:before="240" w:after="120"/>
        <w:jc w:val="center"/>
        <w:rPr>
          <w:rFonts w:ascii="Arial" w:hAnsi="Arial" w:cs="Arial"/>
          <w:b/>
          <w:szCs w:val="24"/>
        </w:rPr>
      </w:pPr>
      <w:r w:rsidRPr="00C773C2">
        <w:rPr>
          <w:rFonts w:ascii="Arial" w:hAnsi="Arial" w:cs="Arial"/>
          <w:b/>
          <w:szCs w:val="24"/>
        </w:rPr>
        <w:t>5. Il Presidente della Regione e la Giunta regionale</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 </w:t>
      </w:r>
      <w:r w:rsidRPr="00C773C2">
        <w:rPr>
          <w:rFonts w:ascii="Arial" w:hAnsi="Arial" w:cs="Arial"/>
          <w:b/>
          <w:szCs w:val="24"/>
        </w:rPr>
        <w:t>Giunta regionale</w:t>
      </w:r>
      <w:r w:rsidRPr="00C773C2">
        <w:rPr>
          <w:rFonts w:ascii="Arial" w:hAnsi="Arial" w:cs="Arial"/>
          <w:szCs w:val="24"/>
        </w:rPr>
        <w:t xml:space="preserve"> è composta dal Presidente della Regione e da</w:t>
      </w:r>
      <w:r w:rsidR="006A20DF">
        <w:rPr>
          <w:rFonts w:ascii="Arial" w:hAnsi="Arial" w:cs="Arial"/>
          <w:szCs w:val="24"/>
        </w:rPr>
        <w:t xml:space="preserve"> 10</w:t>
      </w:r>
      <w:r w:rsidRPr="00C773C2">
        <w:rPr>
          <w:rFonts w:ascii="Arial" w:hAnsi="Arial" w:cs="Arial"/>
          <w:szCs w:val="24"/>
        </w:rPr>
        <w:t xml:space="preserve"> assessori; un assessore assume le funzioni di Vicepresidente.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lastRenderedPageBreak/>
        <w:t>L’articolo 20 della legge regionale 1° marzo 1988, n. 7, dispone che la giunta regionale sia composta dal Presidente, da otto assessori effettivi e da due assessori supplenti.</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 xml:space="preserve">Gli </w:t>
      </w:r>
      <w:r w:rsidRPr="00C773C2">
        <w:rPr>
          <w:rFonts w:ascii="Arial" w:hAnsi="Arial" w:cs="Arial"/>
          <w:b/>
          <w:szCs w:val="24"/>
        </w:rPr>
        <w:t>assessori effettivi e supplenti</w:t>
      </w:r>
      <w:r w:rsidRPr="00C773C2">
        <w:rPr>
          <w:rFonts w:ascii="Arial" w:hAnsi="Arial" w:cs="Arial"/>
          <w:szCs w:val="24"/>
        </w:rPr>
        <w:t>:</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presiedono al funzionamento degli uffici cui sono preposti;</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curano la trattazione degli affari di competenza degli uffici stessi;</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propongono, d’intesa con il Presidente della Regione, i provvedimenti da iscrivere all’ordine del giorno della Giunta regionale;</w:t>
      </w:r>
    </w:p>
    <w:p w:rsidR="0069020A" w:rsidRPr="00C773C2" w:rsidRDefault="0069020A" w:rsidP="0069020A">
      <w:pPr>
        <w:pStyle w:val="Corpodeltesto"/>
        <w:numPr>
          <w:ilvl w:val="0"/>
          <w:numId w:val="25"/>
        </w:numPr>
        <w:rPr>
          <w:rFonts w:ascii="Arial" w:hAnsi="Arial" w:cs="Arial"/>
          <w:szCs w:val="24"/>
        </w:rPr>
      </w:pPr>
      <w:r w:rsidRPr="00C773C2">
        <w:rPr>
          <w:rFonts w:ascii="Arial" w:hAnsi="Arial" w:cs="Arial"/>
          <w:szCs w:val="24"/>
        </w:rPr>
        <w:t>curano l’esecuzione delle deliberazioni adottate dalla Giunta regionale.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L’articolo 47 dello Statuto dispone per altro che la Giunta regionale deve essere consultata:</w:t>
      </w:r>
    </w:p>
    <w:p w:rsidR="0069020A" w:rsidRPr="00C773C2" w:rsidRDefault="0069020A" w:rsidP="0069020A">
      <w:pPr>
        <w:pStyle w:val="Corpodeltesto"/>
        <w:numPr>
          <w:ilvl w:val="0"/>
          <w:numId w:val="22"/>
        </w:numPr>
        <w:rPr>
          <w:rFonts w:ascii="Arial" w:hAnsi="Arial" w:cs="Arial"/>
          <w:szCs w:val="24"/>
        </w:rPr>
      </w:pPr>
      <w:r w:rsidRPr="00C773C2">
        <w:rPr>
          <w:rFonts w:ascii="Arial" w:hAnsi="Arial" w:cs="Arial"/>
          <w:szCs w:val="24"/>
        </w:rPr>
        <w:t>ai fini dell’istituzione, regolamentazione e modificazioni del servizi nazionale di comunicazione e dei trasporti, qualora interessino in modo particolare la Regione;</w:t>
      </w:r>
    </w:p>
    <w:p w:rsidR="0069020A" w:rsidRPr="00C773C2" w:rsidRDefault="0069020A" w:rsidP="0069020A">
      <w:pPr>
        <w:pStyle w:val="Corpodeltesto"/>
        <w:numPr>
          <w:ilvl w:val="0"/>
          <w:numId w:val="22"/>
        </w:numPr>
        <w:rPr>
          <w:rFonts w:ascii="Arial" w:hAnsi="Arial" w:cs="Arial"/>
          <w:szCs w:val="24"/>
        </w:rPr>
      </w:pPr>
      <w:r w:rsidRPr="00C773C2">
        <w:rPr>
          <w:rFonts w:ascii="Arial" w:hAnsi="Arial" w:cs="Arial"/>
          <w:szCs w:val="24"/>
        </w:rPr>
        <w:t>in relazione all’elaborazione di trattati di commercio con Stati esteri che interessino il traffico confinario della Regione o il transito per il porto di Trieste.</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Rimane facoltà del Governo della Repubblica chiedere il parere della Giunta regionale su altre questioni che interessano la Regione o la Regione e lo Stato.</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 xml:space="preserve">L’Ufficio di Presidente della Regione o di assessore è incompatibile con qualunque altra carica pubblica. </w:t>
      </w:r>
    </w:p>
    <w:p w:rsidR="0069020A" w:rsidRPr="00C773C2" w:rsidRDefault="0069020A" w:rsidP="0069020A">
      <w:pPr>
        <w:pStyle w:val="Corpodeltesto"/>
        <w:ind w:firstLine="567"/>
        <w:rPr>
          <w:rFonts w:ascii="Arial" w:hAnsi="Arial" w:cs="Arial"/>
          <w:szCs w:val="24"/>
        </w:rPr>
      </w:pPr>
      <w:r w:rsidRPr="00C773C2">
        <w:rPr>
          <w:rFonts w:ascii="Arial" w:hAnsi="Arial" w:cs="Arial"/>
          <w:szCs w:val="24"/>
        </w:rPr>
        <w:t>Al Presidente della Regione ed agli assessori è attribuita con legge regionale una indennità di carica</w:t>
      </w:r>
    </w:p>
    <w:p w:rsidR="0069020A" w:rsidRPr="00C773C2" w:rsidRDefault="0069020A">
      <w:pPr>
        <w:pStyle w:val="Corpodeltesto"/>
        <w:ind w:firstLine="567"/>
        <w:rPr>
          <w:rFonts w:ascii="Arial" w:hAnsi="Arial" w:cs="Arial"/>
          <w:szCs w:val="24"/>
        </w:rPr>
      </w:pPr>
    </w:p>
    <w:p w:rsidR="009F77D6" w:rsidRPr="00C773C2" w:rsidRDefault="00827E04">
      <w:pPr>
        <w:pStyle w:val="Corpodeltesto"/>
        <w:ind w:firstLine="567"/>
        <w:rPr>
          <w:rFonts w:ascii="Arial" w:hAnsi="Arial" w:cs="Arial"/>
          <w:szCs w:val="24"/>
        </w:rPr>
      </w:pPr>
      <w:r w:rsidRPr="00C773C2">
        <w:rPr>
          <w:rFonts w:ascii="Arial" w:hAnsi="Arial" w:cs="Arial"/>
          <w:szCs w:val="24"/>
        </w:rPr>
        <w:t>Comportano le dimissioni della Giunta e lo scioglimento del Consiglio:</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la rimozione del Presidente della Regione, per aver compiuto atti contrari alla Costituzione, per gravi e reiterate violazioni di legge, per ragioni di sicurezza nazionale;</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l’impedimento permanente dello stesso;</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la sua morte;</w:t>
      </w:r>
    </w:p>
    <w:p w:rsidR="009F77D6" w:rsidRPr="00C773C2" w:rsidRDefault="00827E04" w:rsidP="00827E04">
      <w:pPr>
        <w:pStyle w:val="Corpodeltesto"/>
        <w:numPr>
          <w:ilvl w:val="0"/>
          <w:numId w:val="20"/>
        </w:numPr>
        <w:rPr>
          <w:rFonts w:ascii="Arial" w:hAnsi="Arial" w:cs="Arial"/>
          <w:szCs w:val="24"/>
        </w:rPr>
      </w:pPr>
      <w:r w:rsidRPr="00C773C2">
        <w:rPr>
          <w:rFonts w:ascii="Arial" w:hAnsi="Arial" w:cs="Arial"/>
          <w:szCs w:val="24"/>
        </w:rPr>
        <w:t>le sue dimissioni.</w:t>
      </w:r>
    </w:p>
    <w:p w:rsidR="009F77D6" w:rsidRPr="00C773C2" w:rsidRDefault="00827E04">
      <w:pPr>
        <w:pStyle w:val="Corpodeltesto"/>
        <w:ind w:firstLine="567"/>
        <w:rPr>
          <w:rFonts w:ascii="Arial" w:hAnsi="Arial" w:cs="Arial"/>
          <w:szCs w:val="24"/>
        </w:rPr>
      </w:pPr>
      <w:r w:rsidRPr="00C773C2">
        <w:rPr>
          <w:rFonts w:ascii="Arial" w:hAnsi="Arial" w:cs="Arial"/>
          <w:szCs w:val="24"/>
        </w:rPr>
        <w:t>La rimozione del Presidente della Regione deve essere disposta con decreto motivato del Presidente della Repubblica, con le modalità previste dal terzo comma dell’articolo 22 dello Statuto.</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Il </w:t>
      </w:r>
      <w:r w:rsidRPr="00C773C2">
        <w:rPr>
          <w:rFonts w:ascii="Arial" w:hAnsi="Arial" w:cs="Arial"/>
          <w:b/>
          <w:szCs w:val="24"/>
        </w:rPr>
        <w:t>Presidente della Regione</w:t>
      </w:r>
      <w:r w:rsidRPr="00C773C2">
        <w:rPr>
          <w:rFonts w:ascii="Arial" w:hAnsi="Arial" w:cs="Arial"/>
          <w:szCs w:val="24"/>
        </w:rPr>
        <w:t>:</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rappresenta la Regione;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convoca e presiede la Giunta regionale e ne dirige e coordina l’attività;</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sovraintende agli uffici e ai servizi regionali;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promulga le leggi regionali;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emana, con proprio decreto, i regolamenti deliberati dalla Giunta;</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esercita le altre attribuzioni che gli sono conferite dalle leggi e dallo Statuto regionale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interviene alle sedute dei Consiglio dei Ministri per essere sentito, quando sono trattate questioni che riguardano particolarmente la Regione;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presiede alle funzioni amministrative il cui svolgimento è stato affidato dallo Stato alla Regione (uniformandosi alle istruzioni impartite dalle amministrazioni statali centrali);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provvede all’indirizzo generale e al coordinamento dell’attività dell’amministrazione regionale;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 xml:space="preserve">cura, per quanto di competenza dell’amministrazione regionale, la trattazione degli affari generali e delle questioni concernenti l’osservanza dell’articolo 3 dello </w:t>
      </w:r>
      <w:r w:rsidRPr="00C773C2">
        <w:rPr>
          <w:rFonts w:ascii="Arial" w:hAnsi="Arial" w:cs="Arial"/>
          <w:szCs w:val="24"/>
        </w:rPr>
        <w:lastRenderedPageBreak/>
        <w:t>Statuto speciale, che riconosce parità di diritti e di trattamento a tutti i cittadini, qualunque sia il gruppo linguistico cui appartengono;</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presiede al funzionamento degli uffici della Presidenza e cura la trattazione dei relativi affari;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tratta gli affari relativi alla ricostruzione;</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provvede alla trattazione degli affari di competenza delle direzioni regionali cui non sono preposti assessori effettivi;</w:t>
      </w:r>
    </w:p>
    <w:p w:rsidR="009F77D6" w:rsidRPr="00C773C2" w:rsidRDefault="00827E04" w:rsidP="00827E04">
      <w:pPr>
        <w:pStyle w:val="Corpodeltesto"/>
        <w:numPr>
          <w:ilvl w:val="0"/>
          <w:numId w:val="21"/>
        </w:numPr>
        <w:rPr>
          <w:rFonts w:ascii="Arial" w:hAnsi="Arial" w:cs="Arial"/>
          <w:szCs w:val="24"/>
        </w:rPr>
      </w:pPr>
      <w:r w:rsidRPr="00C773C2">
        <w:rPr>
          <w:rFonts w:ascii="Arial" w:hAnsi="Arial" w:cs="Arial"/>
          <w:szCs w:val="24"/>
        </w:rPr>
        <w:t>può delegare agli assessori effettivi e ai supplenti la trattazione degli affari che riguardano le materie relative alla tutela delle minoranze linguistiche, degli uffici della Presidenza, nonché della ricostruzione.</w:t>
      </w:r>
    </w:p>
    <w:p w:rsidR="009F77D6" w:rsidRPr="00C773C2" w:rsidRDefault="00827E04">
      <w:pPr>
        <w:pStyle w:val="Corpodeltesto"/>
        <w:ind w:firstLine="567"/>
        <w:rPr>
          <w:rFonts w:ascii="Arial" w:hAnsi="Arial" w:cs="Arial"/>
          <w:szCs w:val="24"/>
        </w:rPr>
      </w:pPr>
      <w:r w:rsidRPr="00C773C2">
        <w:rPr>
          <w:rFonts w:ascii="Arial" w:hAnsi="Arial" w:cs="Arial"/>
          <w:szCs w:val="24"/>
        </w:rPr>
        <w:t>Gli atti della Regione sono firmati dal Presidente della Regione, o, per sua delega, dagli assessori effettivi e supplenti; nel decreto devono essere indicati gli atti amministrativi trasferiti alla competenza degli assessori, sia effettivi che supplenti.</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Poiché l’articolo 46 dello Statuto regionale, che disciplinava le funzioni e i compiti della regionale, è stato abrogato dall’articolo 5 della legge costituzionale 31 gennaio 2001, n. 2, per definire le funzioni della Giunta regionale nella nostra Regione occorre rifarsi all’articolo 121 della Costituzione, terzo comma, che dispone che la Giunta regionale è l’organo esecutivo della Regione. Gli </w:t>
      </w:r>
      <w:r w:rsidRPr="00C773C2">
        <w:rPr>
          <w:rFonts w:ascii="Arial" w:hAnsi="Arial" w:cs="Arial"/>
          <w:b/>
          <w:szCs w:val="24"/>
        </w:rPr>
        <w:t>assessori sono nominati e revocati dal Presidente della Regione</w:t>
      </w:r>
      <w:r w:rsidRPr="00C773C2">
        <w:rPr>
          <w:rFonts w:ascii="Arial" w:hAnsi="Arial" w:cs="Arial"/>
          <w:szCs w:val="24"/>
        </w:rPr>
        <w:t>; questi provvede anche all’assegnazione degli assessori ai singoli assessorati, o ad altri incarichi, determinando contestualmente la loro denominazione, in relazione agli incarichi assegnati. Il Presidente della Regione deve anche provvedere alla sostituzione degli assessori effettivi, in caso d’assenza o impedimento, con gli assessori supplenti.</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Per </w:t>
      </w:r>
      <w:r w:rsidRPr="00C773C2">
        <w:rPr>
          <w:rFonts w:ascii="Arial" w:hAnsi="Arial" w:cs="Arial"/>
          <w:b/>
          <w:szCs w:val="24"/>
        </w:rPr>
        <w:t>assessorato</w:t>
      </w:r>
      <w:r w:rsidRPr="00C773C2">
        <w:rPr>
          <w:rFonts w:ascii="Arial" w:hAnsi="Arial" w:cs="Arial"/>
          <w:szCs w:val="24"/>
        </w:rPr>
        <w:t xml:space="preserve"> si deve intendere il complesso degli uffici ai quali è preposto l’assessore; agli assessori sono attribuite le materie di competenza delle direzioni regionali cui sono preposti.</w:t>
      </w:r>
    </w:p>
    <w:p w:rsidR="009F77D6" w:rsidRPr="00C773C2" w:rsidRDefault="00827E04">
      <w:pPr>
        <w:pStyle w:val="Corpodeltesto"/>
        <w:ind w:firstLine="567"/>
        <w:rPr>
          <w:rFonts w:ascii="Arial" w:hAnsi="Arial" w:cs="Arial"/>
          <w:szCs w:val="24"/>
        </w:rPr>
      </w:pPr>
      <w:r w:rsidRPr="00C773C2">
        <w:rPr>
          <w:rFonts w:ascii="Arial" w:hAnsi="Arial" w:cs="Arial"/>
          <w:szCs w:val="24"/>
        </w:rPr>
        <w:t>Se, per qualsiasi motivo, un assessore cessi dalla carica, il Presidente della Regione esercita le funzioni già assegnategli, o, in alternativa, a designare a tale scopo un assessore supplente, sin quando non sarà nominato un nuovo assessore. Di questi provvedimenti il Presidente deve dare comunicazione al Presidente del Consiglio regionale che, a sua volta, deve informare il Consiglio stesso nella prima seduta successiva.</w:t>
      </w:r>
    </w:p>
    <w:p w:rsidR="009F77D6" w:rsidRPr="00C773C2" w:rsidRDefault="00827E04">
      <w:pPr>
        <w:spacing w:before="240" w:after="120"/>
        <w:jc w:val="center"/>
        <w:rPr>
          <w:rFonts w:ascii="Arial" w:hAnsi="Arial" w:cs="Arial"/>
          <w:b/>
          <w:szCs w:val="24"/>
        </w:rPr>
      </w:pPr>
      <w:r w:rsidRPr="00C773C2">
        <w:rPr>
          <w:rFonts w:ascii="Arial" w:hAnsi="Arial" w:cs="Arial"/>
          <w:b/>
          <w:szCs w:val="24"/>
        </w:rPr>
        <w:t>III</w:t>
      </w:r>
    </w:p>
    <w:p w:rsidR="009F77D6" w:rsidRPr="00C773C2" w:rsidRDefault="00827E04">
      <w:pPr>
        <w:spacing w:after="240"/>
        <w:jc w:val="center"/>
        <w:rPr>
          <w:rFonts w:ascii="Arial" w:hAnsi="Arial" w:cs="Arial"/>
          <w:b/>
          <w:caps/>
          <w:szCs w:val="24"/>
        </w:rPr>
      </w:pPr>
      <w:r w:rsidRPr="00C773C2">
        <w:rPr>
          <w:rFonts w:ascii="Arial" w:hAnsi="Arial" w:cs="Arial"/>
          <w:b/>
          <w:szCs w:val="24"/>
        </w:rPr>
        <w:t>GLI ORGANI DELLO STATO NELLA REGIONE</w:t>
      </w:r>
    </w:p>
    <w:p w:rsidR="009F77D6" w:rsidRPr="00C773C2" w:rsidRDefault="00827E04">
      <w:pPr>
        <w:spacing w:before="120" w:after="120"/>
        <w:jc w:val="center"/>
        <w:rPr>
          <w:rFonts w:ascii="Arial" w:hAnsi="Arial" w:cs="Arial"/>
          <w:b/>
          <w:szCs w:val="24"/>
        </w:rPr>
      </w:pPr>
      <w:r w:rsidRPr="00C773C2">
        <w:rPr>
          <w:rFonts w:ascii="Arial" w:hAnsi="Arial" w:cs="Arial"/>
          <w:b/>
          <w:szCs w:val="24"/>
        </w:rPr>
        <w:t>1. Il Commissario del Governo</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L’articolo 61 dello Statuto prevede che nella Regione sia istituito un </w:t>
      </w:r>
      <w:r w:rsidRPr="00C773C2">
        <w:rPr>
          <w:rFonts w:ascii="Arial" w:hAnsi="Arial" w:cs="Arial"/>
          <w:b/>
          <w:szCs w:val="24"/>
        </w:rPr>
        <w:t>Commissario del Governo</w:t>
      </w:r>
      <w:r w:rsidRPr="00C773C2">
        <w:rPr>
          <w:rFonts w:ascii="Arial" w:hAnsi="Arial" w:cs="Arial"/>
          <w:szCs w:val="24"/>
        </w:rPr>
        <w:t>, residente nel capoluogo della Regione stessa. Il Commissario del Governo deve essere un funzionario statale, con qualifica non inferiore a direttore generale (o equiparato), nominato con decreto del Presidente della Repubblica, su proposta del Presidente del Consiglio dei Ministri, di concerto con il Ministro per l’interno, e sentito lo stesso Consiglio dei Ministri.</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dello Statuto prevedeva che al Commissario del Governo fossero attribuite le seguenti funzioni:</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coordinare, in conformità alle direttive del Governo, l’esercizio delle attribuzioni dello Stato nella Regione;</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vigilare sull’esercizio, da parte della Regione, delle Province e dei Comuni, delle funzioni delegate dallo Stato;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lastRenderedPageBreak/>
        <w:t>comunicare eventuali rilievi inerenti la vigilanza di cui al punto precedente ai capi delle rispettive amministrazioni;</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essere tramite tra lo Stato e la Regione (con l’esclusione delle funzioni attribuite alle amministrazioni periferiche dello Stato);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gestione del fondo destinato alle esigenze del territorio di Trieste (articolo 70 dello Statuto);</w:t>
      </w:r>
    </w:p>
    <w:p w:rsidR="009F77D6" w:rsidRPr="00C773C2" w:rsidRDefault="00827E04" w:rsidP="00827E04">
      <w:pPr>
        <w:pStyle w:val="Corpodeltesto"/>
        <w:numPr>
          <w:ilvl w:val="0"/>
          <w:numId w:val="23"/>
        </w:numPr>
        <w:rPr>
          <w:rFonts w:ascii="Arial" w:hAnsi="Arial" w:cs="Arial"/>
          <w:szCs w:val="24"/>
        </w:rPr>
      </w:pPr>
      <w:r w:rsidRPr="00C773C2">
        <w:rPr>
          <w:rFonts w:ascii="Arial" w:hAnsi="Arial" w:cs="Arial"/>
          <w:szCs w:val="24"/>
        </w:rPr>
        <w:t>ricevere le leggi regionali approvate dal Consiglio regionale.</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124 della Costituzione, che prevedeva la figura del Commissario del Governo nelle Regioni a statuto ordinario, è stato abrogato. Pertanto, devono considerarsi abrogate, nella  Regione, tutte quelle funzioni del Commissario che siano incompatibili con il nuovo assetto paritario fra Stato e Regione. Sopravvivrebbero quindi solo le funzioni di raccordo fra attività amministrative statali e regionali; il mantenimento di questo organo, sia pure con un ruolo compatibile con il nuovo assetto costituzionale, è confermato anche dalla recente nomina del titolare, effettuata dal Governo.</w:t>
      </w:r>
    </w:p>
    <w:p w:rsidR="00C773C2" w:rsidRPr="00C773C2" w:rsidRDefault="00C773C2">
      <w:pPr>
        <w:pStyle w:val="Corpodeltesto"/>
        <w:ind w:firstLine="567"/>
        <w:rPr>
          <w:rFonts w:ascii="Arial" w:hAnsi="Arial" w:cs="Arial"/>
          <w:szCs w:val="24"/>
        </w:rPr>
      </w:pPr>
    </w:p>
    <w:p w:rsidR="00C773C2" w:rsidRPr="00C773C2" w:rsidRDefault="00C773C2" w:rsidP="00C773C2">
      <w:pPr>
        <w:pStyle w:val="Corpodeltesto"/>
        <w:ind w:firstLine="567"/>
        <w:jc w:val="left"/>
        <w:rPr>
          <w:rFonts w:ascii="Arial" w:hAnsi="Arial" w:cs="Arial"/>
          <w:szCs w:val="24"/>
        </w:rPr>
      </w:pPr>
      <w:r w:rsidRPr="00C773C2">
        <w:rPr>
          <w:rFonts w:ascii="Arial" w:hAnsi="Arial" w:cs="Arial"/>
          <w:color w:val="1C2024"/>
          <w:szCs w:val="24"/>
          <w:shd w:val="clear" w:color="auto" w:fill="FFFFFF"/>
        </w:rPr>
        <w:t xml:space="preserve">Le competenze </w:t>
      </w:r>
      <w:r w:rsidR="006A20DF">
        <w:rPr>
          <w:rFonts w:ascii="Arial" w:hAnsi="Arial" w:cs="Arial"/>
          <w:color w:val="1C2024"/>
          <w:szCs w:val="24"/>
          <w:shd w:val="clear" w:color="auto" w:fill="FFFFFF"/>
        </w:rPr>
        <w:t xml:space="preserve"> ODIERNE </w:t>
      </w:r>
      <w:r w:rsidRPr="00C773C2">
        <w:rPr>
          <w:rFonts w:ascii="Arial" w:hAnsi="Arial" w:cs="Arial"/>
          <w:color w:val="1C2024"/>
          <w:szCs w:val="24"/>
          <w:shd w:val="clear" w:color="auto" w:fill="FFFFFF"/>
        </w:rPr>
        <w:t>spettanti al Commissario del Governo nella Regione Friuli Venezia Giulia sono le seguenti:</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1.Competenze varie stabilite dall’art. 70 della legge costituzionale n. 1 del 31.1.1963 e dall’art. 13 della legge 23 agosto 1988 n. 400 ed in particolare, il Commissario del Governo:</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 Sovraintende alle funzioni esercitate dagli organi amministrativi decentrati dello Stato per assicurare a livello regionale l’unità e l’adeguatezza dell’azione amministrativa</w:t>
      </w:r>
      <w:r w:rsidRPr="00C773C2">
        <w:rPr>
          <w:rFonts w:ascii="Arial" w:hAnsi="Arial" w:cs="Arial"/>
          <w:color w:val="1C2024"/>
          <w:szCs w:val="24"/>
        </w:rPr>
        <w:br/>
      </w:r>
      <w:r w:rsidRPr="00C773C2">
        <w:rPr>
          <w:rFonts w:ascii="Arial" w:hAnsi="Arial" w:cs="Arial"/>
          <w:color w:val="1C2024"/>
          <w:szCs w:val="24"/>
          <w:shd w:val="clear" w:color="auto" w:fill="FFFFFF"/>
        </w:rPr>
        <w:t>- Coordina, d’intesa con il presidente della regione, secondo le rispettive competenze, le funzioni amministrative esercitate dallo Stato con quelle esercitate dalla regione, ai fini del buon andamento della Pubblica Amministrazione e del conseguimento degli obiettivi della programmazione e promuove tra i rappresentanti regionali e i funzionari delle amministrazioni statali decentrate riunioni periodiche che sono presiedute dal presidente della regione</w:t>
      </w:r>
      <w:r w:rsidRPr="00C773C2">
        <w:rPr>
          <w:rFonts w:ascii="Arial" w:hAnsi="Arial" w:cs="Arial"/>
          <w:color w:val="1C2024"/>
          <w:szCs w:val="24"/>
        </w:rPr>
        <w:br/>
      </w:r>
      <w:r w:rsidRPr="00C773C2">
        <w:rPr>
          <w:rFonts w:ascii="Arial" w:hAnsi="Arial" w:cs="Arial"/>
          <w:color w:val="1C2024"/>
          <w:szCs w:val="24"/>
          <w:shd w:val="clear" w:color="auto" w:fill="FFFFFF"/>
        </w:rPr>
        <w:t>- Provvede all’emanazione di provvedimenti afferenti il “Punto Franco” del Porto di Trieste</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2. Adempimenti connessi all’assegnazione e alla successiva gestione delle somme stanziate annualmente sul c.d. “FONDO TRIESTE”, secondo quanto previsto dalla legge n. 514 del 27 giugno 1955 e dall’ articolo 70 della legge costituzionale n. 1 del 31.1.1963</w:t>
      </w:r>
      <w:r w:rsidRPr="00C773C2">
        <w:rPr>
          <w:rFonts w:ascii="Arial" w:hAnsi="Arial" w:cs="Arial"/>
          <w:color w:val="1C2024"/>
          <w:szCs w:val="24"/>
        </w:rPr>
        <w:br/>
      </w:r>
      <w:r w:rsidRPr="00C773C2">
        <w:rPr>
          <w:rFonts w:ascii="Arial" w:hAnsi="Arial" w:cs="Arial"/>
          <w:color w:val="1C2024"/>
          <w:szCs w:val="24"/>
        </w:rPr>
        <w:br/>
      </w:r>
      <w:r w:rsidRPr="00C773C2">
        <w:rPr>
          <w:rFonts w:ascii="Arial" w:hAnsi="Arial" w:cs="Arial"/>
          <w:color w:val="1C2024"/>
          <w:szCs w:val="24"/>
          <w:shd w:val="clear" w:color="auto" w:fill="FFFFFF"/>
        </w:rPr>
        <w:t>3. Coordinamento e funzionamento dell’attività dello SPORTELLO UNICO STATALE PER GLI SLOVENI, al servizio degli enti convenzionati (Questura di Trieste, Ufficio Scolastico Regionale, Agenzia Regionale delle Entrate, Agenzia Regionale delle Dogane, Direzioni provinciali dell’INPS, dell’ INPDAP e dell’ INAIL e .l’ EQUITALIA) e della Prefettura di Trieste, costituito a fini di tutela delle minoranza linguistica slovena, secondo quanto stabilito dalla legge 23 aprile 2001, n. 38 e dal successivo D.P.R del 12.9.2007.</w:t>
      </w:r>
    </w:p>
    <w:p w:rsidR="009F77D6" w:rsidRPr="00C773C2" w:rsidRDefault="00827E04">
      <w:pPr>
        <w:spacing w:before="240" w:after="120"/>
        <w:jc w:val="center"/>
        <w:rPr>
          <w:rFonts w:ascii="Arial" w:hAnsi="Arial" w:cs="Arial"/>
          <w:b/>
          <w:szCs w:val="24"/>
        </w:rPr>
      </w:pPr>
      <w:r w:rsidRPr="00C773C2">
        <w:rPr>
          <w:rFonts w:ascii="Arial" w:hAnsi="Arial" w:cs="Arial"/>
          <w:b/>
          <w:szCs w:val="24"/>
        </w:rPr>
        <w:br w:type="page"/>
      </w:r>
      <w:r w:rsidRPr="00C773C2">
        <w:rPr>
          <w:rFonts w:ascii="Arial" w:hAnsi="Arial" w:cs="Arial"/>
          <w:b/>
          <w:szCs w:val="24"/>
        </w:rPr>
        <w:lastRenderedPageBreak/>
        <w:t>2. La Corte dei conti</w:t>
      </w:r>
    </w:p>
    <w:p w:rsidR="009F77D6" w:rsidRPr="00C773C2" w:rsidRDefault="00827E04">
      <w:pPr>
        <w:pStyle w:val="Corpodeltesto"/>
        <w:ind w:firstLine="567"/>
        <w:rPr>
          <w:rFonts w:ascii="Arial" w:hAnsi="Arial" w:cs="Arial"/>
          <w:szCs w:val="24"/>
        </w:rPr>
      </w:pPr>
      <w:r w:rsidRPr="00C773C2">
        <w:rPr>
          <w:rFonts w:ascii="Arial" w:hAnsi="Arial" w:cs="Arial"/>
          <w:szCs w:val="24"/>
        </w:rPr>
        <w:t>L’articolo 58 dello Statuto disponeva che il controllo di legittimità sugli atti amministrativi della Regione fosse esercitato, in conformità delle leggi dello Stato che disciplinano le attribuzioni della Corte dei conti, da una delegazione della Corte stessa, avente sede nel capoluogo della Regione.</w:t>
      </w:r>
    </w:p>
    <w:p w:rsidR="009F77D6" w:rsidRPr="00C773C2" w:rsidRDefault="00827E04">
      <w:pPr>
        <w:pStyle w:val="Corpodeltesto"/>
        <w:ind w:firstLine="567"/>
        <w:rPr>
          <w:rFonts w:ascii="Arial" w:hAnsi="Arial" w:cs="Arial"/>
          <w:szCs w:val="24"/>
        </w:rPr>
      </w:pPr>
      <w:r w:rsidRPr="00C773C2">
        <w:rPr>
          <w:rFonts w:ascii="Arial" w:hAnsi="Arial" w:cs="Arial"/>
          <w:szCs w:val="24"/>
        </w:rPr>
        <w:t xml:space="preserve">La recente modifica costituzionale ha innovato la materia anche nel settore dei controlli, e infatti, per adeguarsi ai nuovi rapporti Stato – Regione, è stato approvato il decreto legislativo 15 maggio 2003, n. 125, che ha modificato il precedente decreto del Presidente della Repubblica 25 novembre 1975, n. 902, in materia di funzioni di controllo della sezione regionale della Corte dei conti. L’articolo 3 di tale decreto dispone quindi che la </w:t>
      </w:r>
      <w:r w:rsidRPr="00C773C2">
        <w:rPr>
          <w:rFonts w:ascii="Arial" w:hAnsi="Arial" w:cs="Arial"/>
          <w:b/>
          <w:szCs w:val="24"/>
        </w:rPr>
        <w:t>sezione regionale di controllo</w:t>
      </w:r>
      <w:r w:rsidRPr="00C773C2">
        <w:rPr>
          <w:rFonts w:ascii="Arial" w:hAnsi="Arial" w:cs="Arial"/>
          <w:szCs w:val="24"/>
        </w:rPr>
        <w:t xml:space="preserve"> abbia i seguenti compiti: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controllare l’evoluzione della spesa per il personale, e certificare i contratti collettivi relativi al comparto unico regionale;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nell’ambito dei programmi annuali deliberati dalla sezione stessa, il controllo sulla gestione dell’amministrazione regionale e degli enti strumentali, ai fini del referto al Consiglio regionale;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sulla gestione degli enti locali territoriali e loro enti strumentali, per riferirne agli organi rappresentativi;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sulla gestione delle altre istituzioni pubbliche aventi sede nella regione, per riferirne agli organi rappresentativi;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valutare le deduzioni delle amministrazioni controllate;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esaminare i risultati dei controlli interni degli enti sopra citati;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verificare la gestione dei cofinanziamenti regionali per interventi sostenuti con fondi comunitari;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riferire annualmente al Consiglio regionale gli esiti del controllo sulle gestioni;</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assumere le decisioni in materia di parificazione del rendiconto generale della Regione;</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presentare al Consiglio regionale una dichiarazione in cui attesta l’affidabilità del conto e la legittimità e regolarità delle relative operazioni (esplicitando le modalità di verifica);</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valutare, a richiesta del Consiglio regionale, gli effetti finanziari delle norme legislative che comportino spese, riferendo al Consiglio stesso;</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rendere, a richiesta dell’amministrazione controllata, motivati avvisi sulle materie di contabilità pubblica;</w:t>
      </w:r>
    </w:p>
    <w:p w:rsidR="009F77D6" w:rsidRPr="00C773C2" w:rsidRDefault="00827E04" w:rsidP="00827E04">
      <w:pPr>
        <w:pStyle w:val="Corpodeltesto"/>
        <w:numPr>
          <w:ilvl w:val="0"/>
          <w:numId w:val="24"/>
        </w:numPr>
        <w:rPr>
          <w:rFonts w:ascii="Arial" w:hAnsi="Arial" w:cs="Arial"/>
          <w:szCs w:val="24"/>
        </w:rPr>
      </w:pPr>
      <w:r w:rsidRPr="00C773C2">
        <w:rPr>
          <w:rFonts w:ascii="Arial" w:hAnsi="Arial" w:cs="Arial"/>
          <w:szCs w:val="24"/>
        </w:rPr>
        <w:t>esercitare il controllo sugli atti e attività delle amministrazioni dello Stato aventi sede nella regione.</w:t>
      </w:r>
    </w:p>
    <w:p w:rsidR="009F77D6" w:rsidRPr="00C773C2" w:rsidRDefault="00827E04">
      <w:pPr>
        <w:pStyle w:val="Corpodeltesto"/>
        <w:ind w:firstLine="567"/>
        <w:rPr>
          <w:rFonts w:ascii="Arial" w:hAnsi="Arial" w:cs="Arial"/>
          <w:szCs w:val="24"/>
        </w:rPr>
      </w:pPr>
      <w:r w:rsidRPr="00C773C2">
        <w:rPr>
          <w:rFonts w:ascii="Arial" w:hAnsi="Arial" w:cs="Arial"/>
          <w:szCs w:val="24"/>
        </w:rPr>
        <w:t>La sezione di controllo è composta da un presidente di sezione e da quattro magistrati della Corte dei conti, due dei quali sono nominati su indicazione del Presidente della Regione. È previsto anche un ufficio distaccato di Udine, con il compito di espletare tutte le attività istruttorie riguardanti gli assessorati (sic!) della Regione che hanno sede a Udine.</w:t>
      </w:r>
    </w:p>
    <w:sectPr w:rsidR="009F77D6" w:rsidRPr="00C773C2" w:rsidSect="009F77D6">
      <w:footerReference w:type="even" r:id="rId7"/>
      <w:footerReference w:type="default" r:id="rId8"/>
      <w:type w:val="oddPage"/>
      <w:pgSz w:w="11907" w:h="16840" w:code="9"/>
      <w:pgMar w:top="1418" w:right="1134" w:bottom="1418" w:left="1134" w:header="1134" w:footer="1134" w:gutter="284"/>
      <w:paperSrc w:first="7" w:other="7"/>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07F" w:rsidRDefault="00D6307F">
      <w:r>
        <w:separator/>
      </w:r>
    </w:p>
  </w:endnote>
  <w:endnote w:type="continuationSeparator" w:id="0">
    <w:p w:rsidR="00D6307F" w:rsidRDefault="00D630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0A" w:rsidRDefault="00BE1CB4">
    <w:pPr>
      <w:pStyle w:val="Pidipagina"/>
      <w:framePr w:wrap="around" w:vAnchor="text" w:hAnchor="margin" w:xAlign="center" w:y="1"/>
      <w:rPr>
        <w:rStyle w:val="Numeropagina"/>
      </w:rPr>
    </w:pPr>
    <w:r>
      <w:rPr>
        <w:rStyle w:val="Numeropagina"/>
      </w:rPr>
      <w:fldChar w:fldCharType="begin"/>
    </w:r>
    <w:r w:rsidR="0069020A">
      <w:rPr>
        <w:rStyle w:val="Numeropagina"/>
      </w:rPr>
      <w:instrText xml:space="preserve">PAGE  </w:instrText>
    </w:r>
    <w:r>
      <w:rPr>
        <w:rStyle w:val="Numeropagina"/>
      </w:rPr>
      <w:fldChar w:fldCharType="separate"/>
    </w:r>
    <w:r w:rsidR="0069020A">
      <w:rPr>
        <w:rStyle w:val="Numeropagina"/>
        <w:noProof/>
      </w:rPr>
      <w:t>2</w:t>
    </w:r>
    <w:r>
      <w:rPr>
        <w:rStyle w:val="Numeropagina"/>
      </w:rPr>
      <w:fldChar w:fldCharType="end"/>
    </w:r>
  </w:p>
  <w:p w:rsidR="0069020A" w:rsidRDefault="0069020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20A" w:rsidRDefault="00BE1CB4">
    <w:pPr>
      <w:pStyle w:val="Pidipagina"/>
      <w:framePr w:wrap="around" w:vAnchor="text" w:hAnchor="margin" w:xAlign="center" w:y="1"/>
      <w:rPr>
        <w:rStyle w:val="Numeropagina"/>
      </w:rPr>
    </w:pPr>
    <w:r>
      <w:rPr>
        <w:rStyle w:val="Numeropagina"/>
      </w:rPr>
      <w:fldChar w:fldCharType="begin"/>
    </w:r>
    <w:r w:rsidR="0069020A">
      <w:rPr>
        <w:rStyle w:val="Numeropagina"/>
      </w:rPr>
      <w:instrText xml:space="preserve">PAGE  </w:instrText>
    </w:r>
    <w:r>
      <w:rPr>
        <w:rStyle w:val="Numeropagina"/>
      </w:rPr>
      <w:fldChar w:fldCharType="separate"/>
    </w:r>
    <w:r w:rsidR="00365658">
      <w:rPr>
        <w:rStyle w:val="Numeropagina"/>
        <w:noProof/>
      </w:rPr>
      <w:t>12</w:t>
    </w:r>
    <w:r>
      <w:rPr>
        <w:rStyle w:val="Numeropagina"/>
      </w:rPr>
      <w:fldChar w:fldCharType="end"/>
    </w:r>
  </w:p>
  <w:p w:rsidR="0069020A" w:rsidRDefault="0069020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07F" w:rsidRDefault="00D6307F">
      <w:r>
        <w:separator/>
      </w:r>
    </w:p>
  </w:footnote>
  <w:footnote w:type="continuationSeparator" w:id="0">
    <w:p w:rsidR="00D6307F" w:rsidRDefault="00D630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C1BE3"/>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
    <w:nsid w:val="07382A41"/>
    <w:multiLevelType w:val="singleLevel"/>
    <w:tmpl w:val="183AD892"/>
    <w:lvl w:ilvl="0">
      <w:start w:val="1"/>
      <w:numFmt w:val="upperRoman"/>
      <w:lvlText w:val="%1."/>
      <w:lvlJc w:val="left"/>
      <w:pPr>
        <w:tabs>
          <w:tab w:val="num" w:pos="1287"/>
        </w:tabs>
        <w:ind w:left="567" w:firstLine="0"/>
      </w:pPr>
      <w:rPr>
        <w:rFonts w:hint="default"/>
      </w:rPr>
    </w:lvl>
  </w:abstractNum>
  <w:abstractNum w:abstractNumId="2">
    <w:nsid w:val="12021B72"/>
    <w:multiLevelType w:val="singleLevel"/>
    <w:tmpl w:val="66BC9652"/>
    <w:lvl w:ilvl="0">
      <w:start w:val="1"/>
      <w:numFmt w:val="decimal"/>
      <w:lvlText w:val="%1."/>
      <w:lvlJc w:val="left"/>
      <w:pPr>
        <w:tabs>
          <w:tab w:val="num" w:pos="927"/>
        </w:tabs>
        <w:ind w:left="567" w:firstLine="0"/>
      </w:pPr>
    </w:lvl>
  </w:abstractNum>
  <w:abstractNum w:abstractNumId="3">
    <w:nsid w:val="128354A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
    <w:nsid w:val="1405418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5">
    <w:nsid w:val="159D4D8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6">
    <w:nsid w:val="15BB489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7">
    <w:nsid w:val="16711F1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8">
    <w:nsid w:val="168E0AE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9">
    <w:nsid w:val="183E2BC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0">
    <w:nsid w:val="185640AE"/>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1">
    <w:nsid w:val="200105FB"/>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2">
    <w:nsid w:val="24E4096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3">
    <w:nsid w:val="26B4089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4">
    <w:nsid w:val="31A6773E"/>
    <w:multiLevelType w:val="singleLevel"/>
    <w:tmpl w:val="41129BE8"/>
    <w:lvl w:ilvl="0">
      <w:start w:val="1"/>
      <w:numFmt w:val="decimal"/>
      <w:lvlText w:val="%1."/>
      <w:lvlJc w:val="left"/>
      <w:pPr>
        <w:tabs>
          <w:tab w:val="num" w:pos="927"/>
        </w:tabs>
        <w:ind w:left="567" w:firstLine="0"/>
      </w:pPr>
    </w:lvl>
  </w:abstractNum>
  <w:abstractNum w:abstractNumId="15">
    <w:nsid w:val="322A291B"/>
    <w:multiLevelType w:val="hybridMultilevel"/>
    <w:tmpl w:val="6D28EFF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35390122"/>
    <w:multiLevelType w:val="singleLevel"/>
    <w:tmpl w:val="02AA8E7A"/>
    <w:lvl w:ilvl="0">
      <w:start w:val="1"/>
      <w:numFmt w:val="decimal"/>
      <w:lvlText w:val="%1."/>
      <w:lvlJc w:val="left"/>
      <w:pPr>
        <w:tabs>
          <w:tab w:val="num" w:pos="927"/>
        </w:tabs>
        <w:ind w:left="567" w:firstLine="0"/>
      </w:pPr>
    </w:lvl>
  </w:abstractNum>
  <w:abstractNum w:abstractNumId="17">
    <w:nsid w:val="396E7F2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18">
    <w:nsid w:val="3A6B498D"/>
    <w:multiLevelType w:val="hybridMultilevel"/>
    <w:tmpl w:val="DC181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AE51A1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0">
    <w:nsid w:val="3B3D506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1">
    <w:nsid w:val="3F9A27C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2">
    <w:nsid w:val="419E16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3">
    <w:nsid w:val="4770554F"/>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4">
    <w:nsid w:val="4B77615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5">
    <w:nsid w:val="4CEF2CC7"/>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6">
    <w:nsid w:val="54AA49E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27">
    <w:nsid w:val="552E06FE"/>
    <w:multiLevelType w:val="hybridMultilevel"/>
    <w:tmpl w:val="F60E18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53636EB"/>
    <w:multiLevelType w:val="multilevel"/>
    <w:tmpl w:val="3F26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62219C"/>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0">
    <w:nsid w:val="57A75B0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1">
    <w:nsid w:val="589E7319"/>
    <w:multiLevelType w:val="singleLevel"/>
    <w:tmpl w:val="89E24874"/>
    <w:lvl w:ilvl="0">
      <w:start w:val="1"/>
      <w:numFmt w:val="decimal"/>
      <w:lvlText w:val="%1."/>
      <w:lvlJc w:val="left"/>
      <w:pPr>
        <w:tabs>
          <w:tab w:val="num" w:pos="927"/>
        </w:tabs>
        <w:ind w:left="567" w:firstLine="0"/>
      </w:pPr>
    </w:lvl>
  </w:abstractNum>
  <w:abstractNum w:abstractNumId="32">
    <w:nsid w:val="58AF7219"/>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3">
    <w:nsid w:val="5E302A8B"/>
    <w:multiLevelType w:val="multilevel"/>
    <w:tmpl w:val="AE10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327BB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5">
    <w:nsid w:val="634347C7"/>
    <w:multiLevelType w:val="multilevel"/>
    <w:tmpl w:val="ABBC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0F1787"/>
    <w:multiLevelType w:val="multilevel"/>
    <w:tmpl w:val="7CFE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8B65B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8">
    <w:nsid w:val="6896016A"/>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39">
    <w:nsid w:val="6A8D6C6D"/>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0">
    <w:nsid w:val="77E97262"/>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1">
    <w:nsid w:val="7843670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2">
    <w:nsid w:val="7A9045F4"/>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3">
    <w:nsid w:val="7BCB6F68"/>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4">
    <w:nsid w:val="7CA04851"/>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abstractNum w:abstractNumId="45">
    <w:nsid w:val="7E887058"/>
    <w:multiLevelType w:val="singleLevel"/>
    <w:tmpl w:val="89E24874"/>
    <w:lvl w:ilvl="0">
      <w:start w:val="1"/>
      <w:numFmt w:val="decimal"/>
      <w:lvlText w:val="%1."/>
      <w:lvlJc w:val="left"/>
      <w:pPr>
        <w:tabs>
          <w:tab w:val="num" w:pos="927"/>
        </w:tabs>
        <w:ind w:left="567" w:firstLine="0"/>
      </w:pPr>
    </w:lvl>
  </w:abstractNum>
  <w:abstractNum w:abstractNumId="46">
    <w:nsid w:val="7FC20E50"/>
    <w:multiLevelType w:val="singleLevel"/>
    <w:tmpl w:val="C008800E"/>
    <w:lvl w:ilvl="0">
      <w:start w:val="1"/>
      <w:numFmt w:val="bullet"/>
      <w:lvlText w:val="♦"/>
      <w:lvlJc w:val="left"/>
      <w:pPr>
        <w:tabs>
          <w:tab w:val="num" w:pos="927"/>
        </w:tabs>
        <w:ind w:left="567" w:firstLine="0"/>
      </w:pPr>
      <w:rPr>
        <w:rFonts w:ascii="Times New Roman" w:hAnsi="Times New Roman" w:hint="default"/>
        <w:sz w:val="22"/>
      </w:rPr>
    </w:lvl>
  </w:abstractNum>
  <w:num w:numId="1">
    <w:abstractNumId w:val="2"/>
  </w:num>
  <w:num w:numId="2">
    <w:abstractNumId w:val="14"/>
  </w:num>
  <w:num w:numId="3">
    <w:abstractNumId w:val="16"/>
  </w:num>
  <w:num w:numId="4">
    <w:abstractNumId w:val="45"/>
  </w:num>
  <w:num w:numId="5">
    <w:abstractNumId w:val="31"/>
  </w:num>
  <w:num w:numId="6">
    <w:abstractNumId w:val="1"/>
  </w:num>
  <w:num w:numId="7">
    <w:abstractNumId w:val="46"/>
  </w:num>
  <w:num w:numId="8">
    <w:abstractNumId w:val="29"/>
  </w:num>
  <w:num w:numId="9">
    <w:abstractNumId w:val="7"/>
  </w:num>
  <w:num w:numId="10">
    <w:abstractNumId w:val="38"/>
  </w:num>
  <w:num w:numId="11">
    <w:abstractNumId w:val="39"/>
  </w:num>
  <w:num w:numId="12">
    <w:abstractNumId w:val="37"/>
  </w:num>
  <w:num w:numId="13">
    <w:abstractNumId w:val="19"/>
  </w:num>
  <w:num w:numId="14">
    <w:abstractNumId w:val="3"/>
  </w:num>
  <w:num w:numId="15">
    <w:abstractNumId w:val="25"/>
  </w:num>
  <w:num w:numId="16">
    <w:abstractNumId w:val="10"/>
  </w:num>
  <w:num w:numId="17">
    <w:abstractNumId w:val="11"/>
  </w:num>
  <w:num w:numId="18">
    <w:abstractNumId w:val="13"/>
  </w:num>
  <w:num w:numId="19">
    <w:abstractNumId w:val="12"/>
  </w:num>
  <w:num w:numId="20">
    <w:abstractNumId w:val="9"/>
  </w:num>
  <w:num w:numId="21">
    <w:abstractNumId w:val="40"/>
  </w:num>
  <w:num w:numId="22">
    <w:abstractNumId w:val="43"/>
  </w:num>
  <w:num w:numId="23">
    <w:abstractNumId w:val="20"/>
  </w:num>
  <w:num w:numId="24">
    <w:abstractNumId w:val="17"/>
  </w:num>
  <w:num w:numId="25">
    <w:abstractNumId w:val="44"/>
  </w:num>
  <w:num w:numId="26">
    <w:abstractNumId w:val="8"/>
  </w:num>
  <w:num w:numId="27">
    <w:abstractNumId w:val="42"/>
  </w:num>
  <w:num w:numId="28">
    <w:abstractNumId w:val="5"/>
  </w:num>
  <w:num w:numId="29">
    <w:abstractNumId w:val="23"/>
  </w:num>
  <w:num w:numId="30">
    <w:abstractNumId w:val="0"/>
  </w:num>
  <w:num w:numId="31">
    <w:abstractNumId w:val="41"/>
  </w:num>
  <w:num w:numId="32">
    <w:abstractNumId w:val="34"/>
  </w:num>
  <w:num w:numId="33">
    <w:abstractNumId w:val="32"/>
  </w:num>
  <w:num w:numId="34">
    <w:abstractNumId w:val="26"/>
  </w:num>
  <w:num w:numId="35">
    <w:abstractNumId w:val="30"/>
  </w:num>
  <w:num w:numId="36">
    <w:abstractNumId w:val="21"/>
  </w:num>
  <w:num w:numId="37">
    <w:abstractNumId w:val="24"/>
  </w:num>
  <w:num w:numId="38">
    <w:abstractNumId w:val="22"/>
  </w:num>
  <w:num w:numId="39">
    <w:abstractNumId w:val="4"/>
  </w:num>
  <w:num w:numId="40">
    <w:abstractNumId w:val="6"/>
  </w:num>
  <w:num w:numId="41">
    <w:abstractNumId w:val="28"/>
  </w:num>
  <w:num w:numId="42">
    <w:abstractNumId w:val="35"/>
  </w:num>
  <w:num w:numId="43">
    <w:abstractNumId w:val="36"/>
  </w:num>
  <w:num w:numId="44">
    <w:abstractNumId w:val="33"/>
  </w:num>
  <w:num w:numId="45">
    <w:abstractNumId w:val="15"/>
  </w:num>
  <w:num w:numId="46">
    <w:abstractNumId w:val="18"/>
  </w:num>
  <w:num w:numId="47">
    <w:abstractNumId w:val="2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oNotTrackMove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E04"/>
    <w:rsid w:val="00040863"/>
    <w:rsid w:val="000550EE"/>
    <w:rsid w:val="00080AF6"/>
    <w:rsid w:val="000810E3"/>
    <w:rsid w:val="000C2172"/>
    <w:rsid w:val="000E0B98"/>
    <w:rsid w:val="001402DB"/>
    <w:rsid w:val="00144CD2"/>
    <w:rsid w:val="002274DB"/>
    <w:rsid w:val="002803ED"/>
    <w:rsid w:val="002B689D"/>
    <w:rsid w:val="002B71A8"/>
    <w:rsid w:val="00303681"/>
    <w:rsid w:val="00334595"/>
    <w:rsid w:val="00342C91"/>
    <w:rsid w:val="00344313"/>
    <w:rsid w:val="00365658"/>
    <w:rsid w:val="00384236"/>
    <w:rsid w:val="003F293A"/>
    <w:rsid w:val="00446DE2"/>
    <w:rsid w:val="004A3C74"/>
    <w:rsid w:val="004B431C"/>
    <w:rsid w:val="004D7F91"/>
    <w:rsid w:val="00610B4B"/>
    <w:rsid w:val="006816EA"/>
    <w:rsid w:val="0069020A"/>
    <w:rsid w:val="006A20DF"/>
    <w:rsid w:val="006A3838"/>
    <w:rsid w:val="006A739A"/>
    <w:rsid w:val="006A7D13"/>
    <w:rsid w:val="006E4727"/>
    <w:rsid w:val="007D3492"/>
    <w:rsid w:val="00827E04"/>
    <w:rsid w:val="008E49B1"/>
    <w:rsid w:val="00937177"/>
    <w:rsid w:val="009562D1"/>
    <w:rsid w:val="009C3836"/>
    <w:rsid w:val="009E430E"/>
    <w:rsid w:val="009E498D"/>
    <w:rsid w:val="009E6815"/>
    <w:rsid w:val="009F77D6"/>
    <w:rsid w:val="00B760D6"/>
    <w:rsid w:val="00BE1CB4"/>
    <w:rsid w:val="00C70E3F"/>
    <w:rsid w:val="00C73CE9"/>
    <w:rsid w:val="00C773C2"/>
    <w:rsid w:val="00CF66C9"/>
    <w:rsid w:val="00D17AD8"/>
    <w:rsid w:val="00D6307F"/>
    <w:rsid w:val="00E7114E"/>
    <w:rsid w:val="00E74ECA"/>
    <w:rsid w:val="00EE31DA"/>
    <w:rsid w:val="00F16815"/>
    <w:rsid w:val="00F93E5D"/>
    <w:rsid w:val="00FA3C6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F77D6"/>
    <w:rPr>
      <w:sz w:val="24"/>
    </w:rPr>
  </w:style>
  <w:style w:type="paragraph" w:styleId="Titolo4">
    <w:name w:val="heading 4"/>
    <w:basedOn w:val="Normale"/>
    <w:link w:val="Titolo4Carattere"/>
    <w:uiPriority w:val="9"/>
    <w:qFormat/>
    <w:rsid w:val="006A739A"/>
    <w:pPr>
      <w:spacing w:before="100" w:beforeAutospacing="1" w:after="100" w:afterAutospacing="1"/>
      <w:outlineLvl w:val="3"/>
    </w:pPr>
    <w:rPr>
      <w:b/>
      <w:bCs/>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9F77D6"/>
    <w:pPr>
      <w:jc w:val="center"/>
    </w:pPr>
    <w:rPr>
      <w:b/>
      <w:sz w:val="32"/>
    </w:rPr>
  </w:style>
  <w:style w:type="paragraph" w:styleId="Testonotaapidipagina">
    <w:name w:val="footnote text"/>
    <w:basedOn w:val="Normale"/>
    <w:semiHidden/>
    <w:rsid w:val="009F77D6"/>
    <w:rPr>
      <w:color w:val="000000"/>
      <w:sz w:val="20"/>
    </w:rPr>
  </w:style>
  <w:style w:type="character" w:styleId="Rimandonotaapidipagina">
    <w:name w:val="footnote reference"/>
    <w:basedOn w:val="Carpredefinitoparagrafo"/>
    <w:semiHidden/>
    <w:rsid w:val="009F77D6"/>
    <w:rPr>
      <w:vertAlign w:val="superscript"/>
    </w:rPr>
  </w:style>
  <w:style w:type="paragraph" w:styleId="Rientrocorpodeltesto">
    <w:name w:val="Body Text Indent"/>
    <w:basedOn w:val="Normale"/>
    <w:semiHidden/>
    <w:rsid w:val="009F77D6"/>
    <w:pPr>
      <w:ind w:firstLine="567"/>
      <w:jc w:val="both"/>
    </w:pPr>
  </w:style>
  <w:style w:type="paragraph" w:styleId="Corpodeltesto">
    <w:name w:val="Body Text"/>
    <w:basedOn w:val="Normale"/>
    <w:semiHidden/>
    <w:rsid w:val="009F77D6"/>
    <w:pPr>
      <w:jc w:val="both"/>
    </w:pPr>
  </w:style>
  <w:style w:type="paragraph" w:styleId="Corpodeltesto2">
    <w:name w:val="Body Text 2"/>
    <w:basedOn w:val="Normale"/>
    <w:semiHidden/>
    <w:rsid w:val="009F77D6"/>
    <w:pPr>
      <w:spacing w:before="240" w:after="5040"/>
      <w:jc w:val="center"/>
    </w:pPr>
    <w:rPr>
      <w:sz w:val="22"/>
    </w:rPr>
  </w:style>
  <w:style w:type="paragraph" w:styleId="Pidipagina">
    <w:name w:val="footer"/>
    <w:basedOn w:val="Normale"/>
    <w:semiHidden/>
    <w:rsid w:val="009F77D6"/>
    <w:pPr>
      <w:tabs>
        <w:tab w:val="center" w:pos="4819"/>
        <w:tab w:val="right" w:pos="9638"/>
      </w:tabs>
    </w:pPr>
  </w:style>
  <w:style w:type="character" w:styleId="Numeropagina">
    <w:name w:val="page number"/>
    <w:basedOn w:val="Carpredefinitoparagrafo"/>
    <w:semiHidden/>
    <w:rsid w:val="009F77D6"/>
  </w:style>
  <w:style w:type="paragraph" w:styleId="Sottotitolo">
    <w:name w:val="Subtitle"/>
    <w:basedOn w:val="Normale"/>
    <w:qFormat/>
    <w:rsid w:val="009F77D6"/>
    <w:pPr>
      <w:spacing w:before="120" w:after="120"/>
      <w:jc w:val="center"/>
    </w:pPr>
    <w:rPr>
      <w:b/>
      <w:color w:val="000000"/>
      <w:sz w:val="28"/>
    </w:rPr>
  </w:style>
  <w:style w:type="paragraph" w:styleId="Rientrocorpodeltesto2">
    <w:name w:val="Body Text Indent 2"/>
    <w:basedOn w:val="Normale"/>
    <w:semiHidden/>
    <w:rsid w:val="009F77D6"/>
    <w:pPr>
      <w:ind w:firstLine="567"/>
      <w:jc w:val="both"/>
    </w:pPr>
    <w:rPr>
      <w:b/>
    </w:rPr>
  </w:style>
  <w:style w:type="paragraph" w:styleId="Intestazione">
    <w:name w:val="header"/>
    <w:basedOn w:val="Normale"/>
    <w:link w:val="IntestazioneCarattere"/>
    <w:uiPriority w:val="99"/>
    <w:semiHidden/>
    <w:unhideWhenUsed/>
    <w:rsid w:val="00E7114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7114E"/>
    <w:rPr>
      <w:sz w:val="24"/>
    </w:rPr>
  </w:style>
  <w:style w:type="character" w:styleId="Collegamentoipertestuale">
    <w:name w:val="Hyperlink"/>
    <w:basedOn w:val="Carpredefinitoparagrafo"/>
    <w:uiPriority w:val="99"/>
    <w:semiHidden/>
    <w:unhideWhenUsed/>
    <w:rsid w:val="00446DE2"/>
    <w:rPr>
      <w:color w:val="0000FF"/>
      <w:u w:val="single"/>
    </w:rPr>
  </w:style>
  <w:style w:type="paragraph" w:styleId="NormaleWeb">
    <w:name w:val="Normal (Web)"/>
    <w:basedOn w:val="Normale"/>
    <w:uiPriority w:val="99"/>
    <w:unhideWhenUsed/>
    <w:rsid w:val="00446DE2"/>
    <w:pPr>
      <w:spacing w:before="100" w:beforeAutospacing="1" w:after="100" w:afterAutospacing="1"/>
    </w:pPr>
    <w:rPr>
      <w:szCs w:val="24"/>
    </w:rPr>
  </w:style>
  <w:style w:type="paragraph" w:styleId="Nessunaspaziatura">
    <w:name w:val="No Spacing"/>
    <w:uiPriority w:val="1"/>
    <w:qFormat/>
    <w:rsid w:val="000E0B98"/>
    <w:rPr>
      <w:sz w:val="24"/>
    </w:rPr>
  </w:style>
  <w:style w:type="character" w:customStyle="1" w:styleId="Titolo4Carattere">
    <w:name w:val="Titolo 4 Carattere"/>
    <w:basedOn w:val="Carpredefinitoparagrafo"/>
    <w:link w:val="Titolo4"/>
    <w:uiPriority w:val="9"/>
    <w:rsid w:val="006A739A"/>
    <w:rPr>
      <w:b/>
      <w:bCs/>
      <w:sz w:val="24"/>
      <w:szCs w:val="24"/>
    </w:rPr>
  </w:style>
  <w:style w:type="character" w:customStyle="1" w:styleId="mw-headline">
    <w:name w:val="mw-headline"/>
    <w:basedOn w:val="Carpredefinitoparagrafo"/>
    <w:rsid w:val="00303681"/>
  </w:style>
  <w:style w:type="character" w:customStyle="1" w:styleId="mw-editsection">
    <w:name w:val="mw-editsection"/>
    <w:basedOn w:val="Carpredefinitoparagrafo"/>
    <w:rsid w:val="00303681"/>
  </w:style>
  <w:style w:type="character" w:customStyle="1" w:styleId="mw-editsection-bracket">
    <w:name w:val="mw-editsection-bracket"/>
    <w:basedOn w:val="Carpredefinitoparagrafo"/>
    <w:rsid w:val="00303681"/>
  </w:style>
  <w:style w:type="character" w:customStyle="1" w:styleId="mw-editsection-divider">
    <w:name w:val="mw-editsection-divider"/>
    <w:basedOn w:val="Carpredefinitoparagrafo"/>
    <w:rsid w:val="00303681"/>
  </w:style>
</w:styles>
</file>

<file path=word/webSettings.xml><?xml version="1.0" encoding="utf-8"?>
<w:webSettings xmlns:r="http://schemas.openxmlformats.org/officeDocument/2006/relationships" xmlns:w="http://schemas.openxmlformats.org/wordprocessingml/2006/main">
  <w:divs>
    <w:div w:id="151140418">
      <w:bodyDiv w:val="1"/>
      <w:marLeft w:val="0"/>
      <w:marRight w:val="0"/>
      <w:marTop w:val="0"/>
      <w:marBottom w:val="0"/>
      <w:divBdr>
        <w:top w:val="none" w:sz="0" w:space="0" w:color="auto"/>
        <w:left w:val="none" w:sz="0" w:space="0" w:color="auto"/>
        <w:bottom w:val="none" w:sz="0" w:space="0" w:color="auto"/>
        <w:right w:val="none" w:sz="0" w:space="0" w:color="auto"/>
      </w:divBdr>
    </w:div>
    <w:div w:id="381100297">
      <w:bodyDiv w:val="1"/>
      <w:marLeft w:val="0"/>
      <w:marRight w:val="0"/>
      <w:marTop w:val="0"/>
      <w:marBottom w:val="0"/>
      <w:divBdr>
        <w:top w:val="none" w:sz="0" w:space="0" w:color="auto"/>
        <w:left w:val="none" w:sz="0" w:space="0" w:color="auto"/>
        <w:bottom w:val="none" w:sz="0" w:space="0" w:color="auto"/>
        <w:right w:val="none" w:sz="0" w:space="0" w:color="auto"/>
      </w:divBdr>
    </w:div>
    <w:div w:id="408694360">
      <w:bodyDiv w:val="1"/>
      <w:marLeft w:val="0"/>
      <w:marRight w:val="0"/>
      <w:marTop w:val="0"/>
      <w:marBottom w:val="0"/>
      <w:divBdr>
        <w:top w:val="none" w:sz="0" w:space="0" w:color="auto"/>
        <w:left w:val="none" w:sz="0" w:space="0" w:color="auto"/>
        <w:bottom w:val="none" w:sz="0" w:space="0" w:color="auto"/>
        <w:right w:val="none" w:sz="0" w:space="0" w:color="auto"/>
      </w:divBdr>
    </w:div>
    <w:div w:id="629015443">
      <w:bodyDiv w:val="1"/>
      <w:marLeft w:val="0"/>
      <w:marRight w:val="0"/>
      <w:marTop w:val="0"/>
      <w:marBottom w:val="0"/>
      <w:divBdr>
        <w:top w:val="none" w:sz="0" w:space="0" w:color="auto"/>
        <w:left w:val="none" w:sz="0" w:space="0" w:color="auto"/>
        <w:bottom w:val="none" w:sz="0" w:space="0" w:color="auto"/>
        <w:right w:val="none" w:sz="0" w:space="0" w:color="auto"/>
      </w:divBdr>
    </w:div>
    <w:div w:id="1160777701">
      <w:bodyDiv w:val="1"/>
      <w:marLeft w:val="0"/>
      <w:marRight w:val="0"/>
      <w:marTop w:val="0"/>
      <w:marBottom w:val="0"/>
      <w:divBdr>
        <w:top w:val="none" w:sz="0" w:space="0" w:color="auto"/>
        <w:left w:val="none" w:sz="0" w:space="0" w:color="auto"/>
        <w:bottom w:val="none" w:sz="0" w:space="0" w:color="auto"/>
        <w:right w:val="none" w:sz="0" w:space="0" w:color="auto"/>
      </w:divBdr>
    </w:div>
    <w:div w:id="153434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11393</Words>
  <Characters>68208</Characters>
  <Application>Microsoft Office Word</Application>
  <DocSecurity>0</DocSecurity>
  <Lines>568</Lines>
  <Paragraphs>158</Paragraphs>
  <ScaleCrop>false</ScaleCrop>
  <HeadingPairs>
    <vt:vector size="2" baseType="variant">
      <vt:variant>
        <vt:lpstr>Titolo</vt:lpstr>
      </vt:variant>
      <vt:variant>
        <vt:i4>1</vt:i4>
      </vt:variant>
    </vt:vector>
  </HeadingPairs>
  <TitlesOfParts>
    <vt:vector size="1" baseType="lpstr">
      <vt:lpstr>ORDINAMENTO DELLA REGIONE FRIULI VENEZIA GIULIA</vt:lpstr>
    </vt:vector>
  </TitlesOfParts>
  <Company>Regione Autonoma F-VG</Company>
  <LinksUpToDate>false</LinksUpToDate>
  <CharactersWithSpaces>79443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ORDINAMENTO DELLA REGIONE FRIULI VENEZIA GIULIA</dc:title>
  <dc:subject/>
  <dc:creator>Consiglio Regionale</dc:creator>
  <cp:keywords/>
  <dc:description/>
  <cp:lastModifiedBy>Windows User</cp:lastModifiedBy>
  <cp:revision>2</cp:revision>
  <cp:lastPrinted>2004-02-13T10:27:00Z</cp:lastPrinted>
  <dcterms:created xsi:type="dcterms:W3CDTF">2021-11-06T19:47:00Z</dcterms:created>
  <dcterms:modified xsi:type="dcterms:W3CDTF">2021-11-06T19:47:00Z</dcterms:modified>
</cp:coreProperties>
</file>