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95151"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ORDINAMENTO  COMUNALE</w:t>
      </w:r>
      <w:proofErr w:type="gramEnd"/>
    </w:p>
    <w:p w14:paraId="7E918DED" w14:textId="4B0CEC2D"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 xml:space="preserve">I comuni hanno autonomia statutaria, normativa, organizzativa e amministrativa. Essi hanno anche autonomia impositiva e finanziaria nell’ambito dei propri </w:t>
      </w:r>
      <w:proofErr w:type="gramStart"/>
      <w:r w:rsidRPr="00F703B6">
        <w:rPr>
          <w:rFonts w:ascii="Arial" w:hAnsi="Arial" w:cs="Arial"/>
          <w:sz w:val="24"/>
          <w:szCs w:val="24"/>
        </w:rPr>
        <w:t>statuti  e</w:t>
      </w:r>
      <w:proofErr w:type="gramEnd"/>
      <w:r w:rsidRPr="00F703B6">
        <w:rPr>
          <w:rFonts w:ascii="Arial" w:hAnsi="Arial" w:cs="Arial"/>
          <w:sz w:val="24"/>
          <w:szCs w:val="24"/>
        </w:rPr>
        <w:t xml:space="preserve"> regolamenti e delle leggi di coordinamento della finanza pubblica.</w:t>
      </w:r>
    </w:p>
    <w:p w14:paraId="30FEC6E4" w14:textId="575CC03E"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 xml:space="preserve">Quello che </w:t>
      </w:r>
      <w:proofErr w:type="gramStart"/>
      <w:r w:rsidRPr="00F703B6">
        <w:rPr>
          <w:rFonts w:ascii="Arial" w:hAnsi="Arial" w:cs="Arial"/>
          <w:sz w:val="24"/>
          <w:szCs w:val="24"/>
        </w:rPr>
        <w:t>risulta  anche</w:t>
      </w:r>
      <w:proofErr w:type="gramEnd"/>
      <w:r w:rsidRPr="00F703B6">
        <w:rPr>
          <w:rFonts w:ascii="Arial" w:hAnsi="Arial" w:cs="Arial"/>
          <w:sz w:val="24"/>
          <w:szCs w:val="24"/>
        </w:rPr>
        <w:t xml:space="preserve"> da una prima lettura del TU è che i comuni hanno funzioni proprie, e funzioni che sono loro conferite attraverso leggi dello Stato e  delle regioni.</w:t>
      </w:r>
    </w:p>
    <w:p w14:paraId="3920F42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Con la revisione del titolo V della Costituzione la materia ha incontrato una nuova disciplina, soprattutto con l’art. 117 e 118 nel quale si afferma che le regioni organizzano l’esercizio delle funzioni amministrative a livello locale attraverso i comuni e le province le città metropolitane .Sono organi di governo del Comune, il Consiglio, il Sindaco, la giunta comunale.I comuni hanno funzioni proprie e funzioni conferite loro con legge dello Stato e della regione, in attuazione del principio di sussidarietà. Le regioni, fermo restando le funzioni inerenti al carattere unitario del territorio, conferiscono l’esercizio delle funzioni amministrative. La regione indica gli obiettivi generali della programmazione economico-sociale e territoriale e su questi ripartisce le risorse. I comuni concorrono alla determinazione degli obiettivi contenuti nei piani e nei programmi dello stato e delle regioni. </w:t>
      </w:r>
    </w:p>
    <w:p w14:paraId="4043D935" w14:textId="77777777" w:rsidR="003B55D9" w:rsidRPr="00554893" w:rsidRDefault="003B55D9" w:rsidP="0082786C">
      <w:pPr>
        <w:spacing w:line="360" w:lineRule="auto"/>
        <w:rPr>
          <w:rFonts w:ascii="Arial" w:hAnsi="Arial" w:cs="Arial"/>
          <w:b/>
          <w:sz w:val="24"/>
          <w:szCs w:val="24"/>
        </w:rPr>
      </w:pPr>
    </w:p>
    <w:p w14:paraId="05F099F4"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FUNZIONI COMUNALI</w:t>
      </w:r>
    </w:p>
    <w:p w14:paraId="7A4ED4FE" w14:textId="348616EF"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Organizzazione delle funzioni</w:t>
      </w:r>
    </w:p>
    <w:p w14:paraId="3D4E0CAF" w14:textId="5DCEA48E"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 xml:space="preserve">gestione del </w:t>
      </w:r>
      <w:proofErr w:type="spellStart"/>
      <w:proofErr w:type="gramStart"/>
      <w:r w:rsidRPr="00F703B6">
        <w:rPr>
          <w:rFonts w:ascii="Arial" w:hAnsi="Arial" w:cs="Arial"/>
          <w:sz w:val="24"/>
          <w:szCs w:val="24"/>
        </w:rPr>
        <w:t>personale,controllo</w:t>
      </w:r>
      <w:proofErr w:type="spellEnd"/>
      <w:proofErr w:type="gramEnd"/>
      <w:r w:rsidRPr="00F703B6">
        <w:rPr>
          <w:rFonts w:ascii="Arial" w:hAnsi="Arial" w:cs="Arial"/>
          <w:sz w:val="24"/>
          <w:szCs w:val="24"/>
        </w:rPr>
        <w:t xml:space="preserve"> </w:t>
      </w:r>
      <w:proofErr w:type="spellStart"/>
      <w:r w:rsidRPr="00F703B6">
        <w:rPr>
          <w:rFonts w:ascii="Arial" w:hAnsi="Arial" w:cs="Arial"/>
          <w:sz w:val="24"/>
          <w:szCs w:val="24"/>
        </w:rPr>
        <w:t>interno,gestione</w:t>
      </w:r>
      <w:proofErr w:type="spellEnd"/>
      <w:r w:rsidRPr="00F703B6">
        <w:rPr>
          <w:rFonts w:ascii="Arial" w:hAnsi="Arial" w:cs="Arial"/>
          <w:sz w:val="24"/>
          <w:szCs w:val="24"/>
        </w:rPr>
        <w:t xml:space="preserve"> finanziaria e contabile</w:t>
      </w:r>
    </w:p>
    <w:p w14:paraId="76496B84" w14:textId="46017F93"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vigilanza e controllo</w:t>
      </w:r>
    </w:p>
    <w:p w14:paraId="79AE8DE7" w14:textId="03398431"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servizi pubblici di interesse comunale</w:t>
      </w:r>
    </w:p>
    <w:p w14:paraId="3886C6F0" w14:textId="26889C74" w:rsidR="003B55D9" w:rsidRPr="00F703B6" w:rsidRDefault="003B55D9">
      <w:pPr>
        <w:pStyle w:val="Paragrafoelenco"/>
        <w:numPr>
          <w:ilvl w:val="0"/>
          <w:numId w:val="21"/>
        </w:numPr>
        <w:spacing w:line="360" w:lineRule="auto"/>
        <w:rPr>
          <w:rFonts w:ascii="Arial" w:hAnsi="Arial" w:cs="Arial"/>
          <w:sz w:val="24"/>
          <w:szCs w:val="24"/>
        </w:rPr>
      </w:pPr>
      <w:r w:rsidRPr="00F703B6">
        <w:rPr>
          <w:rFonts w:ascii="Arial" w:hAnsi="Arial" w:cs="Arial"/>
          <w:sz w:val="24"/>
          <w:szCs w:val="24"/>
        </w:rPr>
        <w:t xml:space="preserve">attività </w:t>
      </w:r>
      <w:proofErr w:type="spellStart"/>
      <w:proofErr w:type="gramStart"/>
      <w:r w:rsidRPr="00F703B6">
        <w:rPr>
          <w:rFonts w:ascii="Arial" w:hAnsi="Arial" w:cs="Arial"/>
          <w:sz w:val="24"/>
          <w:szCs w:val="24"/>
        </w:rPr>
        <w:t>commerciali,attività</w:t>
      </w:r>
      <w:proofErr w:type="spellEnd"/>
      <w:proofErr w:type="gramEnd"/>
      <w:r w:rsidRPr="00F703B6">
        <w:rPr>
          <w:rFonts w:ascii="Arial" w:hAnsi="Arial" w:cs="Arial"/>
          <w:sz w:val="24"/>
          <w:szCs w:val="24"/>
        </w:rPr>
        <w:t xml:space="preserve"> </w:t>
      </w:r>
      <w:proofErr w:type="spellStart"/>
      <w:r w:rsidRPr="00F703B6">
        <w:rPr>
          <w:rFonts w:ascii="Arial" w:hAnsi="Arial" w:cs="Arial"/>
          <w:sz w:val="24"/>
          <w:szCs w:val="24"/>
        </w:rPr>
        <w:t>produttive,edilizia,pianificazione</w:t>
      </w:r>
      <w:proofErr w:type="spellEnd"/>
      <w:r w:rsidRPr="00F703B6">
        <w:rPr>
          <w:rFonts w:ascii="Arial" w:hAnsi="Arial" w:cs="Arial"/>
          <w:sz w:val="24"/>
          <w:szCs w:val="24"/>
        </w:rPr>
        <w:t xml:space="preserve"> </w:t>
      </w:r>
      <w:proofErr w:type="spellStart"/>
      <w:r w:rsidRPr="00F703B6">
        <w:rPr>
          <w:rFonts w:ascii="Arial" w:hAnsi="Arial" w:cs="Arial"/>
          <w:sz w:val="24"/>
          <w:szCs w:val="24"/>
        </w:rPr>
        <w:t>urbnistica</w:t>
      </w:r>
      <w:proofErr w:type="spellEnd"/>
    </w:p>
    <w:p w14:paraId="258AADF2" w14:textId="223C80C7" w:rsidR="003B55D9" w:rsidRPr="00F703B6" w:rsidRDefault="00F703B6">
      <w:pPr>
        <w:pStyle w:val="Paragrafoelenco"/>
        <w:numPr>
          <w:ilvl w:val="0"/>
          <w:numId w:val="22"/>
        </w:numPr>
        <w:spacing w:line="360" w:lineRule="auto"/>
        <w:rPr>
          <w:rFonts w:ascii="Arial" w:hAnsi="Arial" w:cs="Arial"/>
          <w:sz w:val="24"/>
          <w:szCs w:val="24"/>
        </w:rPr>
      </w:pPr>
      <w:r>
        <w:rPr>
          <w:rFonts w:ascii="Arial" w:hAnsi="Arial" w:cs="Arial"/>
          <w:sz w:val="24"/>
          <w:szCs w:val="24"/>
        </w:rPr>
        <w:t>S</w:t>
      </w:r>
      <w:r w:rsidR="003B55D9" w:rsidRPr="00F703B6">
        <w:rPr>
          <w:rFonts w:ascii="Arial" w:hAnsi="Arial" w:cs="Arial"/>
          <w:sz w:val="24"/>
          <w:szCs w:val="24"/>
        </w:rPr>
        <w:t xml:space="preserve">trade comunali e circolazione stradale </w:t>
      </w:r>
      <w:proofErr w:type="gramStart"/>
      <w:r w:rsidR="003B55D9" w:rsidRPr="00F703B6">
        <w:rPr>
          <w:rFonts w:ascii="Arial" w:hAnsi="Arial" w:cs="Arial"/>
          <w:sz w:val="24"/>
          <w:szCs w:val="24"/>
        </w:rPr>
        <w:t>urbana,trasporti</w:t>
      </w:r>
      <w:proofErr w:type="gramEnd"/>
      <w:r w:rsidR="003B55D9" w:rsidRPr="00F703B6">
        <w:rPr>
          <w:rFonts w:ascii="Arial" w:hAnsi="Arial" w:cs="Arial"/>
          <w:sz w:val="24"/>
          <w:szCs w:val="24"/>
        </w:rPr>
        <w:t xml:space="preserve">, servizi sociali,edilizia scolastica e </w:t>
      </w:r>
      <w:r w:rsidR="0079415A" w:rsidRPr="00F703B6">
        <w:rPr>
          <w:rFonts w:ascii="Arial" w:hAnsi="Arial" w:cs="Arial"/>
          <w:sz w:val="24"/>
          <w:szCs w:val="24"/>
        </w:rPr>
        <w:t xml:space="preserve">    </w:t>
      </w:r>
      <w:r w:rsidR="003B55D9" w:rsidRPr="00F703B6">
        <w:rPr>
          <w:rFonts w:ascii="Arial" w:hAnsi="Arial" w:cs="Arial"/>
          <w:sz w:val="24"/>
          <w:szCs w:val="24"/>
        </w:rPr>
        <w:t>asili nido</w:t>
      </w:r>
    </w:p>
    <w:p w14:paraId="543FDEB3" w14:textId="0CECB2C6" w:rsidR="003B55D9" w:rsidRPr="00F703B6" w:rsidRDefault="003B55D9">
      <w:pPr>
        <w:pStyle w:val="Paragrafoelenco"/>
        <w:numPr>
          <w:ilvl w:val="0"/>
          <w:numId w:val="22"/>
        </w:numPr>
        <w:spacing w:line="360" w:lineRule="auto"/>
        <w:rPr>
          <w:rFonts w:ascii="Arial" w:hAnsi="Arial" w:cs="Arial"/>
          <w:sz w:val="24"/>
          <w:szCs w:val="24"/>
        </w:rPr>
      </w:pPr>
      <w:proofErr w:type="spellStart"/>
      <w:proofErr w:type="gramStart"/>
      <w:r w:rsidRPr="00F703B6">
        <w:rPr>
          <w:rFonts w:ascii="Arial" w:hAnsi="Arial" w:cs="Arial"/>
          <w:sz w:val="24"/>
          <w:szCs w:val="24"/>
        </w:rPr>
        <w:t>teatri,musei</w:t>
      </w:r>
      <w:proofErr w:type="spellEnd"/>
      <w:proofErr w:type="gramEnd"/>
      <w:r w:rsidRPr="00F703B6">
        <w:rPr>
          <w:rFonts w:ascii="Arial" w:hAnsi="Arial" w:cs="Arial"/>
          <w:sz w:val="24"/>
          <w:szCs w:val="24"/>
        </w:rPr>
        <w:t>, pinacoteche</w:t>
      </w:r>
    </w:p>
    <w:p w14:paraId="314F654D" w14:textId="53412E1D" w:rsidR="003B55D9" w:rsidRPr="00F703B6" w:rsidRDefault="003B55D9">
      <w:pPr>
        <w:pStyle w:val="Paragrafoelenco"/>
        <w:numPr>
          <w:ilvl w:val="0"/>
          <w:numId w:val="22"/>
        </w:numPr>
        <w:spacing w:line="360" w:lineRule="auto"/>
        <w:rPr>
          <w:rFonts w:ascii="Arial" w:hAnsi="Arial" w:cs="Arial"/>
          <w:sz w:val="24"/>
          <w:szCs w:val="24"/>
        </w:rPr>
      </w:pPr>
      <w:r w:rsidRPr="00F703B6">
        <w:rPr>
          <w:rFonts w:ascii="Arial" w:hAnsi="Arial" w:cs="Arial"/>
          <w:sz w:val="24"/>
          <w:szCs w:val="24"/>
        </w:rPr>
        <w:t>sicurezza urbana, protezione civile</w:t>
      </w:r>
    </w:p>
    <w:p w14:paraId="4DEE0081" w14:textId="28BB5B0E" w:rsidR="003B55D9" w:rsidRPr="00F703B6" w:rsidRDefault="003B55D9">
      <w:pPr>
        <w:pStyle w:val="Paragrafoelenco"/>
        <w:numPr>
          <w:ilvl w:val="0"/>
          <w:numId w:val="22"/>
        </w:numPr>
        <w:spacing w:line="360" w:lineRule="auto"/>
        <w:rPr>
          <w:rFonts w:ascii="Arial" w:hAnsi="Arial" w:cs="Arial"/>
          <w:sz w:val="24"/>
          <w:szCs w:val="24"/>
        </w:rPr>
      </w:pPr>
      <w:r w:rsidRPr="00F703B6">
        <w:rPr>
          <w:rFonts w:ascii="Arial" w:hAnsi="Arial" w:cs="Arial"/>
          <w:sz w:val="24"/>
          <w:szCs w:val="24"/>
        </w:rPr>
        <w:t>accertamenti illeciti amministrativi</w:t>
      </w:r>
    </w:p>
    <w:p w14:paraId="3E964448" w14:textId="015E0AB8" w:rsidR="003B55D9" w:rsidRPr="00F703B6" w:rsidRDefault="003B55D9">
      <w:pPr>
        <w:pStyle w:val="Paragrafoelenco"/>
        <w:numPr>
          <w:ilvl w:val="0"/>
          <w:numId w:val="22"/>
        </w:numPr>
        <w:spacing w:line="360" w:lineRule="auto"/>
        <w:rPr>
          <w:rFonts w:ascii="Arial" w:hAnsi="Arial" w:cs="Arial"/>
          <w:sz w:val="24"/>
          <w:szCs w:val="24"/>
        </w:rPr>
      </w:pPr>
      <w:r w:rsidRPr="00F703B6">
        <w:rPr>
          <w:rFonts w:ascii="Arial" w:hAnsi="Arial" w:cs="Arial"/>
          <w:sz w:val="24"/>
          <w:szCs w:val="24"/>
        </w:rPr>
        <w:t>polizia municipale</w:t>
      </w:r>
    </w:p>
    <w:p w14:paraId="25C65BD2" w14:textId="2999AFE7" w:rsidR="003B55D9" w:rsidRPr="00F703B6" w:rsidRDefault="003B55D9">
      <w:pPr>
        <w:pStyle w:val="Paragrafoelenco"/>
        <w:numPr>
          <w:ilvl w:val="0"/>
          <w:numId w:val="22"/>
        </w:numPr>
        <w:spacing w:line="360" w:lineRule="auto"/>
        <w:rPr>
          <w:rFonts w:ascii="Arial" w:hAnsi="Arial" w:cs="Arial"/>
          <w:sz w:val="24"/>
          <w:szCs w:val="24"/>
        </w:rPr>
      </w:pPr>
      <w:r w:rsidRPr="00F703B6">
        <w:rPr>
          <w:rFonts w:ascii="Arial" w:hAnsi="Arial" w:cs="Arial"/>
          <w:sz w:val="24"/>
          <w:szCs w:val="24"/>
        </w:rPr>
        <w:t>tenuta registri stato civile</w:t>
      </w:r>
    </w:p>
    <w:p w14:paraId="45BD3CB7" w14:textId="77777777" w:rsidR="003B55D9" w:rsidRPr="00554893" w:rsidRDefault="003B55D9" w:rsidP="0082786C">
      <w:pPr>
        <w:spacing w:line="360" w:lineRule="auto"/>
        <w:rPr>
          <w:rFonts w:ascii="Arial" w:hAnsi="Arial" w:cs="Arial"/>
          <w:sz w:val="24"/>
          <w:szCs w:val="24"/>
        </w:rPr>
      </w:pPr>
    </w:p>
    <w:p w14:paraId="07CEFF8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 comuni adottano un proprio statuto. Questo stabilisce le norme fondamentali dell’organizzazione dell’ente e, specifica le attribuzioni degli organi e le forme di garanzia e di partecipazione delle minoranze, i modi di esercizio della rappresentanza legale dell’ente, anche in giudizio.</w:t>
      </w:r>
    </w:p>
    <w:p w14:paraId="2B2D25EC" w14:textId="77777777" w:rsidR="003B55D9" w:rsidRPr="00554893" w:rsidRDefault="003B55D9" w:rsidP="0082786C">
      <w:pPr>
        <w:spacing w:line="360" w:lineRule="auto"/>
        <w:rPr>
          <w:rFonts w:ascii="Arial" w:hAnsi="Arial" w:cs="Arial"/>
          <w:sz w:val="24"/>
          <w:szCs w:val="24"/>
        </w:rPr>
      </w:pPr>
    </w:p>
    <w:p w14:paraId="7E14A6B2"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deliberato dal C.c. con il voto favorevole dei 2/3 dei c.c. Quando questa maggioranza non è ottenuta, la votazione è ripetuta in successive sedute da tenersi entro 30 giorni e lo statuto è approvato se ottiene per due volte il voto favorevole della maggioranza assoluta dei c.c. </w:t>
      </w:r>
    </w:p>
    <w:p w14:paraId="794C044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Dopo il controllo del CORECO</w:t>
      </w:r>
      <w:r w:rsidR="0079415A" w:rsidRPr="00554893">
        <w:rPr>
          <w:rFonts w:ascii="Arial" w:hAnsi="Arial" w:cs="Arial"/>
          <w:sz w:val="24"/>
          <w:szCs w:val="24"/>
        </w:rPr>
        <w:t xml:space="preserve"> (abrogato)</w:t>
      </w:r>
      <w:r w:rsidRPr="00554893">
        <w:rPr>
          <w:rFonts w:ascii="Arial" w:hAnsi="Arial" w:cs="Arial"/>
          <w:sz w:val="24"/>
          <w:szCs w:val="24"/>
        </w:rPr>
        <w:t xml:space="preserve"> è pubblicato sul bollettino ufficiale della regione, affisso nell’albo pretorio del comune e 30 giorni consecutivi e inviato al Ministero dell’Interno che lo inserirà nella raccolta ufficiale degli statuti. A quel punto entrerà in vigore trascorsi 30 giorni dalla sua affissione nell’albo pretorio </w:t>
      </w:r>
    </w:p>
    <w:p w14:paraId="744E181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Sono organi di governo della provincia il consiglio, la giunta, il presidente</w:t>
      </w:r>
    </w:p>
    <w:p w14:paraId="72FF6958" w14:textId="77777777" w:rsidR="003B55D9" w:rsidRPr="00554893" w:rsidRDefault="003B55D9" w:rsidP="0082786C">
      <w:pPr>
        <w:spacing w:line="360" w:lineRule="auto"/>
        <w:rPr>
          <w:rFonts w:ascii="Arial" w:hAnsi="Arial" w:cs="Arial"/>
          <w:sz w:val="24"/>
          <w:szCs w:val="24"/>
        </w:rPr>
      </w:pPr>
    </w:p>
    <w:p w14:paraId="4B795552" w14:textId="77777777" w:rsidR="003B55D9" w:rsidRPr="00554893" w:rsidRDefault="003B55D9" w:rsidP="0082786C">
      <w:pPr>
        <w:spacing w:line="360" w:lineRule="auto"/>
        <w:rPr>
          <w:rFonts w:ascii="Arial" w:hAnsi="Arial" w:cs="Arial"/>
          <w:b/>
          <w:sz w:val="24"/>
          <w:szCs w:val="24"/>
        </w:rPr>
      </w:pPr>
      <w:proofErr w:type="gramStart"/>
      <w:r w:rsidRPr="00554893">
        <w:rPr>
          <w:rFonts w:ascii="Arial" w:hAnsi="Arial" w:cs="Arial"/>
          <w:b/>
          <w:sz w:val="24"/>
          <w:szCs w:val="24"/>
        </w:rPr>
        <w:t>CONSIGLIO  COMUNALE</w:t>
      </w:r>
      <w:proofErr w:type="gramEnd"/>
    </w:p>
    <w:p w14:paraId="08CB0A7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w:t>
      </w:r>
      <w:proofErr w:type="gramStart"/>
      <w:r w:rsidRPr="00554893">
        <w:rPr>
          <w:rFonts w:ascii="Arial" w:hAnsi="Arial" w:cs="Arial"/>
          <w:sz w:val="24"/>
          <w:szCs w:val="24"/>
        </w:rPr>
        <w:t>Consiglio  è</w:t>
      </w:r>
      <w:proofErr w:type="gramEnd"/>
      <w:r w:rsidRPr="00554893">
        <w:rPr>
          <w:rFonts w:ascii="Arial" w:hAnsi="Arial" w:cs="Arial"/>
          <w:sz w:val="24"/>
          <w:szCs w:val="24"/>
        </w:rPr>
        <w:t xml:space="preserve"> un Organo collegiale ed elettivo che rimane in carica per cinque anni. Esercita le funzioni di indirizzo e di controllo politico-</w:t>
      </w:r>
      <w:proofErr w:type="gramStart"/>
      <w:r w:rsidRPr="00554893">
        <w:rPr>
          <w:rFonts w:ascii="Arial" w:hAnsi="Arial" w:cs="Arial"/>
          <w:sz w:val="24"/>
          <w:szCs w:val="24"/>
        </w:rPr>
        <w:t>amministrativo..</w:t>
      </w:r>
      <w:proofErr w:type="gramEnd"/>
      <w:r w:rsidRPr="00554893">
        <w:rPr>
          <w:rFonts w:ascii="Arial" w:hAnsi="Arial" w:cs="Arial"/>
          <w:sz w:val="24"/>
          <w:szCs w:val="24"/>
        </w:rPr>
        <w:t>(art. 42 L.267/00)</w:t>
      </w:r>
    </w:p>
    <w:p w14:paraId="3E386399" w14:textId="6B8F9F3A" w:rsidR="00554893" w:rsidRPr="00554893" w:rsidRDefault="00554893" w:rsidP="00554893">
      <w:pPr>
        <w:shd w:val="clear" w:color="auto" w:fill="FFFFFF"/>
        <w:spacing w:before="120" w:after="120" w:line="240" w:lineRule="auto"/>
        <w:rPr>
          <w:rFonts w:ascii="Arial" w:eastAsia="Times New Roman" w:hAnsi="Arial" w:cs="Arial"/>
          <w:color w:val="202122"/>
          <w:sz w:val="24"/>
          <w:szCs w:val="24"/>
          <w:lang w:eastAsia="it-IT"/>
        </w:rPr>
      </w:pPr>
      <w:r w:rsidRPr="00554893">
        <w:rPr>
          <w:rFonts w:ascii="Arial" w:eastAsia="Times New Roman" w:hAnsi="Arial" w:cs="Arial"/>
          <w:color w:val="202122"/>
          <w:sz w:val="24"/>
          <w:szCs w:val="24"/>
          <w:lang w:eastAsia="it-IT"/>
        </w:rPr>
        <w:t xml:space="preserve">Il Consiglio comunale è composto dal Sindaco e da un numero variabile di consiglieri in funzione del numero di abitanti del Comune. A seguito delle modifiche legislative avvenute nel corso degli anni dal 2010 al 2014, i Consigli comunali delle regioni a statuto ordinario risultano composti dal Sindaco e dal seguente numero di consiglieri comunali: </w:t>
      </w:r>
    </w:p>
    <w:p w14:paraId="1451C278" w14:textId="7FDC5BEB"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48</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1.000.000</w:t>
      </w:r>
      <w:r w:rsidRPr="00554893">
        <w:rPr>
          <w:rFonts w:ascii="Arial" w:eastAsia="Times New Roman" w:hAnsi="Arial" w:cs="Arial"/>
          <w:color w:val="202122"/>
          <w:sz w:val="24"/>
          <w:szCs w:val="24"/>
          <w:lang w:eastAsia="it-IT"/>
        </w:rPr>
        <w:t> abitanti (Roma e Milano);</w:t>
      </w:r>
    </w:p>
    <w:p w14:paraId="1F9E3FED" w14:textId="43BF3D48"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40</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500.000</w:t>
      </w:r>
      <w:r w:rsidRPr="00554893">
        <w:rPr>
          <w:rFonts w:ascii="Arial" w:eastAsia="Times New Roman" w:hAnsi="Arial" w:cs="Arial"/>
          <w:color w:val="202122"/>
          <w:sz w:val="24"/>
          <w:szCs w:val="24"/>
          <w:lang w:eastAsia="it-IT"/>
        </w:rPr>
        <w:t> abitanti;</w:t>
      </w:r>
    </w:p>
    <w:p w14:paraId="150721C5" w14:textId="1A9ED730"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36</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250.000</w:t>
      </w:r>
      <w:r w:rsidRPr="00554893">
        <w:rPr>
          <w:rFonts w:ascii="Arial" w:eastAsia="Times New Roman" w:hAnsi="Arial" w:cs="Arial"/>
          <w:color w:val="202122"/>
          <w:sz w:val="24"/>
          <w:szCs w:val="24"/>
          <w:lang w:eastAsia="it-IT"/>
        </w:rPr>
        <w:t> abitanti;</w:t>
      </w:r>
    </w:p>
    <w:p w14:paraId="4DA73EA9" w14:textId="5AB212B8"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32</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100.000</w:t>
      </w:r>
      <w:r w:rsidRPr="00554893">
        <w:rPr>
          <w:rFonts w:ascii="Arial" w:eastAsia="Times New Roman" w:hAnsi="Arial" w:cs="Arial"/>
          <w:color w:val="202122"/>
          <w:sz w:val="24"/>
          <w:szCs w:val="24"/>
          <w:lang w:eastAsia="it-IT"/>
        </w:rPr>
        <w:t> abitanti o che siano capoluoghi di provincia</w:t>
      </w:r>
      <w:hyperlink r:id="rId5" w:anchor="cite_note-12" w:history="1">
        <w:r w:rsidRPr="00554893">
          <w:rPr>
            <w:rFonts w:ascii="Arial" w:eastAsia="Times New Roman" w:hAnsi="Arial" w:cs="Arial"/>
            <w:color w:val="0645AD"/>
            <w:sz w:val="24"/>
            <w:szCs w:val="24"/>
            <w:u w:val="single"/>
            <w:vertAlign w:val="superscript"/>
            <w:lang w:eastAsia="it-IT"/>
          </w:rPr>
          <w:t>[12]</w:t>
        </w:r>
      </w:hyperlink>
      <w:r w:rsidRPr="00554893">
        <w:rPr>
          <w:rFonts w:ascii="Arial" w:eastAsia="Times New Roman" w:hAnsi="Arial" w:cs="Arial"/>
          <w:color w:val="202122"/>
          <w:sz w:val="24"/>
          <w:szCs w:val="24"/>
          <w:lang w:eastAsia="it-IT"/>
        </w:rPr>
        <w:t>;</w:t>
      </w:r>
    </w:p>
    <w:p w14:paraId="241BA6CC" w14:textId="7C850537"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24</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30.000</w:t>
      </w:r>
      <w:r w:rsidRPr="00554893">
        <w:rPr>
          <w:rFonts w:ascii="Arial" w:eastAsia="Times New Roman" w:hAnsi="Arial" w:cs="Arial"/>
          <w:color w:val="202122"/>
          <w:sz w:val="24"/>
          <w:szCs w:val="24"/>
          <w:lang w:eastAsia="it-IT"/>
        </w:rPr>
        <w:t> abitanti;</w:t>
      </w:r>
    </w:p>
    <w:p w14:paraId="53DAABF0" w14:textId="16261029"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16</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10.000</w:t>
      </w:r>
      <w:r w:rsidRPr="00554893">
        <w:rPr>
          <w:rFonts w:ascii="Arial" w:eastAsia="Times New Roman" w:hAnsi="Arial" w:cs="Arial"/>
          <w:color w:val="202122"/>
          <w:sz w:val="24"/>
          <w:szCs w:val="24"/>
          <w:lang w:eastAsia="it-IT"/>
        </w:rPr>
        <w:t> abitanti;</w:t>
      </w:r>
    </w:p>
    <w:p w14:paraId="0702E923" w14:textId="63655227"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12</w:t>
      </w:r>
      <w:r w:rsidRPr="00554893">
        <w:rPr>
          <w:rFonts w:ascii="Arial" w:eastAsia="Times New Roman" w:hAnsi="Arial" w:cs="Arial"/>
          <w:color w:val="202122"/>
          <w:sz w:val="24"/>
          <w:szCs w:val="24"/>
          <w:lang w:eastAsia="it-IT"/>
        </w:rPr>
        <w:t> nei comuni con popolazione pari o superiore ai </w:t>
      </w:r>
      <w:r w:rsidRPr="00554893">
        <w:rPr>
          <w:rFonts w:ascii="Arial" w:eastAsia="Times New Roman" w:hAnsi="Arial" w:cs="Arial"/>
          <w:b/>
          <w:bCs/>
          <w:color w:val="202122"/>
          <w:sz w:val="24"/>
          <w:szCs w:val="24"/>
          <w:lang w:eastAsia="it-IT"/>
        </w:rPr>
        <w:t>3.000</w:t>
      </w:r>
      <w:r w:rsidRPr="00554893">
        <w:rPr>
          <w:rFonts w:ascii="Arial" w:eastAsia="Times New Roman" w:hAnsi="Arial" w:cs="Arial"/>
          <w:color w:val="202122"/>
          <w:sz w:val="24"/>
          <w:szCs w:val="24"/>
          <w:lang w:eastAsia="it-IT"/>
        </w:rPr>
        <w:t> abitanti;</w:t>
      </w:r>
    </w:p>
    <w:p w14:paraId="15B69A1E" w14:textId="2B908C5B" w:rsidR="00554893" w:rsidRPr="00554893" w:rsidRDefault="00554893">
      <w:pPr>
        <w:numPr>
          <w:ilvl w:val="0"/>
          <w:numId w:val="20"/>
        </w:numPr>
        <w:shd w:val="clear" w:color="auto" w:fill="FFFFFF"/>
        <w:spacing w:before="100" w:beforeAutospacing="1" w:after="24" w:line="240" w:lineRule="auto"/>
        <w:ind w:left="1104"/>
        <w:rPr>
          <w:rFonts w:ascii="Arial" w:eastAsia="Times New Roman" w:hAnsi="Arial" w:cs="Arial"/>
          <w:color w:val="202122"/>
          <w:sz w:val="24"/>
          <w:szCs w:val="24"/>
          <w:lang w:eastAsia="it-IT"/>
        </w:rPr>
      </w:pPr>
      <w:r w:rsidRPr="00554893">
        <w:rPr>
          <w:rFonts w:ascii="Arial" w:eastAsia="Times New Roman" w:hAnsi="Arial" w:cs="Arial"/>
          <w:b/>
          <w:bCs/>
          <w:color w:val="202122"/>
          <w:sz w:val="24"/>
          <w:szCs w:val="24"/>
          <w:lang w:eastAsia="it-IT"/>
        </w:rPr>
        <w:t>10</w:t>
      </w:r>
      <w:r w:rsidRPr="00554893">
        <w:rPr>
          <w:rFonts w:ascii="Arial" w:eastAsia="Times New Roman" w:hAnsi="Arial" w:cs="Arial"/>
          <w:color w:val="202122"/>
          <w:sz w:val="24"/>
          <w:szCs w:val="24"/>
          <w:lang w:eastAsia="it-IT"/>
        </w:rPr>
        <w:t> nei comuni con popolazione inferiore ai </w:t>
      </w:r>
      <w:r w:rsidRPr="00554893">
        <w:rPr>
          <w:rFonts w:ascii="Arial" w:eastAsia="Times New Roman" w:hAnsi="Arial" w:cs="Arial"/>
          <w:b/>
          <w:bCs/>
          <w:color w:val="202122"/>
          <w:sz w:val="24"/>
          <w:szCs w:val="24"/>
          <w:lang w:eastAsia="it-IT"/>
        </w:rPr>
        <w:t>3.000</w:t>
      </w:r>
      <w:r w:rsidRPr="00554893">
        <w:rPr>
          <w:rFonts w:ascii="Arial" w:eastAsia="Times New Roman" w:hAnsi="Arial" w:cs="Arial"/>
          <w:color w:val="202122"/>
          <w:sz w:val="24"/>
          <w:szCs w:val="24"/>
          <w:lang w:eastAsia="it-IT"/>
        </w:rPr>
        <w:t> abitanti;</w:t>
      </w:r>
    </w:p>
    <w:p w14:paraId="6F8804AD" w14:textId="77777777" w:rsidR="00554893" w:rsidRPr="00554893" w:rsidRDefault="00554893" w:rsidP="005F2916">
      <w:pPr>
        <w:pStyle w:val="NormaleWeb"/>
        <w:shd w:val="clear" w:color="auto" w:fill="FFFFFF"/>
        <w:spacing w:before="0" w:beforeAutospacing="0" w:after="360" w:afterAutospacing="0" w:line="360" w:lineRule="atLeast"/>
        <w:rPr>
          <w:rStyle w:val="Enfasigrassetto"/>
          <w:rFonts w:ascii="Arial" w:hAnsi="Arial" w:cs="Arial"/>
          <w:color w:val="222222"/>
        </w:rPr>
      </w:pPr>
    </w:p>
    <w:p w14:paraId="3998D519" w14:textId="505532BB" w:rsidR="005F2916" w:rsidRPr="00554893" w:rsidRDefault="005F2916" w:rsidP="005F2916">
      <w:pPr>
        <w:pStyle w:val="NormaleWeb"/>
        <w:shd w:val="clear" w:color="auto" w:fill="FFFFFF"/>
        <w:spacing w:before="0" w:beforeAutospacing="0" w:after="360" w:afterAutospacing="0" w:line="360" w:lineRule="atLeast"/>
        <w:rPr>
          <w:rFonts w:ascii="Arial" w:hAnsi="Arial" w:cs="Arial"/>
          <w:color w:val="222222"/>
        </w:rPr>
      </w:pPr>
      <w:r w:rsidRPr="00554893">
        <w:rPr>
          <w:rStyle w:val="Enfasigrassetto"/>
          <w:rFonts w:ascii="Arial" w:hAnsi="Arial" w:cs="Arial"/>
          <w:color w:val="222222"/>
        </w:rPr>
        <w:t xml:space="preserve">Parità di genere nelle liste di </w:t>
      </w:r>
      <w:proofErr w:type="gramStart"/>
      <w:r w:rsidRPr="00554893">
        <w:rPr>
          <w:rStyle w:val="Enfasigrassetto"/>
          <w:rFonts w:ascii="Arial" w:hAnsi="Arial" w:cs="Arial"/>
          <w:color w:val="222222"/>
        </w:rPr>
        <w:t>candidati</w:t>
      </w:r>
      <w:proofErr w:type="gramEnd"/>
      <w:r w:rsidRPr="00554893">
        <w:rPr>
          <w:rFonts w:ascii="Arial" w:hAnsi="Arial" w:cs="Arial"/>
          <w:color w:val="222222"/>
        </w:rPr>
        <w:t> La legge 215/2012 ha introdotto novità per «promuovere il riequilibrio delle rappresentanze di genere». E così se nei Comuni fino a 5mila abitanti basta assicurare anche solo un candidato di uno dei due sessi, nei Comuni superiori a 5mila abitanti nelle liste nessuno dei due sessi può essere rappresentanti in misura superiore ai due terzi.</w:t>
      </w:r>
    </w:p>
    <w:p w14:paraId="3733E983" w14:textId="77777777" w:rsidR="005F2916" w:rsidRPr="00554893" w:rsidRDefault="005F2916" w:rsidP="005F2916">
      <w:pPr>
        <w:pStyle w:val="NormaleWeb"/>
        <w:shd w:val="clear" w:color="auto" w:fill="FFFFFF"/>
        <w:spacing w:before="0" w:beforeAutospacing="0" w:after="360" w:afterAutospacing="0" w:line="360" w:lineRule="atLeast"/>
        <w:rPr>
          <w:rFonts w:ascii="Arial" w:hAnsi="Arial" w:cs="Arial"/>
          <w:color w:val="222222"/>
        </w:rPr>
      </w:pPr>
      <w:r w:rsidRPr="00554893">
        <w:rPr>
          <w:rStyle w:val="Enfasigrassetto"/>
          <w:rFonts w:ascii="Arial" w:hAnsi="Arial" w:cs="Arial"/>
          <w:color w:val="222222"/>
        </w:rPr>
        <w:t xml:space="preserve">Parità di genere nelle </w:t>
      </w:r>
      <w:proofErr w:type="gramStart"/>
      <w:r w:rsidRPr="00554893">
        <w:rPr>
          <w:rStyle w:val="Enfasigrassetto"/>
          <w:rFonts w:ascii="Arial" w:hAnsi="Arial" w:cs="Arial"/>
          <w:color w:val="222222"/>
        </w:rPr>
        <w:t>giunte</w:t>
      </w:r>
      <w:proofErr w:type="gramEnd"/>
      <w:r w:rsidRPr="00554893">
        <w:rPr>
          <w:rFonts w:ascii="Arial" w:hAnsi="Arial" w:cs="Arial"/>
          <w:color w:val="222222"/>
        </w:rPr>
        <w:t> La legge, sempre la 215/2012, in questo caso demanda agli statuti comunali e provinciali la rappresentanza di genere nelle giunte mentre l’articolo 46 obbliga il sindaco o il presidente della Provincia nella nomina dei componenti il rispetto del principio di pari opportunità.</w:t>
      </w:r>
    </w:p>
    <w:p w14:paraId="5D9220BA" w14:textId="77777777" w:rsidR="003B55D9" w:rsidRPr="00554893" w:rsidRDefault="003B55D9" w:rsidP="0082786C">
      <w:pPr>
        <w:spacing w:line="360" w:lineRule="auto"/>
        <w:rPr>
          <w:rFonts w:ascii="Arial" w:hAnsi="Arial" w:cs="Arial"/>
          <w:sz w:val="24"/>
          <w:szCs w:val="24"/>
        </w:rPr>
      </w:pPr>
    </w:p>
    <w:p w14:paraId="49FE6D1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L’attività concreta del Consiglio comunale è disciplinata dal Regolamento interno approvato dal Consiglio stesso. Il contenuto essenziale di tale regolamento è costituito dalle disposizioni che disciplinano i poteri delle Commissioni </w:t>
      </w:r>
      <w:proofErr w:type="gramStart"/>
      <w:r w:rsidRPr="00554893">
        <w:rPr>
          <w:rFonts w:ascii="Arial" w:hAnsi="Arial" w:cs="Arial"/>
          <w:sz w:val="24"/>
          <w:szCs w:val="24"/>
        </w:rPr>
        <w:t>consiliari ,</w:t>
      </w:r>
      <w:proofErr w:type="gramEnd"/>
      <w:r w:rsidRPr="00554893">
        <w:rPr>
          <w:rFonts w:ascii="Arial" w:hAnsi="Arial" w:cs="Arial"/>
          <w:sz w:val="24"/>
          <w:szCs w:val="24"/>
        </w:rPr>
        <w:t xml:space="preserve"> l’organizzazione, le forme di pubblicità dei lavori e la partecipazione di esperti esterni al Consiglio. Ma gran parte del Regolamento interno è costituita dalle norme che riguardano lo svolgimento delle adunanze quali l’accertamento del numero legale e sue verifiche, il deposito degli atti, lo svolgimento dell’attività assembleare, la pubblicità delle sedute, la garanzia dell’ordine all’interno della sala delle adunanze (con inclusione dell’area riservata al pubblico), le forme delle votazioni e la trattazione di argomenti non iscritti all’ordine del giorno ed aventi carattere di urgenza.(il TUEL prevede che in ogni caso devono esser presenti almeno 1/3 dei consiglieri per la validità delle sedute, non computando il Sindaco).</w:t>
      </w:r>
    </w:p>
    <w:p w14:paraId="40ACE0C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 consiglieri entrano in carica all'atto della proclamazione </w:t>
      </w:r>
      <w:proofErr w:type="gramStart"/>
      <w:r w:rsidRPr="00554893">
        <w:rPr>
          <w:rFonts w:ascii="Arial" w:hAnsi="Arial" w:cs="Arial"/>
          <w:sz w:val="24"/>
          <w:szCs w:val="24"/>
        </w:rPr>
        <w:t>e  nel</w:t>
      </w:r>
      <w:proofErr w:type="gramEnd"/>
      <w:r w:rsidRPr="00554893">
        <w:rPr>
          <w:rFonts w:ascii="Arial" w:hAnsi="Arial" w:cs="Arial"/>
          <w:sz w:val="24"/>
          <w:szCs w:val="24"/>
        </w:rPr>
        <w:t xml:space="preserve"> caso di eventuale surrogazione nel momento in cui il consiglio adotta la deliberazione in merito alla questione; durano in carica fino all'elezione dei nuovi consigli , limitando le loro funzioni agli atti urgenti e improrogabili nel caso di indizione di nuove elezioni;le sedute del consiglio sono pubbliche ad eccezione dei casi previsti direttamente dal regolamento. </w:t>
      </w:r>
    </w:p>
    <w:p w14:paraId="43390E8F" w14:textId="77777777" w:rsidR="003B55D9" w:rsidRPr="00554893" w:rsidRDefault="003B55D9" w:rsidP="0082786C">
      <w:pPr>
        <w:spacing w:line="360" w:lineRule="auto"/>
        <w:rPr>
          <w:rFonts w:ascii="Arial" w:hAnsi="Arial" w:cs="Arial"/>
          <w:sz w:val="24"/>
          <w:szCs w:val="24"/>
        </w:rPr>
      </w:pPr>
    </w:p>
    <w:p w14:paraId="7EF067F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 Consiglieri comunali hanno diritto di assentarsi dal lavoro per partecipare alle sedute del Consiglio e delle Commissioni?</w:t>
      </w:r>
    </w:p>
    <w:p w14:paraId="67D1CE7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 Consiglieri comunali hanno diritto di assentarsi dal servizio, con diritto anche alla retribuzione da parte del datore di lavoro, per l’intera giornata in cui è convocato il Consiglio e per la durata effettiva delle riunioni delle Commissioni consiliari e dei Capigruppo.</w:t>
      </w:r>
    </w:p>
    <w:p w14:paraId="76EA93C1" w14:textId="77777777" w:rsidR="003B55D9" w:rsidRPr="00554893" w:rsidRDefault="003B55D9" w:rsidP="0082786C">
      <w:pPr>
        <w:spacing w:line="360" w:lineRule="auto"/>
        <w:rPr>
          <w:rFonts w:ascii="Arial" w:hAnsi="Arial" w:cs="Arial"/>
          <w:sz w:val="24"/>
          <w:szCs w:val="24"/>
        </w:rPr>
      </w:pPr>
    </w:p>
    <w:p w14:paraId="20333BD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Al Consigliere spetta un’indennità di partecipazione alle riunioni del Consiglio?</w:t>
      </w:r>
    </w:p>
    <w:p w14:paraId="688C64B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gettone di presenza è corrisposto al Consigliere per l’effettiva partecipazione alle sedute del Consiglio, delle Commissioni e dei Capigruppo. Non è possibile percepire più gettoni per riunioni diverse nello stesso giorno. “</w:t>
      </w:r>
    </w:p>
    <w:p w14:paraId="6D010C6F" w14:textId="77777777" w:rsidR="003B55D9" w:rsidRPr="00554893" w:rsidRDefault="003B55D9" w:rsidP="0082786C">
      <w:pPr>
        <w:spacing w:line="360" w:lineRule="auto"/>
        <w:rPr>
          <w:rFonts w:ascii="Arial" w:hAnsi="Arial" w:cs="Arial"/>
          <w:sz w:val="24"/>
          <w:szCs w:val="24"/>
        </w:rPr>
      </w:pPr>
    </w:p>
    <w:p w14:paraId="5C46E87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Consigliere ha diritto a rimborsi spese?</w:t>
      </w:r>
    </w:p>
    <w:p w14:paraId="275238D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Consigliere che si reca fuori dal capoluogo del Comune per ragioni inerenti al mandato ha diritto al rimborso spese di viaggio. Uno speciale rimborso delle spese di viaggio è corrisposto ai Consiglieri che risiedono fuori dal capoluogo del Comune. </w:t>
      </w:r>
    </w:p>
    <w:p w14:paraId="185A53E3" w14:textId="77777777" w:rsidR="003B55D9" w:rsidRPr="00554893" w:rsidRDefault="003B55D9" w:rsidP="0082786C">
      <w:pPr>
        <w:spacing w:line="360" w:lineRule="auto"/>
        <w:rPr>
          <w:rFonts w:ascii="Arial" w:hAnsi="Arial" w:cs="Arial"/>
          <w:sz w:val="24"/>
          <w:szCs w:val="24"/>
        </w:rPr>
      </w:pPr>
    </w:p>
    <w:p w14:paraId="5C50FA8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Quali doveri ha il Consigliere?</w:t>
      </w:r>
    </w:p>
    <w:p w14:paraId="29A765A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Consigliere deve perseguire l’interesse pubblico della collettività; nell’ipotesi in cui un argomento messo all’ordine del giorno del Consiglio investe un suo interesse o di parenti o affini dello stesso consigliere, egli deve allontanarsi dall’aula; è vietato al consigliere di prendere parte ad appalti e acquisti di beni del Comune.</w:t>
      </w:r>
    </w:p>
    <w:p w14:paraId="15F2BCD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Dimissioni: presentate personalmente e assunte immediatamente al protocollo assumono un ordine </w:t>
      </w:r>
      <w:proofErr w:type="gramStart"/>
      <w:r w:rsidRPr="00554893">
        <w:rPr>
          <w:rFonts w:ascii="Arial" w:hAnsi="Arial" w:cs="Arial"/>
          <w:sz w:val="24"/>
          <w:szCs w:val="24"/>
        </w:rPr>
        <w:t>temporale ,</w:t>
      </w:r>
      <w:proofErr w:type="gramEnd"/>
      <w:r w:rsidRPr="00554893">
        <w:rPr>
          <w:rFonts w:ascii="Arial" w:hAnsi="Arial" w:cs="Arial"/>
          <w:sz w:val="24"/>
          <w:szCs w:val="24"/>
        </w:rPr>
        <w:t xml:space="preserve"> devono esser indirizzate al consiglio. Nel caso in cui siano presentate da terza persona, devono esser autenticate e inoltrate al protocollo per il tramite di persona delegata con atto autenticato in data non anteriore a cinque giorni. Sono immediatamente efficaci e irrevocabili e non necessitano di presa d’atto. Il consiglio entro </w:t>
      </w:r>
      <w:proofErr w:type="gramStart"/>
      <w:r w:rsidRPr="00554893">
        <w:rPr>
          <w:rFonts w:ascii="Arial" w:hAnsi="Arial" w:cs="Arial"/>
          <w:sz w:val="24"/>
          <w:szCs w:val="24"/>
        </w:rPr>
        <w:t>10</w:t>
      </w:r>
      <w:proofErr w:type="gramEnd"/>
      <w:r w:rsidRPr="00554893">
        <w:rPr>
          <w:rFonts w:ascii="Arial" w:hAnsi="Arial" w:cs="Arial"/>
          <w:sz w:val="24"/>
          <w:szCs w:val="24"/>
        </w:rPr>
        <w:t xml:space="preserve"> giorni deve provvedere a surrogare i consiglieri dimissionari seguendo l’eventuale ordine di presentazione delle dimissioni. Nel caso in cui si debba procedere a nuova elezione del consiglio logicamente non si prosegue con la surroga dei consiglieri.</w:t>
      </w:r>
    </w:p>
    <w:p w14:paraId="1C4428ED" w14:textId="77777777" w:rsidR="003B55D9" w:rsidRPr="00554893" w:rsidRDefault="003B55D9" w:rsidP="0082786C">
      <w:pPr>
        <w:spacing w:line="360" w:lineRule="auto"/>
        <w:rPr>
          <w:rFonts w:ascii="Arial" w:hAnsi="Arial" w:cs="Arial"/>
          <w:sz w:val="24"/>
          <w:szCs w:val="24"/>
        </w:rPr>
      </w:pPr>
    </w:p>
    <w:p w14:paraId="7DE2E03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Presidenza consiglio </w:t>
      </w:r>
    </w:p>
    <w:p w14:paraId="03C183B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 prima seduta del consiglio provinciale </w:t>
      </w:r>
      <w:proofErr w:type="gramStart"/>
      <w:r w:rsidRPr="00554893">
        <w:rPr>
          <w:rFonts w:ascii="Arial" w:hAnsi="Arial" w:cs="Arial"/>
          <w:sz w:val="24"/>
          <w:szCs w:val="24"/>
        </w:rPr>
        <w:t>e'</w:t>
      </w:r>
      <w:proofErr w:type="gramEnd"/>
      <w:r w:rsidRPr="00554893">
        <w:rPr>
          <w:rFonts w:ascii="Arial" w:hAnsi="Arial" w:cs="Arial"/>
          <w:sz w:val="24"/>
          <w:szCs w:val="24"/>
        </w:rPr>
        <w:t xml:space="preserve"> presieduta e convocata dal presidente della provincia sino alla elezione del presidente del consiglio</w:t>
      </w:r>
    </w:p>
    <w:p w14:paraId="31E5D6C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Comuni con popolazione &gt;15 000. in questo caso le sedute dei consigli sono presiedute da un </w:t>
      </w:r>
      <w:proofErr w:type="gramStart"/>
      <w:r w:rsidRPr="00554893">
        <w:rPr>
          <w:rFonts w:ascii="Arial" w:hAnsi="Arial" w:cs="Arial"/>
          <w:sz w:val="24"/>
          <w:szCs w:val="24"/>
        </w:rPr>
        <w:t>presidente  eletto</w:t>
      </w:r>
      <w:proofErr w:type="gramEnd"/>
      <w:r w:rsidRPr="00554893">
        <w:rPr>
          <w:rFonts w:ascii="Arial" w:hAnsi="Arial" w:cs="Arial"/>
          <w:sz w:val="24"/>
          <w:szCs w:val="24"/>
        </w:rPr>
        <w:t xml:space="preserve"> tra i consiglieri alla prima seduta il quale ha poteri di direzione dei lavori, organizzazione delle convocazioni e dell’ordine del giorno. Le funzioni del presidente sono portate avanti in caso di impedimento dal consigliere più anziano.</w:t>
      </w:r>
    </w:p>
    <w:p w14:paraId="596D299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Presidente deve riunire il consiglio entro 20 giorni quando lo richiedono 1/5 dei </w:t>
      </w:r>
      <w:proofErr w:type="gramStart"/>
      <w:r w:rsidRPr="00554893">
        <w:rPr>
          <w:rFonts w:ascii="Arial" w:hAnsi="Arial" w:cs="Arial"/>
          <w:sz w:val="24"/>
          <w:szCs w:val="24"/>
        </w:rPr>
        <w:t>consiglieri ,</w:t>
      </w:r>
      <w:proofErr w:type="gramEnd"/>
      <w:r w:rsidRPr="00554893">
        <w:rPr>
          <w:rFonts w:ascii="Arial" w:hAnsi="Arial" w:cs="Arial"/>
          <w:sz w:val="24"/>
          <w:szCs w:val="24"/>
        </w:rPr>
        <w:t xml:space="preserve"> il sindaco e deve inserire nell’ordine del giorno le eventuali richieste</w:t>
      </w:r>
    </w:p>
    <w:p w14:paraId="4BE27B5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Comuni con popolazione &lt; 15 000 abitanti: lo statuto può prevedere la figura del presidente. negli altri casi il consiglio è presieduto dal sindaco che provvede anche alla convocazione del consiglio.</w:t>
      </w:r>
    </w:p>
    <w:p w14:paraId="4AA3D7B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Prima seduta: entro 10 giorni dalla </w:t>
      </w:r>
      <w:proofErr w:type="gramStart"/>
      <w:r w:rsidRPr="00554893">
        <w:rPr>
          <w:rFonts w:ascii="Arial" w:hAnsi="Arial" w:cs="Arial"/>
          <w:sz w:val="24"/>
          <w:szCs w:val="24"/>
        </w:rPr>
        <w:t>proclamazione  e</w:t>
      </w:r>
      <w:proofErr w:type="gramEnd"/>
      <w:r w:rsidRPr="00554893">
        <w:rPr>
          <w:rFonts w:ascii="Arial" w:hAnsi="Arial" w:cs="Arial"/>
          <w:sz w:val="24"/>
          <w:szCs w:val="24"/>
        </w:rPr>
        <w:t xml:space="preserve"> deve tenersi entro 10 giorni dalla convocazione. </w:t>
      </w:r>
    </w:p>
    <w:p w14:paraId="0A971FB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Nella prima seduta, occorre esaminare la condizione degli </w:t>
      </w:r>
      <w:proofErr w:type="gramStart"/>
      <w:r w:rsidRPr="00554893">
        <w:rPr>
          <w:rFonts w:ascii="Arial" w:hAnsi="Arial" w:cs="Arial"/>
          <w:sz w:val="24"/>
          <w:szCs w:val="24"/>
        </w:rPr>
        <w:t>eletti  ed</w:t>
      </w:r>
      <w:proofErr w:type="gramEnd"/>
      <w:r w:rsidRPr="00554893">
        <w:rPr>
          <w:rFonts w:ascii="Arial" w:hAnsi="Arial" w:cs="Arial"/>
          <w:sz w:val="24"/>
          <w:szCs w:val="24"/>
        </w:rPr>
        <w:t xml:space="preserve"> eventualmente dichiarane la ineleggibilità nel caso in cui sussistano una o più cause previste .</w:t>
      </w:r>
    </w:p>
    <w:p w14:paraId="62A749C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COMPETENZE: In quanto titolare di una potestà normativa e pianificatoria generale, provvede all’adozione di atti quali statuti, regolamenti, bilanci, piani e programmi di carattere finanziario e territoriale urbanistico. Il </w:t>
      </w:r>
      <w:proofErr w:type="gramStart"/>
      <w:r w:rsidRPr="00554893">
        <w:rPr>
          <w:rFonts w:ascii="Arial" w:hAnsi="Arial" w:cs="Arial"/>
          <w:sz w:val="24"/>
          <w:szCs w:val="24"/>
        </w:rPr>
        <w:t>Consiglio ,</w:t>
      </w:r>
      <w:proofErr w:type="gramEnd"/>
      <w:r w:rsidRPr="00554893">
        <w:rPr>
          <w:rFonts w:ascii="Arial" w:hAnsi="Arial" w:cs="Arial"/>
          <w:sz w:val="24"/>
          <w:szCs w:val="24"/>
        </w:rPr>
        <w:t xml:space="preserve"> ha inoltre competenze in merito all’assetto istituzionale dell’ente, sia  sotto il profilo associazionistico che sotto quello del decentramento e della partecipazione</w:t>
      </w:r>
    </w:p>
    <w:p w14:paraId="46C5280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consiglio </w:t>
      </w:r>
      <w:proofErr w:type="gramStart"/>
      <w:r w:rsidRPr="00554893">
        <w:rPr>
          <w:rFonts w:ascii="Arial" w:hAnsi="Arial" w:cs="Arial"/>
          <w:sz w:val="24"/>
          <w:szCs w:val="24"/>
        </w:rPr>
        <w:t>e'</w:t>
      </w:r>
      <w:proofErr w:type="gramEnd"/>
      <w:r w:rsidRPr="00554893">
        <w:rPr>
          <w:rFonts w:ascii="Arial" w:hAnsi="Arial" w:cs="Arial"/>
          <w:sz w:val="24"/>
          <w:szCs w:val="24"/>
        </w:rPr>
        <w:t xml:space="preserve"> l'organo di indirizzo e di controllo politico-amministrativo. </w:t>
      </w:r>
    </w:p>
    <w:p w14:paraId="149DC09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Competenze</w:t>
      </w:r>
    </w:p>
    <w:p w14:paraId="02F1C96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w:t>
      </w:r>
      <w:r w:rsidRPr="00554893">
        <w:rPr>
          <w:rFonts w:ascii="Arial" w:hAnsi="Arial" w:cs="Arial"/>
          <w:sz w:val="24"/>
          <w:szCs w:val="24"/>
        </w:rPr>
        <w:tab/>
        <w:t>statuti dell'ente e delle aziende speciali, regolamenti salva l'ipotesi di cui all'articolo 48, comma 3, criteri generali in materia di ordinamento degli uffici e dei servizi;</w:t>
      </w:r>
    </w:p>
    <w:p w14:paraId="10C853E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b)</w:t>
      </w:r>
      <w:r w:rsidRPr="00554893">
        <w:rPr>
          <w:rFonts w:ascii="Arial" w:hAnsi="Arial" w:cs="Arial"/>
          <w:sz w:val="24"/>
          <w:szCs w:val="24"/>
        </w:rPr>
        <w:tab/>
        <w:t xml:space="preserve">programmi, relazioni previsionali e programmatiche, piani finanziari, programmi triennali </w:t>
      </w:r>
      <w:proofErr w:type="gramStart"/>
      <w:r w:rsidRPr="00554893">
        <w:rPr>
          <w:rFonts w:ascii="Arial" w:hAnsi="Arial" w:cs="Arial"/>
          <w:sz w:val="24"/>
          <w:szCs w:val="24"/>
        </w:rPr>
        <w:t>e</w:t>
      </w:r>
      <w:proofErr w:type="gramEnd"/>
      <w:r w:rsidRPr="00554893">
        <w:rPr>
          <w:rFonts w:ascii="Arial" w:hAnsi="Arial" w:cs="Arial"/>
          <w:sz w:val="24"/>
          <w:szCs w:val="24"/>
        </w:rPr>
        <w:t xml:space="preserve"> elenco annuale dei lavori pubblici, bilanci annuali e pluriennali e relative variazioni, rendiconto, piani territoriali ed urbanistici, programmi annuali e pluriennali per la loro attuazione, eventuali deroghe ad essi, pareri da rendere per dette materie;</w:t>
      </w:r>
    </w:p>
    <w:p w14:paraId="7046A1F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w:t>
      </w:r>
      <w:r w:rsidRPr="00554893">
        <w:rPr>
          <w:rFonts w:ascii="Arial" w:hAnsi="Arial" w:cs="Arial"/>
          <w:sz w:val="24"/>
          <w:szCs w:val="24"/>
        </w:rPr>
        <w:tab/>
        <w:t xml:space="preserve">convenzioni tra i comuni e quelle tra i comuni e provincia, costituzione e modificazione </w:t>
      </w:r>
      <w:proofErr w:type="gramStart"/>
      <w:r w:rsidRPr="00554893">
        <w:rPr>
          <w:rFonts w:ascii="Arial" w:hAnsi="Arial" w:cs="Arial"/>
          <w:sz w:val="24"/>
          <w:szCs w:val="24"/>
        </w:rPr>
        <w:t>i forme</w:t>
      </w:r>
      <w:proofErr w:type="gramEnd"/>
      <w:r w:rsidRPr="00554893">
        <w:rPr>
          <w:rFonts w:ascii="Arial" w:hAnsi="Arial" w:cs="Arial"/>
          <w:sz w:val="24"/>
          <w:szCs w:val="24"/>
        </w:rPr>
        <w:t xml:space="preserve"> associative;</w:t>
      </w:r>
    </w:p>
    <w:p w14:paraId="60BFD57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d)</w:t>
      </w:r>
      <w:r w:rsidRPr="00554893">
        <w:rPr>
          <w:rFonts w:ascii="Arial" w:hAnsi="Arial" w:cs="Arial"/>
          <w:sz w:val="24"/>
          <w:szCs w:val="24"/>
        </w:rPr>
        <w:tab/>
        <w:t>istituzione, compiti e norme sul funzionamento degli organismi di decentramento e di partecipazione;</w:t>
      </w:r>
    </w:p>
    <w:p w14:paraId="3A6E4A7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w:t>
      </w:r>
      <w:r w:rsidRPr="00554893">
        <w:rPr>
          <w:rFonts w:ascii="Arial" w:hAnsi="Arial" w:cs="Arial"/>
          <w:sz w:val="24"/>
          <w:szCs w:val="24"/>
        </w:rPr>
        <w:tab/>
        <w:t>assunzione diretta dei pubblici servizi, costituzione di istituzioni e aziende speciali, concessione dei pubblici servizi, partecipazione dell'ente locale a società di capitali, affidamento di attività o servizi mediante convenzione;</w:t>
      </w:r>
    </w:p>
    <w:p w14:paraId="342BB59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f)</w:t>
      </w:r>
      <w:r w:rsidRPr="00554893">
        <w:rPr>
          <w:rFonts w:ascii="Arial" w:hAnsi="Arial" w:cs="Arial"/>
          <w:sz w:val="24"/>
          <w:szCs w:val="24"/>
        </w:rPr>
        <w:tab/>
        <w:t>istituzione e ordinamento dei tributi, con esclusione della determinazione delle relative aliquote; disciplina generale delle tariffe per la fruizione dei beni e dei servizi;</w:t>
      </w:r>
    </w:p>
    <w:p w14:paraId="0BE1123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g)</w:t>
      </w:r>
      <w:r w:rsidRPr="00554893">
        <w:rPr>
          <w:rFonts w:ascii="Arial" w:hAnsi="Arial" w:cs="Arial"/>
          <w:sz w:val="24"/>
          <w:szCs w:val="24"/>
        </w:rPr>
        <w:tab/>
        <w:t>indirizzi da osservare da parte delle aziende pubbliche e degli enti dipendenti, sovvenzionati o sottoposti a vigilanza;</w:t>
      </w:r>
    </w:p>
    <w:p w14:paraId="54852EC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h)</w:t>
      </w:r>
      <w:r w:rsidRPr="00554893">
        <w:rPr>
          <w:rFonts w:ascii="Arial" w:hAnsi="Arial" w:cs="Arial"/>
          <w:sz w:val="24"/>
          <w:szCs w:val="24"/>
        </w:rPr>
        <w:tab/>
        <w:t>contrazione dei mutui non previsti espressamente in atti fondamentali del consiglio comunale ed emissione dei prestiti obbligazionari;</w:t>
      </w:r>
    </w:p>
    <w:p w14:paraId="145FB3B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w:t>
      </w:r>
      <w:r w:rsidRPr="00554893">
        <w:rPr>
          <w:rFonts w:ascii="Arial" w:hAnsi="Arial" w:cs="Arial"/>
          <w:sz w:val="24"/>
          <w:szCs w:val="24"/>
        </w:rPr>
        <w:tab/>
        <w:t>spese che impegnino i bilanci per gli esercizi successivi, escluse quelle relative alle locazioni di immobili ed alla somministrazione e fornitura di beni e servizi a carattere continuativo;</w:t>
      </w:r>
    </w:p>
    <w:p w14:paraId="367DB11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j)</w:t>
      </w:r>
      <w:r w:rsidRPr="00554893">
        <w:rPr>
          <w:rFonts w:ascii="Arial" w:hAnsi="Arial" w:cs="Arial"/>
          <w:sz w:val="24"/>
          <w:szCs w:val="24"/>
        </w:rPr>
        <w:tab/>
        <w:t>acquisti e alienazioni immobiliari, relative permute, appalti e concessioni che non siano previsti espressamente in atti fondamentali del consiglio o che non ne costituiscano mera esecuzione e che, comunque, non rientrino nella ordinaria amministrazione di funzioni e servizi di competenza della giunta, del segretario o di altri funzionari;</w:t>
      </w:r>
    </w:p>
    <w:p w14:paraId="0EFFC21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k)</w:t>
      </w:r>
      <w:r w:rsidRPr="00554893">
        <w:rPr>
          <w:rFonts w:ascii="Arial" w:hAnsi="Arial" w:cs="Arial"/>
          <w:sz w:val="24"/>
          <w:szCs w:val="24"/>
        </w:rPr>
        <w:tab/>
        <w:t>definizione degli indirizzi per la nomina e la designazione dei rappresentanti del comune presso enti, aziende ed istituzioni, nonché nomina dei rappresentanti del consiglio presso enti, aziende ed istituzioni ad esso espressamente riservata dalla legge.</w:t>
      </w:r>
    </w:p>
    <w:p w14:paraId="04C65E3A" w14:textId="77777777" w:rsidR="003B55D9" w:rsidRPr="00554893" w:rsidRDefault="003B55D9" w:rsidP="0082786C">
      <w:pPr>
        <w:spacing w:line="360" w:lineRule="auto"/>
        <w:rPr>
          <w:rFonts w:ascii="Arial" w:hAnsi="Arial" w:cs="Arial"/>
          <w:sz w:val="24"/>
          <w:szCs w:val="24"/>
        </w:rPr>
      </w:pPr>
    </w:p>
    <w:p w14:paraId="4919976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consiglio, nei modi disciplinati dallo statuto, partecipa altresi' alla definizione, all'adeguamento e alla verifica periodica dell'attuazione delle linee programmatiche da parte del sindaco o del presidente della provincia e dei singoli assessori. </w:t>
      </w:r>
    </w:p>
    <w:p w14:paraId="75D3584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Le deliberazioni in ordine agli argomenti di cui al presente articolo non possono essere adottate in via d'urgenza da altri organi del comune o della provincia, salvo quelle attinenti alle variazioni di bilancio adottate dalla giunta da sottoporre a ratifica del consiglio nei sessanta giorni successivi, a pena di decadenza. </w:t>
      </w:r>
    </w:p>
    <w:p w14:paraId="47EED5F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Cause scioglimento consiglio </w:t>
      </w:r>
    </w:p>
    <w:p w14:paraId="3094334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 consigli comunali sono sciolti con decreto del Presidente della </w:t>
      </w:r>
      <w:proofErr w:type="gramStart"/>
      <w:r w:rsidRPr="00554893">
        <w:rPr>
          <w:rFonts w:ascii="Arial" w:hAnsi="Arial" w:cs="Arial"/>
          <w:sz w:val="24"/>
          <w:szCs w:val="24"/>
        </w:rPr>
        <w:t>Repubblica ,</w:t>
      </w:r>
      <w:proofErr w:type="gramEnd"/>
      <w:r w:rsidRPr="00554893">
        <w:rPr>
          <w:rFonts w:ascii="Arial" w:hAnsi="Arial" w:cs="Arial"/>
          <w:sz w:val="24"/>
          <w:szCs w:val="24"/>
        </w:rPr>
        <w:t xml:space="preserve"> su proposta del Ministero dell’interno;con il decreto si dispone anche la nomina del commissario ad acta è immediatamente comunicato al Parlamento e pubblicato sulla GU. Il rinnovo dell’organo deve in ogni caso avvenire con il primo turno elettorale libero e disponibile.</w:t>
      </w:r>
    </w:p>
    <w:p w14:paraId="4080525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Naturale scadenza del mandato</w:t>
      </w:r>
    </w:p>
    <w:p w14:paraId="15E3666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 xml:space="preserve">Sono </w:t>
      </w:r>
      <w:proofErr w:type="gramStart"/>
      <w:r w:rsidRPr="00554893">
        <w:rPr>
          <w:rFonts w:ascii="Arial" w:hAnsi="Arial" w:cs="Arial"/>
          <w:sz w:val="24"/>
          <w:szCs w:val="24"/>
        </w:rPr>
        <w:t>posti in essere</w:t>
      </w:r>
      <w:proofErr w:type="gramEnd"/>
      <w:r w:rsidRPr="00554893">
        <w:rPr>
          <w:rFonts w:ascii="Arial" w:hAnsi="Arial" w:cs="Arial"/>
          <w:sz w:val="24"/>
          <w:szCs w:val="24"/>
        </w:rPr>
        <w:t xml:space="preserve"> atti contrari alla Costituzione</w:t>
      </w:r>
    </w:p>
    <w:p w14:paraId="4FDCBAB0"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3</w:t>
      </w:r>
      <w:proofErr w:type="gramEnd"/>
      <w:r w:rsidRPr="00554893">
        <w:rPr>
          <w:rFonts w:ascii="Arial" w:hAnsi="Arial" w:cs="Arial"/>
          <w:sz w:val="24"/>
          <w:szCs w:val="24"/>
        </w:rPr>
        <w:tab/>
        <w:t>gravi violazione di legge e persistenti o</w:t>
      </w:r>
    </w:p>
    <w:p w14:paraId="61F2C508"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4</w:t>
      </w:r>
      <w:proofErr w:type="gramEnd"/>
      <w:r w:rsidRPr="00554893">
        <w:rPr>
          <w:rFonts w:ascii="Arial" w:hAnsi="Arial" w:cs="Arial"/>
          <w:sz w:val="24"/>
          <w:szCs w:val="24"/>
        </w:rPr>
        <w:tab/>
        <w:t>gravi turbative all’ordine pubblico</w:t>
      </w:r>
    </w:p>
    <w:p w14:paraId="397DAE9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5</w:t>
      </w:r>
      <w:r w:rsidRPr="00554893">
        <w:rPr>
          <w:rFonts w:ascii="Arial" w:hAnsi="Arial" w:cs="Arial"/>
          <w:sz w:val="24"/>
          <w:szCs w:val="24"/>
        </w:rPr>
        <w:tab/>
        <w:t>quando non è assicurato il normale funzionamento degli organi e i servizi del comune a causa di:</w:t>
      </w:r>
    </w:p>
    <w:p w14:paraId="25A03CF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w:t>
      </w:r>
      <w:r w:rsidRPr="00554893">
        <w:rPr>
          <w:rFonts w:ascii="Arial" w:hAnsi="Arial" w:cs="Arial"/>
          <w:sz w:val="24"/>
          <w:szCs w:val="24"/>
        </w:rPr>
        <w:tab/>
        <w:t xml:space="preserve">impedimento permanente, rimozione, decadenza, decesso </w:t>
      </w:r>
      <w:proofErr w:type="gramStart"/>
      <w:r w:rsidRPr="00554893">
        <w:rPr>
          <w:rFonts w:ascii="Arial" w:hAnsi="Arial" w:cs="Arial"/>
          <w:sz w:val="24"/>
          <w:szCs w:val="24"/>
        </w:rPr>
        <w:t>del  Presidente</w:t>
      </w:r>
      <w:proofErr w:type="gramEnd"/>
      <w:r w:rsidRPr="00554893">
        <w:rPr>
          <w:rFonts w:ascii="Arial" w:hAnsi="Arial" w:cs="Arial"/>
          <w:sz w:val="24"/>
          <w:szCs w:val="24"/>
        </w:rPr>
        <w:t xml:space="preserve"> o sindaco</w:t>
      </w:r>
    </w:p>
    <w:p w14:paraId="0F4F7C3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b)</w:t>
      </w:r>
      <w:r w:rsidRPr="00554893">
        <w:rPr>
          <w:rFonts w:ascii="Arial" w:hAnsi="Arial" w:cs="Arial"/>
          <w:sz w:val="24"/>
          <w:szCs w:val="24"/>
        </w:rPr>
        <w:tab/>
        <w:t xml:space="preserve">dimissioni </w:t>
      </w:r>
      <w:proofErr w:type="gramStart"/>
      <w:r w:rsidRPr="00554893">
        <w:rPr>
          <w:rFonts w:ascii="Arial" w:hAnsi="Arial" w:cs="Arial"/>
          <w:sz w:val="24"/>
          <w:szCs w:val="24"/>
        </w:rPr>
        <w:t>del  Presidente</w:t>
      </w:r>
      <w:proofErr w:type="gramEnd"/>
      <w:r w:rsidRPr="00554893">
        <w:rPr>
          <w:rFonts w:ascii="Arial" w:hAnsi="Arial" w:cs="Arial"/>
          <w:sz w:val="24"/>
          <w:szCs w:val="24"/>
        </w:rPr>
        <w:t xml:space="preserve"> o Sindaco </w:t>
      </w:r>
    </w:p>
    <w:p w14:paraId="775E05F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6</w:t>
      </w:r>
      <w:r w:rsidRPr="00554893">
        <w:rPr>
          <w:rFonts w:ascii="Arial" w:hAnsi="Arial" w:cs="Arial"/>
          <w:sz w:val="24"/>
          <w:szCs w:val="24"/>
        </w:rPr>
        <w:tab/>
        <w:t>cessazione dalla carica per dimissioni contestuali della metà più uno dei membri assegnati non computando il Presidente o sindaco</w:t>
      </w:r>
    </w:p>
    <w:p w14:paraId="6D173AA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7</w:t>
      </w:r>
      <w:r w:rsidRPr="00554893">
        <w:rPr>
          <w:rFonts w:ascii="Arial" w:hAnsi="Arial" w:cs="Arial"/>
          <w:sz w:val="24"/>
          <w:szCs w:val="24"/>
        </w:rPr>
        <w:tab/>
        <w:t>riduzione dell’organo assembleare per impossibilità di surroga della metà dei componenti del consiglio.</w:t>
      </w:r>
    </w:p>
    <w:p w14:paraId="2F3210C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8</w:t>
      </w:r>
      <w:r w:rsidRPr="00554893">
        <w:rPr>
          <w:rFonts w:ascii="Arial" w:hAnsi="Arial" w:cs="Arial"/>
          <w:sz w:val="24"/>
          <w:szCs w:val="24"/>
        </w:rPr>
        <w:tab/>
        <w:t>Mancata approvazione nei termini del bilancio di previsione oltre che dalla mancata approvazione della relazione revisionale e programmatica e del bilancio pluriennale o anche di uno solo.</w:t>
      </w:r>
    </w:p>
    <w:p w14:paraId="2EBA82B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9</w:t>
      </w:r>
      <w:r w:rsidRPr="00554893">
        <w:rPr>
          <w:rFonts w:ascii="Arial" w:hAnsi="Arial" w:cs="Arial"/>
          <w:sz w:val="24"/>
          <w:szCs w:val="24"/>
        </w:rPr>
        <w:tab/>
        <w:t xml:space="preserve">Approvazione mozione di sfiducia </w:t>
      </w:r>
    </w:p>
    <w:p w14:paraId="4435EAA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10</w:t>
      </w:r>
      <w:r w:rsidRPr="00554893">
        <w:rPr>
          <w:rFonts w:ascii="Arial" w:hAnsi="Arial" w:cs="Arial"/>
          <w:sz w:val="24"/>
          <w:szCs w:val="24"/>
        </w:rPr>
        <w:tab/>
        <w:t>In presenza di situazioni di dissesto.</w:t>
      </w:r>
    </w:p>
    <w:p w14:paraId="637783F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11</w:t>
      </w:r>
      <w:r w:rsidRPr="00554893">
        <w:rPr>
          <w:rFonts w:ascii="Arial" w:hAnsi="Arial" w:cs="Arial"/>
          <w:sz w:val="24"/>
          <w:szCs w:val="24"/>
        </w:rPr>
        <w:tab/>
        <w:t xml:space="preserve">Quando in conseguenza di una modificazione territoriale si sia verificata una variazione nella misura di almeno ¼ della popolazione </w:t>
      </w:r>
      <w:proofErr w:type="gramStart"/>
      <w:r w:rsidRPr="00554893">
        <w:rPr>
          <w:rFonts w:ascii="Arial" w:hAnsi="Arial" w:cs="Arial"/>
          <w:sz w:val="24"/>
          <w:szCs w:val="24"/>
        </w:rPr>
        <w:t>legale  del</w:t>
      </w:r>
      <w:proofErr w:type="gramEnd"/>
      <w:r w:rsidRPr="00554893">
        <w:rPr>
          <w:rFonts w:ascii="Arial" w:hAnsi="Arial" w:cs="Arial"/>
          <w:sz w:val="24"/>
          <w:szCs w:val="24"/>
        </w:rPr>
        <w:t xml:space="preserve"> comune </w:t>
      </w:r>
    </w:p>
    <w:p w14:paraId="7B0DCA1B"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SINDACO</w:t>
      </w:r>
    </w:p>
    <w:p w14:paraId="5B0F5CE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sindaco e il presidente della provincia sono gli organi responsabili dell'amministrazione del comune e della provincia. </w:t>
      </w:r>
    </w:p>
    <w:p w14:paraId="776CD852" w14:textId="77777777" w:rsidR="003B55D9" w:rsidRPr="00554893" w:rsidRDefault="0079415A" w:rsidP="0082786C">
      <w:pPr>
        <w:spacing w:line="360" w:lineRule="auto"/>
        <w:rPr>
          <w:rFonts w:ascii="Arial" w:hAnsi="Arial" w:cs="Arial"/>
          <w:sz w:val="24"/>
          <w:szCs w:val="24"/>
        </w:rPr>
      </w:pPr>
      <w:r w:rsidRPr="00554893">
        <w:rPr>
          <w:rFonts w:ascii="Arial" w:hAnsi="Arial" w:cs="Arial"/>
          <w:sz w:val="24"/>
          <w:szCs w:val="24"/>
        </w:rPr>
        <w:t>i</w:t>
      </w:r>
      <w:r w:rsidR="003B55D9" w:rsidRPr="00554893">
        <w:rPr>
          <w:rFonts w:ascii="Arial" w:hAnsi="Arial" w:cs="Arial"/>
          <w:sz w:val="24"/>
          <w:szCs w:val="24"/>
        </w:rPr>
        <w:t xml:space="preserve">l sindaco e il presidente della provincia rappresentano l'ente, convocano e presiedono la giunta, nonché il consiglio quando non </w:t>
      </w:r>
      <w:proofErr w:type="gramStart"/>
      <w:r w:rsidR="003B55D9" w:rsidRPr="00554893">
        <w:rPr>
          <w:rFonts w:ascii="Arial" w:hAnsi="Arial" w:cs="Arial"/>
          <w:sz w:val="24"/>
          <w:szCs w:val="24"/>
        </w:rPr>
        <w:t>e'</w:t>
      </w:r>
      <w:proofErr w:type="gramEnd"/>
      <w:r w:rsidR="003B55D9" w:rsidRPr="00554893">
        <w:rPr>
          <w:rFonts w:ascii="Arial" w:hAnsi="Arial" w:cs="Arial"/>
          <w:sz w:val="24"/>
          <w:szCs w:val="24"/>
        </w:rPr>
        <w:t xml:space="preserve"> previsto il presidente del consiglio, e sovrintendono al funzionamento dei servizi e degli uffici e all'esecuzione degli atti. </w:t>
      </w:r>
    </w:p>
    <w:p w14:paraId="25B3B50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Salvo quanto previsto dall'articolo 107 essi esercitano le funzioni loro attribuite dalle leggi, dallo statuto e dai regolamenti e sovrintendono altresì all'espletamento delle funzioni statali e regionali attribuite o delegate al comune e alla provincia. </w:t>
      </w:r>
    </w:p>
    <w:p w14:paraId="7A34B57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sindaco esercita altresì le altre funzioni attribuitegli quale autorità locale nelle materie previste da specifiche disposizioni di legge. </w:t>
      </w:r>
    </w:p>
    <w:p w14:paraId="532293F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In particolare, in caso di emergenze sanitarie o di igiene pubblica a carattere esclusivamente locale le ordinanze contingibili e urgenti sono adottate dal sindaco, quale rappresentante della comunità locale. Negli altri casi l'adozione dei provvedimenti d'urgenza ivi compresa la costituzione di centri e organismi di referenza o assistenza, spetta allo Stato o alle regioni in ragione della dimensione dell'emergenza e dell'eventuale interessamento di piu' ambiti territoriali regionali. </w:t>
      </w:r>
    </w:p>
    <w:p w14:paraId="7093166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In caso di emergenza che interessi il territorio di piu' comuni, ogni sindaco adotta le misure necessarie fino a quando non intervengano i soggetti competenti ai sensi del precedente comma. </w:t>
      </w:r>
    </w:p>
    <w:p w14:paraId="55CFB66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sindaco, altresì, coordina e riorganizza, sulla base degli indirizzi espressi dal consiglio comunale e nell'ambito dei criteri eventualmente indicati dalla regione, gli orari degli esercizi commerciali, dei pubblici esercizi e dei servizi pubblici, nonché, d'intesa con i responsabili territorialmente competenti delle amministrazioni interessate, gli orari di apertura al pubblico degli uffici pubblici localizzati nel territorio, al fine di armonizzare l'espletamento dei servizi con le esigenze complessive e generali degli utenti. </w:t>
      </w:r>
    </w:p>
    <w:p w14:paraId="1C94610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Sulla base degli indirizzi stabiliti dal consiglio il sindaco e il presidente della provincia provvedono alla nomina, alla designazione e alla revoca dei rappresentanti del comune e della provincia presso enti, aziende ed istituzioni. </w:t>
      </w:r>
    </w:p>
    <w:p w14:paraId="035A654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Tutte le nomine e le designazioni debbono essere effettuate entro quarantacinque giorni dall'insediamento ovvero entro i termini di scadenza del precedente incarico. In mancanza, il comitato regionale di controllo adotta i provvedimenti sostitutivi ai sensi dell'articolo 136. </w:t>
      </w:r>
    </w:p>
    <w:p w14:paraId="3DECA06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sindaco e il presidente della provincia nominano i responsabili degli uffici e dei servizi, attribuiscono e definiscono gli incarichi dirigenziali e quelli di collaborazione esterna secondo le modalità ed i criteri stabiliti dagli articoli 109 e 110, nonché dai rispettivi statuti e regolamenti comunali e provinciali. </w:t>
      </w:r>
    </w:p>
    <w:p w14:paraId="39D14A3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sindaco e il presidente della provincia prestano davanti al consiglio, nella seduta di insediamento, il giuramento di osservare lealmente la Costituzione italiana. </w:t>
      </w:r>
    </w:p>
    <w:p w14:paraId="2D18AA1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Distintivo del sindaco </w:t>
      </w:r>
      <w:proofErr w:type="gramStart"/>
      <w:r w:rsidRPr="00554893">
        <w:rPr>
          <w:rFonts w:ascii="Arial" w:hAnsi="Arial" w:cs="Arial"/>
          <w:sz w:val="24"/>
          <w:szCs w:val="24"/>
        </w:rPr>
        <w:t>e'</w:t>
      </w:r>
      <w:proofErr w:type="gramEnd"/>
      <w:r w:rsidRPr="00554893">
        <w:rPr>
          <w:rFonts w:ascii="Arial" w:hAnsi="Arial" w:cs="Arial"/>
          <w:sz w:val="24"/>
          <w:szCs w:val="24"/>
        </w:rPr>
        <w:t xml:space="preserve"> la fascia tricolore con lo stemma della Repubblica e lo stemma del comune, da portarsi a tracolla. Distintivo del presidente della provincia </w:t>
      </w:r>
      <w:proofErr w:type="gramStart"/>
      <w:r w:rsidRPr="00554893">
        <w:rPr>
          <w:rFonts w:ascii="Arial" w:hAnsi="Arial" w:cs="Arial"/>
          <w:sz w:val="24"/>
          <w:szCs w:val="24"/>
        </w:rPr>
        <w:t>e'</w:t>
      </w:r>
      <w:proofErr w:type="gramEnd"/>
      <w:r w:rsidRPr="00554893">
        <w:rPr>
          <w:rFonts w:ascii="Arial" w:hAnsi="Arial" w:cs="Arial"/>
          <w:sz w:val="24"/>
          <w:szCs w:val="24"/>
        </w:rPr>
        <w:t xml:space="preserve"> una fascia di colore azzurro con lo stemma della Repubblica e lo stemma della propria provincia, da portare a tracolla. </w:t>
      </w:r>
    </w:p>
    <w:p w14:paraId="2642489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sindaco è eletto dai cittadini residenti in quel comune a suffragio universale e diretto con elettorato attivo fissato a 18 anni.</w:t>
      </w:r>
    </w:p>
    <w:p w14:paraId="57E6A117"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l'organo responsabile dell'amministrazione comunale e a sua tempo è Ufficiale di Governo</w:t>
      </w:r>
    </w:p>
    <w:p w14:paraId="45BED4F5"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opportuno analizzare separatamente le funzioni attribuite al Sindaco in ciascuna sua veste</w:t>
      </w:r>
    </w:p>
    <w:p w14:paraId="44FCA088" w14:textId="77777777" w:rsidR="003B55D9" w:rsidRPr="00554893" w:rsidRDefault="003B55D9" w:rsidP="0082786C">
      <w:pPr>
        <w:spacing w:line="360" w:lineRule="auto"/>
        <w:rPr>
          <w:rFonts w:ascii="Arial" w:hAnsi="Arial" w:cs="Arial"/>
          <w:sz w:val="24"/>
          <w:szCs w:val="24"/>
        </w:rPr>
      </w:pPr>
      <w:r w:rsidRPr="00554893">
        <w:rPr>
          <w:rFonts w:ascii="Arial" w:hAnsi="Arial" w:cs="Arial"/>
          <w:b/>
          <w:sz w:val="24"/>
          <w:szCs w:val="24"/>
        </w:rPr>
        <w:t>Attribuzioni quale capo dell’amministrazione comunale</w:t>
      </w:r>
      <w:r w:rsidRPr="00554893">
        <w:rPr>
          <w:rFonts w:ascii="Arial" w:hAnsi="Arial" w:cs="Arial"/>
          <w:sz w:val="24"/>
          <w:szCs w:val="24"/>
        </w:rPr>
        <w:t>:</w:t>
      </w:r>
    </w:p>
    <w:p w14:paraId="2AA75FF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rappresentanza del comune</w:t>
      </w:r>
    </w:p>
    <w:p w14:paraId="7219696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convoca e presiede la giunta</w:t>
      </w:r>
    </w:p>
    <w:p w14:paraId="53EDC37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3</w:t>
      </w:r>
      <w:r w:rsidRPr="00554893">
        <w:rPr>
          <w:rFonts w:ascii="Arial" w:hAnsi="Arial" w:cs="Arial"/>
          <w:sz w:val="24"/>
          <w:szCs w:val="24"/>
        </w:rPr>
        <w:tab/>
        <w:t>convoca e presiede il consiglio quando non è previsto un presidente</w:t>
      </w:r>
    </w:p>
    <w:p w14:paraId="636FF89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4</w:t>
      </w:r>
      <w:r w:rsidRPr="00554893">
        <w:rPr>
          <w:rFonts w:ascii="Arial" w:hAnsi="Arial" w:cs="Arial"/>
          <w:sz w:val="24"/>
          <w:szCs w:val="24"/>
        </w:rPr>
        <w:tab/>
        <w:t>sovraintende al funzionamento dei servizi e degli uffici e all'esecuzione degli atti</w:t>
      </w:r>
    </w:p>
    <w:p w14:paraId="59A1266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5</w:t>
      </w:r>
      <w:r w:rsidRPr="00554893">
        <w:rPr>
          <w:rFonts w:ascii="Arial" w:hAnsi="Arial" w:cs="Arial"/>
          <w:sz w:val="24"/>
          <w:szCs w:val="24"/>
        </w:rPr>
        <w:tab/>
        <w:t>esercita le funzioni che lo statuto, la legge, il regolamento gli attribuiscono</w:t>
      </w:r>
    </w:p>
    <w:p w14:paraId="164A297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6</w:t>
      </w:r>
      <w:r w:rsidRPr="00554893">
        <w:rPr>
          <w:rFonts w:ascii="Arial" w:hAnsi="Arial" w:cs="Arial"/>
          <w:sz w:val="24"/>
          <w:szCs w:val="24"/>
        </w:rPr>
        <w:tab/>
        <w:t>esercita le funzioni quale autorità locale nelle materie previste dalla legge</w:t>
      </w:r>
    </w:p>
    <w:p w14:paraId="36246B2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7</w:t>
      </w:r>
      <w:r w:rsidRPr="00554893">
        <w:rPr>
          <w:rFonts w:ascii="Arial" w:hAnsi="Arial" w:cs="Arial"/>
          <w:sz w:val="24"/>
          <w:szCs w:val="24"/>
        </w:rPr>
        <w:tab/>
        <w:t>coordina, organizza, gli orari degli esercizi commerciali, pubblici servizi pubblici esercizi</w:t>
      </w:r>
    </w:p>
    <w:p w14:paraId="2E2EA8B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8</w:t>
      </w:r>
      <w:r w:rsidRPr="00554893">
        <w:rPr>
          <w:rFonts w:ascii="Arial" w:hAnsi="Arial" w:cs="Arial"/>
          <w:sz w:val="24"/>
          <w:szCs w:val="24"/>
        </w:rPr>
        <w:tab/>
        <w:t>nomina, designa revoca i rappresentanti del comune e presso enti, aziende e istituzioni (entro 45 giorni dal suo insediamento)</w:t>
      </w:r>
    </w:p>
    <w:p w14:paraId="4F0BDC4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9</w:t>
      </w:r>
      <w:r w:rsidRPr="00554893">
        <w:rPr>
          <w:rFonts w:ascii="Arial" w:hAnsi="Arial" w:cs="Arial"/>
          <w:sz w:val="24"/>
          <w:szCs w:val="24"/>
        </w:rPr>
        <w:tab/>
        <w:t>nomina i responsabili degli uffici, attribuisce incarichi dirigenziali, attribuisce collaborazioni esterne.</w:t>
      </w:r>
    </w:p>
    <w:p w14:paraId="150F9C6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10</w:t>
      </w:r>
      <w:r w:rsidRPr="00554893">
        <w:rPr>
          <w:rFonts w:ascii="Arial" w:hAnsi="Arial" w:cs="Arial"/>
          <w:sz w:val="24"/>
          <w:szCs w:val="24"/>
        </w:rPr>
        <w:tab/>
        <w:t>giura di osservare lealmente la Costituzione italiana.</w:t>
      </w:r>
    </w:p>
    <w:p w14:paraId="12EF6C1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11</w:t>
      </w:r>
      <w:r w:rsidRPr="00554893">
        <w:rPr>
          <w:rFonts w:ascii="Arial" w:hAnsi="Arial" w:cs="Arial"/>
          <w:sz w:val="24"/>
          <w:szCs w:val="24"/>
        </w:rPr>
        <w:tab/>
        <w:t>a sua volta egli nomina i componenti della giunta, tra cui il vicesindaco e ne dà comunicazione al consiglio nella prima seduta; presenta le linee programmatiche relative alle azioni e ai progetti da realizzare nel corso del suo mandato.</w:t>
      </w:r>
    </w:p>
    <w:p w14:paraId="06118373" w14:textId="77777777" w:rsidR="003B55D9" w:rsidRPr="00554893" w:rsidRDefault="003B55D9" w:rsidP="0082786C">
      <w:pPr>
        <w:spacing w:line="360" w:lineRule="auto"/>
        <w:rPr>
          <w:rFonts w:ascii="Arial" w:hAnsi="Arial" w:cs="Arial"/>
          <w:sz w:val="24"/>
          <w:szCs w:val="24"/>
        </w:rPr>
      </w:pPr>
    </w:p>
    <w:p w14:paraId="68EC79E3" w14:textId="77777777" w:rsidR="003B55D9" w:rsidRPr="00554893" w:rsidRDefault="003B55D9" w:rsidP="0082786C">
      <w:pPr>
        <w:spacing w:line="360" w:lineRule="auto"/>
        <w:rPr>
          <w:rFonts w:ascii="Arial" w:hAnsi="Arial" w:cs="Arial"/>
          <w:sz w:val="24"/>
          <w:szCs w:val="24"/>
        </w:rPr>
      </w:pPr>
      <w:r w:rsidRPr="00554893">
        <w:rPr>
          <w:rFonts w:ascii="Arial" w:hAnsi="Arial" w:cs="Arial"/>
          <w:b/>
          <w:sz w:val="24"/>
          <w:szCs w:val="24"/>
        </w:rPr>
        <w:t>Attribuzioni del Sindaco quale Ufficiale di Governo</w:t>
      </w:r>
      <w:r w:rsidRPr="00554893">
        <w:rPr>
          <w:rFonts w:ascii="Arial" w:hAnsi="Arial" w:cs="Arial"/>
          <w:sz w:val="24"/>
          <w:szCs w:val="24"/>
        </w:rPr>
        <w:t>:</w:t>
      </w:r>
    </w:p>
    <w:p w14:paraId="530CF2A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sovrintende alla tenuta dei registri di stato civile e di popolazione, agli adempimenti in materia elettorale, di leva militare e di statistica.</w:t>
      </w:r>
    </w:p>
    <w:p w14:paraId="32C4B2F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 xml:space="preserve">Emanazione di atti in materia di ordine </w:t>
      </w:r>
      <w:proofErr w:type="gramStart"/>
      <w:r w:rsidRPr="00554893">
        <w:rPr>
          <w:rFonts w:ascii="Arial" w:hAnsi="Arial" w:cs="Arial"/>
          <w:sz w:val="24"/>
          <w:szCs w:val="24"/>
        </w:rPr>
        <w:t>e  pubblica</w:t>
      </w:r>
      <w:proofErr w:type="gramEnd"/>
      <w:r w:rsidRPr="00554893">
        <w:rPr>
          <w:rFonts w:ascii="Arial" w:hAnsi="Arial" w:cs="Arial"/>
          <w:sz w:val="24"/>
          <w:szCs w:val="24"/>
        </w:rPr>
        <w:t xml:space="preserve"> sicurezza, </w:t>
      </w:r>
    </w:p>
    <w:p w14:paraId="3F11F16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3</w:t>
      </w:r>
      <w:r w:rsidRPr="00554893">
        <w:rPr>
          <w:rFonts w:ascii="Arial" w:hAnsi="Arial" w:cs="Arial"/>
          <w:sz w:val="24"/>
          <w:szCs w:val="24"/>
        </w:rPr>
        <w:tab/>
        <w:t>Svolgimento delle funzioni affidategli dalla legge in materia di pubblica sicurezza e di polizia giudiziaria</w:t>
      </w:r>
    </w:p>
    <w:p w14:paraId="2E6740E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4</w:t>
      </w:r>
      <w:r w:rsidRPr="00554893">
        <w:rPr>
          <w:rFonts w:ascii="Arial" w:hAnsi="Arial" w:cs="Arial"/>
          <w:sz w:val="24"/>
          <w:szCs w:val="24"/>
        </w:rPr>
        <w:tab/>
        <w:t xml:space="preserve"> vigilanza della sicurezza e dell’ordine pubblico</w:t>
      </w:r>
    </w:p>
    <w:p w14:paraId="4A30DB9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sindaco può revocare uno o più assessori nel corso del suo mandato.</w:t>
      </w:r>
    </w:p>
    <w:p w14:paraId="4F661B1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Dura in carica per un periodo di 5 anni, e può esser eletto una seconda volta; chi invece ha ricoperto già due mandati consecutivi può esser nuovamente rieletto solo se uno dei due mandati consecutivi ha avuto durata inferiore a due anni, 6 mesi e un giorno per causa diversa dalle dimissioni volontarie.</w:t>
      </w:r>
    </w:p>
    <w:p w14:paraId="1B2ACB6E" w14:textId="77777777" w:rsidR="003B55D9" w:rsidRPr="00554893" w:rsidRDefault="0079415A" w:rsidP="0082786C">
      <w:pPr>
        <w:spacing w:line="360" w:lineRule="auto"/>
        <w:rPr>
          <w:rFonts w:ascii="Arial" w:hAnsi="Arial" w:cs="Arial"/>
          <w:sz w:val="24"/>
          <w:szCs w:val="24"/>
        </w:rPr>
      </w:pPr>
      <w:r w:rsidRPr="00554893">
        <w:rPr>
          <w:rFonts w:ascii="Arial" w:hAnsi="Arial" w:cs="Arial"/>
          <w:sz w:val="24"/>
          <w:szCs w:val="24"/>
        </w:rPr>
        <w:t>C</w:t>
      </w:r>
      <w:r w:rsidR="003B55D9" w:rsidRPr="00554893">
        <w:rPr>
          <w:rFonts w:ascii="Arial" w:hAnsi="Arial" w:cs="Arial"/>
          <w:sz w:val="24"/>
          <w:szCs w:val="24"/>
        </w:rPr>
        <w:t xml:space="preserve">essazione della carica: </w:t>
      </w:r>
    </w:p>
    <w:p w14:paraId="53CAEEA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con approvazione mozione di sfiducia dalla maggioranza assoluta dei consiglieri, motivata e sottoscritta da almeno 2/5 dei consiglieri. se la mozione viene approvata si ha anche lo scioglimento del consiglio e la nomina di un commissario ad acta.</w:t>
      </w:r>
    </w:p>
    <w:p w14:paraId="2B32AFF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impedimento permanente</w:t>
      </w:r>
    </w:p>
    <w:p w14:paraId="5295B07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3.</w:t>
      </w:r>
      <w:r w:rsidRPr="00554893">
        <w:rPr>
          <w:rFonts w:ascii="Arial" w:hAnsi="Arial" w:cs="Arial"/>
          <w:sz w:val="24"/>
          <w:szCs w:val="24"/>
        </w:rPr>
        <w:tab/>
        <w:t>rimozione (per comportamenti contrari alla Costituzione)</w:t>
      </w:r>
    </w:p>
    <w:p w14:paraId="53A0546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4.</w:t>
      </w:r>
      <w:r w:rsidRPr="00554893">
        <w:rPr>
          <w:rFonts w:ascii="Arial" w:hAnsi="Arial" w:cs="Arial"/>
          <w:sz w:val="24"/>
          <w:szCs w:val="24"/>
        </w:rPr>
        <w:tab/>
        <w:t>decadenza</w:t>
      </w:r>
    </w:p>
    <w:p w14:paraId="48D28E3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5.</w:t>
      </w:r>
      <w:r w:rsidRPr="00554893">
        <w:rPr>
          <w:rFonts w:ascii="Arial" w:hAnsi="Arial" w:cs="Arial"/>
          <w:sz w:val="24"/>
          <w:szCs w:val="24"/>
        </w:rPr>
        <w:tab/>
        <w:t xml:space="preserve">decesso   </w:t>
      </w:r>
    </w:p>
    <w:p w14:paraId="50A7BB6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In questi casi la giunta decade e si procede allo scioglimento del consiglio; il consiglio dura in carica sino all'elezione del nuovo sindaco e consiglio. le funzioni del sindaco invece sono portate avanti dal vicesindaco.</w:t>
      </w:r>
    </w:p>
    <w:p w14:paraId="4DCD91A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Le ordinanze del Sindaco sono di due tipi a seconda del potere in base al quale egli è competente ad emetterle:</w:t>
      </w:r>
    </w:p>
    <w:p w14:paraId="6259535C" w14:textId="77777777" w:rsidR="003B55D9" w:rsidRPr="00554893" w:rsidRDefault="003B55D9">
      <w:pPr>
        <w:pStyle w:val="Paragrafoelenco"/>
        <w:numPr>
          <w:ilvl w:val="0"/>
          <w:numId w:val="3"/>
        </w:numPr>
        <w:spacing w:line="360" w:lineRule="auto"/>
        <w:rPr>
          <w:rFonts w:ascii="Arial" w:hAnsi="Arial" w:cs="Arial"/>
          <w:sz w:val="24"/>
          <w:szCs w:val="24"/>
        </w:rPr>
      </w:pPr>
      <w:r w:rsidRPr="00554893">
        <w:rPr>
          <w:rFonts w:ascii="Arial" w:hAnsi="Arial" w:cs="Arial"/>
          <w:sz w:val="24"/>
          <w:szCs w:val="24"/>
        </w:rPr>
        <w:t>o. ordinarie in osservanza ai regolamenti comunali non eccedono tali disposizioni e sono emanate nell’esercizio di normali funzioni di vigilanza. Es: chiusura di esercizio commerciale in caso di ripetuta infrazione</w:t>
      </w:r>
    </w:p>
    <w:p w14:paraId="17DFEA42" w14:textId="77777777" w:rsidR="003B55D9" w:rsidRPr="00554893" w:rsidRDefault="003B55D9">
      <w:pPr>
        <w:pStyle w:val="Paragrafoelenco"/>
        <w:numPr>
          <w:ilvl w:val="0"/>
          <w:numId w:val="3"/>
        </w:numPr>
        <w:spacing w:line="360" w:lineRule="auto"/>
        <w:rPr>
          <w:rFonts w:ascii="Arial" w:hAnsi="Arial" w:cs="Arial"/>
          <w:sz w:val="24"/>
          <w:szCs w:val="24"/>
        </w:rPr>
      </w:pPr>
      <w:r w:rsidRPr="00554893">
        <w:rPr>
          <w:rFonts w:ascii="Arial" w:hAnsi="Arial" w:cs="Arial"/>
          <w:sz w:val="24"/>
          <w:szCs w:val="24"/>
        </w:rPr>
        <w:t xml:space="preserve">o. d’urgenza: sono provvedimenti adottati in condizioni di urgenza, si tratta di un potere che la legge attribuisce al Sindaco in qualità di ufficiale di Governo per far fronte a particolari situazioni di necessità. il Sindaco può adottare questi provvedimenti in materia di edilizia, polizia locale, igiene e sanità pubblica e solo in qualità di ufficiale di Governo. Es: ordinanza di sfratto quando i locali necessitano di urgente restauro per incolumità pubblica; ordinanza per distruzione opere pericolanti o pericolose. </w:t>
      </w:r>
    </w:p>
    <w:p w14:paraId="042AA6CB" w14:textId="77777777" w:rsidR="003B55D9" w:rsidRPr="00554893" w:rsidRDefault="003B55D9" w:rsidP="0082786C">
      <w:pPr>
        <w:spacing w:line="360" w:lineRule="auto"/>
        <w:rPr>
          <w:rFonts w:ascii="Arial" w:hAnsi="Arial" w:cs="Arial"/>
          <w:sz w:val="24"/>
          <w:szCs w:val="24"/>
        </w:rPr>
      </w:pPr>
    </w:p>
    <w:p w14:paraId="734D71C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L’ordinanza contingibile ed urgente (non delegabile dal Sindaco al dirigente, ma adottabile dal vicesindaco in sostituzione del Sindaco): caratteristiche:</w:t>
      </w:r>
    </w:p>
    <w:p w14:paraId="7D134D7D" w14:textId="77777777" w:rsidR="003B55D9" w:rsidRPr="00554893" w:rsidRDefault="003B55D9">
      <w:pPr>
        <w:pStyle w:val="Paragrafoelenco"/>
        <w:numPr>
          <w:ilvl w:val="0"/>
          <w:numId w:val="18"/>
        </w:numPr>
        <w:spacing w:line="360" w:lineRule="auto"/>
        <w:rPr>
          <w:rFonts w:ascii="Arial" w:hAnsi="Arial" w:cs="Arial"/>
          <w:sz w:val="24"/>
          <w:szCs w:val="24"/>
        </w:rPr>
      </w:pPr>
      <w:r w:rsidRPr="00554893">
        <w:rPr>
          <w:rFonts w:ascii="Arial" w:hAnsi="Arial" w:cs="Arial"/>
          <w:sz w:val="24"/>
          <w:szCs w:val="24"/>
        </w:rPr>
        <w:t>contingibile: provvedimento che trae origine da un evento di carattere accidentale ed eccezionale, non previsto né prevedibile e a carattere temporaneo (“e’ illegittima l’ordinanza contingibile ed urgente nell’ipotesi in cui l’urgenza del provvedimento straordinario è provocata non già da sopravvenienze impreviste ed imprevedibili bensì dalla stessa inefficacia gestionale dell’ente: in tal modo si contravviene alle regole di legittimità che presiedono al ricorso allo strumento sussidiario e residuale –quale è l’ord. cont. e urgente- che non può surrogare i rimedi giuridici ordinari tipici e non può trovare il presupposto di urgenza nella inerzia della stessa amministrazione.” TAR Campania sent. 8/2/2006 n. 1778). Condizione essenziale fondamentale per la sua adozione è la presenza di un pericolo imminente;</w:t>
      </w:r>
    </w:p>
    <w:p w14:paraId="68909F08" w14:textId="77777777" w:rsidR="003B55D9" w:rsidRPr="00554893" w:rsidRDefault="003B55D9">
      <w:pPr>
        <w:pStyle w:val="Paragrafoelenco"/>
        <w:numPr>
          <w:ilvl w:val="0"/>
          <w:numId w:val="18"/>
        </w:numPr>
        <w:spacing w:line="360" w:lineRule="auto"/>
        <w:rPr>
          <w:rFonts w:ascii="Arial" w:hAnsi="Arial" w:cs="Arial"/>
          <w:sz w:val="24"/>
          <w:szCs w:val="24"/>
        </w:rPr>
      </w:pPr>
      <w:r w:rsidRPr="00554893">
        <w:rPr>
          <w:rFonts w:ascii="Arial" w:hAnsi="Arial" w:cs="Arial"/>
          <w:sz w:val="24"/>
          <w:szCs w:val="24"/>
        </w:rPr>
        <w:t>urgente: esigenza che non può essere affrontata con i mezzi ordinari apprestati dall’ordinamento giuridico secondo il principio “necessitas non habet legem”. La sua applicazione deve quindi avvenire immediatamente, per rimuovere o riparare i pericoli ed i danni temuti per l’interesse generale ed in previsione di danno incombente;</w:t>
      </w:r>
    </w:p>
    <w:p w14:paraId="0F31E208" w14:textId="77777777" w:rsidR="003B55D9" w:rsidRPr="00554893" w:rsidRDefault="003B55D9">
      <w:pPr>
        <w:pStyle w:val="Paragrafoelenco"/>
        <w:numPr>
          <w:ilvl w:val="0"/>
          <w:numId w:val="18"/>
        </w:numPr>
        <w:spacing w:line="360" w:lineRule="auto"/>
        <w:rPr>
          <w:rFonts w:ascii="Arial" w:hAnsi="Arial" w:cs="Arial"/>
          <w:sz w:val="24"/>
          <w:szCs w:val="24"/>
        </w:rPr>
      </w:pPr>
      <w:r w:rsidRPr="00554893">
        <w:rPr>
          <w:rFonts w:ascii="Arial" w:hAnsi="Arial" w:cs="Arial"/>
          <w:sz w:val="24"/>
          <w:szCs w:val="24"/>
        </w:rPr>
        <w:t xml:space="preserve">specifica termine finale: l’efficacia sine die contrasterebbe con il carattere eccezionale e temporaneo del provvedimento. </w:t>
      </w:r>
      <w:proofErr w:type="gramStart"/>
      <w:r w:rsidRPr="00554893">
        <w:rPr>
          <w:rFonts w:ascii="Arial" w:hAnsi="Arial" w:cs="Arial"/>
          <w:sz w:val="24"/>
          <w:szCs w:val="24"/>
        </w:rPr>
        <w:t>E’</w:t>
      </w:r>
      <w:proofErr w:type="gramEnd"/>
      <w:r w:rsidRPr="00554893">
        <w:rPr>
          <w:rFonts w:ascii="Arial" w:hAnsi="Arial" w:cs="Arial"/>
          <w:sz w:val="24"/>
          <w:szCs w:val="24"/>
        </w:rPr>
        <w:t xml:space="preserve"> illegittima l’ordinanza di sospensione dei lavori edilizi per un mese nell’ambito del territorio di un comune turistico al fine di evitare inconvenienti anche di natura igienica in quanto manca la straordinarietà e non è correlata a situazioni con tingibili ed urgenti; trattasi di un intervento diretto a regolare stabilmente una determinata situazione che può essere realizzato con mezzi ordinari. (Con. Giust. Amm. Sicilia, sentenza 31/3/06, n. 119). </w:t>
      </w:r>
    </w:p>
    <w:p w14:paraId="07B90482" w14:textId="77777777" w:rsidR="003B55D9" w:rsidRPr="00554893" w:rsidRDefault="003B55D9">
      <w:pPr>
        <w:pStyle w:val="Paragrafoelenco"/>
        <w:numPr>
          <w:ilvl w:val="0"/>
          <w:numId w:val="18"/>
        </w:numPr>
        <w:spacing w:line="360" w:lineRule="auto"/>
        <w:rPr>
          <w:rFonts w:ascii="Arial" w:hAnsi="Arial" w:cs="Arial"/>
          <w:sz w:val="24"/>
          <w:szCs w:val="24"/>
        </w:rPr>
      </w:pPr>
      <w:r w:rsidRPr="00554893">
        <w:rPr>
          <w:rFonts w:ascii="Arial" w:hAnsi="Arial" w:cs="Arial"/>
          <w:sz w:val="24"/>
          <w:szCs w:val="24"/>
        </w:rPr>
        <w:t>specifica della motivazione. In merito, “… sono necessarie delle verifiche tecniche al fine di valutare l’esistenza di una situazione effettivamente pericolosa per la pubblica incolumità</w:t>
      </w:r>
      <w:proofErr w:type="gramStart"/>
      <w:r w:rsidRPr="00554893">
        <w:rPr>
          <w:rFonts w:ascii="Arial" w:hAnsi="Arial" w:cs="Arial"/>
          <w:sz w:val="24"/>
          <w:szCs w:val="24"/>
        </w:rPr>
        <w:t>.”(</w:t>
      </w:r>
      <w:proofErr w:type="gramEnd"/>
      <w:r w:rsidRPr="00554893">
        <w:rPr>
          <w:rFonts w:ascii="Arial" w:hAnsi="Arial" w:cs="Arial"/>
          <w:sz w:val="24"/>
          <w:szCs w:val="24"/>
        </w:rPr>
        <w:t xml:space="preserve">TAR Lazio, 13/1/2005 n.8538). “Sono illegittime le ordinanze che dispongono la rimozione del blocco dell’attività di stoccaggio di rifiuti qualora si faccia riferimento al generico rischio per l’igiene pubblica omettendo gli elementi istruttori e valutativi su cui si fonda il giudizio; il riferimento agli incontri con i comitati spontanei di cittadini è manifestamente espressione del malgoverno amministrativo del sindaco”. TAR Campania, 26/7/2005 n. 10384. </w:t>
      </w:r>
      <w:proofErr w:type="gramStart"/>
      <w:r w:rsidRPr="00554893">
        <w:rPr>
          <w:rFonts w:ascii="Arial" w:hAnsi="Arial" w:cs="Arial"/>
          <w:sz w:val="24"/>
          <w:szCs w:val="24"/>
        </w:rPr>
        <w:t>“E’</w:t>
      </w:r>
      <w:proofErr w:type="gramEnd"/>
      <w:r w:rsidRPr="00554893">
        <w:rPr>
          <w:rFonts w:ascii="Arial" w:hAnsi="Arial" w:cs="Arial"/>
          <w:sz w:val="24"/>
          <w:szCs w:val="24"/>
        </w:rPr>
        <w:t xml:space="preserve"> illegittima l’ordinanza con tingibile adottata dal sindaco con la quale al fine di evitare potenziali pericoli per la pubblica incolumità, ordina la immediata messa in sicurezza e rimozione di alcune ceppaie in mancanza di un adeguata istruttoria, dell’indicazione delle ragioni di contingentabilità ed urgenza nonché dei pericoli per la collettività ed in considerazione del fatto che nelle premesse si fa riferimento ad un potenziale pericolo”. TAR Piemonte, 30 gennaio 2007, n. 459. </w:t>
      </w:r>
      <w:proofErr w:type="gramStart"/>
      <w:r w:rsidRPr="00554893">
        <w:rPr>
          <w:rFonts w:ascii="Arial" w:hAnsi="Arial" w:cs="Arial"/>
          <w:sz w:val="24"/>
          <w:szCs w:val="24"/>
        </w:rPr>
        <w:t>“E’</w:t>
      </w:r>
      <w:proofErr w:type="gramEnd"/>
      <w:r w:rsidRPr="00554893">
        <w:rPr>
          <w:rFonts w:ascii="Arial" w:hAnsi="Arial" w:cs="Arial"/>
          <w:sz w:val="24"/>
          <w:szCs w:val="24"/>
        </w:rPr>
        <w:t xml:space="preserve"> illegittima l’ordinanza con tingibile ed urgente con la quale il sindaco ordina al proprietario di un immobile di provvedere alla tempestiva esecuzione di tutti i necessari interventi volti all’eliminazione dello stato di pericolo nel caso in cui l’amministrazione non abbia condotto accertamenti istruttori idonei a comprovare l’effettiva esistenza dei presupposti per l’adozione della ordinanza, rimanendo non dimostrata l’esistenza del pericolo”. TAR Campania, 8/2/2006, n. 1776.</w:t>
      </w:r>
    </w:p>
    <w:p w14:paraId="5FEE9A2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Se l’ordinanza rivolta a persone determinate non viene eseguita dalle stesse, il sindaco provvede d’ufficio a spese degli interessati; di fronte all’inadempimento anche da parte del sindaco, il Prefetto esercita un potere ispettivo fino a procedere al controllo sostitutivo del sindaco a mezzo di un commissario che agisce a spese dell’ente.</w:t>
      </w:r>
    </w:p>
    <w:p w14:paraId="5F9CF3C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A causa della natura indifferibile ed urgente dell’intervento disposto ai sensi dell’art. 50, comma 5 del T.U., può essere destinatario del provvedimento sindacale anche il proprietario dell’area a prescindere dalla sua eventuale responsabilità, fatta salva la necessità di individuare in </w:t>
      </w:r>
      <w:proofErr w:type="gramStart"/>
      <w:r w:rsidRPr="00554893">
        <w:rPr>
          <w:rFonts w:ascii="Arial" w:hAnsi="Arial" w:cs="Arial"/>
          <w:sz w:val="24"/>
          <w:szCs w:val="24"/>
        </w:rPr>
        <w:t>un  momento</w:t>
      </w:r>
      <w:proofErr w:type="gramEnd"/>
      <w:r w:rsidRPr="00554893">
        <w:rPr>
          <w:rFonts w:ascii="Arial" w:hAnsi="Arial" w:cs="Arial"/>
          <w:sz w:val="24"/>
          <w:szCs w:val="24"/>
        </w:rPr>
        <w:t xml:space="preserve"> successivo il responsabile della situazione abusiva (TAR Puglia, 5/9/2007, n. 2087).</w:t>
      </w:r>
    </w:p>
    <w:p w14:paraId="234208AB"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 xml:space="preserve">La questione sicurezza interna, che indubbiamente rappresenta un problema che da alcuni anni coinvolge il Paese, è stata trattata nell’ottica di riaffermazione di un maggiore rigore nella lotta alla criminalità e al degrado nelle aree metropolitane, con il </w:t>
      </w:r>
      <w:proofErr w:type="gramStart"/>
      <w:r w:rsidRPr="00554893">
        <w:rPr>
          <w:rFonts w:ascii="Arial" w:eastAsia="Times New Roman" w:hAnsi="Arial" w:cs="Arial"/>
          <w:color w:val="000000" w:themeColor="text1"/>
          <w:sz w:val="24"/>
          <w:szCs w:val="24"/>
          <w:lang w:eastAsia="it-IT"/>
        </w:rPr>
        <w:t>decreto legge</w:t>
      </w:r>
      <w:proofErr w:type="gramEnd"/>
      <w:r w:rsidRPr="00554893">
        <w:rPr>
          <w:rFonts w:ascii="Arial" w:eastAsia="Times New Roman" w:hAnsi="Arial" w:cs="Arial"/>
          <w:color w:val="000000" w:themeColor="text1"/>
          <w:sz w:val="24"/>
          <w:szCs w:val="24"/>
          <w:lang w:eastAsia="it-IT"/>
        </w:rPr>
        <w:t xml:space="preserve"> n.14 del 20 febbraio 2017 convertito in L. n.48 del 18 aprile 2017. Il decreto sicurezza, concorrendo con il decreto Minniti (D.L. n. 13/2017) in tema di lotta all’immigrazione irregolare, persegue la finalità di una maggiore sicurezza urbana, mediante forme preventive di controllo rilasciate direttamente agli Enti Locali, con un primario ruolo in capo al Sindaco, nonché forme di cooperazione tra Polizia locale e corpi, oltre ad incentivi per il recupero delle aree urbane degradate e all’inasprimento delle sanzioni per i soggetti coinvolti nei c.d. “disordini urbani”.</w:t>
      </w:r>
    </w:p>
    <w:p w14:paraId="37535200"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Il lungo ed articolato percorso attraverso il quale prendono le mosse le recenti politiche securitarie germoglia da quel sentimento di insicurezza e di disagio collettivo che, scandendo ciclici “pacchetti sicurezza”, conduce alla definizione di un concetto di “sicurezza pubblica” quale bene giuridico da preservare, che nella sua componente sanzionatoria e repressiva include sia il profilo amministrativistico, sia quello penale, con l’attribuzione della rilevanza a nuove condotte ritenute socialmente pericolose. Ciò che, tuttavia, pare innovare il D.L. 14/2017 è l’introduzione del concetto di </w:t>
      </w:r>
      <w:r w:rsidRPr="00554893">
        <w:rPr>
          <w:rFonts w:ascii="Arial" w:eastAsia="Times New Roman" w:hAnsi="Arial" w:cs="Arial"/>
          <w:i/>
          <w:iCs/>
          <w:color w:val="000000" w:themeColor="text1"/>
          <w:sz w:val="24"/>
          <w:szCs w:val="24"/>
          <w:lang w:eastAsia="it-IT"/>
        </w:rPr>
        <w:t>sicurezza integrata </w:t>
      </w:r>
      <w:r w:rsidRPr="00554893">
        <w:rPr>
          <w:rFonts w:ascii="Arial" w:eastAsia="Times New Roman" w:hAnsi="Arial" w:cs="Arial"/>
          <w:color w:val="000000" w:themeColor="text1"/>
          <w:sz w:val="24"/>
          <w:szCs w:val="24"/>
          <w:lang w:eastAsia="it-IT"/>
        </w:rPr>
        <w:t>(art.2), ovvero l’insieme degli interventi congiunti tra Stato, Regioni e Comuni al fine di concorrere, ciascuno nell’ambito delle proprie competenze e responsabilità, alla promozione e attuazione di un sistema unitario di sicurezza e controllo. A seguito dei recenti drammatici attacchi terroristici in Francia ed in Gran Bretagna, nonché dell’accaduto di Torino ove il panico ingenerato per un infondato allarme terrorismo ha provocato gravi conseguenze, con accordo in sede di Conferenza unificata su proposta del Ministro dell’interno, sono state definite le </w:t>
      </w:r>
      <w:r w:rsidRPr="00554893">
        <w:rPr>
          <w:rFonts w:ascii="Arial" w:eastAsia="Times New Roman" w:hAnsi="Arial" w:cs="Arial"/>
          <w:b/>
          <w:bCs/>
          <w:color w:val="000000" w:themeColor="text1"/>
          <w:sz w:val="24"/>
          <w:szCs w:val="24"/>
          <w:lang w:eastAsia="it-IT"/>
        </w:rPr>
        <w:t>linee generali delle politiche pubbliche per la promozione della sicurezza integrata</w:t>
      </w:r>
      <w:r w:rsidRPr="00554893">
        <w:rPr>
          <w:rFonts w:ascii="Arial" w:eastAsia="Times New Roman" w:hAnsi="Arial" w:cs="Arial"/>
          <w:color w:val="000000" w:themeColor="text1"/>
          <w:sz w:val="24"/>
          <w:szCs w:val="24"/>
          <w:lang w:eastAsia="it-IT"/>
        </w:rPr>
        <w:t> e l’obbiettivo di coordinare e favorire la collaborazione tra forze di Polizia locali e Corpi nei seguenti settori: i) scambio informativo tra polizia locale e forze di polizia presenti sul territorio; ii) interconnessione, a livello territoriale, tra le sale operative della polizia locale e quelle delle forze di polizia, e regolamentazione dell’utilizzo in comune di sistemi di sicurezza tecnologica per il controllo delle aree e attività soggette a rischio; iii) aggiornamento professionale integrato per gli operatori.</w:t>
      </w:r>
    </w:p>
    <w:p w14:paraId="127DA797"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L’intenzione del legislatore è dunque creare una rete di interscambio informativo tra gli operatori al fine di acquisire dati e conoscenze specifiche in ambito di sicurezza pubblica e urbana, responsabilizzando tutti gli attori istituzionali competenti nella gestione del territorio, che, in presenza di comportamenti ascrivibili a una più ampia fenomenologia di marginalità e devianza, non possiedono, dal punto di vista delle politiche governative ideatrici della riforma, adeguati strumenti di intervento.  All’art. 5 della L. 48/2017, nella predetta prospettiva di collaborazione interistituzionale, si prevede infatti la previsione della sottoscrizione tra il Prefetto e i Sindaci delle città di patti per l’attuazione della c.d. “sicurezza urbana”, volti al perseguimento di alcuni obbiettivi definiti prioritari: A) </w:t>
      </w:r>
      <w:r w:rsidRPr="00554893">
        <w:rPr>
          <w:rFonts w:ascii="Arial" w:eastAsia="Times New Roman" w:hAnsi="Arial" w:cs="Arial"/>
          <w:b/>
          <w:bCs/>
          <w:color w:val="000000" w:themeColor="text1"/>
          <w:sz w:val="24"/>
          <w:szCs w:val="24"/>
          <w:lang w:eastAsia="it-IT"/>
        </w:rPr>
        <w:t>prevenzione e contrasto alla criminalità e ai disordini; B) promozione e tutela della legalità; C) promozione e rispetto del decoro urbano; D) promozione dell’inclusione, della protezione e della solidarietà sociale. </w:t>
      </w:r>
    </w:p>
    <w:p w14:paraId="7992FA4F"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Si tratta, pertanto, della prevenzione e del contrasto dei fenomeni di criminalità diffusa e predatoria, da realizzare attraverso servizi e interventi di prossimità, volti a recuperare le zone maggiormente a rischio degrado e disordine. Il testo di legge, così come modificato in sede di conversione, istituisce anche un nuovo organo, ovvero il comitato metropolitano, affianco al Sindaco, quali soggetti affidatari del potere di individuare le aree d’intervento e i programmi attuativi. La L. 48/2017 prevede infatti un ampliamento dei poteri del primo cittadino, con importanti modifiche al Testo unico delle leggi sull’ordinamento degli enti locali, di cui al D.lvo 18 agosto 2000, ovvero:</w:t>
      </w:r>
    </w:p>
    <w:p w14:paraId="16999A38" w14:textId="77777777" w:rsidR="0079415A" w:rsidRPr="00554893" w:rsidRDefault="0079415A">
      <w:pPr>
        <w:numPr>
          <w:ilvl w:val="0"/>
          <w:numId w:val="4"/>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il sindaco, quale rappresentante della comunità locale, può adottare ordinanze dirette a superare </w:t>
      </w:r>
      <w:r w:rsidRPr="00554893">
        <w:rPr>
          <w:rFonts w:ascii="Arial" w:eastAsia="Times New Roman" w:hAnsi="Arial" w:cs="Arial"/>
          <w:b/>
          <w:bCs/>
          <w:color w:val="000000" w:themeColor="text1"/>
          <w:sz w:val="24"/>
          <w:szCs w:val="24"/>
          <w:lang w:eastAsia="it-IT"/>
        </w:rPr>
        <w:t>situazioni di grave incuria o degrado del territorio</w:t>
      </w:r>
      <w:r w:rsidRPr="00554893">
        <w:rPr>
          <w:rFonts w:ascii="Arial" w:eastAsia="Times New Roman" w:hAnsi="Arial" w:cs="Arial"/>
          <w:color w:val="000000" w:themeColor="text1"/>
          <w:sz w:val="24"/>
          <w:szCs w:val="24"/>
          <w:lang w:eastAsia="it-IT"/>
        </w:rPr>
        <w:t> o di </w:t>
      </w:r>
      <w:r w:rsidRPr="00554893">
        <w:rPr>
          <w:rFonts w:ascii="Arial" w:eastAsia="Times New Roman" w:hAnsi="Arial" w:cs="Arial"/>
          <w:b/>
          <w:bCs/>
          <w:color w:val="000000" w:themeColor="text1"/>
          <w:sz w:val="24"/>
          <w:szCs w:val="24"/>
          <w:lang w:eastAsia="it-IT"/>
        </w:rPr>
        <w:t>pregiudizio del decoro e della vivibilità urbana</w:t>
      </w:r>
      <w:r w:rsidRPr="00554893">
        <w:rPr>
          <w:rFonts w:ascii="Arial" w:eastAsia="Times New Roman" w:hAnsi="Arial" w:cs="Arial"/>
          <w:color w:val="000000" w:themeColor="text1"/>
          <w:sz w:val="24"/>
          <w:szCs w:val="24"/>
          <w:lang w:eastAsia="it-IT"/>
        </w:rPr>
        <w:t>;</w:t>
      </w:r>
    </w:p>
    <w:p w14:paraId="1DBE1104" w14:textId="77777777" w:rsidR="0079415A" w:rsidRPr="00554893" w:rsidRDefault="0079415A">
      <w:pPr>
        <w:numPr>
          <w:ilvl w:val="0"/>
          <w:numId w:val="4"/>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 xml:space="preserve">per la tutela della tranquillità e del riposo dei residenti in determinate aree urbane interessate da notevole afflusso di persone, anche in relazione allo svolgimento di specifici eventi, il sindaco può disporre con ordinanza non contingibile e urgente e per un </w:t>
      </w:r>
      <w:proofErr w:type="gramStart"/>
      <w:r w:rsidRPr="00554893">
        <w:rPr>
          <w:rFonts w:ascii="Arial" w:eastAsia="Times New Roman" w:hAnsi="Arial" w:cs="Arial"/>
          <w:color w:val="000000" w:themeColor="text1"/>
          <w:sz w:val="24"/>
          <w:szCs w:val="24"/>
          <w:lang w:eastAsia="it-IT"/>
        </w:rPr>
        <w:t>periodo comunque</w:t>
      </w:r>
      <w:proofErr w:type="gramEnd"/>
      <w:r w:rsidRPr="00554893">
        <w:rPr>
          <w:rFonts w:ascii="Arial" w:eastAsia="Times New Roman" w:hAnsi="Arial" w:cs="Arial"/>
          <w:color w:val="000000" w:themeColor="text1"/>
          <w:sz w:val="24"/>
          <w:szCs w:val="24"/>
          <w:lang w:eastAsia="it-IT"/>
        </w:rPr>
        <w:t xml:space="preserve"> non superiore a 60 giorni, </w:t>
      </w:r>
      <w:r w:rsidRPr="00554893">
        <w:rPr>
          <w:rFonts w:ascii="Arial" w:eastAsia="Times New Roman" w:hAnsi="Arial" w:cs="Arial"/>
          <w:b/>
          <w:bCs/>
          <w:color w:val="000000" w:themeColor="text1"/>
          <w:sz w:val="24"/>
          <w:szCs w:val="24"/>
          <w:lang w:eastAsia="it-IT"/>
        </w:rPr>
        <w:t>limitazioni in materia di orari di vendita e di somministrazione di bevande alcoliche e superalcoliche</w:t>
      </w:r>
      <w:r w:rsidRPr="00554893">
        <w:rPr>
          <w:rFonts w:ascii="Arial" w:eastAsia="Times New Roman" w:hAnsi="Arial" w:cs="Arial"/>
          <w:color w:val="000000" w:themeColor="text1"/>
          <w:sz w:val="24"/>
          <w:szCs w:val="24"/>
          <w:lang w:eastAsia="it-IT"/>
        </w:rPr>
        <w:t>;</w:t>
      </w:r>
    </w:p>
    <w:p w14:paraId="1F9F828C" w14:textId="77777777" w:rsidR="0079415A" w:rsidRPr="00554893" w:rsidRDefault="0079415A">
      <w:pPr>
        <w:numPr>
          <w:ilvl w:val="0"/>
          <w:numId w:val="4"/>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le </w:t>
      </w:r>
      <w:r w:rsidRPr="00554893">
        <w:rPr>
          <w:rFonts w:ascii="Arial" w:eastAsia="Times New Roman" w:hAnsi="Arial" w:cs="Arial"/>
          <w:b/>
          <w:bCs/>
          <w:color w:val="000000" w:themeColor="text1"/>
          <w:sz w:val="24"/>
          <w:szCs w:val="24"/>
          <w:lang w:eastAsia="it-IT"/>
        </w:rPr>
        <w:t>ordinanze contingibili e urgenti</w:t>
      </w:r>
      <w:r w:rsidRPr="00554893">
        <w:rPr>
          <w:rFonts w:ascii="Arial" w:eastAsia="Times New Roman" w:hAnsi="Arial" w:cs="Arial"/>
          <w:color w:val="000000" w:themeColor="text1"/>
          <w:sz w:val="24"/>
          <w:szCs w:val="24"/>
          <w:lang w:eastAsia="it-IT"/>
        </w:rPr>
        <w:t> che il sindaco può adottare, quale ufficiale del Governo ex art. 54 T.U. Enti locali, sono dirette a prevenire e contrastare le situazioni che favoriscono l’insorgere di fenomeni criminosi o di illegalità, quali lo </w:t>
      </w:r>
      <w:r w:rsidRPr="00554893">
        <w:rPr>
          <w:rFonts w:ascii="Arial" w:eastAsia="Times New Roman" w:hAnsi="Arial" w:cs="Arial"/>
          <w:b/>
          <w:bCs/>
          <w:color w:val="000000" w:themeColor="text1"/>
          <w:sz w:val="24"/>
          <w:szCs w:val="24"/>
          <w:lang w:eastAsia="it-IT"/>
        </w:rPr>
        <w:t>spaccio di stupefacenti</w:t>
      </w:r>
      <w:r w:rsidRPr="00554893">
        <w:rPr>
          <w:rFonts w:ascii="Arial" w:eastAsia="Times New Roman" w:hAnsi="Arial" w:cs="Arial"/>
          <w:color w:val="000000" w:themeColor="text1"/>
          <w:sz w:val="24"/>
          <w:szCs w:val="24"/>
          <w:lang w:eastAsia="it-IT"/>
        </w:rPr>
        <w:t>, lo </w:t>
      </w:r>
      <w:r w:rsidRPr="00554893">
        <w:rPr>
          <w:rFonts w:ascii="Arial" w:eastAsia="Times New Roman" w:hAnsi="Arial" w:cs="Arial"/>
          <w:b/>
          <w:bCs/>
          <w:color w:val="000000" w:themeColor="text1"/>
          <w:sz w:val="24"/>
          <w:szCs w:val="24"/>
          <w:lang w:eastAsia="it-IT"/>
        </w:rPr>
        <w:t>sfruttamento della prostituzione</w:t>
      </w:r>
      <w:r w:rsidRPr="00554893">
        <w:rPr>
          <w:rFonts w:ascii="Arial" w:eastAsia="Times New Roman" w:hAnsi="Arial" w:cs="Arial"/>
          <w:color w:val="000000" w:themeColor="text1"/>
          <w:sz w:val="24"/>
          <w:szCs w:val="24"/>
          <w:lang w:eastAsia="it-IT"/>
        </w:rPr>
        <w:t>, l’</w:t>
      </w:r>
      <w:r w:rsidRPr="00554893">
        <w:rPr>
          <w:rFonts w:ascii="Arial" w:eastAsia="Times New Roman" w:hAnsi="Arial" w:cs="Arial"/>
          <w:b/>
          <w:bCs/>
          <w:color w:val="000000" w:themeColor="text1"/>
          <w:sz w:val="24"/>
          <w:szCs w:val="24"/>
          <w:lang w:eastAsia="it-IT"/>
        </w:rPr>
        <w:t>accattonaggio</w:t>
      </w:r>
      <w:r w:rsidRPr="00554893">
        <w:rPr>
          <w:rFonts w:ascii="Arial" w:eastAsia="Times New Roman" w:hAnsi="Arial" w:cs="Arial"/>
          <w:color w:val="000000" w:themeColor="text1"/>
          <w:sz w:val="24"/>
          <w:szCs w:val="24"/>
          <w:lang w:eastAsia="it-IT"/>
        </w:rPr>
        <w:t> con impiego di minori e disabili, o fenomeni di abusivismo, quale l’</w:t>
      </w:r>
      <w:r w:rsidRPr="00554893">
        <w:rPr>
          <w:rFonts w:ascii="Arial" w:eastAsia="Times New Roman" w:hAnsi="Arial" w:cs="Arial"/>
          <w:b/>
          <w:bCs/>
          <w:color w:val="000000" w:themeColor="text1"/>
          <w:sz w:val="24"/>
          <w:szCs w:val="24"/>
          <w:lang w:eastAsia="it-IT"/>
        </w:rPr>
        <w:t>illecita occupazione di spazi pubblici</w:t>
      </w:r>
      <w:r w:rsidRPr="00554893">
        <w:rPr>
          <w:rFonts w:ascii="Arial" w:eastAsia="Times New Roman" w:hAnsi="Arial" w:cs="Arial"/>
          <w:color w:val="000000" w:themeColor="text1"/>
          <w:sz w:val="24"/>
          <w:szCs w:val="24"/>
          <w:lang w:eastAsia="it-IT"/>
        </w:rPr>
        <w:t>, o di </w:t>
      </w:r>
      <w:r w:rsidRPr="00554893">
        <w:rPr>
          <w:rFonts w:ascii="Arial" w:eastAsia="Times New Roman" w:hAnsi="Arial" w:cs="Arial"/>
          <w:b/>
          <w:bCs/>
          <w:color w:val="000000" w:themeColor="text1"/>
          <w:sz w:val="24"/>
          <w:szCs w:val="24"/>
          <w:lang w:eastAsia="it-IT"/>
        </w:rPr>
        <w:t>violenza</w:t>
      </w:r>
      <w:r w:rsidRPr="00554893">
        <w:rPr>
          <w:rFonts w:ascii="Arial" w:eastAsia="Times New Roman" w:hAnsi="Arial" w:cs="Arial"/>
          <w:color w:val="000000" w:themeColor="text1"/>
          <w:sz w:val="24"/>
          <w:szCs w:val="24"/>
          <w:lang w:eastAsia="it-IT"/>
        </w:rPr>
        <w:t>, anche legati all’abuso di alcool o all’uso di sostanze stupefacenti.</w:t>
      </w:r>
    </w:p>
    <w:p w14:paraId="45600243"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Nei confronti dei trasgressori dei divieti di stazionamento o di occupazione degli spazi a rischio sicurezza, così come individuati dagli organi preposti, oppure degli spazi pubblici con onere civico di tutela (aree interne alle infrastrutture ferroviarie, aeroportuali, marittime, di trasporto pubblico, nonché plessi scolastici, universitari, musei, parchi e aree verdi e/o archeologiche), è prevista una sanzione amministrativa pecuniaria del pagamento di una somma da 100 a 300 euro. Nel contestuale accertamento di condotta illecita, all’autore è ordinato l’allontanamento con i seguenti caratteri:</w:t>
      </w:r>
    </w:p>
    <w:p w14:paraId="0F43902C" w14:textId="77777777" w:rsidR="0079415A" w:rsidRPr="00554893" w:rsidRDefault="0079415A">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w:t>
      </w:r>
      <w:r w:rsidRPr="00554893">
        <w:rPr>
          <w:rFonts w:ascii="Arial" w:eastAsia="Times New Roman" w:hAnsi="Arial" w:cs="Arial"/>
          <w:b/>
          <w:bCs/>
          <w:color w:val="000000" w:themeColor="text1"/>
          <w:sz w:val="24"/>
          <w:szCs w:val="24"/>
          <w:lang w:eastAsia="it-IT"/>
        </w:rPr>
        <w:t>ordine di allontanamento</w:t>
      </w:r>
      <w:r w:rsidRPr="00554893">
        <w:rPr>
          <w:rFonts w:ascii="Arial" w:eastAsia="Times New Roman" w:hAnsi="Arial" w:cs="Arial"/>
          <w:color w:val="000000" w:themeColor="text1"/>
          <w:sz w:val="24"/>
          <w:szCs w:val="24"/>
          <w:lang w:eastAsia="it-IT"/>
        </w:rPr>
        <w:t> è un provvedimento scritto sotto forma di verbale da parte dell’organo accertatore e contiene l’indicazione che la sua efficacia cessa trascorse quarantotto ore dall’accertamento del fatto e che la sua violazione è soggetta alla sanzione amministrativa pecuniaria di cui sopra aumentata del doppio;</w:t>
      </w:r>
    </w:p>
    <w:p w14:paraId="2DFE9491" w14:textId="77777777" w:rsidR="0079415A" w:rsidRPr="00554893" w:rsidRDefault="0079415A">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copia del provvedimento è immediatamente trasmessa al Questore con contestuale </w:t>
      </w:r>
      <w:r w:rsidRPr="00554893">
        <w:rPr>
          <w:rFonts w:ascii="Arial" w:eastAsia="Times New Roman" w:hAnsi="Arial" w:cs="Arial"/>
          <w:b/>
          <w:bCs/>
          <w:color w:val="000000" w:themeColor="text1"/>
          <w:sz w:val="24"/>
          <w:szCs w:val="24"/>
          <w:lang w:eastAsia="it-IT"/>
        </w:rPr>
        <w:t xml:space="preserve">segnalazione ai servizi </w:t>
      </w:r>
      <w:proofErr w:type="gramStart"/>
      <w:r w:rsidRPr="00554893">
        <w:rPr>
          <w:rFonts w:ascii="Arial" w:eastAsia="Times New Roman" w:hAnsi="Arial" w:cs="Arial"/>
          <w:b/>
          <w:bCs/>
          <w:color w:val="000000" w:themeColor="text1"/>
          <w:sz w:val="24"/>
          <w:szCs w:val="24"/>
          <w:lang w:eastAsia="it-IT"/>
        </w:rPr>
        <w:t>socio-sanitari</w:t>
      </w:r>
      <w:proofErr w:type="gramEnd"/>
      <w:r w:rsidRPr="00554893">
        <w:rPr>
          <w:rFonts w:ascii="Arial" w:eastAsia="Times New Roman" w:hAnsi="Arial" w:cs="Arial"/>
          <w:color w:val="000000" w:themeColor="text1"/>
          <w:sz w:val="24"/>
          <w:szCs w:val="24"/>
          <w:lang w:eastAsia="it-IT"/>
        </w:rPr>
        <w:t>, ove ne ricorrano le condizioni;</w:t>
      </w:r>
    </w:p>
    <w:p w14:paraId="1A965B71" w14:textId="77777777" w:rsidR="0079415A" w:rsidRPr="00554893" w:rsidRDefault="0079415A">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in caso di </w:t>
      </w:r>
      <w:r w:rsidRPr="00554893">
        <w:rPr>
          <w:rFonts w:ascii="Arial" w:eastAsia="Times New Roman" w:hAnsi="Arial" w:cs="Arial"/>
          <w:b/>
          <w:bCs/>
          <w:color w:val="000000" w:themeColor="text1"/>
          <w:sz w:val="24"/>
          <w:szCs w:val="24"/>
          <w:lang w:eastAsia="it-IT"/>
        </w:rPr>
        <w:t>reiterazione</w:t>
      </w:r>
      <w:r w:rsidRPr="00554893">
        <w:rPr>
          <w:rFonts w:ascii="Arial" w:eastAsia="Times New Roman" w:hAnsi="Arial" w:cs="Arial"/>
          <w:color w:val="000000" w:themeColor="text1"/>
          <w:sz w:val="24"/>
          <w:szCs w:val="24"/>
          <w:lang w:eastAsia="it-IT"/>
        </w:rPr>
        <w:t xml:space="preserve">, il Questore, qualora dalla condotta tenuta possa derivare pericolo per la sicurezza, può disporre, con provvedimento motivato e per un periodo non superiore a </w:t>
      </w:r>
      <w:proofErr w:type="gramStart"/>
      <w:r w:rsidRPr="00554893">
        <w:rPr>
          <w:rFonts w:ascii="Arial" w:eastAsia="Times New Roman" w:hAnsi="Arial" w:cs="Arial"/>
          <w:color w:val="000000" w:themeColor="text1"/>
          <w:sz w:val="24"/>
          <w:szCs w:val="24"/>
          <w:lang w:eastAsia="it-IT"/>
        </w:rPr>
        <w:t>6</w:t>
      </w:r>
      <w:proofErr w:type="gramEnd"/>
      <w:r w:rsidRPr="00554893">
        <w:rPr>
          <w:rFonts w:ascii="Arial" w:eastAsia="Times New Roman" w:hAnsi="Arial" w:cs="Arial"/>
          <w:color w:val="000000" w:themeColor="text1"/>
          <w:sz w:val="24"/>
          <w:szCs w:val="24"/>
          <w:lang w:eastAsia="it-IT"/>
        </w:rPr>
        <w:t xml:space="preserve"> mesi, il </w:t>
      </w:r>
      <w:r w:rsidRPr="00554893">
        <w:rPr>
          <w:rFonts w:ascii="Arial" w:eastAsia="Times New Roman" w:hAnsi="Arial" w:cs="Arial"/>
          <w:b/>
          <w:bCs/>
          <w:color w:val="000000" w:themeColor="text1"/>
          <w:sz w:val="24"/>
          <w:szCs w:val="24"/>
          <w:lang w:eastAsia="it-IT"/>
        </w:rPr>
        <w:t>divieto di accesso </w:t>
      </w:r>
      <w:r w:rsidRPr="00554893">
        <w:rPr>
          <w:rFonts w:ascii="Arial" w:eastAsia="Times New Roman" w:hAnsi="Arial" w:cs="Arial"/>
          <w:color w:val="000000" w:themeColor="text1"/>
          <w:sz w:val="24"/>
          <w:szCs w:val="24"/>
          <w:lang w:eastAsia="it-IT"/>
        </w:rPr>
        <w:t>ad una o più delle aree di cui sopra (c.d. “</w:t>
      </w:r>
      <w:r w:rsidRPr="00554893">
        <w:rPr>
          <w:rFonts w:ascii="Arial" w:eastAsia="Times New Roman" w:hAnsi="Arial" w:cs="Arial"/>
          <w:i/>
          <w:iCs/>
          <w:color w:val="000000" w:themeColor="text1"/>
          <w:sz w:val="24"/>
          <w:szCs w:val="24"/>
          <w:lang w:eastAsia="it-IT"/>
        </w:rPr>
        <w:t>Daspo cittadino</w:t>
      </w:r>
      <w:r w:rsidRPr="00554893">
        <w:rPr>
          <w:rFonts w:ascii="Arial" w:eastAsia="Times New Roman" w:hAnsi="Arial" w:cs="Arial"/>
          <w:color w:val="000000" w:themeColor="text1"/>
          <w:sz w:val="24"/>
          <w:szCs w:val="24"/>
          <w:lang w:eastAsia="it-IT"/>
        </w:rPr>
        <w:t>”), individuando, inoltre modalità applicative del divieto compatibili con le esigenze di mobilità, salute e lavoro del destinatario dell’atto;</w:t>
      </w:r>
    </w:p>
    <w:p w14:paraId="153EAC96" w14:textId="77777777" w:rsidR="0079415A" w:rsidRPr="00554893" w:rsidRDefault="0079415A">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la </w:t>
      </w:r>
      <w:r w:rsidRPr="00554893">
        <w:rPr>
          <w:rFonts w:ascii="Arial" w:eastAsia="Times New Roman" w:hAnsi="Arial" w:cs="Arial"/>
          <w:b/>
          <w:bCs/>
          <w:color w:val="000000" w:themeColor="text1"/>
          <w:sz w:val="24"/>
          <w:szCs w:val="24"/>
          <w:lang w:eastAsia="it-IT"/>
        </w:rPr>
        <w:t>durata del divieto di accesso</w:t>
      </w:r>
      <w:r w:rsidRPr="00554893">
        <w:rPr>
          <w:rFonts w:ascii="Arial" w:eastAsia="Times New Roman" w:hAnsi="Arial" w:cs="Arial"/>
          <w:color w:val="000000" w:themeColor="text1"/>
          <w:sz w:val="24"/>
          <w:szCs w:val="24"/>
          <w:lang w:eastAsia="it-IT"/>
        </w:rPr>
        <w:t> non può essere inferiore a 6 mesi e superiore a 2 anni, se il responsabile è persona con precedente infraquinquennale (anche se si tratta di sentenza confermata in appello) per reati contro la persona o il patrimonio; se si tratta di minorenne, il Questore ne dà notizia al procuratore della Repubblica presso il Tribunale per i minorenni.</w:t>
      </w:r>
    </w:p>
    <w:p w14:paraId="206FA241" w14:textId="77777777" w:rsidR="0079415A" w:rsidRPr="00554893" w:rsidRDefault="0079415A">
      <w:pPr>
        <w:numPr>
          <w:ilvl w:val="0"/>
          <w:numId w:val="5"/>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Al Prefetto è, invece, attribuita in relazione alle occupazioni arbitrarie di immobili sanzionate dall’art. 11 della L.48.2017, la funzione di impartire disposizioni atte a prevenire il pericolo di possibili turbative per l’ordine e la sicurezza pubblica.</w:t>
      </w:r>
    </w:p>
    <w:p w14:paraId="75B04E15"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 xml:space="preserve">Quanto all’ordine di annullamento come disciplinato dall’art. 9 commi 1 e 2 della L. 48/2017 in esso devono essere riportate le motivazioni sulla base delle quali è stato adottato e la sua efficacia non potrà eccedere le quarantotto ore dall’accertamento del fatto, con copia dello stesso immediatamente trasmessa al Questore competente per territorio e, ove ne ricorrano le condizioni (soprattutto nei casi di degrado ambientale), ai servizi </w:t>
      </w:r>
      <w:proofErr w:type="gramStart"/>
      <w:r w:rsidRPr="00554893">
        <w:rPr>
          <w:rFonts w:ascii="Arial" w:eastAsia="Times New Roman" w:hAnsi="Arial" w:cs="Arial"/>
          <w:color w:val="000000" w:themeColor="text1"/>
          <w:sz w:val="24"/>
          <w:szCs w:val="24"/>
          <w:lang w:eastAsia="it-IT"/>
        </w:rPr>
        <w:t>socio-sanitari</w:t>
      </w:r>
      <w:proofErr w:type="gramEnd"/>
      <w:r w:rsidRPr="00554893">
        <w:rPr>
          <w:rFonts w:ascii="Arial" w:eastAsia="Times New Roman" w:hAnsi="Arial" w:cs="Arial"/>
          <w:color w:val="000000" w:themeColor="text1"/>
          <w:sz w:val="24"/>
          <w:szCs w:val="24"/>
          <w:lang w:eastAsia="it-IT"/>
        </w:rPr>
        <w:t>. La reiterazione delle condotte di cui alla previsione dell’ordine, qualora possa derivare pericolo per la sicurezza pubblica può provocare la successiva misura inibitoria da parte del Questore, ovvero disporre, sempre con provvedimento motivato, per un periodo non superiore ai sei mesi il divieto di accesso a una o più aree indicate nell’art. 9.</w:t>
      </w:r>
    </w:p>
    <w:p w14:paraId="07B07DDC"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Nel caso in cui l’autore delle condotte illecite sia un soggetto condannato, con sentenza definitiva o confermata in grado d’appello, nel corso degli ultimi cinque anni per reati contro la persona o il patrimonio, la durata del divieto sarà compresa tra un minimo di sei mesi e un massimo di due anni. A tale ultima ipotesi si applicheranno le medesime disposizioni dettate dall’art. 6, commi 2 bis, 3 e 4 della L. 13 dicembre 1989, circa la notifica dell’atto, la facoltà per l’interessato di presentare memorie o deduzioni, il giudizio di convalida al giudice per le indagini preliminari, la diretta ricorribilità per Cassazione avverso la misura inibitoria. Sono, inoltre, stabilite ulteriori misure di polizia per il contrasto dello spaccio di stupefacenti all’interno o in prossimità di locali pubblici e dei pubblici esercizi: A) il Questore potrà disporre il </w:t>
      </w:r>
      <w:r w:rsidRPr="00554893">
        <w:rPr>
          <w:rFonts w:ascii="Arial" w:eastAsia="Times New Roman" w:hAnsi="Arial" w:cs="Arial"/>
          <w:b/>
          <w:bCs/>
          <w:color w:val="000000" w:themeColor="text1"/>
          <w:sz w:val="24"/>
          <w:szCs w:val="24"/>
          <w:lang w:eastAsia="it-IT"/>
        </w:rPr>
        <w:t>divieto di accesso o stazionamento</w:t>
      </w:r>
      <w:r w:rsidRPr="00554893">
        <w:rPr>
          <w:rFonts w:ascii="Arial" w:eastAsia="Times New Roman" w:hAnsi="Arial" w:cs="Arial"/>
          <w:color w:val="000000" w:themeColor="text1"/>
          <w:sz w:val="24"/>
          <w:szCs w:val="24"/>
          <w:lang w:eastAsia="it-IT"/>
        </w:rPr>
        <w:t> (per la durata da 1 a 5 anni) nei locali di cui sopra o nelle loro immediate vicinanze nei confronti di persone condannate con sentenza definitiva o confermata in grado di appello nel corso degli ultimi tre anni per fatti di vendita o cessione di stupefacenti commessi all’interno o nelle immediate vicinanze dei locali; B) nei medesimi casi il Questore potrà inoltre disporre, per la durata massima di 2 anni, una o più delle seguenti misure:</w:t>
      </w:r>
    </w:p>
    <w:p w14:paraId="18D908B6" w14:textId="77777777" w:rsidR="0079415A" w:rsidRPr="00554893" w:rsidRDefault="0079415A">
      <w:pPr>
        <w:numPr>
          <w:ilvl w:val="0"/>
          <w:numId w:val="6"/>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b/>
          <w:bCs/>
          <w:color w:val="000000" w:themeColor="text1"/>
          <w:sz w:val="24"/>
          <w:szCs w:val="24"/>
          <w:lang w:eastAsia="it-IT"/>
        </w:rPr>
        <w:t>obbligo di presentazione alla p.g.</w:t>
      </w:r>
      <w:r w:rsidRPr="00554893">
        <w:rPr>
          <w:rFonts w:ascii="Arial" w:eastAsia="Times New Roman" w:hAnsi="Arial" w:cs="Arial"/>
          <w:color w:val="000000" w:themeColor="text1"/>
          <w:sz w:val="24"/>
          <w:szCs w:val="24"/>
          <w:lang w:eastAsia="it-IT"/>
        </w:rPr>
        <w:t> almeno due volte a settimana, obbligo di rientrare nella propria abitazione entro una determinata ora e di non uscirne prima di altra ora prefissata;</w:t>
      </w:r>
    </w:p>
    <w:p w14:paraId="592FF2E6" w14:textId="77777777" w:rsidR="0079415A" w:rsidRPr="00554893" w:rsidRDefault="0079415A">
      <w:pPr>
        <w:numPr>
          <w:ilvl w:val="0"/>
          <w:numId w:val="6"/>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b/>
          <w:bCs/>
          <w:color w:val="000000" w:themeColor="text1"/>
          <w:sz w:val="24"/>
          <w:szCs w:val="24"/>
          <w:lang w:eastAsia="it-IT"/>
        </w:rPr>
        <w:t>obbligo di soggiorno nel comune di residenza</w:t>
      </w:r>
      <w:r w:rsidRPr="00554893">
        <w:rPr>
          <w:rFonts w:ascii="Arial" w:eastAsia="Times New Roman" w:hAnsi="Arial" w:cs="Arial"/>
          <w:color w:val="000000" w:themeColor="text1"/>
          <w:sz w:val="24"/>
          <w:szCs w:val="24"/>
          <w:lang w:eastAsia="it-IT"/>
        </w:rPr>
        <w:t>;</w:t>
      </w:r>
    </w:p>
    <w:p w14:paraId="1F865805" w14:textId="77777777" w:rsidR="0079415A" w:rsidRPr="00554893" w:rsidRDefault="0079415A">
      <w:pPr>
        <w:numPr>
          <w:ilvl w:val="0"/>
          <w:numId w:val="7"/>
        </w:numPr>
        <w:shd w:val="clear" w:color="auto" w:fill="FFFFFF"/>
        <w:spacing w:before="100" w:beforeAutospacing="1" w:after="100" w:afterAutospacing="1" w:line="360" w:lineRule="auto"/>
        <w:rPr>
          <w:rFonts w:ascii="Arial" w:eastAsia="Times New Roman" w:hAnsi="Arial" w:cs="Arial"/>
          <w:color w:val="000000" w:themeColor="text1"/>
          <w:sz w:val="24"/>
          <w:szCs w:val="24"/>
          <w:lang w:eastAsia="it-IT"/>
        </w:rPr>
      </w:pPr>
      <w:r w:rsidRPr="00554893">
        <w:rPr>
          <w:rFonts w:ascii="Arial" w:eastAsia="Times New Roman" w:hAnsi="Arial" w:cs="Arial"/>
          <w:b/>
          <w:bCs/>
          <w:color w:val="000000" w:themeColor="text1"/>
          <w:sz w:val="24"/>
          <w:szCs w:val="24"/>
          <w:lang w:eastAsia="it-IT"/>
        </w:rPr>
        <w:t>obbligo di comparire in un ufficio o comando di polizia</w:t>
      </w:r>
      <w:r w:rsidRPr="00554893">
        <w:rPr>
          <w:rFonts w:ascii="Arial" w:eastAsia="Times New Roman" w:hAnsi="Arial" w:cs="Arial"/>
          <w:color w:val="000000" w:themeColor="text1"/>
          <w:sz w:val="24"/>
          <w:szCs w:val="24"/>
          <w:lang w:eastAsia="it-IT"/>
        </w:rPr>
        <w:t> negli orari di entrata ed uscita dagli istituti scolastici.</w:t>
      </w:r>
    </w:p>
    <w:p w14:paraId="7FEB71F5"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La violazione dei divieti è punita con sanzione amministrativa pecuniaria da 10 mila a 40 mila euro e sospensione della patente di guida da 6 mesi a 1 anno.</w:t>
      </w:r>
    </w:p>
    <w:p w14:paraId="067FC269"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Particolarmente importanti i risvolti processual-penalistici della L. 48/2017: l’art. 10 subordina, infatti, nei casi di condanna per reati contro la persona o il patrimonio commessi nei luoghi o nelle aree di particolare interesse descritte dall’art. 9, la concessione della sospensione condizionale della pena all’osservanza del divieto, imposto dal Giudice, di accedere ai siti oggetto di tutela.</w:t>
      </w:r>
    </w:p>
    <w:p w14:paraId="6E51FA1A"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Inoltre, sulla scia di quanto disciplinato dalla L. 401/1989 in occasione delle manifestazioni sportive, il Legislatore del 2017 ha inteso colpire con appositi provvedimenti i partecipanti alle manifestazioni di piazza, qualora questi provochino problemi alla sicurezza e incolumità pubblica. In tal guisa, lo stato di flagranza ex art. 382 c.p.p. sarà sempre applicato, con le consequenziali implicazioni circa l’arresto obbligatorio ex art. 380 c.p.p., quando «</w:t>
      </w:r>
      <w:r w:rsidRPr="00554893">
        <w:rPr>
          <w:rFonts w:ascii="Arial" w:eastAsia="Times New Roman" w:hAnsi="Arial" w:cs="Arial"/>
          <w:b/>
          <w:bCs/>
          <w:color w:val="000000" w:themeColor="text1"/>
          <w:sz w:val="24"/>
          <w:szCs w:val="24"/>
          <w:lang w:eastAsia="it-IT"/>
        </w:rPr>
        <w:t>colui il quale, sulla base di documentazione video-fotografica dalla quale emerga inequivocabilmente il fatto, ne risulta autore, sempre che l’arresto sia compiuto non oltre il tempo necessario alla sua identificazione e, comunque entro le quarantotto ore dal fatto</w:t>
      </w:r>
      <w:r w:rsidRPr="00554893">
        <w:rPr>
          <w:rFonts w:ascii="Arial" w:eastAsia="Times New Roman" w:hAnsi="Arial" w:cs="Arial"/>
          <w:color w:val="000000" w:themeColor="text1"/>
          <w:sz w:val="24"/>
          <w:szCs w:val="24"/>
          <w:lang w:eastAsia="it-IT"/>
        </w:rPr>
        <w:t>».</w:t>
      </w:r>
    </w:p>
    <w:p w14:paraId="59F4ADFB"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Sono, infine, introdotti importanti risvolti anche sul profilo sostanziale, ovvero modifiche all’art, 639 c.p., con l’addizione del comma quinto, ai sensi del quale, ai fini della concessione della sospensione condizionale della pena quale conseguenza di una sentenza di condanna per i reati di deturpamento o imbrattamento di cose altrui, il Giudice può disporre l’obbligo di ripristino e di ripulitura dei luoghi ovvero, qualora ciò non sia possibile, di sostenere le spese o di rimborsare quelle a tal fine sostenute.</w:t>
      </w:r>
    </w:p>
    <w:p w14:paraId="1AC35DD0"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b/>
          <w:bCs/>
          <w:color w:val="000000" w:themeColor="text1"/>
          <w:sz w:val="24"/>
          <w:szCs w:val="24"/>
          <w:lang w:eastAsia="it-IT"/>
        </w:rPr>
        <w:t>Conclusioni.</w:t>
      </w:r>
    </w:p>
    <w:p w14:paraId="53F2B00E"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Il nuovo pacchetto sicurezza 2017 così come introdotto in via di decretazione d’urgenza e poi convertito con modifiche nella legge 48/2017, condivide con il decreto Legge in tema di immigrazione di pochi giorni precedente la stessa impostazione, ovvero riaffermare il controllo istituzionale su fenomeni di carattere emergenziale, individuando in via di prevenzione nuovi strumenti volti ad evitare situazioni di disordine e criminalità. Le peculiarità del nuovo pacchetto sicurezza non sono di certo nuove nel panorama giuridico italiano, tanto che la cooperazione interforze in tema di sicurezza costituisce un obiettivo da molti anni auspicato dal Ministero e l’ordine di allontanamento, quale misura amministrativa, ha rappresentato uno strumento ampiamente utilizzato dalle Questure, soprattutto in tema di manifestazioni sportive, ma la cui prassi operativa ha da sempre cercato di estendere anche al di fuori degli stadi. La nozione di “sicurezza urbana”, inoltre, soggiacente alla normazione d’urgenza, pare dunque essere volutamente ampia, comprendendo oltre alla sicurezza di piazza, la vivibilità e il decoro delle città, ammettendo interventi anche repressivi e/o di controllo territoriale, la cui funzione preventiva vuole in primo ordine trasmettere maggiore tranquillità e fiducia nei cittadini di fronte ai pericoli, sempre più pervadenti, di micro criminalità diffusa in quasi tutte le città e non più solo nelle zone marginalizzate e periferiche.</w:t>
      </w:r>
    </w:p>
    <w:p w14:paraId="2058EB78" w14:textId="77777777" w:rsidR="0079415A" w:rsidRPr="00554893" w:rsidRDefault="0079415A" w:rsidP="0082786C">
      <w:pPr>
        <w:shd w:val="clear" w:color="auto" w:fill="FFFFFF"/>
        <w:spacing w:after="150" w:line="360" w:lineRule="auto"/>
        <w:rPr>
          <w:rFonts w:ascii="Arial" w:eastAsia="Times New Roman" w:hAnsi="Arial" w:cs="Arial"/>
          <w:color w:val="000000" w:themeColor="text1"/>
          <w:sz w:val="24"/>
          <w:szCs w:val="24"/>
          <w:lang w:eastAsia="it-IT"/>
        </w:rPr>
      </w:pPr>
      <w:r w:rsidRPr="00554893">
        <w:rPr>
          <w:rFonts w:ascii="Arial" w:eastAsia="Times New Roman" w:hAnsi="Arial" w:cs="Arial"/>
          <w:color w:val="000000" w:themeColor="text1"/>
          <w:sz w:val="24"/>
          <w:szCs w:val="24"/>
          <w:lang w:eastAsia="it-IT"/>
        </w:rPr>
        <w:t>La previsione di un ampliamento dei poteri del Sindaco si caratterizza, infine, come la ricerca di un’attribuzione di responsabilità in capo a quell’organo che da sempre rappresenta il Governo a livello locale, il cui controllo del proprio territorio dovrebbe essere privilegiato data la sua presenza in loco e la sua diretta conoscenza (anche mediate le forze di polizia locale) delle aree a rischio, la cui capacità d’intervento dovrà comunque sempre commisurarsi con le esigenze di bilancio. In fin dei conti, la norma ha il pregio di intravedere i problemi, che maggiormente incidono sulla sentimento di sicurezza del cittadino, forse individuando un concetto un po’ troppo generico di sicurezza urbana, ma offrendo indubbiamente alcuni strumenti in più alle Istituzioni locali per garantire l’istanza securitaria, il cui ambito operativo dovrà comunque sempre bilanciarsi con altre istanze, quali la disponibilità di risorse e di mezzi, la celerità degli interventi e gli adempimenti burocratici amministrativi.</w:t>
      </w:r>
    </w:p>
    <w:p w14:paraId="0E4E210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La violazione delle ordinanze comporta l’applicazione di una sanzione amministrativa pecuniaria da 25 a 500 euro (art. 7 bis T.U.). Detta disposizione viene a colmare il vuoto normativo originato dall’art. 274 T.U. che abroga il T.U. leggi comunali e provinciali, che per l’appunto all’art. 106 prevedeva detta ipotesi sanzionatoria. Quanto sopra va tuttavia letto in combinato disposto con la norma di cui alla legge 94/2009 che all’art. 3, comma 6, prevede che le sanzioni amministrative previste dai regolamenti ed ordinanze comunali per chiunque insozzi le pubbliche vie, non possono essere inferiori all’importo di euro 500, norma che fra l’altro fa da parallelo alla modifica del cds che prevede la sanzione di euro 500 (come pagamento in misura ridotta) per chiunque insozza le pubbliche strade  gettando rifiuti od oggetti dai veicoli in movimento o in sosta … . Pertanto, allo stato attuale, all’interno della cornice generale che prevede sanzioni da euro 25 a 500 (art. 7 bis TUEL), la Giunta comunale (in forza dell’art. 6 bis del DL 92/2008 che stabilisce che la giunta per le violazioni ai regolamenti ed alle ordinanze, può stabilire un diverso importo del pagamento in misura ridotta all’interno del limite edittale minimo e massimo della sanzione prevista) avrà modo di fissare per le specifiche violazioni, sanzioni diverse dal doppio del minimo o un terzo del massimo; queste sanzioni però dovranno essere obbligatoriamente di euro 500 nei casi di “insozzamento”.</w:t>
      </w:r>
    </w:p>
    <w:p w14:paraId="6655D97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Quanto all’eventuale applicazione della norma penale (art. 650 cp) conseguente al mancato rispetto dell’ordinanza in materia di sicurezza pubblica, si possono intravedere le seguenti possibilità:</w:t>
      </w:r>
    </w:p>
    <w:p w14:paraId="06858959" w14:textId="03E67CF2" w:rsidR="003B55D9" w:rsidRPr="00F703B6" w:rsidRDefault="003B55D9">
      <w:pPr>
        <w:pStyle w:val="Paragrafoelenco"/>
        <w:numPr>
          <w:ilvl w:val="0"/>
          <w:numId w:val="23"/>
        </w:numPr>
        <w:spacing w:line="360" w:lineRule="auto"/>
        <w:rPr>
          <w:rFonts w:ascii="Arial" w:hAnsi="Arial" w:cs="Arial"/>
          <w:sz w:val="24"/>
          <w:szCs w:val="24"/>
        </w:rPr>
      </w:pPr>
      <w:r w:rsidRPr="00F703B6">
        <w:rPr>
          <w:rFonts w:ascii="Arial" w:hAnsi="Arial" w:cs="Arial"/>
          <w:sz w:val="24"/>
          <w:szCs w:val="24"/>
        </w:rPr>
        <w:t>la violazione dell’ordinanza adottata per motivi di sicurezza urbana costituisce solamente un illecito amministrativo. Questo si avrà quando l’ordinanza, pur operando in materia di sicurezza urbana e dunque con una specificità di materia, di situazione, di luogo o di tempo, è diretta ad una generalità di soggetti (es.: è vietato consumare in luogo pubblico bevande alcoliche … è vietato abbandonare in luogo pubblico vuoti i contenitori in vetro delle bevande alcoliche …);</w:t>
      </w:r>
    </w:p>
    <w:p w14:paraId="4BF2D540" w14:textId="476B4EC0" w:rsidR="003B55D9" w:rsidRPr="00F703B6" w:rsidRDefault="003B55D9">
      <w:pPr>
        <w:pStyle w:val="Paragrafoelenco"/>
        <w:numPr>
          <w:ilvl w:val="0"/>
          <w:numId w:val="23"/>
        </w:numPr>
        <w:spacing w:line="360" w:lineRule="auto"/>
        <w:rPr>
          <w:rFonts w:ascii="Arial" w:hAnsi="Arial" w:cs="Arial"/>
          <w:sz w:val="24"/>
          <w:szCs w:val="24"/>
        </w:rPr>
      </w:pPr>
      <w:r w:rsidRPr="00F703B6">
        <w:rPr>
          <w:rFonts w:ascii="Arial" w:hAnsi="Arial" w:cs="Arial"/>
          <w:sz w:val="24"/>
          <w:szCs w:val="24"/>
        </w:rPr>
        <w:t>la violazione dell’ordinanza costituisce solamente illecito penale (art. 650 cp). La condizione si produrrà quando l’ordinanza in materia di sicurezza urbana è però diretta a soggetti determinati, che ne vengono a conoscenza in modo specifico;</w:t>
      </w:r>
    </w:p>
    <w:p w14:paraId="3DEBE1C0" w14:textId="1597FD60" w:rsidR="003B55D9" w:rsidRPr="00F703B6" w:rsidRDefault="003B55D9">
      <w:pPr>
        <w:pStyle w:val="Paragrafoelenco"/>
        <w:numPr>
          <w:ilvl w:val="0"/>
          <w:numId w:val="23"/>
        </w:numPr>
        <w:spacing w:line="360" w:lineRule="auto"/>
        <w:rPr>
          <w:rFonts w:ascii="Arial" w:hAnsi="Arial" w:cs="Arial"/>
          <w:sz w:val="24"/>
          <w:szCs w:val="24"/>
        </w:rPr>
      </w:pPr>
      <w:r w:rsidRPr="00F703B6">
        <w:rPr>
          <w:rFonts w:ascii="Arial" w:hAnsi="Arial" w:cs="Arial"/>
          <w:sz w:val="24"/>
          <w:szCs w:val="24"/>
        </w:rPr>
        <w:t xml:space="preserve">la violazione dell’ordinanza costituisce un illecito amministrativo che però, in caso di inottemperanza all’ordine successivo alla contestazione dell’illecito, ordine questa volta specifico, diviene illecito penale. Questo si avrà quando l’ordinanza in materia di sicurezza urbana diretta ad una generalità di soggetti contenga un dispositivo che consenta successivamente di adottare ulteriori provvedimenti su soggetti specifici ai quali viene reiterato l’ordine prima generico, ovvero viene imposto un nuovo ordine. (es.:  è vietato consumare in luogo pubblico bevande alcoliche … è vietato abbandonare in luogo pubblico vuoti i contenitori in vetro delle bevande alcoliche … Le violazioni saranno punite con una sanzione amm.va da euro … ad euro </w:t>
      </w:r>
      <w:proofErr w:type="gramStart"/>
      <w:r w:rsidRPr="00F703B6">
        <w:rPr>
          <w:rFonts w:ascii="Arial" w:hAnsi="Arial" w:cs="Arial"/>
          <w:sz w:val="24"/>
          <w:szCs w:val="24"/>
        </w:rPr>
        <w:t>… .</w:t>
      </w:r>
      <w:proofErr w:type="gramEnd"/>
      <w:r w:rsidRPr="00F703B6">
        <w:rPr>
          <w:rFonts w:ascii="Arial" w:hAnsi="Arial" w:cs="Arial"/>
          <w:sz w:val="24"/>
          <w:szCs w:val="24"/>
        </w:rPr>
        <w:t xml:space="preserve"> All’atto della contestazione i trasgressori sono tenuti a rimuovere eventuali rifiuti e a cessare il comportamento scorretto. L’inottemperanza verrà perseguita a norma dell’art. 650 cp).</w:t>
      </w:r>
    </w:p>
    <w:p w14:paraId="1D40530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DOPO LA RIFORMA DEL </w:t>
      </w:r>
      <w:proofErr w:type="gramStart"/>
      <w:r w:rsidRPr="00554893">
        <w:rPr>
          <w:rFonts w:ascii="Arial" w:hAnsi="Arial" w:cs="Arial"/>
          <w:sz w:val="24"/>
          <w:szCs w:val="24"/>
        </w:rPr>
        <w:t>RIO ,</w:t>
      </w:r>
      <w:proofErr w:type="gramEnd"/>
      <w:r w:rsidRPr="00554893">
        <w:rPr>
          <w:rFonts w:ascii="Arial" w:hAnsi="Arial" w:cs="Arial"/>
          <w:sz w:val="24"/>
          <w:szCs w:val="24"/>
        </w:rPr>
        <w:t xml:space="preserve"> è ammesso un terzo mandato per i Sindaci dei Comuni con popolazione inferiore a 3000 abitanti  </w:t>
      </w:r>
    </w:p>
    <w:p w14:paraId="47BCEF15" w14:textId="77777777" w:rsidR="003B55D9" w:rsidRPr="00554893" w:rsidRDefault="003B55D9" w:rsidP="0082786C">
      <w:pPr>
        <w:spacing w:line="360" w:lineRule="auto"/>
        <w:rPr>
          <w:rFonts w:ascii="Arial" w:hAnsi="Arial" w:cs="Arial"/>
          <w:b/>
          <w:sz w:val="24"/>
          <w:szCs w:val="24"/>
        </w:rPr>
      </w:pPr>
    </w:p>
    <w:p w14:paraId="362CC86E"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GIUNTA</w:t>
      </w:r>
    </w:p>
    <w:p w14:paraId="6F11E89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La disciplina inerente alla composizione della giunta è contenuta nell’art 47 TU il quale rimette allo statuto la determinazione del numero degli assessori, prevedendo un numero massimo non superiore a 1/3 del numero dei consiglieri comunali e provinciali, computando a tal fine anche il sindaco o presidente, mai superiore a 12 unità.</w:t>
      </w:r>
    </w:p>
    <w:p w14:paraId="1D14F7B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 giunta collabora con </w:t>
      </w:r>
      <w:proofErr w:type="gramStart"/>
      <w:r w:rsidRPr="00554893">
        <w:rPr>
          <w:rFonts w:ascii="Arial" w:hAnsi="Arial" w:cs="Arial"/>
          <w:sz w:val="24"/>
          <w:szCs w:val="24"/>
        </w:rPr>
        <w:t>il  Presidente</w:t>
      </w:r>
      <w:proofErr w:type="gramEnd"/>
      <w:r w:rsidRPr="00554893">
        <w:rPr>
          <w:rFonts w:ascii="Arial" w:hAnsi="Arial" w:cs="Arial"/>
          <w:sz w:val="24"/>
          <w:szCs w:val="24"/>
        </w:rPr>
        <w:t xml:space="preserve"> /Sindaco, che la presiede, nel governo del comune e opera attraverso deliberazioni collegiali.</w:t>
      </w:r>
    </w:p>
    <w:p w14:paraId="48711CD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 durata in carica della giunta coincide con quella del consiglio, ed è pari a </w:t>
      </w:r>
      <w:proofErr w:type="gramStart"/>
      <w:r w:rsidRPr="00554893">
        <w:rPr>
          <w:rFonts w:ascii="Arial" w:hAnsi="Arial" w:cs="Arial"/>
          <w:sz w:val="24"/>
          <w:szCs w:val="24"/>
        </w:rPr>
        <w:t>5</w:t>
      </w:r>
      <w:proofErr w:type="gramEnd"/>
      <w:r w:rsidRPr="00554893">
        <w:rPr>
          <w:rFonts w:ascii="Arial" w:hAnsi="Arial" w:cs="Arial"/>
          <w:sz w:val="24"/>
          <w:szCs w:val="24"/>
        </w:rPr>
        <w:t xml:space="preserve"> anni. </w:t>
      </w:r>
    </w:p>
    <w:p w14:paraId="366C8F18" w14:textId="77777777" w:rsidR="0079415A" w:rsidRPr="00554893" w:rsidRDefault="0079415A"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La giunta è un organo collegial composto dal sindaco, che ne è anche presidente, e da un numero di assessori, stabilito dallostatuto, che nelle regioni a statuto ordinario non deve essere superiore a un quarto arrotondato in eccesso, del numero dei </w:t>
      </w:r>
      <w:r w:rsidR="008F2E86" w:rsidRPr="00554893">
        <w:rPr>
          <w:rFonts w:ascii="Arial" w:hAnsi="Arial" w:cs="Arial"/>
          <w:color w:val="222222"/>
        </w:rPr>
        <w:t>consiglieri comunali</w:t>
      </w:r>
      <w:r w:rsidRPr="00554893">
        <w:rPr>
          <w:rFonts w:ascii="Arial" w:hAnsi="Arial" w:cs="Arial"/>
          <w:color w:val="222222"/>
        </w:rPr>
        <w:t>, computando a tale fine anche il sindaco, e comunque non superiore a dodici.</w:t>
      </w:r>
      <w:r w:rsidR="008F2E86" w:rsidRPr="00554893">
        <w:rPr>
          <w:rFonts w:ascii="Arial" w:hAnsi="Arial" w:cs="Arial"/>
          <w:color w:val="222222"/>
        </w:rPr>
        <w:t xml:space="preserve"> </w:t>
      </w:r>
    </w:p>
    <w:p w14:paraId="7DBA5286" w14:textId="77777777" w:rsidR="0079415A" w:rsidRPr="00554893" w:rsidRDefault="0079415A"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Secondo l'art. 47 del d. lgs. 267/2000 gli assessori sono nominati dal sindaco fra i cittadini in possesso dei requisiti di candidabilità, eleggibilità e compatibilità alla carica di consigliere. Nei comuni con </w:t>
      </w:r>
      <w:proofErr w:type="gramStart"/>
      <w:r w:rsidR="008F2E86" w:rsidRPr="00554893">
        <w:rPr>
          <w:rFonts w:ascii="Arial" w:hAnsi="Arial" w:cs="Arial"/>
          <w:color w:val="222222"/>
        </w:rPr>
        <w:t xml:space="preserve">popolazione </w:t>
      </w:r>
      <w:r w:rsidRPr="00554893">
        <w:rPr>
          <w:rFonts w:ascii="Arial" w:hAnsi="Arial" w:cs="Arial"/>
          <w:color w:val="222222"/>
        </w:rPr>
        <w:t> pari</w:t>
      </w:r>
      <w:proofErr w:type="gramEnd"/>
      <w:r w:rsidRPr="00554893">
        <w:rPr>
          <w:rFonts w:ascii="Arial" w:hAnsi="Arial" w:cs="Arial"/>
          <w:color w:val="222222"/>
        </w:rPr>
        <w:t xml:space="preserve"> o superiore a 15.000 abitanti gli assessori sono nominati anche al di fuori dei componenti del consiglio, tuttavia, poiché secondo l'art. 64 del d. lgs. 267/2000 in questi comuni la carica di assessore è incompatibile con quella di consigliere, chi è stato nominato assessore cessa dalla carica di consigliere all'atto dell'accettazione della nomina. Nei comuni con popolazione inferiore a 15.000 abitanti gli assessori sono nominati all'interno del consiglio comunale, salvo che lo statuto preveda la possibilità di nominarli anche al di fuori; in questo caso non esiste alcuna incompatibilità tra la carica di assessore e quella di consigliere. Il sindaco ha, secondo la legge, la più ampia discrezionalità nella nomina e revoca degli assessori; nella pratica, però, deve tenere conto delle indicazioni delle </w:t>
      </w:r>
      <w:r w:rsidR="008F2E86" w:rsidRPr="00554893">
        <w:rPr>
          <w:rFonts w:ascii="Arial" w:hAnsi="Arial" w:cs="Arial"/>
          <w:color w:val="222222"/>
        </w:rPr>
        <w:t xml:space="preserve">forze poltiche </w:t>
      </w:r>
      <w:r w:rsidRPr="00554893">
        <w:rPr>
          <w:rFonts w:ascii="Arial" w:hAnsi="Arial" w:cs="Arial"/>
          <w:color w:val="222222"/>
        </w:rPr>
        <w:t>che lo sostengono e, nel caso di </w:t>
      </w:r>
      <w:r w:rsidR="008F2E86" w:rsidRPr="00554893">
        <w:rPr>
          <w:rFonts w:ascii="Arial" w:hAnsi="Arial" w:cs="Arial"/>
          <w:color w:val="222222"/>
        </w:rPr>
        <w:t>coalizione</w:t>
      </w:r>
      <w:r w:rsidRPr="00554893">
        <w:rPr>
          <w:rFonts w:ascii="Arial" w:hAnsi="Arial" w:cs="Arial"/>
          <w:color w:val="222222"/>
        </w:rPr>
        <w:t>, ponderare la presenza in giunta delle stesse.</w:t>
      </w:r>
    </w:p>
    <w:p w14:paraId="6FFCD178" w14:textId="77777777" w:rsidR="0079415A" w:rsidRPr="00554893" w:rsidRDefault="0079415A"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La legge 7 aprile 2014, n. 56) stabilisce il numero dei componenti dell'</w:t>
      </w:r>
      <w:r w:rsidR="008F2E86" w:rsidRPr="00554893">
        <w:rPr>
          <w:rFonts w:ascii="Arial" w:hAnsi="Arial" w:cs="Arial"/>
          <w:color w:val="222222"/>
        </w:rPr>
        <w:t>organo</w:t>
      </w:r>
      <w:r w:rsidRPr="00554893">
        <w:rPr>
          <w:rFonts w:ascii="Arial" w:hAnsi="Arial" w:cs="Arial"/>
          <w:color w:val="222222"/>
        </w:rPr>
        <w:t> a seconda della popolazione residente nel </w:t>
      </w:r>
      <w:r w:rsidR="008F2E86" w:rsidRPr="00554893">
        <w:rPr>
          <w:rFonts w:ascii="Arial" w:hAnsi="Arial" w:cs="Arial"/>
          <w:color w:val="222222"/>
        </w:rPr>
        <w:t>comune</w:t>
      </w:r>
      <w:r w:rsidRPr="00554893">
        <w:rPr>
          <w:rFonts w:ascii="Arial" w:hAnsi="Arial" w:cs="Arial"/>
          <w:color w:val="222222"/>
        </w:rPr>
        <w:t> di riferimento:</w:t>
      </w:r>
    </w:p>
    <w:p w14:paraId="50FCCCEC"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fino a 3.000 abitanti è previsto un numero massimo di 2 assessori (tranne diversa previsione – comunque inferiore – statutaria);</w:t>
      </w:r>
    </w:p>
    <w:p w14:paraId="0D4E5BF8"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3.000 e fino a 10.000 abitanti è previsto un numero massimo di 4 assessori (tranne diversa previsione – comunque inferiore – statutaria);</w:t>
      </w:r>
    </w:p>
    <w:p w14:paraId="122AF198"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10.000 e fino a 30.000 abitanti è previsto un numero massimo di 5 assessori (tranne diversa previsione – comunque inferiore – statutaria);</w:t>
      </w:r>
    </w:p>
    <w:p w14:paraId="1483060D"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30.000 e fino a 100.000 abitanti è previsto un numero massimo di 7 assessori (tranne diversa previsione – comunque inferiore – statutaria);</w:t>
      </w:r>
    </w:p>
    <w:p w14:paraId="018BCC2F"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100.000 e fino a 250.000 abitanti e comuni capoluoghi di provincia anche con popolazione inferiore è previsto un numero massimo di 9 assessori (tranne diversa previsione – comunque inferiore – statutaria);</w:t>
      </w:r>
    </w:p>
    <w:p w14:paraId="6B24E809"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250.000 e fino a 500.000 abitanti è previsto un numero massimo di 10 assessori (tranne diversa previsione – comunque inferiore – statutaria);</w:t>
      </w:r>
    </w:p>
    <w:p w14:paraId="01E68D9F"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500.000 e fino a 1.000.000 abitanti è previsto un numero massimo di 11 assessori (tranne diversa previsione – comunque inferiore – statutaria);</w:t>
      </w:r>
    </w:p>
    <w:p w14:paraId="04D3BE71" w14:textId="77777777" w:rsidR="0079415A" w:rsidRPr="00554893" w:rsidRDefault="0079415A">
      <w:pPr>
        <w:numPr>
          <w:ilvl w:val="0"/>
          <w:numId w:val="8"/>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per i comuni con popolazione superiore a 1.000.000 abitanti è previsto un numero massimo di 12 assessori (tranne diversa previsione – comunque inferiore – statutaria).</w:t>
      </w:r>
    </w:p>
    <w:p w14:paraId="4A3DB8F0" w14:textId="77777777" w:rsidR="0079415A" w:rsidRPr="00554893" w:rsidRDefault="0079415A"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Secondo l'art. 48 del d. lgs. 267/2000 la giunta collabora con il sindaco nel governo del comune ed opera attraverso </w:t>
      </w:r>
      <w:r w:rsidR="008F2E86" w:rsidRPr="00554893">
        <w:rPr>
          <w:rFonts w:ascii="Arial" w:hAnsi="Arial" w:cs="Arial"/>
          <w:color w:val="222222"/>
        </w:rPr>
        <w:t>deliberazioni</w:t>
      </w:r>
      <w:r w:rsidRPr="00554893">
        <w:rPr>
          <w:rFonts w:ascii="Arial" w:hAnsi="Arial" w:cs="Arial"/>
          <w:color w:val="222222"/>
        </w:rPr>
        <w:t> collegiali. La giunta compie tutti gli atti rientranti nelle funzioni degli organi di governo, che non siano riservati dalla legge al consiglio e che non ricadano nelle competenze, previste dalle leggi o dallo statuto, del sindaco o degli organi di decentramento; collabora con il sindaco nell'attuazione degli indirizzi generali del </w:t>
      </w:r>
      <w:r w:rsidR="008F2E86" w:rsidRPr="00554893">
        <w:rPr>
          <w:rFonts w:ascii="Arial" w:hAnsi="Arial" w:cs="Arial"/>
          <w:color w:val="222222"/>
        </w:rPr>
        <w:t>CC</w:t>
      </w:r>
      <w:r w:rsidRPr="00554893">
        <w:rPr>
          <w:rFonts w:ascii="Arial" w:hAnsi="Arial" w:cs="Arial"/>
          <w:color w:val="222222"/>
        </w:rPr>
        <w:t>; riferisce annualmente al consiglio sulla propria attività e svolge attività propositive e di impulso nei confronti dello stesso; adotta i</w:t>
      </w:r>
      <w:r w:rsidR="008F2E86" w:rsidRPr="00554893">
        <w:rPr>
          <w:rFonts w:ascii="Arial" w:hAnsi="Arial" w:cs="Arial"/>
          <w:color w:val="222222"/>
        </w:rPr>
        <w:t>regolamenti</w:t>
      </w:r>
      <w:r w:rsidRPr="00554893">
        <w:rPr>
          <w:rFonts w:ascii="Arial" w:hAnsi="Arial" w:cs="Arial"/>
          <w:color w:val="222222"/>
        </w:rPr>
        <w:t> sull'ordinamento degli uffici e dei servizi, nel rispetto dei criteri generali stabiliti dal consiglio.</w:t>
      </w:r>
    </w:p>
    <w:p w14:paraId="3CECAF6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Se il consiglio. ha un ruolo di indirizzo politico la giunta riveste il ruolo di attuazione di questo indirizzo attraverso l’attività gestionale dell’ente, e l’attività di impulso al consiglio.</w:t>
      </w:r>
    </w:p>
    <w:p w14:paraId="5F113C3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Funzioni:</w:t>
      </w:r>
    </w:p>
    <w:p w14:paraId="333FB5E4" w14:textId="77777777" w:rsidR="003B55D9" w:rsidRPr="00554893" w:rsidRDefault="003B55D9">
      <w:pPr>
        <w:pStyle w:val="Paragrafoelenco"/>
        <w:numPr>
          <w:ilvl w:val="0"/>
          <w:numId w:val="9"/>
        </w:numPr>
        <w:spacing w:line="360" w:lineRule="auto"/>
        <w:rPr>
          <w:rFonts w:ascii="Arial" w:hAnsi="Arial" w:cs="Arial"/>
          <w:sz w:val="24"/>
          <w:szCs w:val="24"/>
        </w:rPr>
      </w:pPr>
      <w:r w:rsidRPr="00554893">
        <w:rPr>
          <w:rFonts w:ascii="Arial" w:hAnsi="Arial" w:cs="Arial"/>
          <w:sz w:val="24"/>
          <w:szCs w:val="24"/>
        </w:rPr>
        <w:t>art. 107 che rientrano nelle funzioni di governo che non siano riservati dalla legge al consiglio o che non ricadano nelle funzioni del sindaco</w:t>
      </w:r>
    </w:p>
    <w:p w14:paraId="2E31B03D" w14:textId="77777777" w:rsidR="003B55D9" w:rsidRPr="00554893" w:rsidRDefault="003B55D9">
      <w:pPr>
        <w:pStyle w:val="Paragrafoelenco"/>
        <w:numPr>
          <w:ilvl w:val="0"/>
          <w:numId w:val="9"/>
        </w:numPr>
        <w:spacing w:line="360" w:lineRule="auto"/>
        <w:rPr>
          <w:rFonts w:ascii="Arial" w:hAnsi="Arial" w:cs="Arial"/>
          <w:sz w:val="24"/>
          <w:szCs w:val="24"/>
        </w:rPr>
      </w:pPr>
      <w:r w:rsidRPr="00554893">
        <w:rPr>
          <w:rFonts w:ascii="Arial" w:hAnsi="Arial" w:cs="Arial"/>
          <w:sz w:val="24"/>
          <w:szCs w:val="24"/>
        </w:rPr>
        <w:t>collabora con il sindaco nell'attuazione degli indirizzi generali del consiglio</w:t>
      </w:r>
    </w:p>
    <w:p w14:paraId="4342E7C8" w14:textId="77777777" w:rsidR="003B55D9" w:rsidRPr="00554893" w:rsidRDefault="003B55D9">
      <w:pPr>
        <w:pStyle w:val="Paragrafoelenco"/>
        <w:numPr>
          <w:ilvl w:val="0"/>
          <w:numId w:val="9"/>
        </w:numPr>
        <w:spacing w:line="360" w:lineRule="auto"/>
        <w:rPr>
          <w:rFonts w:ascii="Arial" w:hAnsi="Arial" w:cs="Arial"/>
          <w:sz w:val="24"/>
          <w:szCs w:val="24"/>
        </w:rPr>
      </w:pPr>
      <w:r w:rsidRPr="00554893">
        <w:rPr>
          <w:rFonts w:ascii="Arial" w:hAnsi="Arial" w:cs="Arial"/>
          <w:sz w:val="24"/>
          <w:szCs w:val="24"/>
        </w:rPr>
        <w:t>riferisce annualmente la propria attività al consiglio</w:t>
      </w:r>
    </w:p>
    <w:p w14:paraId="78C2B267" w14:textId="77777777" w:rsidR="003B55D9" w:rsidRPr="00554893" w:rsidRDefault="003B55D9">
      <w:pPr>
        <w:pStyle w:val="Paragrafoelenco"/>
        <w:numPr>
          <w:ilvl w:val="0"/>
          <w:numId w:val="9"/>
        </w:numPr>
        <w:spacing w:line="360" w:lineRule="auto"/>
        <w:rPr>
          <w:rFonts w:ascii="Arial" w:hAnsi="Arial" w:cs="Arial"/>
          <w:sz w:val="24"/>
          <w:szCs w:val="24"/>
        </w:rPr>
      </w:pPr>
      <w:r w:rsidRPr="00554893">
        <w:rPr>
          <w:rFonts w:ascii="Arial" w:hAnsi="Arial" w:cs="Arial"/>
          <w:sz w:val="24"/>
          <w:szCs w:val="24"/>
        </w:rPr>
        <w:t>svolge attività propositive e di impulso verso il consiglio.</w:t>
      </w:r>
    </w:p>
    <w:p w14:paraId="604315F2" w14:textId="77777777" w:rsidR="003B55D9" w:rsidRPr="00554893" w:rsidRDefault="003B55D9">
      <w:pPr>
        <w:pStyle w:val="Paragrafoelenco"/>
        <w:numPr>
          <w:ilvl w:val="0"/>
          <w:numId w:val="9"/>
        </w:numPr>
        <w:spacing w:line="360" w:lineRule="auto"/>
        <w:rPr>
          <w:rFonts w:ascii="Arial" w:hAnsi="Arial" w:cs="Arial"/>
          <w:sz w:val="24"/>
          <w:szCs w:val="24"/>
        </w:rPr>
      </w:pPr>
      <w:r w:rsidRPr="00554893">
        <w:rPr>
          <w:rFonts w:ascii="Arial" w:hAnsi="Arial" w:cs="Arial"/>
          <w:sz w:val="24"/>
          <w:szCs w:val="24"/>
        </w:rPr>
        <w:t>adotta regolamenti sull'ordinamento degli uffici e dei servizi</w:t>
      </w:r>
    </w:p>
    <w:p w14:paraId="08ADE0ED" w14:textId="77777777" w:rsidR="003B55D9" w:rsidRPr="00554893" w:rsidRDefault="003B55D9" w:rsidP="0082786C">
      <w:pPr>
        <w:spacing w:line="360" w:lineRule="auto"/>
        <w:rPr>
          <w:rFonts w:ascii="Arial" w:hAnsi="Arial" w:cs="Arial"/>
          <w:sz w:val="24"/>
          <w:szCs w:val="24"/>
        </w:rPr>
      </w:pPr>
    </w:p>
    <w:p w14:paraId="119A88D1" w14:textId="77777777" w:rsidR="003B55D9" w:rsidRPr="00554893" w:rsidRDefault="003B55D9" w:rsidP="0082786C">
      <w:pPr>
        <w:spacing w:line="360" w:lineRule="auto"/>
        <w:rPr>
          <w:rFonts w:ascii="Arial" w:hAnsi="Arial" w:cs="Arial"/>
          <w:sz w:val="24"/>
          <w:szCs w:val="24"/>
        </w:rPr>
      </w:pPr>
    </w:p>
    <w:p w14:paraId="707F6D8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INCANDIDABILITA’, INELEGGIBILITA’, INCOMPATIBILITA’ DEGLI AMMINISTRATORI LOCALI</w:t>
      </w:r>
    </w:p>
    <w:p w14:paraId="639A99D4"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interessante e molto utile a questo proposito la lettura degli articoli 55- 70 del Capo II del Titolo III dell’Ordinamento istituzionale.</w:t>
      </w:r>
    </w:p>
    <w:p w14:paraId="3D0C518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Sono innanzitutto eleggibili a sindaco, presidente della provincia, consigliere comunale, provinciale, circoscrizionale, gli elettori di qualsiasi comune della Repubblica che abbiano compiuto il </w:t>
      </w:r>
      <w:proofErr w:type="gramStart"/>
      <w:r w:rsidRPr="00554893">
        <w:rPr>
          <w:rFonts w:ascii="Arial" w:hAnsi="Arial" w:cs="Arial"/>
          <w:sz w:val="24"/>
          <w:szCs w:val="24"/>
        </w:rPr>
        <w:t>18 esimo</w:t>
      </w:r>
      <w:proofErr w:type="gramEnd"/>
      <w:r w:rsidRPr="00554893">
        <w:rPr>
          <w:rFonts w:ascii="Arial" w:hAnsi="Arial" w:cs="Arial"/>
          <w:sz w:val="24"/>
          <w:szCs w:val="24"/>
        </w:rPr>
        <w:t xml:space="preserve"> anno di età, nel primo giorno fissato per le elezioni.</w:t>
      </w:r>
    </w:p>
    <w:p w14:paraId="1CA0770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Nessuno può presentarsi come candidato a consigliere in più di due province o in più di due comuni o in più di due circoscrizioni, quando le elezioni si svolgano nella stessa data. Nessuno può essere candidato alla carica di sindaco o di presidente della provincia in più di un comune ovvero di una provincia.</w:t>
      </w:r>
    </w:p>
    <w:p w14:paraId="5302BF8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candidato che sia eletto contemporaneamente consigliere in due province, due comuni, in due circoscrizioni, deve optare per una delle cariche entro </w:t>
      </w:r>
      <w:proofErr w:type="gramStart"/>
      <w:r w:rsidRPr="00554893">
        <w:rPr>
          <w:rFonts w:ascii="Arial" w:hAnsi="Arial" w:cs="Arial"/>
          <w:sz w:val="24"/>
          <w:szCs w:val="24"/>
        </w:rPr>
        <w:t>5</w:t>
      </w:r>
      <w:proofErr w:type="gramEnd"/>
      <w:r w:rsidRPr="00554893">
        <w:rPr>
          <w:rFonts w:ascii="Arial" w:hAnsi="Arial" w:cs="Arial"/>
          <w:sz w:val="24"/>
          <w:szCs w:val="24"/>
        </w:rPr>
        <w:t xml:space="preserve"> giorni dall’ultima deliberazione di convalida. Nel caso di mancata opzione rimane eletto laddove ha riportato il maggior numero di voti in percentuale rispetto al numero dei votanti ed è surrogato nell’altro consiglio. Numerose sono le cause ostative alla candidatura. Se ne parla nell’articolo 58. Non possono candidarsi alle elezioni comunali, provinciali e circoscrizionali e non possono comunque ricoprirne le cariche, il presidente e componente del consiglio di amministrazione di consorzi, consigli e giunte di unioni di comuni, consigliere di amministrazione e presidente delle aziende speciali, presidente e componente degli organi delle comunità montane; coloro che hanno riportato condanne definitive legate al traffico di stupefacenti, peculato, concussione , corruzione, delitti non colposi, e via dicendo.</w:t>
      </w:r>
    </w:p>
    <w:p w14:paraId="2B7A672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Non sono eleggibili a sindaco, presidente della provincia, consigliere comunale, provinciale e circoscrizionale il capo della Polizia e gli ispettori; nel territorio dove esercitano le loro funzioni ed il loro ufficio i Commissari di Governo, i Prefetti; ufficiali generali delle Forze armate dello Stato; gli ecclesiastici e i ministri del culto; i magistrati addetti alle Corti d’appello, i giudici di pace; i dipendenti del comune e della provincia per i rispettivi consigli; il direttore generale, amministrativo e sanitario di ASL e aziende ospedaliere; i sindaci, i presidenti di provincia, i consiglieri comunali, provinciali e circoscrizionali in carica, rispettivamente in altro comune, provincia, circoscrizione.</w:t>
      </w:r>
    </w:p>
    <w:p w14:paraId="11D4E79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Nella più parte dei casi, e si chiede pertanto di verificare le singole situazioni, le cause di ineleggibilità non hanno effetto se l’interessato cessa dalle funzioni per dimissioni, trasferimento, revoca dell’incarico o del comando, collocamento in aspettativa non retribuita non oltre il giorno fissato per la presentazione delle candidature.</w:t>
      </w:r>
    </w:p>
    <w:p w14:paraId="2FC649B4" w14:textId="77777777" w:rsidR="003B55D9" w:rsidRPr="00554893" w:rsidRDefault="003B55D9" w:rsidP="0082786C">
      <w:pPr>
        <w:spacing w:line="360" w:lineRule="auto"/>
        <w:rPr>
          <w:rFonts w:ascii="Arial" w:hAnsi="Arial" w:cs="Arial"/>
          <w:sz w:val="24"/>
          <w:szCs w:val="24"/>
        </w:rPr>
      </w:pPr>
    </w:p>
    <w:p w14:paraId="650645C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Si ricorda (art.61) che non possono essere eletti alla carica di sindaco o di presidente della provincia i ministri di un culto e coloro che hanno ascendenti o discendenti, ovvero parenti o affini al secondo grado che coprano nelle rispettive amministrazioni il posto di segretario comunale o provinciale, di appaltatore di lavori o dei servizi o in qualunque modo loro fideiussore.</w:t>
      </w:r>
    </w:p>
    <w:p w14:paraId="3CB080EC" w14:textId="77777777" w:rsidR="003B55D9" w:rsidRPr="00554893" w:rsidRDefault="003B55D9" w:rsidP="0082786C">
      <w:pPr>
        <w:spacing w:line="360" w:lineRule="auto"/>
        <w:rPr>
          <w:rFonts w:ascii="Arial" w:hAnsi="Arial" w:cs="Arial"/>
          <w:sz w:val="24"/>
          <w:szCs w:val="24"/>
        </w:rPr>
      </w:pPr>
    </w:p>
    <w:p w14:paraId="5A4EA11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Ed ora qualche esempio di incompatibilità (art.63), anche in questo caso numerosi. Non possono ricoprire la carica di sindaco, presidente della provincia, consigliere comunale, provinciale e circoscrizionale:</w:t>
      </w:r>
    </w:p>
    <w:p w14:paraId="1586FAE0" w14:textId="1C8DA5FA" w:rsidR="003B55D9" w:rsidRPr="00F703B6" w:rsidRDefault="003B55D9">
      <w:pPr>
        <w:pStyle w:val="Paragrafoelenco"/>
        <w:numPr>
          <w:ilvl w:val="0"/>
          <w:numId w:val="24"/>
        </w:numPr>
        <w:spacing w:line="360" w:lineRule="auto"/>
        <w:rPr>
          <w:rFonts w:ascii="Arial" w:hAnsi="Arial" w:cs="Arial"/>
          <w:sz w:val="24"/>
          <w:szCs w:val="24"/>
        </w:rPr>
      </w:pPr>
      <w:r w:rsidRPr="00F703B6">
        <w:rPr>
          <w:rFonts w:ascii="Arial" w:hAnsi="Arial" w:cs="Arial"/>
          <w:sz w:val="24"/>
          <w:szCs w:val="24"/>
        </w:rPr>
        <w:t>l’amministrazione o il dipendente con poteri di rappresentanza o coordinamento di ente, istituto o azienda soggetti a vigilanza, rispettivamente da parte del comune o della provincia o che dagli stesi riceva, in via continuativa, una sovvenzione in tutto o in parte facoltativa (…),</w:t>
      </w:r>
    </w:p>
    <w:p w14:paraId="76531F17" w14:textId="1AC60ED3" w:rsidR="003B55D9" w:rsidRPr="00F703B6" w:rsidRDefault="003B55D9">
      <w:pPr>
        <w:pStyle w:val="Paragrafoelenco"/>
        <w:numPr>
          <w:ilvl w:val="0"/>
          <w:numId w:val="24"/>
        </w:numPr>
        <w:spacing w:line="360" w:lineRule="auto"/>
        <w:rPr>
          <w:rFonts w:ascii="Arial" w:hAnsi="Arial" w:cs="Arial"/>
          <w:sz w:val="24"/>
          <w:szCs w:val="24"/>
        </w:rPr>
      </w:pPr>
      <w:r w:rsidRPr="00F703B6">
        <w:rPr>
          <w:rFonts w:ascii="Arial" w:hAnsi="Arial" w:cs="Arial"/>
          <w:sz w:val="24"/>
          <w:szCs w:val="24"/>
        </w:rPr>
        <w:t>colui che, come titolare, amministratore, dipendente con poteri di rappresentanza o di coordinamento ha parte in servizi, esazioni di diritti, somministrazioni o appalti, nell’interesse del comune o della provincia, ovvero in società ed imprese volte al profitto di privati, sovvenzionate da detti enti in maniera continuativa;</w:t>
      </w:r>
    </w:p>
    <w:p w14:paraId="6DDCACA4" w14:textId="3FDAFA7E" w:rsidR="003B55D9" w:rsidRPr="00F703B6" w:rsidRDefault="003B55D9">
      <w:pPr>
        <w:pStyle w:val="Paragrafoelenco"/>
        <w:numPr>
          <w:ilvl w:val="0"/>
          <w:numId w:val="24"/>
        </w:numPr>
        <w:spacing w:line="360" w:lineRule="auto"/>
        <w:rPr>
          <w:rFonts w:ascii="Arial" w:hAnsi="Arial" w:cs="Arial"/>
          <w:sz w:val="24"/>
          <w:szCs w:val="24"/>
        </w:rPr>
      </w:pPr>
      <w:r w:rsidRPr="00F703B6">
        <w:rPr>
          <w:rFonts w:ascii="Arial" w:hAnsi="Arial" w:cs="Arial"/>
          <w:sz w:val="24"/>
          <w:szCs w:val="24"/>
        </w:rPr>
        <w:t>colui che ha lite pendente, in quanto parte di un procedimento civile o amministrativo, rispettivamente con il comune o la provincia;</w:t>
      </w:r>
    </w:p>
    <w:p w14:paraId="45D7F003" w14:textId="02B1FFD8" w:rsidR="003B55D9" w:rsidRPr="00F703B6" w:rsidRDefault="003B55D9">
      <w:pPr>
        <w:pStyle w:val="Paragrafoelenco"/>
        <w:numPr>
          <w:ilvl w:val="0"/>
          <w:numId w:val="24"/>
        </w:numPr>
        <w:spacing w:line="360" w:lineRule="auto"/>
        <w:rPr>
          <w:rFonts w:ascii="Arial" w:hAnsi="Arial" w:cs="Arial"/>
          <w:sz w:val="24"/>
          <w:szCs w:val="24"/>
        </w:rPr>
      </w:pPr>
      <w:r w:rsidRPr="00F703B6">
        <w:rPr>
          <w:rFonts w:ascii="Arial" w:hAnsi="Arial" w:cs="Arial"/>
          <w:sz w:val="24"/>
          <w:szCs w:val="24"/>
        </w:rPr>
        <w:t xml:space="preserve">colui </w:t>
      </w:r>
      <w:proofErr w:type="gramStart"/>
      <w:r w:rsidRPr="00F703B6">
        <w:rPr>
          <w:rFonts w:ascii="Arial" w:hAnsi="Arial" w:cs="Arial"/>
          <w:sz w:val="24"/>
          <w:szCs w:val="24"/>
        </w:rPr>
        <w:t>che ,</w:t>
      </w:r>
      <w:proofErr w:type="gramEnd"/>
      <w:r w:rsidRPr="00F703B6">
        <w:rPr>
          <w:rFonts w:ascii="Arial" w:hAnsi="Arial" w:cs="Arial"/>
          <w:sz w:val="24"/>
          <w:szCs w:val="24"/>
        </w:rPr>
        <w:t xml:space="preserve"> per fatti compiuti allorché era amministratore o impiegato, del comune o della provincia (…) è stato, con sentenza passata in giudicato, dichiarato responsabile verso l’Ente, istituto o azienda e non ha ancora estinto il debito.</w:t>
      </w:r>
    </w:p>
    <w:p w14:paraId="081F743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Per quanto attiene alle incompatibilità tra incarichi, ricordiamo quelle:</w:t>
      </w:r>
    </w:p>
    <w:p w14:paraId="39BB172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tra consigliere comunale e provinciale e assessore nella rispettiva giunta (art. 64):</w:t>
      </w:r>
    </w:p>
    <w:p w14:paraId="59735E6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la carica di assessore è incompatibile con la carica di consigliere comunale e provinciale;</w:t>
      </w:r>
    </w:p>
    <w:p w14:paraId="39FA44B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qualora un consigliere comunale o provinciale assuma la carica di assessore nella rispettiva giunta, cessa dalla carica di consigliere all’atto dell’accettazione della nomina, ed al suo posto subentra il primo dei non eletti.</w:t>
      </w:r>
    </w:p>
    <w:p w14:paraId="512B783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Queste disposizioni non si applicano ai comuni con popolazione sino a 15 mila abitanti.</w:t>
      </w:r>
    </w:p>
    <w:p w14:paraId="0BAF143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Si ricorda che non possono far parte della giunta il coniuge, gli ascendenti, i discendenti, i parenti ed affini fino al terzo grado, rispettivamente, del sindaco e del presidente della provincia. Gli stessi non possono essere nominati rappresentanti di comune e provincia.</w:t>
      </w:r>
    </w:p>
    <w:p w14:paraId="56A6899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per consigliere regionale, provinciale, comune e circoscrizionale:</w:t>
      </w:r>
    </w:p>
    <w:p w14:paraId="4DF883D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 xml:space="preserve">il presidente e gli assessori provinciali, nonché il sindaco e gli assessori dei comuni compresi nel territorio della regione, sono incompatibili con </w:t>
      </w:r>
      <w:proofErr w:type="gramStart"/>
      <w:r w:rsidRPr="00554893">
        <w:rPr>
          <w:rFonts w:ascii="Arial" w:hAnsi="Arial" w:cs="Arial"/>
          <w:sz w:val="24"/>
          <w:szCs w:val="24"/>
        </w:rPr>
        <w:t>al</w:t>
      </w:r>
      <w:proofErr w:type="gramEnd"/>
      <w:r w:rsidRPr="00554893">
        <w:rPr>
          <w:rFonts w:ascii="Arial" w:hAnsi="Arial" w:cs="Arial"/>
          <w:sz w:val="24"/>
          <w:szCs w:val="24"/>
        </w:rPr>
        <w:t xml:space="preserve"> carica di consigliere regionale;</w:t>
      </w:r>
    </w:p>
    <w:p w14:paraId="51E7058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le cariche di consigliere provinciale, regionale, comunale e circoscrizionale sono altresì incompatibili, rispettivamente, con quelle di consigliere provinciale di altra provincia, di consigliere comunale di altro comune, di consigliere circoscrizionale di altra circoscrizione;</w:t>
      </w:r>
    </w:p>
    <w:p w14:paraId="26CCFDB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la carica di consigliere comunale è incompatibile con quella di consigliere di una circoscrizione del comune.</w:t>
      </w:r>
    </w:p>
    <w:p w14:paraId="212F1DB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 perdita delle condizioni di eleggibilità comporta la decadenza dalla carica di sindaco, presidente della provincia, consigliere comunale, provinciale, etc. Le cause di incompatibilità, sia che esistano al momento dell’elezione sia che sopravvengano ad essa, comportano la decadenza delle </w:t>
      </w:r>
      <w:proofErr w:type="gramStart"/>
      <w:r w:rsidRPr="00554893">
        <w:rPr>
          <w:rFonts w:ascii="Arial" w:hAnsi="Arial" w:cs="Arial"/>
          <w:sz w:val="24"/>
          <w:szCs w:val="24"/>
        </w:rPr>
        <w:t>predette</w:t>
      </w:r>
      <w:proofErr w:type="gramEnd"/>
      <w:r w:rsidRPr="00554893">
        <w:rPr>
          <w:rFonts w:ascii="Arial" w:hAnsi="Arial" w:cs="Arial"/>
          <w:sz w:val="24"/>
          <w:szCs w:val="24"/>
        </w:rPr>
        <w:t xml:space="preserve"> cariche. La cessazione delle funzioni deve avvenire entro dieci giorni dalla data in cui è venuta a concretizzarsi la causa di ineleggibilità o di incompatibilità.</w:t>
      </w:r>
    </w:p>
    <w:p w14:paraId="2794D2F3" w14:textId="77777777" w:rsidR="003B55D9" w:rsidRPr="00554893" w:rsidRDefault="003B55D9" w:rsidP="0082786C">
      <w:pPr>
        <w:spacing w:line="360" w:lineRule="auto"/>
        <w:rPr>
          <w:rFonts w:ascii="Arial" w:hAnsi="Arial" w:cs="Arial"/>
          <w:sz w:val="24"/>
          <w:szCs w:val="24"/>
        </w:rPr>
      </w:pPr>
    </w:p>
    <w:p w14:paraId="136D6E5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Come si contestano le cause di ineleggibilità ed incompatibilità?</w:t>
      </w:r>
    </w:p>
    <w:p w14:paraId="682F1D6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L’amministratore locale ha dieci giorni di tempo per formulare osservazioni o per eliminare le cause di ineleggibilità sopravvenute o di incompatibilità.</w:t>
      </w:r>
    </w:p>
    <w:p w14:paraId="7287E6C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Entro i dieci giorni successivi alla decadenza del termine, il consiglio delibera definitivamente e, ove ritenga sussistente la causa di ineleggibilità o incompatibilità, invita l’amministratore a rimuoverla o ad esprimere, se del caso, l’opzione per la carica che intende osservare.</w:t>
      </w:r>
    </w:p>
    <w:p w14:paraId="62AD9C3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Se l’amministratore non vi procede entro i successivi dieci giorni, il consiglio lo dichiara decaduto: contro la deliberazione adottata è ammesso ricorso giurisdizionale al Tribunale competente per territorio.</w:t>
      </w:r>
    </w:p>
    <w:p w14:paraId="394EB2B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STATUS AMMINISTRATORI LOCALI</w:t>
      </w:r>
    </w:p>
    <w:p w14:paraId="1B2BBE7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capo IV del TU definisce al suo art. 77 lo status di amministratori che sottostanno alla disciplina prevista; il legislatore ha riconosciuto come amministratori, i sindaci, i consiglieri comunali, gli assessori, i componenti degli organi delle unioni di comuni e di consorzi fra enti locali, e i componenti degli organi di decentramento.</w:t>
      </w:r>
    </w:p>
    <w:p w14:paraId="783607A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L’art. 97 della Cost., che i pubblici uffici siano organizzati secondo le disposizioni previste dalla legge in modo che siano assicurati il buon andamento e l’imparzialità dell’amministrazione.</w:t>
      </w:r>
    </w:p>
    <w:p w14:paraId="4BD1B07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 due principi appena citati si ritrovano anche nell’art. 78 nel momento in cui si afferma che il comportamento degli amministratori deve esser improntato all’imparzialità e al principio di buona amministrazione. Il legislatore ha previsto una serie di condizioni per le quali questi soggetti devono astenersi dal prendere parte a votazioni o discussioni:</w:t>
      </w:r>
    </w:p>
    <w:p w14:paraId="466BDB0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r>
      <w:proofErr w:type="gramStart"/>
      <w:r w:rsidRPr="00554893">
        <w:rPr>
          <w:rFonts w:ascii="Arial" w:hAnsi="Arial" w:cs="Arial"/>
          <w:sz w:val="24"/>
          <w:szCs w:val="24"/>
        </w:rPr>
        <w:t>tutti  nel</w:t>
      </w:r>
      <w:proofErr w:type="gramEnd"/>
      <w:r w:rsidRPr="00554893">
        <w:rPr>
          <w:rFonts w:ascii="Arial" w:hAnsi="Arial" w:cs="Arial"/>
          <w:sz w:val="24"/>
          <w:szCs w:val="24"/>
        </w:rPr>
        <w:t xml:space="preserve"> caso di delibere che riguardano interessi propri , dei loro parenti o affini fino al 4 grado.</w:t>
      </w:r>
    </w:p>
    <w:p w14:paraId="32BDDFC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Sindaco, consiglieri, assessori non possono ricoprire incarichi o consulenze presso enti dipendenti o comunque sottoposti al controllo e vigilanza dei comuni.</w:t>
      </w:r>
    </w:p>
    <w:p w14:paraId="393DA48A" w14:textId="77777777" w:rsidR="003B55D9" w:rsidRPr="00554893" w:rsidRDefault="003B55D9" w:rsidP="0082786C">
      <w:pPr>
        <w:spacing w:line="360" w:lineRule="auto"/>
        <w:rPr>
          <w:rFonts w:ascii="Arial" w:hAnsi="Arial" w:cs="Arial"/>
          <w:sz w:val="24"/>
          <w:szCs w:val="24"/>
        </w:rPr>
      </w:pPr>
    </w:p>
    <w:p w14:paraId="0CDE092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Questi soggetti hanno il diritto di assentarsi per l’intera giornata in cui sono convocati i consigli e se svolti in orario serale hanno il diritto di riprendere servizio non prima delle </w:t>
      </w:r>
      <w:proofErr w:type="gramStart"/>
      <w:r w:rsidRPr="00554893">
        <w:rPr>
          <w:rFonts w:ascii="Arial" w:hAnsi="Arial" w:cs="Arial"/>
          <w:sz w:val="24"/>
          <w:szCs w:val="24"/>
        </w:rPr>
        <w:t>8</w:t>
      </w:r>
      <w:proofErr w:type="gramEnd"/>
      <w:r w:rsidRPr="00554893">
        <w:rPr>
          <w:rFonts w:ascii="Arial" w:hAnsi="Arial" w:cs="Arial"/>
          <w:sz w:val="24"/>
          <w:szCs w:val="24"/>
        </w:rPr>
        <w:t xml:space="preserve"> del giorno successivo. Nel caso in cui le riunioni si protraggano oltre la mezzanotte hanno il diritto di assentarsi il giorno dopo dall’attività lavorativa che svolgono. Queste assenze sono retribuite comunque dal datore di </w:t>
      </w:r>
      <w:proofErr w:type="gramStart"/>
      <w:r w:rsidRPr="00554893">
        <w:rPr>
          <w:rFonts w:ascii="Arial" w:hAnsi="Arial" w:cs="Arial"/>
          <w:sz w:val="24"/>
          <w:szCs w:val="24"/>
        </w:rPr>
        <w:t>lavoro</w:t>
      </w:r>
      <w:proofErr w:type="gramEnd"/>
      <w:r w:rsidRPr="00554893">
        <w:rPr>
          <w:rFonts w:ascii="Arial" w:hAnsi="Arial" w:cs="Arial"/>
          <w:sz w:val="24"/>
          <w:szCs w:val="24"/>
        </w:rPr>
        <w:t xml:space="preserve"> il quale avrà 30 giorni di tempo per richiedere il rimborso all’ente di quanto effettivamente è stato versato.</w:t>
      </w:r>
    </w:p>
    <w:p w14:paraId="3D127197" w14:textId="77777777" w:rsidR="003B55D9" w:rsidRPr="00554893" w:rsidRDefault="003B55D9" w:rsidP="0082786C">
      <w:pPr>
        <w:spacing w:line="360" w:lineRule="auto"/>
        <w:rPr>
          <w:rFonts w:ascii="Arial" w:hAnsi="Arial" w:cs="Arial"/>
          <w:sz w:val="24"/>
          <w:szCs w:val="24"/>
        </w:rPr>
      </w:pPr>
    </w:p>
    <w:p w14:paraId="079C85D3"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ORGANIZZAZIONE E PERSONALE</w:t>
      </w:r>
    </w:p>
    <w:p w14:paraId="1AC6AC9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 comuni disciplinano con apposito regolamento la dotazione organica del personale e in conformità dello Statuto l’organizzazione degli uffici e dei servizi in </w:t>
      </w:r>
      <w:proofErr w:type="gramStart"/>
      <w:r w:rsidRPr="00554893">
        <w:rPr>
          <w:rFonts w:ascii="Arial" w:hAnsi="Arial" w:cs="Arial"/>
          <w:sz w:val="24"/>
          <w:szCs w:val="24"/>
        </w:rPr>
        <w:t>base  a</w:t>
      </w:r>
      <w:proofErr w:type="gramEnd"/>
      <w:r w:rsidRPr="00554893">
        <w:rPr>
          <w:rFonts w:ascii="Arial" w:hAnsi="Arial" w:cs="Arial"/>
          <w:sz w:val="24"/>
          <w:szCs w:val="24"/>
        </w:rPr>
        <w:t xml:space="preserve"> criteri di autonomia , funzionalità ed economicità di gestione. Il comune quindi provvede alla rideterminazione delle proprie dotazioni organiche nonché all’organizzazione e gestione del personale con il solo limite delle proprie capacità di bilancio e dell’esercizio delle funzioni, cercando quindi di ottimizzare le risorse per il miglior funzionamento delle risorse; per far questo triennalmente gli organi di vertice sono tenuti a programmare il fabbisogno del personale.Gli enti locali che no versano in situazione deficitaria possono prevedere anche concorsi interamente riservati al personale dipendente per ricoprire ruoli vacanti di particolari profili professionali caratterizzati da una certa professionalità acquisita esclusivamente all’interno dell’ente.</w:t>
      </w:r>
    </w:p>
    <w:p w14:paraId="52D72A5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Per quanto riguarda le graduatorie concorsuali queste rimangono aperte per legge per un termine di </w:t>
      </w:r>
      <w:proofErr w:type="gramStart"/>
      <w:r w:rsidRPr="00554893">
        <w:rPr>
          <w:rFonts w:ascii="Arial" w:hAnsi="Arial" w:cs="Arial"/>
          <w:sz w:val="24"/>
          <w:szCs w:val="24"/>
        </w:rPr>
        <w:t>3</w:t>
      </w:r>
      <w:proofErr w:type="gramEnd"/>
      <w:r w:rsidRPr="00554893">
        <w:rPr>
          <w:rFonts w:ascii="Arial" w:hAnsi="Arial" w:cs="Arial"/>
          <w:sz w:val="24"/>
          <w:szCs w:val="24"/>
        </w:rPr>
        <w:t xml:space="preserve"> anni dalla data di pubblicazione per l’eventuale copertura di posti vacanti nel corso del tempo.</w:t>
      </w:r>
    </w:p>
    <w:p w14:paraId="23811D0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comune può costituire rapporti di lavoro a tempo parziale e/o determinato.</w:t>
      </w:r>
    </w:p>
    <w:p w14:paraId="2B42ACCB" w14:textId="77777777" w:rsidR="003B55D9" w:rsidRPr="00554893" w:rsidRDefault="003B55D9" w:rsidP="0082786C">
      <w:pPr>
        <w:spacing w:line="360" w:lineRule="auto"/>
        <w:rPr>
          <w:rFonts w:ascii="Arial" w:hAnsi="Arial" w:cs="Arial"/>
          <w:sz w:val="24"/>
          <w:szCs w:val="24"/>
        </w:rPr>
      </w:pPr>
    </w:p>
    <w:p w14:paraId="37EBC422"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SEGRETARI COMUNALI e PROVINCIALE</w:t>
      </w:r>
    </w:p>
    <w:p w14:paraId="6AD024C4" w14:textId="77777777" w:rsidR="00DF3CC6" w:rsidRPr="00554893" w:rsidRDefault="00DF3CC6" w:rsidP="0082786C">
      <w:pPr>
        <w:shd w:val="clear" w:color="auto" w:fill="FFFFFF"/>
        <w:spacing w:before="100" w:beforeAutospacing="1" w:after="100" w:afterAutospacing="1" w:line="36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 xml:space="preserve">Nell'ordinamento italiano il Segretario Comunale è un organo monocratico del Comune. </w:t>
      </w:r>
      <w:proofErr w:type="gramStart"/>
      <w:r w:rsidRPr="00554893">
        <w:rPr>
          <w:rFonts w:ascii="Arial" w:eastAsia="Times New Roman" w:hAnsi="Arial" w:cs="Arial"/>
          <w:color w:val="000000"/>
          <w:sz w:val="24"/>
          <w:szCs w:val="24"/>
          <w:lang w:eastAsia="it-IT"/>
        </w:rPr>
        <w:t>Le sua</w:t>
      </w:r>
      <w:proofErr w:type="gramEnd"/>
      <w:r w:rsidRPr="00554893">
        <w:rPr>
          <w:rFonts w:ascii="Arial" w:eastAsia="Times New Roman" w:hAnsi="Arial" w:cs="Arial"/>
          <w:color w:val="000000"/>
          <w:sz w:val="24"/>
          <w:szCs w:val="24"/>
          <w:lang w:eastAsia="it-IT"/>
        </w:rPr>
        <w:t xml:space="preserve"> figura è disciplinata dalla Parte I, Titolo IV, Capo II del </w:t>
      </w:r>
      <w:r w:rsidRPr="00554893">
        <w:rPr>
          <w:rFonts w:ascii="Arial" w:eastAsia="Times New Roman" w:hAnsi="Arial" w:cs="Arial"/>
          <w:b/>
          <w:bCs/>
          <w:color w:val="000000"/>
          <w:sz w:val="24"/>
          <w:szCs w:val="24"/>
          <w:lang w:eastAsia="it-IT"/>
        </w:rPr>
        <w:t>Decreto Legislativo 18 agosto 2000, n. 267</w:t>
      </w:r>
      <w:r w:rsidRPr="00554893">
        <w:rPr>
          <w:rFonts w:ascii="Arial" w:eastAsia="Times New Roman" w:hAnsi="Arial" w:cs="Arial"/>
          <w:color w:val="000000"/>
          <w:sz w:val="24"/>
          <w:szCs w:val="24"/>
          <w:lang w:eastAsia="it-IT"/>
        </w:rPr>
        <w:t> (Testo Unico delle leggi sull'ordinamento degli Enti Locali).</w:t>
      </w:r>
    </w:p>
    <w:p w14:paraId="4E1F59EE" w14:textId="77777777" w:rsidR="00DF3CC6" w:rsidRPr="00554893" w:rsidRDefault="00DF3CC6" w:rsidP="0082786C">
      <w:pPr>
        <w:shd w:val="clear" w:color="auto" w:fill="FFFFFF"/>
        <w:spacing w:before="100" w:beforeAutospacing="1" w:after="100" w:afterAutospacing="1" w:line="36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Secondo l'</w:t>
      </w:r>
      <w:r w:rsidRPr="00554893">
        <w:rPr>
          <w:rFonts w:ascii="Arial" w:eastAsia="Times New Roman" w:hAnsi="Arial" w:cs="Arial"/>
          <w:b/>
          <w:bCs/>
          <w:color w:val="000000"/>
          <w:sz w:val="24"/>
          <w:szCs w:val="24"/>
          <w:lang w:eastAsia="it-IT"/>
        </w:rPr>
        <w:t>art. 97 del D.Lgs. 267/2000</w:t>
      </w:r>
      <w:r w:rsidRPr="00554893">
        <w:rPr>
          <w:rFonts w:ascii="Arial" w:eastAsia="Times New Roman" w:hAnsi="Arial" w:cs="Arial"/>
          <w:color w:val="000000"/>
          <w:sz w:val="24"/>
          <w:szCs w:val="24"/>
          <w:lang w:eastAsia="it-IT"/>
        </w:rPr>
        <w:t> il comune ha un Segretario titolare che svolge compiti di collaborazione e funzioni di assistenza giuridico-amministrativa nei confronti degli organi dell'ente in ordine alla conformità dell'azione amministrativa alle leggi, allo Statuto e ai regolamenti. Il Segretario dipende funzionalmente dal Sindaco (art. 99 del D.Lgs. 267/2000).</w:t>
      </w:r>
    </w:p>
    <w:p w14:paraId="23C9DA80" w14:textId="77777777" w:rsidR="00DF3CC6" w:rsidRPr="00554893" w:rsidRDefault="00DF3CC6" w:rsidP="0082786C">
      <w:pPr>
        <w:shd w:val="clear" w:color="auto" w:fill="FFFFFF"/>
        <w:spacing w:before="100" w:beforeAutospacing="1" w:after="100" w:afterAutospacing="1" w:line="36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Secondo l'art. 97 del D.Lgs. 267/2000 il segretario sovrintende allo svolgimento delle funzioni dei dirigenti e ne coordina l'attività, salvo quando il sindaco abbia nominato il direttore generale. Il segretario inoltre:</w:t>
      </w:r>
    </w:p>
    <w:p w14:paraId="11D02E94" w14:textId="77777777" w:rsidR="00DF3CC6" w:rsidRPr="00554893"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partecipa con funzioni consultive, referenti e di assistenza alle riunioni del consiglio e della giunta e ne cura la verbalizzazione;</w:t>
      </w:r>
    </w:p>
    <w:p w14:paraId="7A97A194" w14:textId="77777777" w:rsidR="00DF3CC6" w:rsidRPr="00554893"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esprime il parere di regolarità, in relazione alle sue competenze, su ogni proposta di deliberazione sottoposta alla giunta ed al consiglio, nel caso in cui l'ente non abbia responsabili dei servizi;</w:t>
      </w:r>
    </w:p>
    <w:p w14:paraId="261EA55A" w14:textId="77777777" w:rsidR="00DF3CC6" w:rsidRPr="00554893"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può rogare tutti i contratti nei quali l'ente è parte ed autenticare scritture private ed atti unilaterali nell'interesse dell'ente;</w:t>
      </w:r>
    </w:p>
    <w:p w14:paraId="00BA2778" w14:textId="77777777" w:rsidR="00DF3CC6" w:rsidRPr="00554893" w:rsidRDefault="00DF3CC6" w:rsidP="0082786C">
      <w:pPr>
        <w:numPr>
          <w:ilvl w:val="0"/>
          <w:numId w:val="1"/>
        </w:numPr>
        <w:shd w:val="clear" w:color="auto" w:fill="FFFFFF"/>
        <w:spacing w:before="100" w:beforeAutospacing="1" w:after="100" w:afterAutospacing="1" w:line="360" w:lineRule="auto"/>
        <w:ind w:left="360" w:right="360"/>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esercita ogni altra funzione attribuitagli dallo statuto o dai regolamenti, o conferitagli dal sindaco. In particolare, nei comuni privi di dirigenti possono essere demandate al segretario le funzioni dirigenziali, se non sono attribuite ai responsabili degli uffici o dei servizi (art. 109 del D.Lgs. 267/2000).</w:t>
      </w:r>
    </w:p>
    <w:p w14:paraId="0088DBCC" w14:textId="77777777" w:rsidR="00DF3CC6" w:rsidRPr="00554893" w:rsidRDefault="00576D9D" w:rsidP="0082786C">
      <w:pPr>
        <w:shd w:val="clear" w:color="auto" w:fill="FFFFFF"/>
        <w:spacing w:before="100" w:beforeAutospacing="1" w:after="100" w:afterAutospacing="1" w:line="360" w:lineRule="auto"/>
        <w:rPr>
          <w:rFonts w:ascii="Arial" w:eastAsia="Times New Roman" w:hAnsi="Arial" w:cs="Arial"/>
          <w:color w:val="000000"/>
          <w:sz w:val="24"/>
          <w:szCs w:val="24"/>
          <w:lang w:eastAsia="it-IT"/>
        </w:rPr>
      </w:pPr>
      <w:r w:rsidRPr="00554893">
        <w:rPr>
          <w:rFonts w:ascii="Arial" w:eastAsia="Times New Roman" w:hAnsi="Arial" w:cs="Arial"/>
          <w:b/>
          <w:bCs/>
          <w:color w:val="000000"/>
          <w:sz w:val="24"/>
          <w:szCs w:val="24"/>
          <w:lang w:eastAsia="it-IT"/>
        </w:rPr>
        <w:t>a</w:t>
      </w:r>
      <w:r w:rsidR="00DF3CC6" w:rsidRPr="00554893">
        <w:rPr>
          <w:rFonts w:ascii="Arial" w:eastAsia="Times New Roman" w:hAnsi="Arial" w:cs="Arial"/>
          <w:b/>
          <w:bCs/>
          <w:color w:val="000000"/>
          <w:sz w:val="24"/>
          <w:szCs w:val="24"/>
          <w:lang w:eastAsia="it-IT"/>
        </w:rPr>
        <w:t>rt. 55 - Segretario Comunale</w:t>
      </w:r>
      <w:r w:rsidR="00DF3CC6" w:rsidRPr="00554893">
        <w:rPr>
          <w:rFonts w:ascii="Arial" w:eastAsia="Times New Roman" w:hAnsi="Arial" w:cs="Arial"/>
          <w:color w:val="000000"/>
          <w:sz w:val="24"/>
          <w:szCs w:val="24"/>
          <w:lang w:eastAsia="it-IT"/>
        </w:rPr>
        <w:br/>
        <w:t>1) Le funzioni, i poteri, i compiti, le responsabilità, lo stato giuridico ed il ruolo sono stabiliti con legge dello Stato cui si fa espresso rinvio. </w:t>
      </w:r>
      <w:r w:rsidR="00DF3CC6" w:rsidRPr="00554893">
        <w:rPr>
          <w:rFonts w:ascii="Arial" w:eastAsia="Times New Roman" w:hAnsi="Arial" w:cs="Arial"/>
          <w:color w:val="000000"/>
          <w:sz w:val="24"/>
          <w:szCs w:val="24"/>
          <w:lang w:eastAsia="it-IT"/>
        </w:rPr>
        <w:br/>
        <w:t xml:space="preserve">2) </w:t>
      </w:r>
      <w:proofErr w:type="gramStart"/>
      <w:r w:rsidR="00DF3CC6" w:rsidRPr="00554893">
        <w:rPr>
          <w:rFonts w:ascii="Arial" w:eastAsia="Times New Roman" w:hAnsi="Arial" w:cs="Arial"/>
          <w:color w:val="000000"/>
          <w:sz w:val="24"/>
          <w:szCs w:val="24"/>
          <w:lang w:eastAsia="it-IT"/>
        </w:rPr>
        <w:t>In particolare</w:t>
      </w:r>
      <w:proofErr w:type="gramEnd"/>
      <w:r w:rsidR="00DF3CC6" w:rsidRPr="00554893">
        <w:rPr>
          <w:rFonts w:ascii="Arial" w:eastAsia="Times New Roman" w:hAnsi="Arial" w:cs="Arial"/>
          <w:color w:val="000000"/>
          <w:sz w:val="24"/>
          <w:szCs w:val="24"/>
          <w:lang w:eastAsia="it-IT"/>
        </w:rPr>
        <w:t xml:space="preserve"> il Segretario Comunale: </w:t>
      </w:r>
      <w:r w:rsidR="00DF3CC6" w:rsidRPr="00554893">
        <w:rPr>
          <w:rFonts w:ascii="Arial" w:eastAsia="Times New Roman" w:hAnsi="Arial" w:cs="Arial"/>
          <w:color w:val="000000"/>
          <w:sz w:val="24"/>
          <w:szCs w:val="24"/>
          <w:lang w:eastAsia="it-IT"/>
        </w:rPr>
        <w:br/>
        <w:t>a) realizza gli obiettivi dell'Ente, esercitando l'attività di sua competenza con potestà d'iniziativa ed autonomia di scelta degli strumenti operativi; </w:t>
      </w:r>
      <w:r w:rsidR="00DF3CC6" w:rsidRPr="00554893">
        <w:rPr>
          <w:rFonts w:ascii="Arial" w:eastAsia="Times New Roman" w:hAnsi="Arial" w:cs="Arial"/>
          <w:color w:val="000000"/>
          <w:sz w:val="24"/>
          <w:szCs w:val="24"/>
          <w:lang w:eastAsia="it-IT"/>
        </w:rPr>
        <w:br/>
        <w:t>b) assolve alla alta direzione di tutti gli uffici e servizi. È capo del personale ed assume le iniziative volte ad assicurare unità di conduzione complessiva della gestione amministrativa affidata alla sfera burocratica. Esercita il potere sostitutivo nei casi di accertata inerzia ed inefficienza del personale verificando l'efficacia e l'efficienza dell'attività degli uffici e del personale ad essi preposti; </w:t>
      </w:r>
      <w:r w:rsidR="00DF3CC6" w:rsidRPr="00554893">
        <w:rPr>
          <w:rFonts w:ascii="Arial" w:eastAsia="Times New Roman" w:hAnsi="Arial" w:cs="Arial"/>
          <w:color w:val="000000"/>
          <w:sz w:val="24"/>
          <w:szCs w:val="24"/>
          <w:lang w:eastAsia="it-IT"/>
        </w:rPr>
        <w:br/>
        <w:t>c) cura l'esecuzione dei provvedimenti dei quali verifica la fase istruttoria emanando tutti gli atti ed i provvedimenti conseguenti e necessari per l'esecuzione delle deliberazioni; </w:t>
      </w:r>
      <w:r w:rsidR="00DF3CC6" w:rsidRPr="00554893">
        <w:rPr>
          <w:rFonts w:ascii="Arial" w:eastAsia="Times New Roman" w:hAnsi="Arial" w:cs="Arial"/>
          <w:color w:val="000000"/>
          <w:sz w:val="24"/>
          <w:szCs w:val="24"/>
          <w:lang w:eastAsia="it-IT"/>
        </w:rPr>
        <w:br/>
        <w:t>d) cura l'invio delle deliberazioni dovute ai capigruppo, riceve le designazioni dei capigruppo consiliari, nonché l'atto di dimissioni del Sindaco, le proposte di revoca e !a mozione di sfiducia; </w:t>
      </w:r>
      <w:r w:rsidR="00DF3CC6" w:rsidRPr="00554893">
        <w:rPr>
          <w:rFonts w:ascii="Arial" w:eastAsia="Times New Roman" w:hAnsi="Arial" w:cs="Arial"/>
          <w:color w:val="000000"/>
          <w:sz w:val="24"/>
          <w:szCs w:val="24"/>
          <w:lang w:eastAsia="it-IT"/>
        </w:rPr>
        <w:br/>
        <w:t>e) Rilascia certificazioni, notizie e documenti a cittadini e consiglieri comunali nei casi previsti dalle legge, dallo statuto e dai regolamenti; </w:t>
      </w:r>
      <w:r w:rsidR="00DF3CC6" w:rsidRPr="00554893">
        <w:rPr>
          <w:rFonts w:ascii="Arial" w:eastAsia="Times New Roman" w:hAnsi="Arial" w:cs="Arial"/>
          <w:color w:val="000000"/>
          <w:sz w:val="24"/>
          <w:szCs w:val="24"/>
          <w:lang w:eastAsia="it-IT"/>
        </w:rPr>
        <w:br/>
        <w:t>f) Dirime i conflitti di competenza fra i responsabili dei servizi; </w:t>
      </w:r>
      <w:r w:rsidR="00DF3CC6" w:rsidRPr="00554893">
        <w:rPr>
          <w:rFonts w:ascii="Arial" w:eastAsia="Times New Roman" w:hAnsi="Arial" w:cs="Arial"/>
          <w:color w:val="000000"/>
          <w:sz w:val="24"/>
          <w:szCs w:val="24"/>
          <w:lang w:eastAsia="it-IT"/>
        </w:rPr>
        <w:br/>
        <w:t>g) Roga nell'esclusivo interesse dell'amministrazione comunale gli atti e i contratti riguardanti alienazioni, locazione, acquisti, somministrazioni ed appalti di opere oltre agli altri come per legge; </w:t>
      </w:r>
      <w:r w:rsidR="00DF3CC6" w:rsidRPr="00554893">
        <w:rPr>
          <w:rFonts w:ascii="Arial" w:eastAsia="Times New Roman" w:hAnsi="Arial" w:cs="Arial"/>
          <w:color w:val="000000"/>
          <w:sz w:val="24"/>
          <w:szCs w:val="24"/>
          <w:lang w:eastAsia="it-IT"/>
        </w:rPr>
        <w:br/>
        <w:t>h) provvede alla registratone, trascrizione e comunicazione, nei casi previsti dalla legge, degli atti indicati alla precedente lettera e tenere lo speciale repertorio; </w:t>
      </w:r>
      <w:r w:rsidR="00DF3CC6" w:rsidRPr="00554893">
        <w:rPr>
          <w:rFonts w:ascii="Arial" w:eastAsia="Times New Roman" w:hAnsi="Arial" w:cs="Arial"/>
          <w:color w:val="000000"/>
          <w:sz w:val="24"/>
          <w:szCs w:val="24"/>
          <w:lang w:eastAsia="it-IT"/>
        </w:rPr>
        <w:br/>
        <w:t>l) esercita nei confronti del personale il potere disciplinare nei limiti delle sanzioni previste nei contratti di lavoro e dal regolamento del personale; </w:t>
      </w:r>
      <w:r w:rsidR="00DF3CC6" w:rsidRPr="00554893">
        <w:rPr>
          <w:rFonts w:ascii="Arial" w:eastAsia="Times New Roman" w:hAnsi="Arial" w:cs="Arial"/>
          <w:color w:val="000000"/>
          <w:sz w:val="24"/>
          <w:szCs w:val="24"/>
          <w:lang w:eastAsia="it-IT"/>
        </w:rPr>
        <w:br/>
        <w:t>m) emana istruzioni, direttive ed ordini di servizio ai responsabili apicali, ferma restando la competenza e la responsabilità di questi ultimi nella scelta delle azioni per l'attuazione delle disposizioni; </w:t>
      </w:r>
      <w:r w:rsidR="00DF3CC6" w:rsidRPr="00554893">
        <w:rPr>
          <w:rFonts w:ascii="Arial" w:eastAsia="Times New Roman" w:hAnsi="Arial" w:cs="Arial"/>
          <w:color w:val="000000"/>
          <w:sz w:val="24"/>
          <w:szCs w:val="24"/>
          <w:lang w:eastAsia="it-IT"/>
        </w:rPr>
        <w:br/>
        <w:t>n) esprimere pareri, se richiesto anche per iscritto, in ordine a problemi di natura giuridico - amministrativa; </w:t>
      </w:r>
      <w:r w:rsidR="00DF3CC6" w:rsidRPr="00554893">
        <w:rPr>
          <w:rFonts w:ascii="Arial" w:eastAsia="Times New Roman" w:hAnsi="Arial" w:cs="Arial"/>
          <w:color w:val="000000"/>
          <w:sz w:val="24"/>
          <w:szCs w:val="24"/>
          <w:lang w:eastAsia="it-IT"/>
        </w:rPr>
        <w:br/>
        <w:t>o) in assenza nel Comune di posti di qualifica dirigenziale presiede le commissioni giudicatrici di concorso.</w:t>
      </w:r>
    </w:p>
    <w:p w14:paraId="1D64D33D" w14:textId="77777777" w:rsidR="00DF3CC6" w:rsidRPr="00554893" w:rsidRDefault="00DF3CC6" w:rsidP="0082786C">
      <w:pPr>
        <w:pStyle w:val="NormaleWeb"/>
        <w:shd w:val="clear" w:color="auto" w:fill="FFFFFF"/>
        <w:spacing w:before="0" w:beforeAutospacing="0" w:after="390" w:afterAutospacing="0" w:line="360" w:lineRule="auto"/>
        <w:rPr>
          <w:rFonts w:ascii="Arial" w:hAnsi="Arial" w:cs="Arial"/>
          <w:color w:val="222222"/>
        </w:rPr>
      </w:pPr>
      <w:r w:rsidRPr="00554893">
        <w:rPr>
          <w:rFonts w:ascii="Arial" w:hAnsi="Arial" w:cs="Arial"/>
          <w:color w:val="222222"/>
        </w:rPr>
        <w:t>Il</w:t>
      </w:r>
      <w:r w:rsidRPr="00554893">
        <w:rPr>
          <w:rStyle w:val="apple-converted-space"/>
          <w:rFonts w:ascii="Arial" w:hAnsi="Arial" w:cs="Arial"/>
          <w:b/>
          <w:bCs/>
          <w:color w:val="222222"/>
        </w:rPr>
        <w:t> </w:t>
      </w:r>
      <w:r w:rsidRPr="00554893">
        <w:rPr>
          <w:rStyle w:val="Enfasigrassetto"/>
          <w:rFonts w:ascii="Arial" w:hAnsi="Arial" w:cs="Arial"/>
          <w:color w:val="222222"/>
        </w:rPr>
        <w:t>segretario comunale</w:t>
      </w:r>
      <w:r w:rsidRPr="00554893">
        <w:rPr>
          <w:rFonts w:ascii="Arial" w:hAnsi="Arial" w:cs="Arial"/>
          <w:color w:val="222222"/>
        </w:rPr>
        <w:t xml:space="preserve">, per diventare tale, deve però frequentare un corso a cui si accede per concorso pubblico: dopo il corso, poi, è necessario superare un </w:t>
      </w:r>
      <w:proofErr w:type="gramStart"/>
      <w:r w:rsidRPr="00554893">
        <w:rPr>
          <w:rFonts w:ascii="Arial" w:hAnsi="Arial" w:cs="Arial"/>
          <w:color w:val="222222"/>
        </w:rPr>
        <w:t>esame.Il</w:t>
      </w:r>
      <w:proofErr w:type="gramEnd"/>
      <w:r w:rsidRPr="00554893">
        <w:rPr>
          <w:rFonts w:ascii="Arial" w:hAnsi="Arial" w:cs="Arial"/>
          <w:color w:val="222222"/>
        </w:rPr>
        <w:t xml:space="preserve"> corso è erogato dalla “Scuola superiore per la formazione e la specializzazione dei dirigenti della pubblica amministrazione locale” (Sspal) e dura 9 mesi a cui seguirà un praticantato di 3 mesi (prima erano 18 mesi di corso e 6 mesi di pratica, i tempi sono stati dimezzati recentemente). In questa fase si ha diritto ad una borsa di </w:t>
      </w:r>
      <w:proofErr w:type="gramStart"/>
      <w:r w:rsidRPr="00554893">
        <w:rPr>
          <w:rFonts w:ascii="Arial" w:hAnsi="Arial" w:cs="Arial"/>
          <w:color w:val="222222"/>
        </w:rPr>
        <w:t>studio.Terminata</w:t>
      </w:r>
      <w:proofErr w:type="gramEnd"/>
      <w:r w:rsidRPr="00554893">
        <w:rPr>
          <w:rFonts w:ascii="Arial" w:hAnsi="Arial" w:cs="Arial"/>
          <w:color w:val="222222"/>
        </w:rPr>
        <w:t xml:space="preserve"> questa fase c’è una prova finale con esame. Solo a questo punto è possibile iscriversi ad un apposito albo.</w:t>
      </w:r>
    </w:p>
    <w:p w14:paraId="40089DFE" w14:textId="77777777" w:rsidR="00DF3CC6" w:rsidRPr="00554893" w:rsidRDefault="00DF3CC6" w:rsidP="0082786C">
      <w:pPr>
        <w:pStyle w:val="NormaleWeb"/>
        <w:shd w:val="clear" w:color="auto" w:fill="FFFFFF"/>
        <w:spacing w:before="0" w:beforeAutospacing="0" w:after="390" w:afterAutospacing="0" w:line="360" w:lineRule="auto"/>
        <w:rPr>
          <w:rFonts w:ascii="Arial" w:hAnsi="Arial" w:cs="Arial"/>
          <w:color w:val="222222"/>
        </w:rPr>
      </w:pPr>
      <w:r w:rsidRPr="00554893">
        <w:rPr>
          <w:rFonts w:ascii="Arial" w:hAnsi="Arial" w:cs="Arial"/>
          <w:color w:val="222222"/>
        </w:rPr>
        <w:t>Dopo tutto ciò si sarà abilitati e si verrà assunti su chiamata da parte dei sindaci.</w:t>
      </w:r>
    </w:p>
    <w:p w14:paraId="25A1E7C3" w14:textId="77777777" w:rsidR="00DF3CC6" w:rsidRPr="00554893" w:rsidRDefault="00DF3CC6" w:rsidP="0082786C">
      <w:pPr>
        <w:pStyle w:val="NormaleWeb"/>
        <w:shd w:val="clear" w:color="auto" w:fill="FFFFFF"/>
        <w:spacing w:before="0" w:beforeAutospacing="0" w:after="390" w:afterAutospacing="0" w:line="360" w:lineRule="auto"/>
        <w:rPr>
          <w:rFonts w:ascii="Arial" w:hAnsi="Arial" w:cs="Arial"/>
          <w:color w:val="222222"/>
        </w:rPr>
      </w:pPr>
      <w:proofErr w:type="gramStart"/>
      <w:r w:rsidRPr="00554893">
        <w:rPr>
          <w:rFonts w:ascii="Arial" w:hAnsi="Arial" w:cs="Arial"/>
          <w:color w:val="222222"/>
        </w:rPr>
        <w:t>E’</w:t>
      </w:r>
      <w:proofErr w:type="gramEnd"/>
      <w:r w:rsidRPr="00554893">
        <w:rPr>
          <w:rFonts w:ascii="Arial" w:hAnsi="Arial" w:cs="Arial"/>
          <w:color w:val="222222"/>
        </w:rPr>
        <w:t xml:space="preserve"> un lavoro fiduciario perché generalmente il sindaco, soprattutto nei piccoli comuni, sceglie una persona che conosce e che stima, specie se non è alla prima esperienza. Però il fatto che esista un albo rende la scelta “chiusa”, per cui generalmente essa è limitata a coloro che hanno superato questo difficile iter.</w:t>
      </w:r>
    </w:p>
    <w:p w14:paraId="4F44F4C3" w14:textId="77777777" w:rsidR="00DF3CC6" w:rsidRPr="00554893" w:rsidRDefault="00DF3CC6" w:rsidP="0082786C">
      <w:pPr>
        <w:pStyle w:val="NormaleWeb"/>
        <w:shd w:val="clear" w:color="auto" w:fill="FFFFFF"/>
        <w:spacing w:before="0" w:beforeAutospacing="0" w:after="390" w:afterAutospacing="0" w:line="360" w:lineRule="auto"/>
        <w:rPr>
          <w:rFonts w:ascii="Arial" w:hAnsi="Arial" w:cs="Arial"/>
          <w:color w:val="222222"/>
        </w:rPr>
      </w:pPr>
      <w:r w:rsidRPr="00554893">
        <w:rPr>
          <w:rFonts w:ascii="Arial" w:hAnsi="Arial" w:cs="Arial"/>
          <w:color w:val="222222"/>
        </w:rPr>
        <w:t>Per partecipare al concorso sono richiesti dei precisi requisiti: cittadinanza italiana, godere dei diritti politici, possedere una laurea di quattro o cinque anni nelle materie indicate, e non essere interdetto dai pubblici uffici. L’iter per riuscire a svolgere questa professione è lungo e faticoso, per questo è necessaria una forte forza di volontà e soprattutto una grande passione per la materia.</w:t>
      </w:r>
    </w:p>
    <w:p w14:paraId="236EBD46" w14:textId="77777777" w:rsidR="00495851" w:rsidRPr="00554893" w:rsidRDefault="00495851" w:rsidP="0082786C">
      <w:pPr>
        <w:pStyle w:val="NormaleWeb"/>
        <w:shd w:val="clear" w:color="auto" w:fill="FFFFFF"/>
        <w:spacing w:line="360" w:lineRule="auto"/>
        <w:rPr>
          <w:rFonts w:ascii="Arial" w:hAnsi="Arial" w:cs="Arial"/>
          <w:color w:val="000000"/>
        </w:rPr>
      </w:pPr>
      <w:r w:rsidRPr="00554893">
        <w:rPr>
          <w:rFonts w:ascii="Arial" w:hAnsi="Arial" w:cs="Arial"/>
          <w:color w:val="000000"/>
        </w:rPr>
        <w:t xml:space="preserve">Quando sarà costituito e funzionante il Ruolo dei dirigenti locali, introdotto dal decreto legislativo attuativo della riforma Madia della </w:t>
      </w:r>
      <w:proofErr w:type="gramStart"/>
      <w:r w:rsidRPr="00554893">
        <w:rPr>
          <w:rFonts w:ascii="Arial" w:hAnsi="Arial" w:cs="Arial"/>
          <w:color w:val="000000"/>
        </w:rPr>
        <w:t>dirigenza,  la</w:t>
      </w:r>
      <w:proofErr w:type="gramEnd"/>
      <w:r w:rsidRPr="00554893">
        <w:rPr>
          <w:rFonts w:ascii="Arial" w:hAnsi="Arial" w:cs="Arial"/>
          <w:color w:val="000000"/>
        </w:rPr>
        <w:t xml:space="preserve"> figura del segretario comunale e provinciale sarà abolita, con la conseguenza della soppressione del relativo albo. Al posto del segretario comunale, gli enti locali incaricheranno (come figura obbligatoria) il «dirigente apicale», selezionandolo con le ordinarie procedure per l'incarico dei dirigenti appartenenti ai ruoli.</w:t>
      </w:r>
    </w:p>
    <w:p w14:paraId="6A5FF780" w14:textId="77777777" w:rsidR="00495851" w:rsidRPr="00554893" w:rsidRDefault="00495851" w:rsidP="0082786C">
      <w:pPr>
        <w:pStyle w:val="NormaleWeb"/>
        <w:shd w:val="clear" w:color="auto" w:fill="FFFFFF"/>
        <w:spacing w:line="360" w:lineRule="auto"/>
        <w:rPr>
          <w:rFonts w:ascii="Arial" w:hAnsi="Arial" w:cs="Arial"/>
          <w:color w:val="000000"/>
        </w:rPr>
      </w:pPr>
      <w:r w:rsidRPr="00554893">
        <w:rPr>
          <w:rFonts w:ascii="Arial" w:hAnsi="Arial" w:cs="Arial"/>
          <w:color w:val="000000"/>
        </w:rPr>
        <w:t>Si chiuderà così una storia centenaria di servitori dello stato, dotati di una qualificatissima e specifica competenza nella gestione amministrativa degli enti locali. Alcune delle funzioni tipiche del segretario comunale passeranno «in eredità» al dirigente apicale: i compiti di attuazione dell'indirizzo politico, il coordinamento dell'attività amministrativa e controllo della legalità dell'azione amministrativa. Ma, lo statuto o i regolamenti degli enti locali potranno incaricare il dirigente apicale di svolgere «ogni altra funzione».</w:t>
      </w:r>
    </w:p>
    <w:p w14:paraId="7EA6D7DE" w14:textId="77777777" w:rsidR="00495851" w:rsidRPr="00554893" w:rsidRDefault="00495851" w:rsidP="0082786C">
      <w:pPr>
        <w:pStyle w:val="NormaleWeb"/>
        <w:shd w:val="clear" w:color="auto" w:fill="FFFFFF"/>
        <w:spacing w:line="360" w:lineRule="auto"/>
        <w:rPr>
          <w:rFonts w:ascii="Arial" w:hAnsi="Arial" w:cs="Arial"/>
          <w:color w:val="000000"/>
        </w:rPr>
      </w:pPr>
      <w:r w:rsidRPr="00554893">
        <w:rPr>
          <w:rFonts w:ascii="Arial" w:hAnsi="Arial" w:cs="Arial"/>
          <w:color w:val="000000"/>
        </w:rPr>
        <w:t>Nel Ruolo dei dirigenti locali, una volta istituito, confluiranno i segretari comunali e provinciali già iscritti nell'albo nazionale, e collocati nelle fasce professionali A e B e saranno assunti dalle amministrazioni che conferiscono loro incarichi dirigenziali, nei limiti delle dotazioni organiche. I segretari di fascia C e i vincitori dei concorsi da segretario saranno inseriti in servizio per due anni come funzionari. Gli enti presso i quali nei successivi due anni sarà disponibile un ufficio dirigenziale, potranno chiedere alla Commissione che gestirà il Ruolo unico dei dirigenti locali, la loro, presentando un progetto professionale e formativo di inserimento. Anche i piccoli comuni con popolazione inferiore a 5.000 abitanti, o a 3.000 abitanti se appartengono o sono appartenuti a comunità montane, esclusi i comuni il cui territorio coincide integralmente con quello di una o più isole, e il comune di Campione d'Italia, avranno l'obbligo di dotarsi del dirigente apicale, ma dovranno gestire la funzione in forma associata, mediante una convenzione che stabilisce le modalità di espletamento del servizio, individua le competenze per la nomina e la revoca del dirigente apicale, e determina la ripartizione degli oneri finanziari per la retribuzione.</w:t>
      </w:r>
    </w:p>
    <w:p w14:paraId="61B44ED7" w14:textId="77777777" w:rsidR="00495851" w:rsidRPr="00554893" w:rsidRDefault="00495851" w:rsidP="0082786C">
      <w:pPr>
        <w:pStyle w:val="NormaleWeb"/>
        <w:shd w:val="clear" w:color="auto" w:fill="FFFFFF"/>
        <w:spacing w:line="360" w:lineRule="auto"/>
        <w:rPr>
          <w:rFonts w:ascii="Arial" w:hAnsi="Arial" w:cs="Arial"/>
          <w:color w:val="000000"/>
        </w:rPr>
      </w:pPr>
      <w:r w:rsidRPr="00554893">
        <w:rPr>
          <w:rFonts w:ascii="Arial" w:hAnsi="Arial" w:cs="Arial"/>
          <w:color w:val="000000"/>
        </w:rPr>
        <w:t>Nei grandi comuni con popolazione di almeno 100.000 abitanti e nelle città metropolitane sarà ancora possibile incaricare un direttore generale, in alternativa al dirigente apicale. In questo caso la funzione di controllo della legalità dell'azione amministrativa e la funzione rogante saranno assegnate a un dirigente appartenente a uno dei Ruoli della dirigenza, in possesso dei requisiti prescritti. Da notare che nelle province non sarà più possibile avere direttori generali. Gli incarichi di dirigente apicale cessano laddove non siano rinnovati entro 90 giorni dalla data di insediamento degli organi esecutivi. Dunque, si prevede una forma anomala di rinnovo: i dirigenti apicali potranno essere rinnovati non per due anni, come gli altri dirigenti, ma per un intero mandato amministrativo, senza passare dalle procedure comparative. Per quanto riguarda i segretari comunali che si ritroveranno privi di incarico alla data di entrata in vigore del decreto legislativo attuativo della riforma e che confluiranno nel ruolo unico dei dirigenti degli enti locali, avranno quattro anni di tempo per ottenere un incarico dirigenziale (o di dirigente apicale), decorso il quale senza ottenerne, cessano dal Ruolo della dirigenza, e il loro rapporto di lavoro si risolve.</w:t>
      </w:r>
    </w:p>
    <w:p w14:paraId="5D417D39" w14:textId="77777777" w:rsidR="00495851" w:rsidRPr="00554893" w:rsidRDefault="00495851" w:rsidP="0082786C">
      <w:pPr>
        <w:pStyle w:val="NormaleWeb"/>
        <w:shd w:val="clear" w:color="auto" w:fill="FFFFFF"/>
        <w:spacing w:line="360" w:lineRule="auto"/>
        <w:rPr>
          <w:rFonts w:ascii="Arial" w:hAnsi="Arial" w:cs="Arial"/>
          <w:color w:val="000000"/>
        </w:rPr>
      </w:pPr>
      <w:r w:rsidRPr="00554893">
        <w:rPr>
          <w:rFonts w:ascii="Arial" w:hAnsi="Arial" w:cs="Arial"/>
          <w:color w:val="000000"/>
        </w:rPr>
        <w:t>In ogni caso, in sede di prima applicazione, e per un periodo non superiore a tre anni dalla data di entrata in vigore del decreto attuativo, gli enti locali privi di un direttore generale potranno conferire l'incarico di direzione apicale solo agli ex segretari comunali, senza nuovi o maggiori oneri per la finanza pubblica (il che vuol dire che il trattamento economico per almeno tre anni resterà quello proprio dei segretari comunali). Se l'incarico sarà attribuito a un segretario di fascia C o a un vincitore dei concorsi di accesso alla carriera dei segretari, sarà iscritto nel ruolo dei dirigenti degli enti locali dopo aver ricoperto tale incarico per una durata complessiva non inferiore a diciotto mesi.</w:t>
      </w:r>
    </w:p>
    <w:p w14:paraId="346DDBDC"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DIRETTORE GENERALE</w:t>
      </w:r>
    </w:p>
    <w:p w14:paraId="75984CD4" w14:textId="77777777" w:rsidR="00576D9D" w:rsidRPr="00554893" w:rsidRDefault="00576D9D" w:rsidP="0082786C">
      <w:pPr>
        <w:pStyle w:val="NormaleWeb"/>
        <w:shd w:val="clear" w:color="auto" w:fill="F5FDFE"/>
        <w:spacing w:line="360" w:lineRule="auto"/>
        <w:rPr>
          <w:rFonts w:ascii="Arial" w:hAnsi="Arial" w:cs="Arial"/>
          <w:color w:val="000000"/>
        </w:rPr>
      </w:pPr>
      <w:r w:rsidRPr="00554893">
        <w:rPr>
          <w:rStyle w:val="apple-converted-space"/>
          <w:rFonts w:ascii="Arial" w:hAnsi="Arial" w:cs="Arial"/>
          <w:color w:val="000000"/>
        </w:rPr>
        <w:t>108- </w:t>
      </w:r>
      <w:r w:rsidRPr="00554893">
        <w:rPr>
          <w:rFonts w:ascii="Arial" w:hAnsi="Arial" w:cs="Arial"/>
          <w:color w:val="000000"/>
        </w:rPr>
        <w:t>Il sindaco nei comuni con popolazione superiore ai</w:t>
      </w:r>
      <w:r w:rsidRPr="00554893">
        <w:rPr>
          <w:rStyle w:val="apple-converted-space"/>
          <w:rFonts w:ascii="Arial" w:hAnsi="Arial" w:cs="Arial"/>
          <w:color w:val="000000"/>
        </w:rPr>
        <w:t> </w:t>
      </w:r>
      <w:r w:rsidRPr="00554893">
        <w:rPr>
          <w:rFonts w:ascii="Arial" w:hAnsi="Arial" w:cs="Arial"/>
          <w:i/>
          <w:iCs/>
          <w:color w:val="FF0000"/>
        </w:rPr>
        <w:t xml:space="preserve">100.000 abitanti  </w:t>
      </w:r>
      <w:r w:rsidRPr="00554893">
        <w:rPr>
          <w:rFonts w:ascii="Arial" w:hAnsi="Arial" w:cs="Arial"/>
          <w:color w:val="000000"/>
        </w:rPr>
        <w:t xml:space="preserve">e il presidente della provincia, previa deliberazione della giunta comunale o provinciale, possono nominare un direttore generale, al di fuori della dotazione organica e con contratto a tempo determinato, e secondo criteri stabiliti dal regolamento di organizzazione degli uffici e dei servizi, che provvede ad attuare gli indirizzi e gli obiettivi stabiliti dagli organi di governo dell'ente, secondo le direttive impartite dal sindaco o dal presidente della provincia, e che sovrintende alla gestione dell'ente, perseguendo livelli ottimali di efficacia ed efficienza. Compete in particolare al direttore generale la predisposizione del piano dettagliato di </w:t>
      </w:r>
      <w:proofErr w:type="gramStart"/>
      <w:r w:rsidRPr="00554893">
        <w:rPr>
          <w:rFonts w:ascii="Arial" w:hAnsi="Arial" w:cs="Arial"/>
          <w:color w:val="000000"/>
        </w:rPr>
        <w:t>obiettivi ,</w:t>
      </w:r>
      <w:proofErr w:type="gramEnd"/>
      <w:r w:rsidRPr="00554893">
        <w:rPr>
          <w:rFonts w:ascii="Arial" w:hAnsi="Arial" w:cs="Arial"/>
          <w:color w:val="000000"/>
        </w:rPr>
        <w:t xml:space="preserve"> nonché la proposta di piano esecutivo di gestione previsto dall'articolo 169. A tali fini, al direttore generale rispondono, nell'esercizio delle funzioni loro assegnate, i dirigenti dell'ente, ad eccezione del segretario del comune e della provincia.</w:t>
      </w:r>
    </w:p>
    <w:p w14:paraId="6EC84CE9" w14:textId="77777777" w:rsidR="00576D9D" w:rsidRPr="00554893" w:rsidRDefault="00576D9D" w:rsidP="0082786C">
      <w:pPr>
        <w:pStyle w:val="NormaleWeb"/>
        <w:shd w:val="clear" w:color="auto" w:fill="F5FDFE"/>
        <w:spacing w:line="360" w:lineRule="auto"/>
        <w:rPr>
          <w:rFonts w:ascii="Arial" w:hAnsi="Arial" w:cs="Arial"/>
          <w:color w:val="000000"/>
        </w:rPr>
      </w:pPr>
      <w:r w:rsidRPr="00554893">
        <w:rPr>
          <w:rFonts w:ascii="Arial" w:hAnsi="Arial" w:cs="Arial"/>
          <w:color w:val="000000"/>
        </w:rPr>
        <w:t>Il direttore generale è revocato dal sindaco o dal presidente della provincia, previa deliberazione della giunta comunale o provinciale. La durata dell'incarico non può eccedere quella del mandato del sindaco o del presidente della provincia.</w:t>
      </w:r>
    </w:p>
    <w:p w14:paraId="153B7611" w14:textId="77777777" w:rsidR="00576D9D" w:rsidRPr="00554893" w:rsidRDefault="00576D9D" w:rsidP="0082786C">
      <w:pPr>
        <w:spacing w:line="360" w:lineRule="auto"/>
        <w:rPr>
          <w:rFonts w:ascii="Arial" w:hAnsi="Arial" w:cs="Arial"/>
          <w:sz w:val="24"/>
          <w:szCs w:val="24"/>
        </w:rPr>
      </w:pPr>
    </w:p>
    <w:p w14:paraId="252D218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Direttore Generale provvede ad attuare gli indirizzi e gli obiettivi stabiliti dagli organi di governo dell'ente, secondo le direttive impartite dal Sindaco, e sovrintende alla gestione dell'ente, perseguendo livelli ottimali di efficacia e di efficienza e garantendo l'unitarietà ed il coordinamento complessivo dell'azione amministrativa.</w:t>
      </w:r>
    </w:p>
    <w:p w14:paraId="4F6CDA9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direttore generale sviluppa ogni attività idonea al raggiungimento dei fini sopra esposti, ed in particolare:</w:t>
      </w:r>
    </w:p>
    <w:p w14:paraId="1E0BA25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svolge opera di coordinamento nella traduzione delle linee di indirizzo espresse dagli organi politici in obiettivi, piani e programmi di attività;</w:t>
      </w:r>
    </w:p>
    <w:p w14:paraId="3F5E926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predispone il piano dettagliato degli obiettivi nonché la proposta di piano esecutivo di gestione con la collaborazione dei Coordinatori D'Area e del Responsabile del Servizio Finanziario;</w:t>
      </w:r>
    </w:p>
    <w:p w14:paraId="2A23743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esercita opera d'impulso e supervisione dei progetti di rilevanza strategica per l'ente;</w:t>
      </w:r>
    </w:p>
    <w:p w14:paraId="2D2EA3B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promuove lo sviluppo, l'innovazione e la semplificazione organizzativa dell'attività dell'ente, anche mediante l'individuazione di forme alternative di gestione, secondo gli indirizzi della Amministrazione;</w:t>
      </w:r>
    </w:p>
    <w:p w14:paraId="714CA59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svolge ogni altra attività necessaria per il perseguimento degli obiettivi assegnati, d'intesa con il Sindaco e con gli Assessori, delegati per materia;</w:t>
      </w:r>
    </w:p>
    <w:p w14:paraId="2479451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Sovrintende con la collaborazione dei Dirigenti e nel rispetto delle direttive del Sindaco e degli organi deliberanti, alle attività di programmazione, di pianificazione e di controllo delle Aziende e Società partecipate, in funzione dello sviluppo e valorizzazione delle stesse, dell'efficienza della gestione dei relativi servizi e del soddisfacimento delle esigenze degli utenti.</w:t>
      </w:r>
    </w:p>
    <w:p w14:paraId="5B5CFFF0" w14:textId="77777777" w:rsidR="003B55D9" w:rsidRPr="00554893" w:rsidRDefault="003B55D9" w:rsidP="0082786C">
      <w:pPr>
        <w:spacing w:line="360" w:lineRule="auto"/>
        <w:rPr>
          <w:rFonts w:ascii="Arial" w:hAnsi="Arial" w:cs="Arial"/>
          <w:b/>
          <w:sz w:val="24"/>
          <w:szCs w:val="24"/>
        </w:rPr>
      </w:pPr>
      <w:r w:rsidRPr="00554893">
        <w:rPr>
          <w:rFonts w:ascii="Arial" w:hAnsi="Arial" w:cs="Arial"/>
          <w:b/>
          <w:sz w:val="24"/>
          <w:szCs w:val="24"/>
        </w:rPr>
        <w:t xml:space="preserve">LA DIRIGENZA </w:t>
      </w:r>
    </w:p>
    <w:p w14:paraId="19D37FF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L’art. 107 recepisce la differenza tra poteri di indirizzo e controllo politico amministrativo che spettano agli organi di governo e la gestione amministrativa, finanziarie tecnica attribuita ai dirigenti e da essi esercitati mediante autonomi poteri di </w:t>
      </w:r>
      <w:proofErr w:type="gramStart"/>
      <w:r w:rsidRPr="00554893">
        <w:rPr>
          <w:rFonts w:ascii="Arial" w:hAnsi="Arial" w:cs="Arial"/>
          <w:sz w:val="24"/>
          <w:szCs w:val="24"/>
        </w:rPr>
        <w:t>spesa ,</w:t>
      </w:r>
      <w:proofErr w:type="gramEnd"/>
      <w:r w:rsidRPr="00554893">
        <w:rPr>
          <w:rFonts w:ascii="Arial" w:hAnsi="Arial" w:cs="Arial"/>
          <w:sz w:val="24"/>
          <w:szCs w:val="24"/>
        </w:rPr>
        <w:t xml:space="preserve"> organizzazione delle risorse umane, strumentali e di controllo</w:t>
      </w:r>
    </w:p>
    <w:p w14:paraId="61E00DA6" w14:textId="77777777" w:rsidR="00BA69A3" w:rsidRPr="00554893" w:rsidRDefault="00BA69A3" w:rsidP="0082786C">
      <w:pPr>
        <w:pStyle w:val="conttesto"/>
        <w:shd w:val="clear" w:color="auto" w:fill="FFFFFF"/>
        <w:spacing w:before="0" w:beforeAutospacing="0" w:after="150" w:afterAutospacing="0" w:line="360" w:lineRule="auto"/>
        <w:rPr>
          <w:rFonts w:ascii="Arial" w:hAnsi="Arial" w:cs="Arial"/>
          <w:color w:val="333333"/>
        </w:rPr>
      </w:pPr>
      <w:r w:rsidRPr="00554893">
        <w:rPr>
          <w:rFonts w:ascii="Arial" w:hAnsi="Arial" w:cs="Arial"/>
          <w:color w:val="333333"/>
        </w:rPr>
        <w:t>La disciplina di cui al d.lgs. 165/01 costituisce per la dirigenza locale mera legislazione di principio. Disposizioni in materia sono dettate altresì dal d.lgs 267/00, T.U. in materia di enti locali oltre che dalla contrattazione collettiva.</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 xml:space="preserve">L’art. 107 del </w:t>
      </w:r>
      <w:proofErr w:type="gramStart"/>
      <w:r w:rsidRPr="00554893">
        <w:rPr>
          <w:rFonts w:ascii="Arial" w:hAnsi="Arial" w:cs="Arial"/>
          <w:color w:val="333333"/>
        </w:rPr>
        <w:t>T.U. ,</w:t>
      </w:r>
      <w:proofErr w:type="gramEnd"/>
      <w:r w:rsidRPr="00554893">
        <w:rPr>
          <w:rFonts w:ascii="Arial" w:hAnsi="Arial" w:cs="Arial"/>
          <w:color w:val="333333"/>
        </w:rPr>
        <w:t xml:space="preserve"> introduce in materia il c.d principio di separazione tra politica e gestione, in virtù del quale organi politici e dirigenti vengono a costituire due apparati distinti, ciascuno con le sue competenze, senza possibilità di interferenze. Alla dirigenza compete l’attività di gestione dell’ente, tutti i compiti che comportano l’adozione di atti e provvedimenti con rilevanza esterna, nonché l’attuazione delle direttive e degli obietti individuati dagli organi politici. L’elencazione dei compiti contenuta nel comma 3 dell’art. 107 ha solo valore esemplificativo, spettando in sostanza ai dirigenti la piena titolarità di tutte le funzioni di gestione. Tali attribuzioni possono essere modificate solo da una diversa disposizione di legge.</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 xml:space="preserve">Una deroga al principio di separazione delle funzioni, consente ai comuni con popolazione inferiore a 5000 </w:t>
      </w:r>
      <w:proofErr w:type="gramStart"/>
      <w:r w:rsidRPr="00554893">
        <w:rPr>
          <w:rFonts w:ascii="Arial" w:hAnsi="Arial" w:cs="Arial"/>
          <w:color w:val="333333"/>
        </w:rPr>
        <w:t>abitanti,  competenze</w:t>
      </w:r>
      <w:proofErr w:type="gramEnd"/>
      <w:r w:rsidRPr="00554893">
        <w:rPr>
          <w:rFonts w:ascii="Arial" w:hAnsi="Arial" w:cs="Arial"/>
          <w:color w:val="333333"/>
        </w:rPr>
        <w:t xml:space="preserve"> gestorie agli assessori.</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Per converso, a fronte di tali ampi poteri la norma prevede che i dirigenti siano direttamente responsabili, in via esclusiva, della correttezza amministrativa, della efficienza e dei risultati della gestione.</w:t>
      </w:r>
    </w:p>
    <w:p w14:paraId="6B7895FC" w14:textId="77777777" w:rsidR="00BA69A3" w:rsidRPr="00554893" w:rsidRDefault="00BA69A3" w:rsidP="0082786C">
      <w:pPr>
        <w:pStyle w:val="conttesto"/>
        <w:shd w:val="clear" w:color="auto" w:fill="FFFFFF"/>
        <w:spacing w:before="0" w:beforeAutospacing="0" w:after="150" w:afterAutospacing="0" w:line="360" w:lineRule="auto"/>
        <w:rPr>
          <w:rFonts w:ascii="Arial" w:hAnsi="Arial" w:cs="Arial"/>
          <w:color w:val="333333"/>
        </w:rPr>
      </w:pPr>
      <w:r w:rsidRPr="00554893">
        <w:rPr>
          <w:rFonts w:ascii="Arial" w:hAnsi="Arial" w:cs="Arial"/>
          <w:color w:val="333333"/>
        </w:rPr>
        <w:t>L’art. 50 del T.U. prevede che il sindaco e il presidente della provincia nominano i responsabili degli uffici e dei servizi, attribuiscono e definiscono gli incarichi dirigenziali e quelli di collaborazione esterna secondo le modalità e i criteri stabiliti dagli articoli 109 e 110, nonché dai rispettivi statuti e regolamenti comunali e provinciali</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Ai sensi dell’art. 109 del T.U.E.L, negli enti locali gli incarichi dirigenziali sono conferiti a tempo determinato, con provvedimento motivato e con le modalita' fissate dal regolamento sull'ordinamento degli uffici e dei servizi, secondo criteri di competenza professionale, in relazione agli obiettivi indicati nel programma amministrativo del sindaco o del presidente della provincia. Il provvedimento di nomina ha carattere fiduciario, deve essere motivato ma non è necessaria una preventiva valutazione comparativa.</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Lo stesso art. 109 disciplina poi le modalità di revoca di tali incarichi, prescrivendo che: la revoca può essere disposta in caso di inosservanza delle direttive del sindaco o del presidente della provincia, della giunta o dell'assessore di riferimento, o in caso di mancato raggiungimento al termine di ciascun anno finanziario degli obiettivi assegnati nel piano esecutivo di gestione o per responsabilita' particolarmente grave o reiterata e negli altri casi disciplinati dai contratti collettivi di lavoro. La revoca anticipata rispetto alla scadenza dell’incarico può avvenire solo per motivate ragioni organizzative e produttive.</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L'attribuzione degli incarichi puo' prescindere dalla precedente assegnazione di funzioni di direzione a seguito di concorsi.</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L’accesso alla qualifica dirigenziale può avvenire negli enti locali per concorso ovvero, ai sensi dell’art.110 del d.lgs 267/2000, mediante contratto a tempo determinato, di diritto pubblico o, eccezionalmente e con deliberazione motivata, di diritto privato. In questi casi i contratti non possono avere durata superiore al mandato elettivo del sindaco o del presidente della provincia.</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In particolare, l’art. 110 prevede che gli statuti possano prevedere la copertura dei posti di responsabili di servizi o degli uffici, di qualifiche dirigenziali o di alta specializzazione mediante contratto.</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La disciplina degli enti locali prevede, a differenza della normativa che riguarda le amministrazioni statali, che, nei comuni privi di personale di qualifica dirigenziale le funzioni dirigenziali, possono essere attribuite, a seguito di provvedimento motivato del sindaco, ai responsabili degli uffici o dei servizi, e ciò indipendentemente dalla loro qualifica funzionale, e dunque anche ove la loro qualifica sia inferiore a quella corrispondente alla ex VII, anche in deroga a ogni diversa disposizione.</w:t>
      </w:r>
    </w:p>
    <w:p w14:paraId="0C1EC7FB" w14:textId="77777777" w:rsidR="00BA69A3" w:rsidRPr="00554893" w:rsidRDefault="00BA69A3" w:rsidP="0082786C">
      <w:pPr>
        <w:pStyle w:val="Titolo6"/>
        <w:shd w:val="clear" w:color="auto" w:fill="FFFFFF"/>
        <w:spacing w:before="150" w:after="150" w:line="360" w:lineRule="auto"/>
        <w:rPr>
          <w:rFonts w:ascii="Arial" w:hAnsi="Arial" w:cs="Arial"/>
          <w:color w:val="333333"/>
          <w:sz w:val="24"/>
          <w:szCs w:val="24"/>
        </w:rPr>
      </w:pPr>
      <w:r w:rsidRPr="00554893">
        <w:rPr>
          <w:rFonts w:ascii="Arial" w:hAnsi="Arial" w:cs="Arial"/>
          <w:b/>
          <w:bCs/>
          <w:color w:val="333333"/>
          <w:sz w:val="24"/>
          <w:szCs w:val="24"/>
        </w:rPr>
        <w:t>Posizioni organizzative</w:t>
      </w:r>
    </w:p>
    <w:p w14:paraId="13EA9D29" w14:textId="77777777" w:rsidR="00BA69A3" w:rsidRPr="00554893" w:rsidRDefault="00BA69A3" w:rsidP="0082786C">
      <w:pPr>
        <w:pStyle w:val="conttesto"/>
        <w:shd w:val="clear" w:color="auto" w:fill="FFFFFF"/>
        <w:spacing w:before="0" w:beforeAutospacing="0" w:after="150" w:afterAutospacing="0" w:line="360" w:lineRule="auto"/>
        <w:rPr>
          <w:rFonts w:ascii="Arial" w:hAnsi="Arial" w:cs="Arial"/>
          <w:color w:val="333333"/>
        </w:rPr>
      </w:pPr>
      <w:r w:rsidRPr="00554893">
        <w:rPr>
          <w:rFonts w:ascii="Arial" w:hAnsi="Arial" w:cs="Arial"/>
          <w:color w:val="333333"/>
        </w:rPr>
        <w:t>Il contratto collettivo prevede che gli enti locali possano istituire posizioni di lavoro che richiedono, con assunzione diretta di responsabilità, lo svolgimento di funzioni di direzione di unità organizzative di particolare complessità caratterizzate da elevato grado di autonomia gestionale ed organizzativa.</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Le posizioni organizzative possono essere conferite solo a personale collocato nella categoria D. Nei comuni in cui manca la dirigenza le posizioni organizzative coincidono con i responsabili delle strutture apicali, altrimenti coincidono possono coincidere con i dirigenti. Gli incarichi sono conferiti dal Sindaco per la durata massima corrispondente al mandato dello stesso sindaco e possono essere rinnovato. Il trattamento economico correlato all’incarico è composto da una indennità di posizione ed una di risultato.</w:t>
      </w:r>
      <w:r w:rsidRPr="00554893">
        <w:rPr>
          <w:rStyle w:val="apple-converted-space"/>
          <w:rFonts w:ascii="Arial" w:hAnsi="Arial" w:cs="Arial"/>
          <w:color w:val="333333"/>
        </w:rPr>
        <w:t> </w:t>
      </w:r>
      <w:r w:rsidRPr="00554893">
        <w:rPr>
          <w:rFonts w:ascii="Arial" w:hAnsi="Arial" w:cs="Arial"/>
          <w:color w:val="333333"/>
        </w:rPr>
        <w:br/>
      </w:r>
      <w:r w:rsidRPr="00554893">
        <w:rPr>
          <w:rFonts w:ascii="Arial" w:hAnsi="Arial" w:cs="Arial"/>
          <w:color w:val="333333"/>
        </w:rPr>
        <w:br/>
        <w:t>Il giudice ordinario può valutare la legittimità del provvedimento di conferimento o revoca e può adottare tutti i provvedimenti necessari alla tutela della posizione fatta valere con il ricorso e dunque anche provvedimenti di condanna; può altresì sostituirsi alla stessa amministrazione, ad esempio, ove occorra conferendo l’incarico cui il ricorrente legittimamente aspira.</w:t>
      </w:r>
    </w:p>
    <w:p w14:paraId="64A46EC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PARTECIPAZIONE POPOLARE</w:t>
      </w:r>
    </w:p>
    <w:p w14:paraId="133AE592" w14:textId="77777777" w:rsidR="003B55D9" w:rsidRPr="00554893" w:rsidRDefault="003B55D9" w:rsidP="0082786C">
      <w:pPr>
        <w:spacing w:line="360" w:lineRule="auto"/>
        <w:rPr>
          <w:rFonts w:ascii="Arial" w:hAnsi="Arial" w:cs="Arial"/>
          <w:sz w:val="24"/>
          <w:szCs w:val="24"/>
        </w:rPr>
      </w:pPr>
    </w:p>
    <w:p w14:paraId="5585CFA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 comuni valorizzano le libere forme </w:t>
      </w:r>
      <w:proofErr w:type="gramStart"/>
      <w:r w:rsidRPr="00554893">
        <w:rPr>
          <w:rFonts w:ascii="Arial" w:hAnsi="Arial" w:cs="Arial"/>
          <w:sz w:val="24"/>
          <w:szCs w:val="24"/>
        </w:rPr>
        <w:t>associative ,</w:t>
      </w:r>
      <w:proofErr w:type="gramEnd"/>
      <w:r w:rsidRPr="00554893">
        <w:rPr>
          <w:rFonts w:ascii="Arial" w:hAnsi="Arial" w:cs="Arial"/>
          <w:sz w:val="24"/>
          <w:szCs w:val="24"/>
        </w:rPr>
        <w:t xml:space="preserve"> promuovendo organismi di partecipazione popolare all’amministrazione locale. Queste forme associative, e i loro rapporti con il comune sono previste dallo statuto</w:t>
      </w:r>
    </w:p>
    <w:p w14:paraId="097B392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Nello statuto devono esser inoltre previste forme di consultazione della </w:t>
      </w:r>
      <w:proofErr w:type="gramStart"/>
      <w:r w:rsidRPr="00554893">
        <w:rPr>
          <w:rFonts w:ascii="Arial" w:hAnsi="Arial" w:cs="Arial"/>
          <w:sz w:val="24"/>
          <w:szCs w:val="24"/>
        </w:rPr>
        <w:t>popolazione ,</w:t>
      </w:r>
      <w:proofErr w:type="gramEnd"/>
      <w:r w:rsidRPr="00554893">
        <w:rPr>
          <w:rFonts w:ascii="Arial" w:hAnsi="Arial" w:cs="Arial"/>
          <w:sz w:val="24"/>
          <w:szCs w:val="24"/>
        </w:rPr>
        <w:t xml:space="preserve"> l’ammissione delle istanze, delle petizioni e proposte dei cittadini singoli e associati. Possono esser inoltre previsti referendum che riguardano esclusivamente materie di competenza locale che non potranno comunque svolgersi in coincidenza con operazioni elettorali provinciali, comunali e circoscrizionali.</w:t>
      </w:r>
    </w:p>
    <w:p w14:paraId="574CECC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Ciascun elettore può far valere in giudizio le azioni e i ricorsi che spettano al comune.</w:t>
      </w:r>
    </w:p>
    <w:p w14:paraId="3D23828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Tutti gli atti dell’amministrazione sono pubblici ad eccezione di quelli riservati dalla legge o per effetto di una dichiarazione temporanea a motivata del Sindaco che ne vieta l’esibizione, perché la diffusione di questi atti può pregiudicare il diritto alla riservatezza di gruppi delle persone, delle imprese.</w:t>
      </w:r>
    </w:p>
    <w:p w14:paraId="16543E4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diritto d’accesso è </w:t>
      </w:r>
      <w:proofErr w:type="gramStart"/>
      <w:r w:rsidRPr="00554893">
        <w:rPr>
          <w:rFonts w:ascii="Arial" w:hAnsi="Arial" w:cs="Arial"/>
          <w:sz w:val="24"/>
          <w:szCs w:val="24"/>
        </w:rPr>
        <w:t>disciplinato ,</w:t>
      </w:r>
      <w:proofErr w:type="gramEnd"/>
      <w:r w:rsidRPr="00554893">
        <w:rPr>
          <w:rFonts w:ascii="Arial" w:hAnsi="Arial" w:cs="Arial"/>
          <w:sz w:val="24"/>
          <w:szCs w:val="24"/>
        </w:rPr>
        <w:t xml:space="preserve"> per quanto riguarda i procedimenti comunali, nel regolamento nel quale sono stabiliti:</w:t>
      </w:r>
    </w:p>
    <w:p w14:paraId="38E6089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Rilascio di copie</w:t>
      </w:r>
    </w:p>
    <w:p w14:paraId="6BE3E6F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Organizzazione uffici e servizi</w:t>
      </w:r>
    </w:p>
    <w:p w14:paraId="21214DD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3</w:t>
      </w:r>
      <w:r w:rsidRPr="00554893">
        <w:rPr>
          <w:rFonts w:ascii="Arial" w:hAnsi="Arial" w:cs="Arial"/>
          <w:sz w:val="24"/>
          <w:szCs w:val="24"/>
        </w:rPr>
        <w:tab/>
        <w:t>Responsabili dei procedimenti</w:t>
      </w:r>
    </w:p>
    <w:p w14:paraId="15B48B3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4</w:t>
      </w:r>
      <w:r w:rsidRPr="00554893">
        <w:rPr>
          <w:rFonts w:ascii="Arial" w:hAnsi="Arial" w:cs="Arial"/>
          <w:sz w:val="24"/>
          <w:szCs w:val="24"/>
        </w:rPr>
        <w:tab/>
        <w:t>Norme per assicurare ai cittadini l’informazione sullo stato degli atti e delle procedure e sull’ordine di esame delle domande</w:t>
      </w:r>
    </w:p>
    <w:p w14:paraId="4A4DDA2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5</w:t>
      </w:r>
      <w:r w:rsidRPr="00554893">
        <w:rPr>
          <w:rFonts w:ascii="Arial" w:hAnsi="Arial" w:cs="Arial"/>
          <w:sz w:val="24"/>
          <w:szCs w:val="24"/>
        </w:rPr>
        <w:tab/>
        <w:t>Assicura il diritto di acceder alle informazioni di cui è in possesso l’amministrazione</w:t>
      </w:r>
    </w:p>
    <w:p w14:paraId="27B7F3B3" w14:textId="77777777" w:rsidR="003B55D9" w:rsidRPr="00554893" w:rsidRDefault="003B55D9" w:rsidP="0082786C">
      <w:pPr>
        <w:spacing w:line="360" w:lineRule="auto"/>
        <w:rPr>
          <w:rFonts w:ascii="Arial" w:hAnsi="Arial" w:cs="Arial"/>
          <w:sz w:val="24"/>
          <w:szCs w:val="24"/>
        </w:rPr>
      </w:pPr>
    </w:p>
    <w:p w14:paraId="570CDD7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ISTITUTI DI PARTECIPAZIONE</w:t>
      </w:r>
    </w:p>
    <w:p w14:paraId="2398E3F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Gli istituti di partecipazione alla vita amministrativa degli enti locali sono previsti dagli art. 8-11 del TUEL, in attuazione dei principi di trasparenza e partecipazione previsti dalla legge 241 del 1990e dal d.lgs. 165/2001 che ha istituito l'URP</w:t>
      </w:r>
    </w:p>
    <w:p w14:paraId="3B6F3ED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FORME ASSOCIATIVE</w:t>
      </w:r>
    </w:p>
    <w:p w14:paraId="35CBC24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L'art. 8 prevede che i Comuni, attraverso lo statuto valorizzano le libere forme associative, promuovendo organismi di partecipazione all'amministrazione locale. l'art. 8 al secondo comma rimanda allo statuto il compito di determinare le forme di partecipazione degli interessati ai procedimenti amministrativi in cui sono adottati atti amministrativi, quando questi determinano effetti sulla loro situazione giuridico-soggettiva.</w:t>
      </w:r>
    </w:p>
    <w:p w14:paraId="64EA2D9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Lo statuto deve prevedere </w:t>
      </w:r>
      <w:proofErr w:type="gramStart"/>
      <w:r w:rsidRPr="00554893">
        <w:rPr>
          <w:rFonts w:ascii="Arial" w:hAnsi="Arial" w:cs="Arial"/>
          <w:sz w:val="24"/>
          <w:szCs w:val="24"/>
        </w:rPr>
        <w:t>obbligatoriamente :</w:t>
      </w:r>
      <w:proofErr w:type="gramEnd"/>
    </w:p>
    <w:p w14:paraId="06E49C8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forme di consultazione della popolazione (rientrano in questa categoria, i sondaggi sul gradimento di servizi, proposte e provvedimenti illustrati)</w:t>
      </w:r>
    </w:p>
    <w:p w14:paraId="0B54CAB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procedura affinché le istanze, petizioni, proposte dei cittadini e delle eventuali associazioni siano ammesse.</w:t>
      </w:r>
    </w:p>
    <w:p w14:paraId="4EF2B89C" w14:textId="77777777" w:rsidR="003B55D9" w:rsidRPr="00554893" w:rsidRDefault="003B55D9" w:rsidP="0082786C">
      <w:pPr>
        <w:spacing w:line="360" w:lineRule="auto"/>
        <w:rPr>
          <w:rFonts w:ascii="Arial" w:hAnsi="Arial" w:cs="Arial"/>
          <w:sz w:val="24"/>
          <w:szCs w:val="24"/>
        </w:rPr>
      </w:pPr>
    </w:p>
    <w:p w14:paraId="50A10D7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REFERENDUM</w:t>
      </w:r>
    </w:p>
    <w:p w14:paraId="4D8F65E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Una tipica forma di partecipazione alla vita amministrativa del comune o altro ente locale è il referendum, la cui disciplina deve trovare riferimento direttamente nello </w:t>
      </w:r>
      <w:proofErr w:type="gramStart"/>
      <w:r w:rsidRPr="00554893">
        <w:rPr>
          <w:rFonts w:ascii="Arial" w:hAnsi="Arial" w:cs="Arial"/>
          <w:sz w:val="24"/>
          <w:szCs w:val="24"/>
        </w:rPr>
        <w:t>statuto :</w:t>
      </w:r>
      <w:proofErr w:type="gramEnd"/>
    </w:p>
    <w:p w14:paraId="1146160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referendum consultivo</w:t>
      </w:r>
    </w:p>
    <w:p w14:paraId="48C8F29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 xml:space="preserve">referendum abrogativo: trova la sua disciplina nello </w:t>
      </w:r>
      <w:proofErr w:type="gramStart"/>
      <w:r w:rsidRPr="00554893">
        <w:rPr>
          <w:rFonts w:ascii="Arial" w:hAnsi="Arial" w:cs="Arial"/>
          <w:sz w:val="24"/>
          <w:szCs w:val="24"/>
        </w:rPr>
        <w:t>statuto</w:t>
      </w:r>
      <w:proofErr w:type="gramEnd"/>
      <w:r w:rsidRPr="00554893">
        <w:rPr>
          <w:rFonts w:ascii="Arial" w:hAnsi="Arial" w:cs="Arial"/>
          <w:sz w:val="24"/>
          <w:szCs w:val="24"/>
        </w:rPr>
        <w:t xml:space="preserve"> il quale prevede materie escluse da tale forma referendaria quali ill bilancio, regolamenti in materia tributaria ecc. occorre soffermarsi sul fatto che possono esser abrogati soltanto gli atti che hanno carattere generale, cioè rivolti all'intera comunità amministrata.</w:t>
      </w:r>
    </w:p>
    <w:p w14:paraId="600EC2E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referendum propositivo: in questo caso è ammessa la possibilità di approvare e introdurre nuove norme mediante una consultazione che attribuisce agli elettori il potere di pronunciarsi su una determinata proposta avanzata dallo stesso corpo elettorale approvarla con efficacia esecutiva.</w:t>
      </w:r>
    </w:p>
    <w:p w14:paraId="3158C98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 xml:space="preserve">referendum di indirizzo: è una forma di partecipazione popolare con </w:t>
      </w:r>
      <w:proofErr w:type="gramStart"/>
      <w:r w:rsidRPr="00554893">
        <w:rPr>
          <w:rFonts w:ascii="Arial" w:hAnsi="Arial" w:cs="Arial"/>
          <w:sz w:val="24"/>
          <w:szCs w:val="24"/>
        </w:rPr>
        <w:t>cui  legittima</w:t>
      </w:r>
      <w:proofErr w:type="gramEnd"/>
      <w:r w:rsidRPr="00554893">
        <w:rPr>
          <w:rFonts w:ascii="Arial" w:hAnsi="Arial" w:cs="Arial"/>
          <w:sz w:val="24"/>
          <w:szCs w:val="24"/>
        </w:rPr>
        <w:t xml:space="preserve"> un determinato indirizzo da seguire: Es. nell'89 si chiese attraverso questa forma di partecipazione se i cittadini erano favorevoli o meno a prendere parte al processo di integrazione europea.</w:t>
      </w:r>
    </w:p>
    <w:p w14:paraId="3638FCB1" w14:textId="77777777" w:rsidR="003B55D9" w:rsidRPr="00554893" w:rsidRDefault="003B55D9" w:rsidP="0082786C">
      <w:pPr>
        <w:spacing w:line="360" w:lineRule="auto"/>
        <w:rPr>
          <w:rFonts w:ascii="Arial" w:hAnsi="Arial" w:cs="Arial"/>
          <w:sz w:val="24"/>
          <w:szCs w:val="24"/>
        </w:rPr>
      </w:pPr>
    </w:p>
    <w:p w14:paraId="4342DD4E" w14:textId="77777777" w:rsidR="003B55D9" w:rsidRPr="00554893" w:rsidRDefault="003B55D9"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essenziale ricordare che il TUEL non dispone l'obbligatorietà' delle consultazioni referendarie, lasciandone quindi la facoltà ad ogni singolo ente locale di disciplinarne e prevederne o meno il contenuto direttamente mediante lo Statuto.</w:t>
      </w:r>
    </w:p>
    <w:p w14:paraId="7730CC5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Lo statuto inoltre deve prevedere forme di partecipazione alla vita popolare non solo ai residenti, ma anche ai cittadini europei e a tutti gli stranieri regolarmente soggiornanti.</w:t>
      </w:r>
    </w:p>
    <w:p w14:paraId="261CA2C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AZIONE POPOLARE</w:t>
      </w:r>
    </w:p>
    <w:p w14:paraId="339DF03B"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L'azione popolare comporta una sostituzione </w:t>
      </w:r>
      <w:proofErr w:type="gramStart"/>
      <w:r w:rsidRPr="00554893">
        <w:rPr>
          <w:rFonts w:ascii="Arial" w:hAnsi="Arial" w:cs="Arial"/>
          <w:sz w:val="24"/>
          <w:szCs w:val="24"/>
        </w:rPr>
        <w:t>processuale ,</w:t>
      </w:r>
      <w:proofErr w:type="gramEnd"/>
      <w:r w:rsidRPr="00554893">
        <w:rPr>
          <w:rFonts w:ascii="Arial" w:hAnsi="Arial" w:cs="Arial"/>
          <w:sz w:val="24"/>
          <w:szCs w:val="24"/>
        </w:rPr>
        <w:t xml:space="preserve"> per effetto della quale un elettore o gruppo di lettori si sostituisce al Comune, assumendo l'iniziativa di agire in giudizio, che altrimenti spetterebbe all'ente.</w:t>
      </w:r>
    </w:p>
    <w:p w14:paraId="4D15E0E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l'art. 9 prevede che l'ente non può rimanerne indifferente, e il giudice in merito ordina l'integrazione del contraddittorio nei confronti dell'ente </w:t>
      </w:r>
      <w:proofErr w:type="gramStart"/>
      <w:r w:rsidRPr="00554893">
        <w:rPr>
          <w:rFonts w:ascii="Arial" w:hAnsi="Arial" w:cs="Arial"/>
          <w:sz w:val="24"/>
          <w:szCs w:val="24"/>
        </w:rPr>
        <w:t>locale ,</w:t>
      </w:r>
      <w:proofErr w:type="gramEnd"/>
      <w:r w:rsidRPr="00554893">
        <w:rPr>
          <w:rFonts w:ascii="Arial" w:hAnsi="Arial" w:cs="Arial"/>
          <w:sz w:val="24"/>
          <w:szCs w:val="24"/>
        </w:rPr>
        <w:t xml:space="preserve"> che quindi entra a far parte del procedimento che è stato in precedenza aperto dal cittadino. il rischio delle spese si trasferisce all'ente, quando costituitosi in giudizio ha aderito alle azioni o ai ricorsi promossi dall'elettore.</w:t>
      </w:r>
    </w:p>
    <w:p w14:paraId="5B61ACB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in materia di tutela ambientale la disciplina è differente riguardo alle azioni popolari: in questo caso l'azione è proposta dalle associazioni ambientali e l'eventuale risarcimento del </w:t>
      </w:r>
      <w:proofErr w:type="gramStart"/>
      <w:r w:rsidRPr="00554893">
        <w:rPr>
          <w:rFonts w:ascii="Arial" w:hAnsi="Arial" w:cs="Arial"/>
          <w:sz w:val="24"/>
          <w:szCs w:val="24"/>
        </w:rPr>
        <w:t>danno ,</w:t>
      </w:r>
      <w:proofErr w:type="gramEnd"/>
      <w:r w:rsidRPr="00554893">
        <w:rPr>
          <w:rFonts w:ascii="Arial" w:hAnsi="Arial" w:cs="Arial"/>
          <w:sz w:val="24"/>
          <w:szCs w:val="24"/>
        </w:rPr>
        <w:t xml:space="preserve"> a cui eventualmente è condannato l'autore del danno ambientale, è liquidato in favore della provinciale le spese sono liquidate in favore delle associazioni proponenti. (quest'ultime per subiscono l'onere delle spese in caso di esito sfavorevole)</w:t>
      </w:r>
    </w:p>
    <w:p w14:paraId="4D2D096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DIRITTO ACCESSO</w:t>
      </w:r>
    </w:p>
    <w:p w14:paraId="53CDC0F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In materia di diritto d'accesso agli atti si rimanda a quello detto precedentemente, aggiungendo però che nello statuto si trovano norme specifiche che disciplinano l'istituto in maniera dettagliata. </w:t>
      </w:r>
    </w:p>
    <w:p w14:paraId="17702E0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c'è da notare che la disciplina prevista dalla legge 241/1990 è più rigida rispetto a quella prevista dall'art. 10 </w:t>
      </w:r>
      <w:proofErr w:type="gramStart"/>
      <w:r w:rsidRPr="00554893">
        <w:rPr>
          <w:rFonts w:ascii="Arial" w:hAnsi="Arial" w:cs="Arial"/>
          <w:sz w:val="24"/>
          <w:szCs w:val="24"/>
        </w:rPr>
        <w:t>TUEL ,in</w:t>
      </w:r>
      <w:proofErr w:type="gramEnd"/>
      <w:r w:rsidRPr="00554893">
        <w:rPr>
          <w:rFonts w:ascii="Arial" w:hAnsi="Arial" w:cs="Arial"/>
          <w:sz w:val="24"/>
          <w:szCs w:val="24"/>
        </w:rPr>
        <w:t xml:space="preserve"> quanto quest'ultimo non richiede per l'esercizio del diritto la sussistenza di una posizione soggettiva particolarmente qualificata; in sostanza qualsiasi cittadino può accedere agli atti del Comune e della Provincia. </w:t>
      </w:r>
    </w:p>
    <w:p w14:paraId="45A19C47" w14:textId="77777777" w:rsidR="003B55D9" w:rsidRPr="00554893" w:rsidRDefault="003B55D9" w:rsidP="0082786C">
      <w:pPr>
        <w:spacing w:line="360" w:lineRule="auto"/>
        <w:rPr>
          <w:rFonts w:ascii="Arial" w:hAnsi="Arial" w:cs="Arial"/>
          <w:sz w:val="24"/>
          <w:szCs w:val="24"/>
        </w:rPr>
      </w:pPr>
    </w:p>
    <w:p w14:paraId="63F5274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FORME DI DECENTRAMENTO E ASSOCIATIVE</w:t>
      </w:r>
    </w:p>
    <w:p w14:paraId="4EF1E18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SONO ENTI </w:t>
      </w:r>
      <w:proofErr w:type="gramStart"/>
      <w:r w:rsidRPr="00554893">
        <w:rPr>
          <w:rFonts w:ascii="Arial" w:hAnsi="Arial" w:cs="Arial"/>
          <w:sz w:val="24"/>
          <w:szCs w:val="24"/>
        </w:rPr>
        <w:t>LOCALI:COMUNI</w:t>
      </w:r>
      <w:proofErr w:type="gramEnd"/>
      <w:r w:rsidRPr="00554893">
        <w:rPr>
          <w:rFonts w:ascii="Arial" w:hAnsi="Arial" w:cs="Arial"/>
          <w:sz w:val="24"/>
          <w:szCs w:val="24"/>
        </w:rPr>
        <w:t>, PROVINCE, CITTA' METROPOLITANE, COMUNITA' MONTANE, COMUNITA' ISOLANE, UNIONE DI COMUNI</w:t>
      </w:r>
    </w:p>
    <w:p w14:paraId="3066047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SONO ENTI LOCALI A RILEVANZA </w:t>
      </w:r>
      <w:proofErr w:type="gramStart"/>
      <w:r w:rsidRPr="00554893">
        <w:rPr>
          <w:rFonts w:ascii="Arial" w:hAnsi="Arial" w:cs="Arial"/>
          <w:sz w:val="24"/>
          <w:szCs w:val="24"/>
        </w:rPr>
        <w:t>COSTITUZIONALE:COMUNI</w:t>
      </w:r>
      <w:proofErr w:type="gramEnd"/>
      <w:r w:rsidRPr="00554893">
        <w:rPr>
          <w:rFonts w:ascii="Arial" w:hAnsi="Arial" w:cs="Arial"/>
          <w:sz w:val="24"/>
          <w:szCs w:val="24"/>
        </w:rPr>
        <w:t>, PROVINCE, CITTA' METROPOLITANE</w:t>
      </w:r>
    </w:p>
    <w:p w14:paraId="54C5E57A"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MUNICIPI: creati appositamente per far mantenere l'identità dei Comuni soppressi, derivanti dall'unione di </w:t>
      </w:r>
      <w:proofErr w:type="gramStart"/>
      <w:r w:rsidRPr="00554893">
        <w:rPr>
          <w:rFonts w:ascii="Arial" w:hAnsi="Arial" w:cs="Arial"/>
          <w:sz w:val="24"/>
          <w:szCs w:val="24"/>
        </w:rPr>
        <w:t>comuni,permette</w:t>
      </w:r>
      <w:proofErr w:type="gramEnd"/>
      <w:r w:rsidRPr="00554893">
        <w:rPr>
          <w:rFonts w:ascii="Arial" w:hAnsi="Arial" w:cs="Arial"/>
          <w:sz w:val="24"/>
          <w:szCs w:val="24"/>
        </w:rPr>
        <w:t xml:space="preserve"> di conservare all'interno del nuovo comune costituitosi, la precedente importanza in merito all'erogazione di servizi di base .Nei comuni istituiti mediante fusione di due o più comuni contigui lo statuto comunale può prevedere l'istituzione di municipi nei territori delle comunità di origine o di alcune di esse. Lo statuto e il regolamento disciplinano l'organizzazione e le funzioni dei municipi, potendo prevedere anche organi eletti a suffragio universale diretto. Si applicano agli amministratori dei municipi le norme previste per gli amministratori dei comuni con pari popolazione. Il legislatore lascia quindi un'ampia possibilità di scelta agli amministratori comunali.</w:t>
      </w:r>
    </w:p>
    <w:p w14:paraId="47016584" w14:textId="77777777" w:rsidR="008F2E86" w:rsidRPr="00554893" w:rsidRDefault="008F2E86" w:rsidP="0082786C">
      <w:pPr>
        <w:spacing w:line="360" w:lineRule="auto"/>
        <w:rPr>
          <w:rFonts w:ascii="Arial" w:hAnsi="Arial" w:cs="Arial"/>
          <w:sz w:val="24"/>
          <w:szCs w:val="24"/>
        </w:rPr>
      </w:pPr>
    </w:p>
    <w:p w14:paraId="1BA05DE2" w14:textId="77777777" w:rsidR="008F2E86" w:rsidRPr="00554893" w:rsidRDefault="008F2E86" w:rsidP="0082786C">
      <w:pPr>
        <w:spacing w:line="360" w:lineRule="auto"/>
        <w:rPr>
          <w:rFonts w:ascii="Arial" w:hAnsi="Arial" w:cs="Arial"/>
          <w:sz w:val="24"/>
          <w:szCs w:val="24"/>
        </w:rPr>
      </w:pPr>
    </w:p>
    <w:p w14:paraId="723E7446" w14:textId="77777777" w:rsidR="008F2E86" w:rsidRPr="00554893" w:rsidRDefault="008F2E86" w:rsidP="0082786C">
      <w:pPr>
        <w:spacing w:line="360" w:lineRule="auto"/>
        <w:rPr>
          <w:rFonts w:ascii="Arial" w:hAnsi="Arial" w:cs="Arial"/>
          <w:sz w:val="24"/>
          <w:szCs w:val="24"/>
        </w:rPr>
      </w:pPr>
      <w:r w:rsidRPr="00554893">
        <w:rPr>
          <w:rFonts w:ascii="Arial" w:hAnsi="Arial" w:cs="Arial"/>
          <w:sz w:val="24"/>
          <w:szCs w:val="24"/>
        </w:rPr>
        <w:t>CIRCOSCRIZIONI</w:t>
      </w:r>
    </w:p>
    <w:p w14:paraId="60FFA514"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La </w:t>
      </w:r>
      <w:r w:rsidRPr="00554893">
        <w:rPr>
          <w:rFonts w:ascii="Arial" w:hAnsi="Arial" w:cs="Arial"/>
          <w:b/>
          <w:bCs/>
          <w:color w:val="222222"/>
        </w:rPr>
        <w:t xml:space="preserve">circoscrizione di decentramento </w:t>
      </w:r>
      <w:r w:rsidRPr="00554893">
        <w:rPr>
          <w:rFonts w:ascii="Arial" w:hAnsi="Arial" w:cs="Arial"/>
          <w:color w:val="222222"/>
        </w:rPr>
        <w:t>è, un organismo di partecipazione, consultazione e gestione dei servizi di base, nonché di esercizio di funzioni delegate, istituito dal comune con competenza su di una parte del suo territorio comprendente uno o più quartieri o frazioni contigui.</w:t>
      </w:r>
    </w:p>
    <w:p w14:paraId="4A6CCFA6"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000000"/>
        </w:rPr>
      </w:pPr>
      <w:r w:rsidRPr="00554893">
        <w:rPr>
          <w:rFonts w:ascii="Arial" w:hAnsi="Arial" w:cs="Arial"/>
          <w:color w:val="222222"/>
        </w:rPr>
        <w:t>Alcuni statuti hanno denominato diversamente tali organismi che, ad esempio, prendono il nome di </w:t>
      </w:r>
      <w:r w:rsidRPr="00554893">
        <w:rPr>
          <w:rFonts w:ascii="Arial" w:hAnsi="Arial" w:cs="Arial"/>
          <w:i/>
          <w:iCs/>
          <w:color w:val="222222"/>
        </w:rPr>
        <w:t>municipi</w:t>
      </w:r>
      <w:r w:rsidRPr="00554893">
        <w:rPr>
          <w:rFonts w:ascii="Arial" w:hAnsi="Arial" w:cs="Arial"/>
          <w:color w:val="222222"/>
        </w:rPr>
        <w:t> a Roma di </w:t>
      </w:r>
      <w:r w:rsidRPr="00554893">
        <w:rPr>
          <w:rFonts w:ascii="Arial" w:hAnsi="Arial" w:cs="Arial"/>
          <w:i/>
          <w:iCs/>
          <w:color w:val="222222"/>
        </w:rPr>
        <w:t>municipalità</w:t>
      </w:r>
      <w:r w:rsidRPr="00554893">
        <w:rPr>
          <w:rFonts w:ascii="Arial" w:hAnsi="Arial" w:cs="Arial"/>
          <w:color w:val="222222"/>
        </w:rPr>
        <w:t> a Napoli e di </w:t>
      </w:r>
      <w:r w:rsidRPr="00554893">
        <w:rPr>
          <w:rFonts w:ascii="Arial" w:hAnsi="Arial" w:cs="Arial"/>
          <w:i/>
          <w:iCs/>
          <w:color w:val="222222"/>
        </w:rPr>
        <w:t>quartieri</w:t>
      </w:r>
      <w:r w:rsidRPr="00554893">
        <w:rPr>
          <w:rFonts w:ascii="Arial" w:hAnsi="Arial" w:cs="Arial"/>
          <w:color w:val="222222"/>
        </w:rPr>
        <w:t xml:space="preserve"> a Firenze </w:t>
      </w:r>
    </w:p>
    <w:p w14:paraId="4B66F5E9"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Le circoscrizioni comunali non sono enti locali, in quanto prive di personalità giuridica, ma organi di decentramento del comune, seppur complessi e dotati di autonomia (e, quindi, di una certa soggettività giuridica, se si tiene questo concetto distinto dalla personalità).</w:t>
      </w:r>
    </w:p>
    <w:p w14:paraId="47F4C6FB"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Le circoscrizioni devono essere istituite dai comuni con popolazione superiore a 250.000 abitanti, sempre che la popolazione media delle circoscrizioni non sia inferiore a 30.000 abitanti.</w:t>
      </w:r>
      <w:hyperlink r:id="rId6" w:anchor="cite_note-2" w:history="1">
        <w:r w:rsidRPr="00554893">
          <w:rPr>
            <w:rStyle w:val="Collegamentoipertestuale"/>
            <w:rFonts w:ascii="Arial" w:hAnsi="Arial" w:cs="Arial"/>
            <w:color w:val="0B0080"/>
            <w:vertAlign w:val="superscript"/>
          </w:rPr>
          <w:t>[2]</w:t>
        </w:r>
      </w:hyperlink>
      <w:r w:rsidRPr="00554893">
        <w:rPr>
          <w:rFonts w:ascii="Arial" w:hAnsi="Arial" w:cs="Arial"/>
          <w:color w:val="222222"/>
        </w:rPr>
        <w:br/>
        <w:t>Nei comuni con popolazione superiore a 300.000 abitanti lo statuto può prevedere particolari e più accentuate forme di decentramento di funzioni e di autonomia organizzativa e funzionale, determinando altresì gli organi, lo status dei componenti e le modalità di elezione, nomina o designazione.</w:t>
      </w:r>
    </w:p>
    <w:p w14:paraId="14827523"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Va notato che, mentre la legge 8 aprile 1976, n. 278 conteneva una disciplina dettagliata delle circoscrizioni, la legge 142/1990 e il D.lgs. 267/2000 si limitano ai principi, demandando allo statuto comunale e ad apposito regolamento comunale la disciplina circa l'organizzazione e le funzioni delle circoscrizioni.</w:t>
      </w:r>
    </w:p>
    <w:p w14:paraId="6BD46D0B"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La legge 278/1976 prevedeva quali organi della circoscrizione:</w:t>
      </w:r>
    </w:p>
    <w:p w14:paraId="4F683B14" w14:textId="77777777" w:rsidR="008F2E86" w:rsidRPr="00554893" w:rsidRDefault="008F2E86">
      <w:pPr>
        <w:numPr>
          <w:ilvl w:val="0"/>
          <w:numId w:val="10"/>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consiglio di circoscrizion;</w:t>
      </w:r>
    </w:p>
    <w:p w14:paraId="6CAF404F" w14:textId="77777777" w:rsidR="008F2E86" w:rsidRPr="00554893" w:rsidRDefault="008F2E86">
      <w:pPr>
        <w:numPr>
          <w:ilvl w:val="0"/>
          <w:numId w:val="10"/>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il </w:t>
      </w:r>
      <w:r w:rsidRPr="00554893">
        <w:rPr>
          <w:rFonts w:ascii="Arial" w:hAnsi="Arial" w:cs="Arial"/>
          <w:i/>
          <w:iCs/>
          <w:color w:val="222222"/>
          <w:sz w:val="24"/>
          <w:szCs w:val="24"/>
        </w:rPr>
        <w:t>presidente del consiglio circoscrizionale</w:t>
      </w:r>
      <w:r w:rsidRPr="00554893">
        <w:rPr>
          <w:rFonts w:ascii="Arial" w:hAnsi="Arial" w:cs="Arial"/>
          <w:color w:val="222222"/>
          <w:sz w:val="24"/>
          <w:szCs w:val="24"/>
        </w:rPr>
        <w:t>.</w:t>
      </w:r>
    </w:p>
    <w:p w14:paraId="1A4312EF"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i/>
          <w:iCs/>
          <w:color w:val="222222"/>
        </w:rPr>
      </w:pPr>
      <w:r w:rsidRPr="00554893">
        <w:rPr>
          <w:rFonts w:ascii="Arial" w:hAnsi="Arial" w:cs="Arial"/>
          <w:color w:val="222222"/>
        </w:rPr>
        <w:t>In genere gli statuti e i regolamenti dei singoli comuni, disciplinando l'organizzazione delle circoscrizioni, hanno mantenuto gli organi previsti dalla legge 278/1976: il consiglio circoscrizionale (o di municipio, municipalità, zona, quartiere ecc.), eletto dai cittadini residenti nella circoscrizione, con funzioni deliberative, e il presidente dello stesso, eletto in alcuni comuni (ad es. Torino) da e tra i suoi membri, in altri (ad es. Roma) direttamente dal corpo elettorale. Alcuni comuni, peraltro, hanno anche previsto un organo collegiale intermedio, sul modello della giunta degli enti locali; a Roma, ad esempio, tale organo prende il nome di </w:t>
      </w:r>
      <w:r w:rsidRPr="00554893">
        <w:rPr>
          <w:rFonts w:ascii="Arial" w:hAnsi="Arial" w:cs="Arial"/>
          <w:i/>
          <w:iCs/>
          <w:color w:val="222222"/>
        </w:rPr>
        <w:t>giunta di municipio</w:t>
      </w:r>
      <w:r w:rsidRPr="00554893">
        <w:rPr>
          <w:rFonts w:ascii="Arial" w:hAnsi="Arial" w:cs="Arial"/>
          <w:color w:val="222222"/>
        </w:rPr>
        <w:t> e i suoi membri, diversi dal presidente del consiglio, sono denominati </w:t>
      </w:r>
      <w:r w:rsidRPr="00554893">
        <w:rPr>
          <w:rFonts w:ascii="Arial" w:hAnsi="Arial" w:cs="Arial"/>
          <w:i/>
          <w:iCs/>
          <w:color w:val="222222"/>
        </w:rPr>
        <w:t>assessori</w:t>
      </w:r>
    </w:p>
    <w:p w14:paraId="1A3A1499"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000000"/>
        </w:rPr>
      </w:pPr>
      <w:r w:rsidRPr="00554893">
        <w:rPr>
          <w:rFonts w:ascii="Arial" w:hAnsi="Arial" w:cs="Arial"/>
          <w:color w:val="222222"/>
        </w:rPr>
        <w:t xml:space="preserve">Il sindaco, previa comunicazione al prefetto, può delegare l'esercizio delle funzioni di ufficiale del Governo, esclusa l'emanazione delle ordinanze con tingibili e urgenti, al presidente del consiglio circoscrizionale; solo ove non siano costituiti gli organi di decentramento comunale, il sindaco può </w:t>
      </w:r>
    </w:p>
    <w:p w14:paraId="4134E6C8" w14:textId="77777777" w:rsidR="008F2E86" w:rsidRPr="00554893" w:rsidRDefault="008F2E86" w:rsidP="0082786C">
      <w:pPr>
        <w:pStyle w:val="NormaleWeb"/>
        <w:shd w:val="clear" w:color="auto" w:fill="FFFFFF"/>
        <w:spacing w:before="120" w:beforeAutospacing="0" w:after="120" w:afterAutospacing="0" w:line="360" w:lineRule="auto"/>
        <w:rPr>
          <w:rFonts w:ascii="Arial" w:hAnsi="Arial" w:cs="Arial"/>
          <w:color w:val="222222"/>
        </w:rPr>
      </w:pPr>
      <w:r w:rsidRPr="00554893">
        <w:rPr>
          <w:rFonts w:ascii="Arial" w:hAnsi="Arial" w:cs="Arial"/>
          <w:color w:val="222222"/>
        </w:rPr>
        <w:t>Le funzioni attribuite alle circoscrizioni di decentramento comunale variano da comune a comune. Ad esempio:</w:t>
      </w:r>
    </w:p>
    <w:p w14:paraId="25865F26"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servizi demografici;</w:t>
      </w:r>
    </w:p>
    <w:p w14:paraId="2EFCFC23"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servizi sociali e di assistenza sociale;</w:t>
      </w:r>
    </w:p>
    <w:p w14:paraId="3A61A18F"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 xml:space="preserve">servizi scolastici </w:t>
      </w:r>
      <w:proofErr w:type="gramStart"/>
      <w:r w:rsidRPr="00554893">
        <w:rPr>
          <w:rFonts w:ascii="Arial" w:hAnsi="Arial" w:cs="Arial"/>
          <w:color w:val="222222"/>
          <w:sz w:val="24"/>
          <w:szCs w:val="24"/>
        </w:rPr>
        <w:t>ed</w:t>
      </w:r>
      <w:proofErr w:type="gramEnd"/>
      <w:r w:rsidRPr="00554893">
        <w:rPr>
          <w:rFonts w:ascii="Arial" w:hAnsi="Arial" w:cs="Arial"/>
          <w:color w:val="222222"/>
          <w:sz w:val="24"/>
          <w:szCs w:val="24"/>
        </w:rPr>
        <w:t xml:space="preserve"> educativi;</w:t>
      </w:r>
    </w:p>
    <w:p w14:paraId="4E7FB26E"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attività culturali, sportive e ricreative;</w:t>
      </w:r>
    </w:p>
    <w:p w14:paraId="13ED0ABE"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servizi di manutenzione urbana, di gestione del patrimonio comunale e di disciplina dell'edilizia privata;</w:t>
      </w:r>
    </w:p>
    <w:p w14:paraId="07C1DA44"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iniziative per lo sviluppo economico nei settori dell'artigianato e del commercio;</w:t>
      </w:r>
    </w:p>
    <w:p w14:paraId="32DF21DE" w14:textId="77777777" w:rsidR="008F2E86" w:rsidRPr="00554893" w:rsidRDefault="008F2E86">
      <w:pPr>
        <w:numPr>
          <w:ilvl w:val="0"/>
          <w:numId w:val="11"/>
        </w:numPr>
        <w:shd w:val="clear" w:color="auto" w:fill="FFFFFF"/>
        <w:spacing w:before="100" w:beforeAutospacing="1" w:after="24" w:line="360" w:lineRule="auto"/>
        <w:ind w:left="384"/>
        <w:rPr>
          <w:rFonts w:ascii="Arial" w:hAnsi="Arial" w:cs="Arial"/>
          <w:color w:val="222222"/>
          <w:sz w:val="24"/>
          <w:szCs w:val="24"/>
        </w:rPr>
      </w:pPr>
      <w:r w:rsidRPr="00554893">
        <w:rPr>
          <w:rFonts w:ascii="Arial" w:hAnsi="Arial" w:cs="Arial"/>
          <w:color w:val="222222"/>
          <w:sz w:val="24"/>
          <w:szCs w:val="24"/>
        </w:rPr>
        <w:t>funzioni di polizia urbana nell'ambito degli indirizzi stabiliti dal Corpo della polizia municipale di Roma</w:t>
      </w:r>
    </w:p>
    <w:p w14:paraId="3793C2A5" w14:textId="77777777" w:rsidR="00554893" w:rsidRPr="00554893" w:rsidRDefault="00554893" w:rsidP="0082786C">
      <w:pPr>
        <w:spacing w:line="360" w:lineRule="auto"/>
        <w:rPr>
          <w:rFonts w:ascii="Arial" w:hAnsi="Arial" w:cs="Arial"/>
          <w:sz w:val="24"/>
          <w:szCs w:val="24"/>
        </w:rPr>
      </w:pPr>
    </w:p>
    <w:p w14:paraId="35232035" w14:textId="10340AEC" w:rsidR="008F2E86" w:rsidRPr="00554893" w:rsidRDefault="00554893" w:rsidP="0082786C">
      <w:pPr>
        <w:spacing w:line="360" w:lineRule="auto"/>
        <w:rPr>
          <w:rFonts w:ascii="Arial" w:hAnsi="Arial" w:cs="Arial"/>
          <w:sz w:val="24"/>
          <w:szCs w:val="24"/>
        </w:rPr>
      </w:pPr>
      <w:r w:rsidRPr="00554893">
        <w:rPr>
          <w:rFonts w:ascii="Arial" w:hAnsi="Arial" w:cs="Arial"/>
          <w:sz w:val="24"/>
          <w:szCs w:val="24"/>
        </w:rPr>
        <w:t>art 17</w:t>
      </w:r>
    </w:p>
    <w:p w14:paraId="59CE126C" w14:textId="77777777" w:rsidR="00554893" w:rsidRPr="00554893" w:rsidRDefault="00554893" w:rsidP="00554893">
      <w:pPr>
        <w:shd w:val="clear" w:color="auto" w:fill="F5FDFE"/>
        <w:spacing w:before="100" w:beforeAutospacing="1" w:after="100" w:afterAutospacing="1" w:line="240" w:lineRule="auto"/>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I comuni con popolazione superiore a 250.000 abitanti articolano il loro territorio per istituire le circoscrizioni di decentramento, quali organismi di partecipazione, di consultazione e di gestione di servizi di base, nonché di esercizio delle funzioni delegate dal comune.</w:t>
      </w:r>
      <w:r w:rsidRPr="00554893">
        <w:rPr>
          <w:rFonts w:ascii="Arial" w:eastAsia="Times New Roman" w:hAnsi="Arial" w:cs="Arial"/>
          <w:color w:val="000000"/>
          <w:sz w:val="24"/>
          <w:szCs w:val="24"/>
          <w:lang w:eastAsia="it-IT"/>
        </w:rPr>
        <w:br/>
      </w:r>
      <w:r w:rsidRPr="00554893">
        <w:rPr>
          <w:rFonts w:ascii="Arial" w:eastAsia="Times New Roman" w:hAnsi="Arial" w:cs="Arial"/>
          <w:i/>
          <w:iCs/>
          <w:color w:val="FF0000"/>
          <w:sz w:val="24"/>
          <w:szCs w:val="24"/>
          <w:lang w:eastAsia="it-IT"/>
        </w:rPr>
        <w:t>(comma così modificato dall'art. 2, comma 29, legge n. 244 del 2007)</w:t>
      </w:r>
    </w:p>
    <w:p w14:paraId="51A5A20F" w14:textId="77777777" w:rsidR="00554893" w:rsidRPr="00554893" w:rsidRDefault="00554893" w:rsidP="00554893">
      <w:pPr>
        <w:shd w:val="clear" w:color="auto" w:fill="F5FDFE"/>
        <w:spacing w:before="100" w:beforeAutospacing="1" w:after="100" w:afterAutospacing="1" w:line="240" w:lineRule="auto"/>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2. L'organizzazione e le funzioni delle circoscrizioni sono disciplinate dallo statuto comunale e da apposito regolamento.</w:t>
      </w:r>
    </w:p>
    <w:p w14:paraId="5A46F7B5" w14:textId="77777777" w:rsidR="00554893" w:rsidRPr="00554893" w:rsidRDefault="00554893" w:rsidP="00554893">
      <w:pPr>
        <w:shd w:val="clear" w:color="auto" w:fill="F5FDFE"/>
        <w:spacing w:before="100" w:beforeAutospacing="1" w:after="100" w:afterAutospacing="1" w:line="240" w:lineRule="auto"/>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3. </w:t>
      </w:r>
      <w:r w:rsidRPr="00554893">
        <w:rPr>
          <w:rFonts w:ascii="Arial" w:eastAsia="Times New Roman" w:hAnsi="Arial" w:cs="Arial"/>
          <w:i/>
          <w:iCs/>
          <w:color w:val="808080"/>
          <w:sz w:val="24"/>
          <w:szCs w:val="24"/>
          <w:lang w:eastAsia="it-IT"/>
        </w:rPr>
        <w:t>[I comuni con popolazione tra i 100.000 e i 250.000 abitanti possono articolare il territorio per istituire le circoscrizioni di decentramento ai sensi di quanto previsto dal comma 2.]</w:t>
      </w:r>
      <w:r w:rsidRPr="00554893">
        <w:rPr>
          <w:rFonts w:ascii="Arial" w:eastAsia="Times New Roman" w:hAnsi="Arial" w:cs="Arial"/>
          <w:color w:val="000000"/>
          <w:sz w:val="24"/>
          <w:szCs w:val="24"/>
          <w:lang w:eastAsia="it-IT"/>
        </w:rPr>
        <w:t> La popolazione media delle circoscrizioni non può essere inferiore a 30.000 abitanti.</w:t>
      </w:r>
      <w:r w:rsidRPr="00554893">
        <w:rPr>
          <w:rFonts w:ascii="Arial" w:eastAsia="Times New Roman" w:hAnsi="Arial" w:cs="Arial"/>
          <w:color w:val="000000"/>
          <w:sz w:val="24"/>
          <w:szCs w:val="24"/>
          <w:lang w:eastAsia="it-IT"/>
        </w:rPr>
        <w:br/>
      </w:r>
      <w:r w:rsidRPr="00554893">
        <w:rPr>
          <w:rFonts w:ascii="Arial" w:eastAsia="Times New Roman" w:hAnsi="Arial" w:cs="Arial"/>
          <w:i/>
          <w:iCs/>
          <w:color w:val="FF0000"/>
          <w:sz w:val="24"/>
          <w:szCs w:val="24"/>
          <w:lang w:eastAsia="it-IT"/>
        </w:rPr>
        <w:t>(comma così sostituito dall'art. 2, comma 29, legge n. 244 del 2007)</w:t>
      </w:r>
    </w:p>
    <w:p w14:paraId="6F99C7EC" w14:textId="77777777" w:rsidR="00554893" w:rsidRPr="00554893" w:rsidRDefault="00554893" w:rsidP="00554893">
      <w:pPr>
        <w:shd w:val="clear" w:color="auto" w:fill="F5FDFE"/>
        <w:spacing w:before="100" w:beforeAutospacing="1" w:after="100" w:afterAutospacing="1" w:line="240" w:lineRule="auto"/>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4. Gli organi delle circoscrizioni rappresentano le esigenze della popolazione delle circoscrizioni nell'ambito dell'unità del comune e sono eletti nelle forme stabilite dallo statuto e dal regolamento.</w:t>
      </w:r>
    </w:p>
    <w:p w14:paraId="79979B85" w14:textId="77777777" w:rsidR="00554893" w:rsidRPr="00554893" w:rsidRDefault="00554893" w:rsidP="00554893">
      <w:pPr>
        <w:shd w:val="clear" w:color="auto" w:fill="F5FDFE"/>
        <w:spacing w:before="100" w:beforeAutospacing="1" w:after="100" w:afterAutospacing="1" w:line="240" w:lineRule="auto"/>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5. Nei comuni con popolazione superiore a 300.000 abitanti, lo statuto può prevedere particolari e più accentuate forme di decentramento di funzioni e di autonomia organizzativa e funzionale, determinando, altresì, anche con il rinvio alla normativa applicabile ai comuni aventi uguale popolazione, gli organi di tali forme di decentramento, lo status dei componenti e le relative modalità di elezione, nomina o designazione. Le modalità di elezione dei consigli circoscrizionali e la nomina o la designazione dei componenti degli organi esecutivi sono comunque disciplinate in modo da garantire il rispetto del principio della parità di accesso delle donne e degli uomini alle cariche elettive, secondo le disposizioni dell'</w:t>
      </w:r>
      <w:hyperlink r:id="rId7" w:anchor="073" w:history="1">
        <w:r w:rsidRPr="00554893">
          <w:rPr>
            <w:rFonts w:ascii="Arial" w:eastAsia="Times New Roman" w:hAnsi="Arial" w:cs="Arial"/>
            <w:color w:val="0000FF"/>
            <w:sz w:val="24"/>
            <w:szCs w:val="24"/>
            <w:u w:val="single"/>
            <w:lang w:eastAsia="it-IT"/>
          </w:rPr>
          <w:t>articolo 73, commi 1 e 3</w:t>
        </w:r>
      </w:hyperlink>
      <w:r w:rsidRPr="00554893">
        <w:rPr>
          <w:rFonts w:ascii="Arial" w:eastAsia="Times New Roman" w:hAnsi="Arial" w:cs="Arial"/>
          <w:color w:val="000000"/>
          <w:sz w:val="24"/>
          <w:szCs w:val="24"/>
          <w:lang w:eastAsia="it-IT"/>
        </w:rPr>
        <w:t>, e agli uffici pubblici. Il consiglio comunale può deliberare, a maggioranza assoluta dei consiglieri assegnati, la revisione della delimitazione territoriale delle circoscrizioni esistenti e la conseguente istituzione delle nuove forme di autonomia ai sensi della normativa statutaria.</w:t>
      </w:r>
      <w:r w:rsidRPr="00554893">
        <w:rPr>
          <w:rFonts w:ascii="Arial" w:eastAsia="Times New Roman" w:hAnsi="Arial" w:cs="Arial"/>
          <w:color w:val="000000"/>
          <w:sz w:val="24"/>
          <w:szCs w:val="24"/>
          <w:lang w:eastAsia="it-IT"/>
        </w:rPr>
        <w:br/>
      </w:r>
      <w:r w:rsidRPr="00554893">
        <w:rPr>
          <w:rFonts w:ascii="Arial" w:eastAsia="Times New Roman" w:hAnsi="Arial" w:cs="Arial"/>
          <w:i/>
          <w:iCs/>
          <w:color w:val="FF0000"/>
          <w:sz w:val="24"/>
          <w:szCs w:val="24"/>
          <w:lang w:eastAsia="it-IT"/>
        </w:rPr>
        <w:t>(comma così modificato dall'art. 2, comma 1, lettera a), legge n. 215 del 2012)</w:t>
      </w:r>
    </w:p>
    <w:p w14:paraId="2516F36C" w14:textId="77777777" w:rsidR="00554893" w:rsidRPr="00554893" w:rsidRDefault="00554893" w:rsidP="0082786C">
      <w:pPr>
        <w:spacing w:line="360" w:lineRule="auto"/>
        <w:rPr>
          <w:rFonts w:ascii="Arial" w:hAnsi="Arial" w:cs="Arial"/>
          <w:sz w:val="24"/>
          <w:szCs w:val="24"/>
        </w:rPr>
      </w:pPr>
    </w:p>
    <w:p w14:paraId="1F9773F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CONVENZIONI</w:t>
      </w:r>
    </w:p>
    <w:p w14:paraId="10477A2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Il fine delle convenzioni (è un accordo) è quello di gestire proprie funzioni e servizi con uno strumento sicuramente meno oneroso del consorzio.</w:t>
      </w:r>
      <w:r w:rsidR="0082786C" w:rsidRPr="00554893">
        <w:rPr>
          <w:rFonts w:ascii="Arial" w:hAnsi="Arial" w:cs="Arial"/>
          <w:sz w:val="24"/>
          <w:szCs w:val="24"/>
        </w:rPr>
        <w:t xml:space="preserve"> L</w:t>
      </w:r>
      <w:r w:rsidRPr="00554893">
        <w:rPr>
          <w:rFonts w:ascii="Arial" w:hAnsi="Arial" w:cs="Arial"/>
          <w:sz w:val="24"/>
          <w:szCs w:val="24"/>
        </w:rPr>
        <w:t xml:space="preserve">a convenzione non fa nascere nuovi soggetti giuridici. </w:t>
      </w:r>
    </w:p>
    <w:p w14:paraId="212529D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Esistono 2 tipi di convenzioni:</w:t>
      </w:r>
    </w:p>
    <w:p w14:paraId="29C20AF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Convenzioni facoltative</w:t>
      </w:r>
    </w:p>
    <w:p w14:paraId="142CAAD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sono approvate dai consigli comunali degli enti partecipanti</w:t>
      </w:r>
    </w:p>
    <w:p w14:paraId="10A2913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diventano efficacia mediante la stipulazione da parte dei legali rappresentanti</w:t>
      </w:r>
    </w:p>
    <w:p w14:paraId="47A88FD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Convenzioni obbligatorie</w:t>
      </w:r>
    </w:p>
    <w:p w14:paraId="28A2134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per la realizzazione di opere pubbliche o per gestire a tempo determinato un servizio</w:t>
      </w:r>
    </w:p>
    <w:p w14:paraId="6CCB4AA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 xml:space="preserve">Sono funzioni che rientrano nella competenza Statale o regionale che attraverso leggi prevedono la costituzione di convenzioni </w:t>
      </w:r>
      <w:proofErr w:type="gramStart"/>
      <w:r w:rsidRPr="00554893">
        <w:rPr>
          <w:rFonts w:ascii="Arial" w:hAnsi="Arial" w:cs="Arial"/>
          <w:sz w:val="24"/>
          <w:szCs w:val="24"/>
        </w:rPr>
        <w:t>obbligatorie  a</w:t>
      </w:r>
      <w:proofErr w:type="gramEnd"/>
      <w:r w:rsidRPr="00554893">
        <w:rPr>
          <w:rFonts w:ascii="Arial" w:hAnsi="Arial" w:cs="Arial"/>
          <w:sz w:val="24"/>
          <w:szCs w:val="24"/>
        </w:rPr>
        <w:t xml:space="preserve"> tempo determinato per la gestione di tali servizi.</w:t>
      </w:r>
    </w:p>
    <w:p w14:paraId="4DFC1F7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 xml:space="preserve">al termine del periodo previsto sono funzioni e servizi che rientrano nella sfera di competenza dello Stato o della Regione </w:t>
      </w:r>
      <w:proofErr w:type="gramStart"/>
      <w:r w:rsidRPr="00554893">
        <w:rPr>
          <w:rFonts w:ascii="Arial" w:hAnsi="Arial" w:cs="Arial"/>
          <w:sz w:val="24"/>
          <w:szCs w:val="24"/>
        </w:rPr>
        <w:t>( nel</w:t>
      </w:r>
      <w:proofErr w:type="gramEnd"/>
      <w:r w:rsidRPr="00554893">
        <w:rPr>
          <w:rFonts w:ascii="Arial" w:hAnsi="Arial" w:cs="Arial"/>
          <w:sz w:val="24"/>
          <w:szCs w:val="24"/>
        </w:rPr>
        <w:t xml:space="preserve"> caso di mancato esercizio sono previsti anche i commissoriamenti)</w:t>
      </w:r>
    </w:p>
    <w:p w14:paraId="5C510667" w14:textId="77777777" w:rsidR="003B55D9" w:rsidRPr="00554893" w:rsidRDefault="003B55D9" w:rsidP="0082786C">
      <w:pPr>
        <w:spacing w:line="360" w:lineRule="auto"/>
        <w:rPr>
          <w:rFonts w:ascii="Arial" w:hAnsi="Arial" w:cs="Arial"/>
          <w:sz w:val="24"/>
          <w:szCs w:val="24"/>
        </w:rPr>
      </w:pPr>
    </w:p>
    <w:p w14:paraId="2B6F914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 sono le modalità con le quali di esplicano l'attività delle convenzioni:</w:t>
      </w:r>
    </w:p>
    <w:p w14:paraId="722463C5"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disporre di uffici comuni tra gli enti appartenenti, usufruendo di personale distaccato dagli enti convenzionati, che manterrà un rapporto di servizio con gli enti datori di lavoro, e un rapporto organico con l'ufficio convenzionato.</w:t>
      </w:r>
    </w:p>
    <w:p w14:paraId="791471C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delega di funzioni ad uno dei partecipanti alla gestione, che opera in luogo e per conto dei deleganti. Tale istituzione consiste nel valutare un ente capofila, che si accolla l'onere della gestione dei servizi-convenzionati. In questo caso l'attività è imputabile anche agli enti deleganti.</w:t>
      </w:r>
    </w:p>
    <w:p w14:paraId="205CD64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CONSORZI</w:t>
      </w:r>
    </w:p>
    <w:p w14:paraId="249426B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consorzio nasce dall'esigenza di gestire servizi pubblici di natura non industriale. ha personalità giuridica, gode di autonomia ordinamentale e statutaria, il quale viene </w:t>
      </w:r>
      <w:proofErr w:type="gramStart"/>
      <w:r w:rsidRPr="00554893">
        <w:rPr>
          <w:rFonts w:ascii="Arial" w:hAnsi="Arial" w:cs="Arial"/>
          <w:sz w:val="24"/>
          <w:szCs w:val="24"/>
        </w:rPr>
        <w:t>deliberato  dai</w:t>
      </w:r>
      <w:proofErr w:type="gramEnd"/>
      <w:r w:rsidRPr="00554893">
        <w:rPr>
          <w:rFonts w:ascii="Arial" w:hAnsi="Arial" w:cs="Arial"/>
          <w:sz w:val="24"/>
          <w:szCs w:val="24"/>
        </w:rPr>
        <w:t xml:space="preserve"> consigli appartenenti al consorzio.</w:t>
      </w:r>
    </w:p>
    <w:p w14:paraId="629D658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Esistono 2 tipi di consorzi:</w:t>
      </w:r>
    </w:p>
    <w:p w14:paraId="4B4C2D2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consorzio di servizi privi di rilevanza economica</w:t>
      </w:r>
    </w:p>
    <w:p w14:paraId="446E085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w:t>
      </w:r>
      <w:r w:rsidRPr="00554893">
        <w:rPr>
          <w:rFonts w:ascii="Arial" w:hAnsi="Arial" w:cs="Arial"/>
          <w:sz w:val="24"/>
          <w:szCs w:val="24"/>
        </w:rPr>
        <w:tab/>
        <w:t>consorzio per l'esercizio di funzioni amministrative (si differenziano dalle convenzioni in quanto ordinano un nuovo soggetto di diritto)</w:t>
      </w:r>
    </w:p>
    <w:p w14:paraId="4C42C82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Il consorzio risulta quindi un'associazione tra </w:t>
      </w:r>
      <w:proofErr w:type="gramStart"/>
      <w:r w:rsidRPr="00554893">
        <w:rPr>
          <w:rFonts w:ascii="Arial" w:hAnsi="Arial" w:cs="Arial"/>
          <w:sz w:val="24"/>
          <w:szCs w:val="24"/>
        </w:rPr>
        <w:t>enti ,</w:t>
      </w:r>
      <w:proofErr w:type="gramEnd"/>
      <w:r w:rsidRPr="00554893">
        <w:rPr>
          <w:rFonts w:ascii="Arial" w:hAnsi="Arial" w:cs="Arial"/>
          <w:sz w:val="24"/>
          <w:szCs w:val="24"/>
        </w:rPr>
        <w:t xml:space="preserve"> nella quale dobbiamo sempre indicare le quote di partecipazione al patrimonio, perché esse determinano il peso decisorio di ciascun ente nell'ambito del consorzio.</w:t>
      </w:r>
    </w:p>
    <w:p w14:paraId="39052BC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quest'ultimo nasce con la stipulazione della convenzione ad opera dei rappresentanti legali</w:t>
      </w:r>
    </w:p>
    <w:p w14:paraId="166D4032"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Organi sono il consiglio di amministrazione, il presidente e il direttore, al quale compete la responsabilità gestionale. Le modalità di nomina e revoca degli amministratori sono stabilite dallo statuto dell'ente locale.</w:t>
      </w:r>
    </w:p>
    <w:p w14:paraId="78447BE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AZIENDE E ISTITUZIONI</w:t>
      </w:r>
    </w:p>
    <w:p w14:paraId="7652408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1.</w:t>
      </w:r>
      <w:r w:rsidRPr="00554893">
        <w:rPr>
          <w:rFonts w:ascii="Arial" w:hAnsi="Arial" w:cs="Arial"/>
          <w:sz w:val="24"/>
          <w:szCs w:val="24"/>
        </w:rPr>
        <w:tab/>
        <w:t xml:space="preserve">L'azienda speciale </w:t>
      </w:r>
      <w:proofErr w:type="gramStart"/>
      <w:r w:rsidRPr="00554893">
        <w:rPr>
          <w:rFonts w:ascii="Arial" w:hAnsi="Arial" w:cs="Arial"/>
          <w:sz w:val="24"/>
          <w:szCs w:val="24"/>
        </w:rPr>
        <w:t>e'</w:t>
      </w:r>
      <w:proofErr w:type="gramEnd"/>
      <w:r w:rsidRPr="00554893">
        <w:rPr>
          <w:rFonts w:ascii="Arial" w:hAnsi="Arial" w:cs="Arial"/>
          <w:sz w:val="24"/>
          <w:szCs w:val="24"/>
        </w:rPr>
        <w:t xml:space="preserve"> ente strumentale dell'ente locale dotato di personalità giuridica, di autonomia imprenditoriale e di proprio statuto, approvato dal consiglio comunale o provinciale. </w:t>
      </w:r>
    </w:p>
    <w:p w14:paraId="4C8285BC"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2.</w:t>
      </w:r>
      <w:r w:rsidRPr="00554893">
        <w:rPr>
          <w:rFonts w:ascii="Arial" w:hAnsi="Arial" w:cs="Arial"/>
          <w:sz w:val="24"/>
          <w:szCs w:val="24"/>
        </w:rPr>
        <w:tab/>
        <w:t xml:space="preserve">2. L'istituzione </w:t>
      </w:r>
      <w:proofErr w:type="gramStart"/>
      <w:r w:rsidRPr="00554893">
        <w:rPr>
          <w:rFonts w:ascii="Arial" w:hAnsi="Arial" w:cs="Arial"/>
          <w:sz w:val="24"/>
          <w:szCs w:val="24"/>
        </w:rPr>
        <w:t>e'</w:t>
      </w:r>
      <w:proofErr w:type="gramEnd"/>
      <w:r w:rsidRPr="00554893">
        <w:rPr>
          <w:rFonts w:ascii="Arial" w:hAnsi="Arial" w:cs="Arial"/>
          <w:sz w:val="24"/>
          <w:szCs w:val="24"/>
        </w:rPr>
        <w:t xml:space="preserve"> organismo strumentale dell'ente locale per l'esercizio di servizi sociali, dotato di autonomia gestionale. </w:t>
      </w:r>
    </w:p>
    <w:p w14:paraId="46515F8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3. Organi dell'azienda e dell'istituzione sono il consiglio di amministrazione, il presidente e il direttore, al quale compete la responsabilità gestionale. Le modalità di nomina e revoca degli amministratori sono stabilite dallo statuto dell'ente locale. </w:t>
      </w:r>
    </w:p>
    <w:p w14:paraId="3ACA9CE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4. L'azienda e l'istituzione informano la loro attività a criteri di efficacia, efficienza ed economicità ed hanno l'obbligo del pareggio di bilancio da perseguire attraverso l'equilibrio dei costi e dei ricavi, compresi i trasferimenti. </w:t>
      </w:r>
    </w:p>
    <w:p w14:paraId="09F2221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5. Nell'ambito della legge, l'ordinamento ed il funzionamento delle aziende speciali sono disciplinati dal proprio statuto e dai regolamenti, quelli delle istituzioni sono disciplinati dallo statuto e dai regolamenti dell'ente locale da cui dipendono. </w:t>
      </w:r>
    </w:p>
    <w:p w14:paraId="29135DF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6. L'ente locale conferisce il capitale di dotatone, determina le finalità e gli indirizzi; approva gli atti fondamentali; esercita la vigilanza; verifica i risultati della gestione; provvede alla copertura degli eventuali costi sociali. </w:t>
      </w:r>
    </w:p>
    <w:p w14:paraId="6709C09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7. Il collegio dei revisori dei conti dell'ente locale esercita le sue funzioni anche nei confronti delle istituzioni. Lo statuto dell'azienda speciale prevede un apposito organo, di revisione, nonché forme autonome di verifica della gestione. </w:t>
      </w:r>
    </w:p>
    <w:p w14:paraId="7C2E99E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8. sono fondamentali i seguenti atti:</w:t>
      </w:r>
    </w:p>
    <w:p w14:paraId="22D40BF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w:t>
      </w:r>
      <w:r w:rsidRPr="00554893">
        <w:rPr>
          <w:rFonts w:ascii="Arial" w:hAnsi="Arial" w:cs="Arial"/>
          <w:sz w:val="24"/>
          <w:szCs w:val="24"/>
        </w:rPr>
        <w:tab/>
        <w:t>il piano-programma, comprendente un contratto di servizio che disciplini i rapporti tra ente locale ed azienda speciale;</w:t>
      </w:r>
    </w:p>
    <w:p w14:paraId="3BDBC7B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b)</w:t>
      </w:r>
      <w:r w:rsidRPr="00554893">
        <w:rPr>
          <w:rFonts w:ascii="Arial" w:hAnsi="Arial" w:cs="Arial"/>
          <w:sz w:val="24"/>
          <w:szCs w:val="24"/>
        </w:rPr>
        <w:tab/>
        <w:t>i bilanci economici di previsione pluriennale ed annuale;</w:t>
      </w:r>
    </w:p>
    <w:p w14:paraId="798A82A9"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c)</w:t>
      </w:r>
      <w:r w:rsidRPr="00554893">
        <w:rPr>
          <w:rFonts w:ascii="Arial" w:hAnsi="Arial" w:cs="Arial"/>
          <w:sz w:val="24"/>
          <w:szCs w:val="24"/>
        </w:rPr>
        <w:tab/>
        <w:t>il conto consuntivo;</w:t>
      </w:r>
    </w:p>
    <w:p w14:paraId="51C387E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d)</w:t>
      </w:r>
      <w:r w:rsidRPr="00554893">
        <w:rPr>
          <w:rFonts w:ascii="Arial" w:hAnsi="Arial" w:cs="Arial"/>
          <w:sz w:val="24"/>
          <w:szCs w:val="24"/>
        </w:rPr>
        <w:tab/>
        <w:t>il bilancio di esercizio.</w:t>
      </w:r>
    </w:p>
    <w:p w14:paraId="5541822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 </w:t>
      </w:r>
    </w:p>
    <w:p w14:paraId="4D2B1F2F"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UNIONE DI COMUNI</w:t>
      </w:r>
    </w:p>
    <w:p w14:paraId="0A582213" w14:textId="77777777" w:rsidR="005F7599" w:rsidRPr="00554893" w:rsidRDefault="005F7599"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I cinque commi dell'articolo 32 definiscono le unioni di comuni in maniera sintetica e precisa, dando la massima flessibilità all'interno di poche regole precise.</w:t>
      </w:r>
    </w:p>
    <w:p w14:paraId="721FD7C4" w14:textId="77777777" w:rsidR="005F7599" w:rsidRPr="00554893" w:rsidRDefault="005F7599"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Nel primo comma si definisce l'unione come costituita da due o più</w:t>
      </w:r>
      <w:r w:rsidRPr="00554893">
        <w:rPr>
          <w:rStyle w:val="apple-converted-space"/>
          <w:rFonts w:ascii="Arial" w:hAnsi="Arial" w:cs="Arial"/>
          <w:color w:val="252525"/>
        </w:rPr>
        <w:t> comuni c</w:t>
      </w:r>
      <w:r w:rsidRPr="00554893">
        <w:rPr>
          <w:rFonts w:ascii="Arial" w:hAnsi="Arial" w:cs="Arial"/>
          <w:color w:val="252525"/>
        </w:rPr>
        <w:t>he devono essere contigui con un obiettivo chiaro: "esercitare congiuntamente una pluralità di funzioni di loro competenza". Ciò significa che i singoli comuni si uniscono e trasferiscono alle unioni funzioni e servizi. Ciò implica che il servizio o la funzione trasferita all'Unione viene sottratta alla titolarità diretta del Comune, e rientra nella titolarità dell'Unione dei comuni. In ciò si esprime una prima differenza rispetto alle semplici convenzione di gestione dei servizi, in cui la titolarità del servizio permane in capo al comune convenzionato, mentre il comune capofila semplicemente esercita lo stesso su delega degli altri.</w:t>
      </w:r>
    </w:p>
    <w:p w14:paraId="4AA56221" w14:textId="77777777" w:rsidR="005F7599" w:rsidRPr="00554893" w:rsidRDefault="005F7599"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 xml:space="preserve">L'unione deve avere un atto costittivo e uno statuto che </w:t>
      </w:r>
      <w:proofErr w:type="gramStart"/>
      <w:r w:rsidRPr="00554893">
        <w:rPr>
          <w:rFonts w:ascii="Arial" w:hAnsi="Arial" w:cs="Arial"/>
          <w:color w:val="252525"/>
        </w:rPr>
        <w:t>deve  avere</w:t>
      </w:r>
      <w:proofErr w:type="gramEnd"/>
      <w:r w:rsidRPr="00554893">
        <w:rPr>
          <w:rFonts w:ascii="Arial" w:hAnsi="Arial" w:cs="Arial"/>
          <w:color w:val="252525"/>
        </w:rPr>
        <w:t xml:space="preserve"> alcune caratteristiche:</w:t>
      </w:r>
    </w:p>
    <w:p w14:paraId="45B2636E" w14:textId="77777777" w:rsidR="005F7599" w:rsidRPr="00554893" w:rsidRDefault="005F7599" w:rsidP="0082786C">
      <w:pPr>
        <w:numPr>
          <w:ilvl w:val="0"/>
          <w:numId w:val="2"/>
        </w:numPr>
        <w:shd w:val="clear" w:color="auto" w:fill="FFFFFF"/>
        <w:spacing w:before="100" w:beforeAutospacing="1" w:after="24" w:line="360" w:lineRule="auto"/>
        <w:ind w:left="384"/>
        <w:rPr>
          <w:rFonts w:ascii="Arial" w:hAnsi="Arial" w:cs="Arial"/>
          <w:color w:val="252525"/>
          <w:sz w:val="24"/>
          <w:szCs w:val="24"/>
        </w:rPr>
      </w:pPr>
      <w:r w:rsidRPr="00554893">
        <w:rPr>
          <w:rFonts w:ascii="Arial" w:hAnsi="Arial" w:cs="Arial"/>
          <w:color w:val="252525"/>
          <w:sz w:val="24"/>
          <w:szCs w:val="24"/>
        </w:rPr>
        <w:t>deve essere approvato dai singoli consigli comunali con procedure e maggioranze previste per le modifiche statutarie;</w:t>
      </w:r>
    </w:p>
    <w:p w14:paraId="679D4BD3" w14:textId="77777777" w:rsidR="005F7599" w:rsidRPr="00554893" w:rsidRDefault="005F7599" w:rsidP="0082786C">
      <w:pPr>
        <w:numPr>
          <w:ilvl w:val="0"/>
          <w:numId w:val="2"/>
        </w:numPr>
        <w:shd w:val="clear" w:color="auto" w:fill="FFFFFF"/>
        <w:spacing w:before="100" w:beforeAutospacing="1" w:after="24" w:line="360" w:lineRule="auto"/>
        <w:ind w:left="384"/>
        <w:rPr>
          <w:rFonts w:ascii="Arial" w:hAnsi="Arial" w:cs="Arial"/>
          <w:color w:val="252525"/>
          <w:sz w:val="24"/>
          <w:szCs w:val="24"/>
        </w:rPr>
      </w:pPr>
      <w:r w:rsidRPr="00554893">
        <w:rPr>
          <w:rFonts w:ascii="Arial" w:hAnsi="Arial" w:cs="Arial"/>
          <w:color w:val="252525"/>
          <w:sz w:val="24"/>
          <w:szCs w:val="24"/>
        </w:rPr>
        <w:t>deve definire gli organi e le modalità per la loro costituzione;</w:t>
      </w:r>
    </w:p>
    <w:p w14:paraId="1872C7D4" w14:textId="77777777" w:rsidR="005F7599" w:rsidRPr="00554893" w:rsidRDefault="005F7599" w:rsidP="0082786C">
      <w:pPr>
        <w:numPr>
          <w:ilvl w:val="0"/>
          <w:numId w:val="2"/>
        </w:numPr>
        <w:shd w:val="clear" w:color="auto" w:fill="FFFFFF"/>
        <w:spacing w:before="100" w:beforeAutospacing="1" w:after="24" w:line="360" w:lineRule="auto"/>
        <w:ind w:left="384"/>
        <w:rPr>
          <w:rFonts w:ascii="Arial" w:hAnsi="Arial" w:cs="Arial"/>
          <w:color w:val="252525"/>
          <w:sz w:val="24"/>
          <w:szCs w:val="24"/>
        </w:rPr>
      </w:pPr>
      <w:r w:rsidRPr="00554893">
        <w:rPr>
          <w:rFonts w:ascii="Arial" w:hAnsi="Arial" w:cs="Arial"/>
          <w:color w:val="252525"/>
          <w:sz w:val="24"/>
          <w:szCs w:val="24"/>
        </w:rPr>
        <w:t>definisce le funzioni svolte dall'unione e le risorse di finanziamento;</w:t>
      </w:r>
    </w:p>
    <w:p w14:paraId="0668D242" w14:textId="77777777" w:rsidR="005F7599" w:rsidRPr="00554893" w:rsidRDefault="005F7599" w:rsidP="0082786C">
      <w:pPr>
        <w:numPr>
          <w:ilvl w:val="0"/>
          <w:numId w:val="2"/>
        </w:numPr>
        <w:shd w:val="clear" w:color="auto" w:fill="FFFFFF"/>
        <w:spacing w:before="100" w:beforeAutospacing="1" w:after="24" w:line="360" w:lineRule="auto"/>
        <w:ind w:left="384"/>
        <w:rPr>
          <w:rFonts w:ascii="Arial" w:hAnsi="Arial" w:cs="Arial"/>
          <w:color w:val="252525"/>
          <w:sz w:val="24"/>
          <w:szCs w:val="24"/>
        </w:rPr>
      </w:pPr>
      <w:r w:rsidRPr="00554893">
        <w:rPr>
          <w:rFonts w:ascii="Arial" w:hAnsi="Arial" w:cs="Arial"/>
          <w:color w:val="252525"/>
          <w:sz w:val="24"/>
          <w:szCs w:val="24"/>
        </w:rPr>
        <w:t>il presidente deve essere scelto fra i sindaci eletti;</w:t>
      </w:r>
    </w:p>
    <w:p w14:paraId="7E56D0F7" w14:textId="77777777" w:rsidR="005F7599" w:rsidRPr="00554893" w:rsidRDefault="005F7599" w:rsidP="0082786C">
      <w:pPr>
        <w:numPr>
          <w:ilvl w:val="0"/>
          <w:numId w:val="2"/>
        </w:numPr>
        <w:shd w:val="clear" w:color="auto" w:fill="FFFFFF"/>
        <w:spacing w:before="100" w:beforeAutospacing="1" w:after="24" w:line="360" w:lineRule="auto"/>
        <w:ind w:left="384"/>
        <w:rPr>
          <w:rFonts w:ascii="Arial" w:hAnsi="Arial" w:cs="Arial"/>
          <w:color w:val="252525"/>
          <w:sz w:val="24"/>
          <w:szCs w:val="24"/>
        </w:rPr>
      </w:pPr>
      <w:r w:rsidRPr="00554893">
        <w:rPr>
          <w:rFonts w:ascii="Arial" w:hAnsi="Arial" w:cs="Arial"/>
          <w:color w:val="252525"/>
          <w:sz w:val="24"/>
          <w:szCs w:val="24"/>
        </w:rPr>
        <w:t>gli altri organi previsti, quali la giunta esecutiva e il consiglio dell'unione, devono essere composti da consiglieri o membri delle giunte con la presenza delle minoranze;</w:t>
      </w:r>
    </w:p>
    <w:p w14:paraId="639B8D43" w14:textId="77777777" w:rsidR="005F7599" w:rsidRPr="00554893" w:rsidRDefault="005F7599"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L'unione decide al suo interno i regolamenti per la propria organizzazione ed i rapporti con i singoli comuni. Il decreto conclude disponendo che le Unioni seguono le regole ed i principi previsti per i comuni, evidenziando che i componenti degli organi non possono eccedere le disposizioni relative ai comuni con la popolazione complessiva delle amministrazioni locali associate. Ultimo, ma fondante dei poteri delle unioni, è la destinazione di tutti gli introiti che derivano da tasse, tariffe e contributi dovuti per i servizi trasferiti dai comuni.</w:t>
      </w:r>
    </w:p>
    <w:p w14:paraId="61873527" w14:textId="77777777" w:rsidR="005F7599" w:rsidRPr="00554893" w:rsidRDefault="005F7599"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Con un decreto legislativo che ha regole sintetiche, chiare e minime, le attuazioni sono spesso molto diverse fra di loro e vengono costruite in funzione delle singole esigenze territoriali ed istituzionali. La realizzazione delle unioni di comuni permette di creare delle economie di scala nel dimensionare i servizi e crea le condizioni per la sopravvivenza dei piccoli comuni che, pur mantenendo la loro identità, possono accorpare servizi al fine di ridurre i costi pro-capite e ridurre pro-quota le spese fisse di gestione di alcuni servizi. I costi di gestione degli enti sono solitamente bassi, strutture formate da amministratori dei comuni e servizi coperti da entrate dedicate per la maggior parte dei servizi conferiti.</w:t>
      </w:r>
    </w:p>
    <w:p w14:paraId="1B0F1600" w14:textId="77777777" w:rsidR="005F7599" w:rsidRPr="00554893" w:rsidRDefault="006C75A8" w:rsidP="0082786C">
      <w:pPr>
        <w:pStyle w:val="NormaleWeb"/>
        <w:shd w:val="clear" w:color="auto" w:fill="FFFFFF"/>
        <w:spacing w:before="120" w:beforeAutospacing="0" w:after="120" w:afterAutospacing="0" w:line="360" w:lineRule="auto"/>
        <w:rPr>
          <w:rFonts w:ascii="Arial" w:hAnsi="Arial" w:cs="Arial"/>
          <w:color w:val="252525"/>
        </w:rPr>
      </w:pPr>
      <w:r w:rsidRPr="00554893">
        <w:rPr>
          <w:rFonts w:ascii="Arial" w:hAnsi="Arial" w:cs="Arial"/>
          <w:color w:val="252525"/>
        </w:rPr>
        <w:t>Ll TUE</w:t>
      </w:r>
      <w:r w:rsidR="005F7599" w:rsidRPr="00554893">
        <w:rPr>
          <w:rFonts w:ascii="Arial" w:hAnsi="Arial" w:cs="Arial"/>
          <w:color w:val="252525"/>
        </w:rPr>
        <w:t xml:space="preserve">L ha soppresso l'obbligo inizialmente previsto per le Unioni di giungere alla fusione entro </w:t>
      </w:r>
      <w:proofErr w:type="gramStart"/>
      <w:r w:rsidR="005F7599" w:rsidRPr="00554893">
        <w:rPr>
          <w:rFonts w:ascii="Arial" w:hAnsi="Arial" w:cs="Arial"/>
          <w:color w:val="252525"/>
        </w:rPr>
        <w:t>10</w:t>
      </w:r>
      <w:proofErr w:type="gramEnd"/>
      <w:r w:rsidR="005F7599" w:rsidRPr="00554893">
        <w:rPr>
          <w:rFonts w:ascii="Arial" w:hAnsi="Arial" w:cs="Arial"/>
          <w:color w:val="252525"/>
        </w:rPr>
        <w:t xml:space="preserve"> anni dalla loro costituzione. Successivamente, numerose leggi regionali, a seguito della modifica del titolo V della Costituzione sono intervenute in materia, prevedendo discipline concorrenti, a volte in aperto contrasto con la disciplina del TUEL sulle unioni. </w:t>
      </w:r>
      <w:proofErr w:type="gramStart"/>
      <w:r w:rsidR="005F7599" w:rsidRPr="00554893">
        <w:rPr>
          <w:rFonts w:ascii="Arial" w:hAnsi="Arial" w:cs="Arial"/>
          <w:color w:val="252525"/>
        </w:rPr>
        <w:t>In particolare</w:t>
      </w:r>
      <w:proofErr w:type="gramEnd"/>
      <w:r w:rsidR="005F7599" w:rsidRPr="00554893">
        <w:rPr>
          <w:rFonts w:ascii="Arial" w:hAnsi="Arial" w:cs="Arial"/>
          <w:color w:val="252525"/>
        </w:rPr>
        <w:t xml:space="preserve"> riguardo agli organi. Sono da segnalare due importanti riforme, la prima quella prevista dall'art. 14 del D.L. 78/2010, convertito in legge 122/2010, che tra l'altro ha indicato le Unioni come una delle due forme di gestione per l'esercizio obbligatorio delle funzioni fondamentali, attualmente individuate nell'art. 21 c. 3 L. 42/09, per i comuni sotto i 5000 abitanti (l'altra forma è quella della convenzione ex art. 30 TUEL). La seconda riforma è quella dell'art. 16 L. 148/2011, che ha introdotto una nuova tipologia di unioni, le cosiddette "unioni municipali", pensata per i comuni sotto i mille abitanti.</w:t>
      </w:r>
    </w:p>
    <w:p w14:paraId="2CCBC901" w14:textId="77777777" w:rsidR="005F2916" w:rsidRPr="00554893" w:rsidRDefault="005F2916" w:rsidP="0082786C">
      <w:pPr>
        <w:spacing w:line="360" w:lineRule="auto"/>
        <w:rPr>
          <w:rFonts w:ascii="Arial" w:hAnsi="Arial" w:cs="Arial"/>
          <w:sz w:val="24"/>
          <w:szCs w:val="24"/>
        </w:rPr>
      </w:pPr>
    </w:p>
    <w:p w14:paraId="20EAFE63"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ACCORDI DI PROGRAMMA</w:t>
      </w:r>
    </w:p>
    <w:p w14:paraId="722DD95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Gli accordi di programma tra pubbliche amministrazioni sono volti alla definizione consensuale, tra le PP.AA portatrici di interessi nella materia, dell'attività, dei programmi e, più in particolare, dell'esecuzione di interventi pubblici. </w:t>
      </w:r>
    </w:p>
    <w:p w14:paraId="63F762A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Le norme che originariamente hanno previsto la figura degli accordi di programma sono: l'art. 11 della legge n. 241/1990 che, in via generale, prevede la possibilità che le PP.AA. si accordino al fine di programmare consensualmente qualsivoglia tipologia di attività di interesse comune che implichi la valutazione di interessi facenti capo a soggetti pubblici distinti e l'art. 27 della L. n. 142/1990, confluito ora nell'art. 34 del D.Lgs. n. 267/2000, che, con disposizione più specifica, prevede che le Regioni, enti locali ed altre amministrazioni pubbliche possano accordarsi per l'esecuzione di opere, di interventi o programmi di interventi.</w:t>
      </w:r>
    </w:p>
    <w:p w14:paraId="24907351"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Con riferimento agli accordi di programma, è, innanzitutto, da rilevarsi come, da essi, siano escluse le parti private che potranno vantare un mero interesse legittimo alla legittimità dell'azione amministrativa quale si estrinseca negli accordi medesimi. </w:t>
      </w:r>
    </w:p>
    <w:p w14:paraId="54A4AB50"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Sotto il profilo procedimentale, poi, gli accordi di programma tra PP.AA. di cui all'art. 34 del D.Lgs. n. 267/2000 implicano una fase di iniziativa, di competenza dell'amministrazione che vanta competenza primaria in ordine all'opera da realizzare e che si concretizza nell'invito delle amministrazioni territoriali o statali che vantino interessi concorrenti nella materia. La seconda fase è quella dell'istruttoria che si conclude, dopo l'acquisizione degli interessi, con l'accordo in ordine alle modalità di realizzazione dell'opera. La terza fase, conclusiva, è di competenza dell'amministrazione titolare dell'interesse primario e che ha curato la fase dell'iniziativa ma si concretizza, in sostanza, nell'esternazione formale della volontà già formata consensualmente nella fase dell'istruttoria. La quarta fase è quella integrativa d'efficacia e si realizza con la pubblicazione dell'accordo nel Bollettino Ufficiale della Regione. </w:t>
      </w:r>
    </w:p>
    <w:p w14:paraId="4C4D0171" w14:textId="77777777" w:rsidR="003B55D9" w:rsidRPr="00554893" w:rsidRDefault="003B55D9" w:rsidP="0082786C">
      <w:pPr>
        <w:spacing w:line="360" w:lineRule="auto"/>
        <w:rPr>
          <w:rFonts w:ascii="Arial" w:hAnsi="Arial" w:cs="Arial"/>
          <w:sz w:val="24"/>
          <w:szCs w:val="24"/>
        </w:rPr>
      </w:pPr>
    </w:p>
    <w:p w14:paraId="413D1CAD" w14:textId="77777777" w:rsidR="0082786C"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Con l'accordo di programma le parti si impegnano vicendevolmente all'adempimento delle obbligazioni nascenti dall'accordo, sicché, con riferimento ad esse, è ipotizzabile una responsabilità per inadempimento, la possibilità di sollevare l'eccezione d'inadempimento, l'intervento sostitutivo, l'impugnazione degli atti difformi dalle prescrizioni contenute nell'accordo. </w:t>
      </w:r>
    </w:p>
    <w:p w14:paraId="6081DD68"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Art. 34 </w:t>
      </w:r>
    </w:p>
    <w:p w14:paraId="7117C056"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1. Per la definizione e l'attuazione di opere, di interventi o di programmi di intervento che richiedono, per la loro completa realizzazione, l'azione integrata e coordinata di comuni, di province e regioni, di amministrazioni statali e di altri soggetti pubblici, o comunque di due o più tra i soggetti predetti, il presidente della regione o il presidente della provincia o il sindaco, in relazione alla competenza primaria o prevalente sull'opera o sugli interventi o sui programmi di intervento, promuove la conclusione di un accordo di programma, anche su richiesta di uno o più soggetti interessati, per assicurare il coordinamento delle azioni e per determinare i tempi, le modalità, il finanziamento ed ogni altro connesso adempimento. </w:t>
      </w:r>
    </w:p>
    <w:p w14:paraId="373A901D"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2. L'accordo può prevedere altresì procedimenti di arbitrato, nonché interventi surrogatori di eventuali inadempienze dei soggetti partecipanti. </w:t>
      </w:r>
    </w:p>
    <w:p w14:paraId="5CB77F8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3. Per verificare la possibilità di concordare l'accordo di programma, il presidente della regione o il presidente della provincia o il sindaco convoca una conferenza tra i rappresentanti di tutte le amministrazioni interessate. </w:t>
      </w:r>
    </w:p>
    <w:p w14:paraId="06A4337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4. L'accordo, consistente nel consenso unanime del presidente della regione, del presidente della provincia, dei sindaci e delle altre amministrazioni interessate, è approvato con atto formale del presidente della regione o del presidente della provincia o del sindaco ed è pubblicato nel Bollettino Ufficiale della regione. L'accordo, qualora adottato con decreto del presidente della regione, produce gli effetti della intesa di cui all'art. 81 del decreto del Presidente della Repubblica 24 luglio 1977, n. 616, determinando le eventuali e conseguenti variazioni degli strumenti urbanistici e sostituendo le concessioni edilizie, sempre che vi sia l'assenso del comune interessato. </w:t>
      </w:r>
    </w:p>
    <w:p w14:paraId="64571267"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5. Ove l'accordo comporti variazione degli strumenti urbanistici, l'adesione del sindaco allo stesso deve essere ratificata dal consiglio comunale entro trenta giorni a pena di decadenza. </w:t>
      </w:r>
    </w:p>
    <w:p w14:paraId="7B69DFC4"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6. Per l'approvazione di progetti di opere pubbliche comprese nei programmi dell'amministrazione e per le quali siano immediatamente utilizzabili i relativi finanziamenti si procede a norma dei precedenti commi. L'approvazione dell'accordo di programma comporta la dichiarazione di pubblica utilità, indifferibilità ed urgenza delle medesime opere; tale dichiarazione cessa di avere efficacia se le opere non hanno avuto inizio entro tre anni. </w:t>
      </w:r>
    </w:p>
    <w:p w14:paraId="27BA670E" w14:textId="77777777" w:rsidR="003B55D9"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7. La vigilanza sull'esecuzione dell'accordo di programma e gli eventuali interventi sostitutivi sono svolti da un collegio presieduto dal presidente della regione o dal presidente della provincia o dal sindaco e composto da rappresentanti degli enti locali interessati, nonché dal commissario del Governo nella regione o dal prefetto nella provincia interessata se all'accordo partecipano amministrazioni statali o enti pubblici nazionali. </w:t>
      </w:r>
    </w:p>
    <w:p w14:paraId="35103983" w14:textId="77777777" w:rsidR="005F2916" w:rsidRPr="00554893" w:rsidRDefault="003B55D9" w:rsidP="0082786C">
      <w:pPr>
        <w:spacing w:line="360" w:lineRule="auto"/>
        <w:rPr>
          <w:rFonts w:ascii="Arial" w:hAnsi="Arial" w:cs="Arial"/>
          <w:sz w:val="24"/>
          <w:szCs w:val="24"/>
        </w:rPr>
      </w:pPr>
      <w:r w:rsidRPr="00554893">
        <w:rPr>
          <w:rFonts w:ascii="Arial" w:hAnsi="Arial" w:cs="Arial"/>
          <w:sz w:val="24"/>
          <w:szCs w:val="24"/>
        </w:rPr>
        <w:t xml:space="preserve">8. Allorché l'intervento o il programma di intervento comporti il concorso di due o più regioni finitime, la conclusione dell'accordo di programma è promossa dalla Presidenza del </w:t>
      </w:r>
      <w:proofErr w:type="gramStart"/>
      <w:r w:rsidRPr="00554893">
        <w:rPr>
          <w:rFonts w:ascii="Arial" w:hAnsi="Arial" w:cs="Arial"/>
          <w:sz w:val="24"/>
          <w:szCs w:val="24"/>
        </w:rPr>
        <w:t>Consiglio dei Ministri</w:t>
      </w:r>
      <w:proofErr w:type="gramEnd"/>
      <w:r w:rsidRPr="00554893">
        <w:rPr>
          <w:rFonts w:ascii="Arial" w:hAnsi="Arial" w:cs="Arial"/>
          <w:sz w:val="24"/>
          <w:szCs w:val="24"/>
        </w:rPr>
        <w:t xml:space="preserve">, a cui spetta convocare la conferenza </w:t>
      </w:r>
    </w:p>
    <w:p w14:paraId="6C56F6AF" w14:textId="77777777" w:rsidR="005F2916" w:rsidRPr="00554893" w:rsidRDefault="005F2916" w:rsidP="0082786C">
      <w:pPr>
        <w:spacing w:line="360" w:lineRule="auto"/>
        <w:rPr>
          <w:rFonts w:ascii="Arial" w:hAnsi="Arial" w:cs="Arial"/>
          <w:sz w:val="24"/>
          <w:szCs w:val="24"/>
        </w:rPr>
      </w:pPr>
      <w:r w:rsidRPr="00554893">
        <w:rPr>
          <w:rFonts w:ascii="Arial" w:hAnsi="Arial" w:cs="Arial"/>
          <w:sz w:val="24"/>
          <w:szCs w:val="24"/>
        </w:rPr>
        <w:t>REVISORI DEI CONTI</w:t>
      </w:r>
    </w:p>
    <w:p w14:paraId="5F427B01" w14:textId="77777777" w:rsidR="005F2916" w:rsidRPr="00554893" w:rsidRDefault="003B55D9" w:rsidP="005F2916">
      <w:pPr>
        <w:pStyle w:val="NormaleWeb"/>
        <w:spacing w:before="120" w:beforeAutospacing="0" w:after="120" w:afterAutospacing="0"/>
        <w:rPr>
          <w:rFonts w:ascii="Arial" w:hAnsi="Arial" w:cs="Arial"/>
          <w:color w:val="333333"/>
        </w:rPr>
      </w:pPr>
      <w:r w:rsidRPr="00554893">
        <w:rPr>
          <w:rFonts w:ascii="Arial" w:hAnsi="Arial" w:cs="Arial"/>
        </w:rPr>
        <w:t xml:space="preserve"> </w:t>
      </w:r>
      <w:r w:rsidR="005F2916" w:rsidRPr="00554893">
        <w:rPr>
          <w:rFonts w:ascii="Arial" w:hAnsi="Arial" w:cs="Arial"/>
          <w:color w:val="333333"/>
        </w:rPr>
        <w:t xml:space="preserve">Il Collegio dei revisori dei conti è un organo di supporto al Consiglio Comunale. Le funzioni dell’Organo di revisione economico-finanziaria sono indicate nel Decreto Legislativo 18/08/2000 n. 267 Parte seconda -Ordinamento finanziario e contabile- Titolo VII -Revisione Economico-Finanziaria-, artt. 234-241, e nel Regolamento Comunale di contabilità </w:t>
      </w:r>
    </w:p>
    <w:p w14:paraId="1475B0B4" w14:textId="77777777" w:rsidR="005F2916" w:rsidRPr="00554893" w:rsidRDefault="005F2916" w:rsidP="005F2916">
      <w:pPr>
        <w:spacing w:after="0"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Il Collegio di revisori dei conti svolge attività di collaborazione alle funzioni di controllo e di indirizzo del Consiglio Comunale esprimendosi, mediante pareri e proposte, relativamente a:</w:t>
      </w:r>
    </w:p>
    <w:p w14:paraId="0208ACFB"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politiche dell’Ente in materia tributaria e tariffaria;</w:t>
      </w:r>
    </w:p>
    <w:p w14:paraId="21E0C684"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politiche di investimento e relative fonti di finanziamento;</w:t>
      </w:r>
    </w:p>
    <w:p w14:paraId="472C8BAC"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servizi pubblici locali e forme associative e di cooperazione;</w:t>
      </w:r>
    </w:p>
    <w:p w14:paraId="12F72E89"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verifiche sullo stato di attuazione dei programmi e degli equilibri di bilancio;</w:t>
      </w:r>
    </w:p>
    <w:p w14:paraId="2FC10A93"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riconoscimento e finanziamento dei debiti fuori bilancio ai sensi di legge;</w:t>
      </w:r>
    </w:p>
    <w:p w14:paraId="1BBF63D9"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assestamento generale di bilancio;</w:t>
      </w:r>
    </w:p>
    <w:p w14:paraId="18664963" w14:textId="77777777" w:rsidR="005F2916" w:rsidRPr="00554893" w:rsidRDefault="005F2916">
      <w:pPr>
        <w:numPr>
          <w:ilvl w:val="0"/>
          <w:numId w:val="19"/>
        </w:numPr>
        <w:spacing w:before="100" w:beforeAutospacing="1" w:after="100" w:afterAutospacing="1" w:line="240" w:lineRule="auto"/>
        <w:rPr>
          <w:rFonts w:ascii="Arial" w:eastAsia="Times New Roman" w:hAnsi="Arial" w:cs="Arial"/>
          <w:color w:val="333333"/>
          <w:sz w:val="24"/>
          <w:szCs w:val="24"/>
          <w:lang w:eastAsia="it-IT"/>
        </w:rPr>
      </w:pPr>
      <w:r w:rsidRPr="00554893">
        <w:rPr>
          <w:rFonts w:ascii="Arial" w:eastAsia="Times New Roman" w:hAnsi="Arial" w:cs="Arial"/>
          <w:color w:val="333333"/>
          <w:sz w:val="24"/>
          <w:szCs w:val="24"/>
          <w:lang w:eastAsia="it-IT"/>
        </w:rPr>
        <w:t>altri adempimenti espressamente previsti dalle norme di legge o regolamenti.</w:t>
      </w:r>
    </w:p>
    <w:p w14:paraId="271A0E5E"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I consigli comunali, provinciali e delle città metropolitane eleggono con voto limitato a due componenti, un collegio di revisori composto da tre membri.</w:t>
      </w:r>
    </w:p>
    <w:p w14:paraId="2DA5F6DA"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I componenti del collegio dei revisori sono scelti:</w:t>
      </w:r>
    </w:p>
    <w:p w14:paraId="52FBE6B4" w14:textId="77777777" w:rsidR="00C419B1" w:rsidRPr="00554893" w:rsidRDefault="00C419B1">
      <w:pPr>
        <w:pStyle w:val="NormaleWeb"/>
        <w:numPr>
          <w:ilvl w:val="0"/>
          <w:numId w:val="19"/>
        </w:numPr>
        <w:rPr>
          <w:rFonts w:ascii="Arial" w:hAnsi="Arial" w:cs="Arial"/>
          <w:color w:val="000000"/>
        </w:rPr>
      </w:pPr>
      <w:r w:rsidRPr="00554893">
        <w:rPr>
          <w:rFonts w:ascii="Arial" w:hAnsi="Arial" w:cs="Arial"/>
          <w:color w:val="000000"/>
        </w:rPr>
        <w:t>a) uno tra gli iscritti al registro dei revisori contabili, il quale svolge le funzioni di presidente del collegio;</w:t>
      </w:r>
      <w:r w:rsidRPr="00554893">
        <w:rPr>
          <w:rFonts w:ascii="Arial" w:hAnsi="Arial" w:cs="Arial"/>
          <w:color w:val="000000"/>
        </w:rPr>
        <w:br/>
        <w:t>b) uno tra gli iscritti nell'albo dei dottori commercialisti;</w:t>
      </w:r>
      <w:r w:rsidRPr="00554893">
        <w:rPr>
          <w:rFonts w:ascii="Arial" w:hAnsi="Arial" w:cs="Arial"/>
          <w:color w:val="000000"/>
        </w:rPr>
        <w:br/>
        <w:t>c) uno tra gli iscritti nell'albo dei ragionieri.</w:t>
      </w:r>
    </w:p>
    <w:p w14:paraId="24CE7B9B"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Nei comuni con popolazione inferiore a 15.000 abitanti, nelle unioni dei comuni, salvo quanto previsto dal comma 3-bis, e nelle comunità montane la revisione economico-finanziaria è affidata ad un solo revisore eletto dal consiglio comunale o dal consiglio dell'unione di comuni o dall'assemblea della comunità montana a maggioranza assoluta dei membri e scelto tra i soggetti di cui al comma 2.</w:t>
      </w:r>
    </w:p>
    <w:p w14:paraId="2068B896"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Gli enti locali comunicano ai propri tesorieri i nominativi dei soggetti cui è affidato l'incarico entro 20 giorni dall'avvenuta esecutività della delibera di nomina.</w:t>
      </w:r>
    </w:p>
    <w:p w14:paraId="6C7E0CB6" w14:textId="77777777" w:rsidR="00C419B1" w:rsidRPr="00554893" w:rsidRDefault="00C419B1" w:rsidP="00C419B1">
      <w:pPr>
        <w:rPr>
          <w:rFonts w:ascii="Arial" w:hAnsi="Arial" w:cs="Arial"/>
          <w:color w:val="000000"/>
          <w:sz w:val="24"/>
          <w:szCs w:val="24"/>
        </w:rPr>
      </w:pPr>
      <w:r w:rsidRPr="00554893">
        <w:rPr>
          <w:rFonts w:ascii="Arial" w:hAnsi="Arial" w:cs="Arial"/>
          <w:sz w:val="24"/>
          <w:szCs w:val="24"/>
        </w:rPr>
        <w:t xml:space="preserve">L'organo di revisione contabile dura in carica tre anni a decorrere dalla data di esecutività della e i suoi componenti non possono svolgere l’incarico per più di due volte nello stesso ente locale. Ove nei collegi si proceda a sostituzione di un singolo componente la durata dell'incarico del nuovo revisore è limitata al tempo residuo sino alla scadenza del termine triennale, calcolata a decorrere dalla nomina dell'intero collegio. </w:t>
      </w:r>
      <w:r w:rsidRPr="00554893">
        <w:rPr>
          <w:rFonts w:ascii="Arial" w:hAnsi="Arial" w:cs="Arial"/>
          <w:color w:val="000000"/>
          <w:sz w:val="24"/>
          <w:szCs w:val="24"/>
        </w:rPr>
        <w:t xml:space="preserve">Il revisore è revocabile solo per inadempienza ed in particolare per la mancata presentazione della relazione alla proposta di deliberazione consiliare del rendiconto entro il termine </w:t>
      </w:r>
    </w:p>
    <w:p w14:paraId="3ABA8120" w14:textId="77777777" w:rsidR="00C419B1" w:rsidRPr="00554893" w:rsidRDefault="00C419B1" w:rsidP="00C419B1">
      <w:pPr>
        <w:rPr>
          <w:rFonts w:ascii="Arial" w:hAnsi="Arial" w:cs="Arial"/>
          <w:color w:val="000000"/>
          <w:sz w:val="24"/>
          <w:szCs w:val="24"/>
        </w:rPr>
      </w:pPr>
      <w:r w:rsidRPr="00554893">
        <w:rPr>
          <w:rFonts w:ascii="Arial" w:hAnsi="Arial" w:cs="Arial"/>
          <w:color w:val="000000"/>
          <w:sz w:val="24"/>
          <w:szCs w:val="24"/>
        </w:rPr>
        <w:t>Il revisore cessa dall'incarico per:</w:t>
      </w:r>
    </w:p>
    <w:p w14:paraId="1FF88EC1"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a) scadenza del mandato;</w:t>
      </w:r>
      <w:r w:rsidRPr="00554893">
        <w:rPr>
          <w:rFonts w:ascii="Arial" w:hAnsi="Arial" w:cs="Arial"/>
          <w:color w:val="000000"/>
        </w:rPr>
        <w:br/>
        <w:t>b) dimissioni volontarie da comunicare con preavviso di almeno quarantacinque giorni e che non sono soggette ad accettazione da parte dell’ente;</w:t>
      </w:r>
      <w:r w:rsidRPr="00554893">
        <w:rPr>
          <w:rFonts w:ascii="Arial" w:hAnsi="Arial" w:cs="Arial"/>
          <w:color w:val="000000"/>
        </w:rPr>
        <w:br/>
        <w:t>c) impossibilità derivante da qualsivoglia causa a svolgere l'incarico per un periodo di tempo stabilito dal regolamento dell'ente.</w:t>
      </w:r>
    </w:p>
    <w:p w14:paraId="1D894BB2"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 xml:space="preserve"> Il collegio dei revisori è validamente costituito anche nel caso in cui siano presenti solo due componenti.</w:t>
      </w:r>
    </w:p>
    <w:p w14:paraId="3729AD61" w14:textId="77777777" w:rsidR="00C419B1" w:rsidRPr="00554893" w:rsidRDefault="00C419B1" w:rsidP="00C419B1">
      <w:pPr>
        <w:pStyle w:val="NormaleWeb"/>
        <w:rPr>
          <w:rFonts w:ascii="Arial" w:hAnsi="Arial" w:cs="Arial"/>
          <w:color w:val="000000"/>
        </w:rPr>
      </w:pPr>
      <w:r w:rsidRPr="00554893">
        <w:rPr>
          <w:rFonts w:ascii="Arial" w:hAnsi="Arial" w:cs="Arial"/>
          <w:color w:val="000000"/>
        </w:rPr>
        <w:t xml:space="preserve">L'organo </w:t>
      </w:r>
      <w:proofErr w:type="gramStart"/>
      <w:r w:rsidRPr="00554893">
        <w:rPr>
          <w:rFonts w:ascii="Arial" w:hAnsi="Arial" w:cs="Arial"/>
          <w:color w:val="000000"/>
        </w:rPr>
        <w:t>dei revisione</w:t>
      </w:r>
      <w:proofErr w:type="gramEnd"/>
      <w:r w:rsidRPr="00554893">
        <w:rPr>
          <w:rFonts w:ascii="Arial" w:hAnsi="Arial" w:cs="Arial"/>
          <w:color w:val="000000"/>
        </w:rPr>
        <w:t xml:space="preserve"> svolge le seguenti funzioni:</w:t>
      </w:r>
    </w:p>
    <w:p w14:paraId="54ED212D" w14:textId="77777777" w:rsidR="00C419B1" w:rsidRPr="00554893" w:rsidRDefault="00C419B1">
      <w:pPr>
        <w:pStyle w:val="NormaleWeb"/>
        <w:numPr>
          <w:ilvl w:val="0"/>
          <w:numId w:val="19"/>
        </w:numPr>
        <w:rPr>
          <w:rFonts w:ascii="Arial" w:hAnsi="Arial" w:cs="Arial"/>
          <w:color w:val="000000"/>
        </w:rPr>
      </w:pPr>
      <w:r w:rsidRPr="00554893">
        <w:rPr>
          <w:rFonts w:ascii="Arial" w:hAnsi="Arial" w:cs="Arial"/>
          <w:color w:val="000000"/>
        </w:rPr>
        <w:t>a) attività di collaborazione con l'organo consiliare secondo le disposizioni dello statuto e del regolamento;</w:t>
      </w:r>
      <w:r w:rsidRPr="00554893">
        <w:rPr>
          <w:rFonts w:ascii="Arial" w:hAnsi="Arial" w:cs="Arial"/>
          <w:color w:val="000000"/>
        </w:rPr>
        <w:br/>
        <w:t>b) pareri, con le modalità stabilite dal regolamento, in materia di:</w:t>
      </w:r>
      <w:r w:rsidRPr="00554893">
        <w:rPr>
          <w:rFonts w:ascii="Arial" w:hAnsi="Arial" w:cs="Arial"/>
          <w:color w:val="000000"/>
        </w:rPr>
        <w:br/>
        <w:t>1) strumenti di programmazione economico-finanziaria;</w:t>
      </w:r>
      <w:r w:rsidRPr="00554893">
        <w:rPr>
          <w:rFonts w:ascii="Arial" w:hAnsi="Arial" w:cs="Arial"/>
          <w:color w:val="000000"/>
        </w:rPr>
        <w:br/>
        <w:t>2) proposta di bilancio di previsione verifica degli equilibri e variazioni di bilancio escluse quelle attribuite alla competenza della giunta, del responsabile finanziario e dei dirigenti, a meno che il parere dei revisori sia espressamente previsto dalle norme o dai principi contabili, fermo restando la necessità dell'organo di revisione di verificare, in sede di esame del rendiconto della gestione, dandone conto nella propria relazione, l'esistenza dei presupposti che hanno dato luogo alle variazioni di bilancio approvate nel corso dell'esercizio, comprese quelle approvate nel corso dell'esercizio provvisorio;</w:t>
      </w:r>
      <w:r w:rsidRPr="00554893">
        <w:rPr>
          <w:rFonts w:ascii="Arial" w:hAnsi="Arial" w:cs="Arial"/>
          <w:color w:val="000000"/>
        </w:rPr>
        <w:br/>
        <w:t>3) modalità di gestione dei servizi e proposte di costituzione o di partecipazione ad organismi esterni;</w:t>
      </w:r>
      <w:r w:rsidRPr="00554893">
        <w:rPr>
          <w:rFonts w:ascii="Arial" w:hAnsi="Arial" w:cs="Arial"/>
          <w:color w:val="000000"/>
        </w:rPr>
        <w:br/>
        <w:t>4) proposte di ricorso all'indebitamento;</w:t>
      </w:r>
      <w:r w:rsidRPr="00554893">
        <w:rPr>
          <w:rFonts w:ascii="Arial" w:hAnsi="Arial" w:cs="Arial"/>
          <w:color w:val="000000"/>
        </w:rPr>
        <w:br/>
        <w:t>5) proposte di utilizzo di strumenti di finanza innovativa, nel rispetto della disciplina statale vigente in materia;</w:t>
      </w:r>
      <w:r w:rsidRPr="00554893">
        <w:rPr>
          <w:rFonts w:ascii="Arial" w:hAnsi="Arial" w:cs="Arial"/>
          <w:color w:val="000000"/>
        </w:rPr>
        <w:br/>
        <w:t>6) proposte di riconoscimento di debiti fuori bilancio e transazioni;</w:t>
      </w:r>
      <w:r w:rsidRPr="00554893">
        <w:rPr>
          <w:rFonts w:ascii="Arial" w:hAnsi="Arial" w:cs="Arial"/>
          <w:color w:val="000000"/>
        </w:rPr>
        <w:br/>
        <w:t>7) proposte di regolamento di contabilità, economato-provveditorato, patrimonio e di applicazione dei tributi locali;</w:t>
      </w:r>
    </w:p>
    <w:p w14:paraId="281EAB5E" w14:textId="77777777" w:rsidR="00C419B1" w:rsidRPr="00554893" w:rsidRDefault="00C419B1">
      <w:pPr>
        <w:pStyle w:val="NormaleWeb"/>
        <w:numPr>
          <w:ilvl w:val="0"/>
          <w:numId w:val="19"/>
        </w:numPr>
        <w:rPr>
          <w:rFonts w:ascii="Arial" w:hAnsi="Arial" w:cs="Arial"/>
          <w:color w:val="000000"/>
        </w:rPr>
      </w:pPr>
      <w:r w:rsidRPr="00554893">
        <w:rPr>
          <w:rFonts w:ascii="Arial" w:hAnsi="Arial" w:cs="Arial"/>
          <w:color w:val="000000"/>
        </w:rPr>
        <w:t>c) vigilanza sulla regolarità contabile, finanziaria ed economica della gestione relativamente all'acquisizione delle entrate, all'effettuazione delle spese, all'attività contrattuale, all'amministrazione dei beni, alla completezza della documentazione, agli adempimenti fiscali ed alla tenuta della contabilità; l'organo di revisione svolge tali funzioni anche con tecniche motivate di campionamento;</w:t>
      </w:r>
      <w:r w:rsidRPr="00554893">
        <w:rPr>
          <w:rFonts w:ascii="Arial" w:hAnsi="Arial" w:cs="Arial"/>
          <w:color w:val="000000"/>
        </w:rPr>
        <w:br/>
        <w:t>d) relazione sulla proposta di deliberazione consiliare di approvazione del rendiconto della gestione e sullo schema di rendiconto entro il termine, previsto dal regolamento di contabilità e comunque non inferiore a 20 giorni, decorrente dalla trasmissione della stessa proposta approvata dall'organo esecutivo. La relazione dedica un'apposita sezione all'eventuale rendiconto consolidato di cui all'articolo 11, commi 8 e 9, e contiene l'attestazione sulla corrispondenza del rendiconto alle risultanze della gestione nonché rilievi, considerazioni e proposte tendenti a conseguire efficienza, produttività ed economicità della gestione;</w:t>
      </w:r>
      <w:r w:rsidRPr="00554893">
        <w:rPr>
          <w:rFonts w:ascii="Arial" w:hAnsi="Arial" w:cs="Arial"/>
          <w:color w:val="000000"/>
        </w:rPr>
        <w:br/>
        <w:t>d-bis) relazione sulla proposta di deliberazione consiliare di approvazione del bilancio consolidato di cui all'articolo 233-bis e sullo schema di bilancio consolidato, entro il termine previsto dal regolamento di contabilità e comunque non inferiore a 20 giorni, decorrente dalla trasmissione della stessa proposta approvata dall'organo esecutivo;</w:t>
      </w:r>
      <w:r w:rsidRPr="00554893">
        <w:rPr>
          <w:rFonts w:ascii="Arial" w:hAnsi="Arial" w:cs="Arial"/>
          <w:b/>
          <w:bCs/>
          <w:i/>
          <w:iCs/>
          <w:color w:val="000000"/>
        </w:rPr>
        <w:br/>
      </w:r>
      <w:r w:rsidRPr="00554893">
        <w:rPr>
          <w:rFonts w:ascii="Arial" w:hAnsi="Arial" w:cs="Arial"/>
          <w:color w:val="000000"/>
        </w:rPr>
        <w:t>e) referto all'organo consiliare su gravi irregolarità di gestione, con contestuale denuncia ai competenti organi giurisdizionali ove si configurino ipotesi di responsabilità;</w:t>
      </w:r>
      <w:r w:rsidRPr="00554893">
        <w:rPr>
          <w:rFonts w:ascii="Arial" w:hAnsi="Arial" w:cs="Arial"/>
          <w:color w:val="000000"/>
        </w:rPr>
        <w:br/>
        <w:t>f) verifiche di cassa di cui all'articolo 223.</w:t>
      </w:r>
    </w:p>
    <w:p w14:paraId="3BA0FDD4" w14:textId="77777777" w:rsidR="00C419B1" w:rsidRPr="00554893" w:rsidRDefault="00C419B1">
      <w:pPr>
        <w:pStyle w:val="NormaleWeb"/>
        <w:numPr>
          <w:ilvl w:val="0"/>
          <w:numId w:val="19"/>
        </w:numPr>
        <w:rPr>
          <w:rFonts w:ascii="Arial" w:hAnsi="Arial" w:cs="Arial"/>
          <w:color w:val="000000"/>
        </w:rPr>
      </w:pPr>
      <w:r w:rsidRPr="00554893">
        <w:rPr>
          <w:rFonts w:ascii="Arial" w:hAnsi="Arial" w:cs="Arial"/>
          <w:color w:val="000000"/>
        </w:rPr>
        <w:t>1-bis. Nei pareri di cui alla lettera b) del comma 1 è espresso un motivato giudizio di congruità, di coerenza e di attendibilità contabile delle previsioni di bilancio e dei programmi e progetti, anche tenuto conto dell'attestazione del responsabile del servizio finanziario ai sensi dell'</w:t>
      </w:r>
      <w:hyperlink r:id="rId8" w:anchor="153" w:history="1">
        <w:r w:rsidRPr="00554893">
          <w:rPr>
            <w:rStyle w:val="Collegamentoipertestuale"/>
            <w:rFonts w:ascii="Arial" w:hAnsi="Arial" w:cs="Arial"/>
          </w:rPr>
          <w:t>articolo 153</w:t>
        </w:r>
      </w:hyperlink>
      <w:r w:rsidRPr="00554893">
        <w:rPr>
          <w:rFonts w:ascii="Arial" w:hAnsi="Arial" w:cs="Arial"/>
          <w:color w:val="000000"/>
        </w:rPr>
        <w:t xml:space="preserve">, delle variazioni rispetto all'anno precedente, dell'applicazione dei parametri di deficitarietà strutturale e di ogni altro elemento utile. Nei pareri sono suggerite all'organo consiliare le misure atte ad assicurare l'attendibilità delle impostazioni. I pareri sono obbligatori. L'organo consiliare è tenuto </w:t>
      </w:r>
      <w:proofErr w:type="gramStart"/>
      <w:r w:rsidRPr="00554893">
        <w:rPr>
          <w:rFonts w:ascii="Arial" w:hAnsi="Arial" w:cs="Arial"/>
          <w:color w:val="000000"/>
        </w:rPr>
        <w:t>ad</w:t>
      </w:r>
      <w:proofErr w:type="gramEnd"/>
      <w:r w:rsidRPr="00554893">
        <w:rPr>
          <w:rFonts w:ascii="Arial" w:hAnsi="Arial" w:cs="Arial"/>
          <w:color w:val="000000"/>
        </w:rPr>
        <w:t xml:space="preserve"> adottare i provvedimenti conseguenti o a motivare adeguatamente la mancata adozione delle misure proposte dall'organo di revisione.</w:t>
      </w:r>
      <w:r w:rsidRPr="00554893">
        <w:rPr>
          <w:rFonts w:ascii="Arial" w:hAnsi="Arial" w:cs="Arial"/>
          <w:b/>
          <w:bCs/>
          <w:color w:val="000000"/>
        </w:rPr>
        <w:br/>
      </w:r>
      <w:r w:rsidRPr="00554893">
        <w:rPr>
          <w:rFonts w:ascii="Arial" w:hAnsi="Arial" w:cs="Arial"/>
          <w:color w:val="000000"/>
        </w:rPr>
        <w:t xml:space="preserve">Al fine di garantire l'adempimento delle funzioni di cui al precedente comma, l'organo di revisione ha diritto di accesso agli atti e documenti dell'ente e può partecipare all'assemblea dell'organo consiliare per l'approvazione del bilancio di previsione e del rendiconto di gestione. Può altresì partecipare alle altre assemblee dell'organo consiliare e, se previsto dallo statuto dell'ente, alle riunioni dell'organo esecutivo. </w:t>
      </w:r>
    </w:p>
    <w:p w14:paraId="2A368F33" w14:textId="77777777" w:rsidR="00C419B1" w:rsidRPr="00554893" w:rsidRDefault="00C419B1">
      <w:pPr>
        <w:pStyle w:val="NormaleWeb"/>
        <w:numPr>
          <w:ilvl w:val="0"/>
          <w:numId w:val="19"/>
        </w:numPr>
        <w:rPr>
          <w:rFonts w:ascii="Arial" w:hAnsi="Arial" w:cs="Arial"/>
          <w:color w:val="000000"/>
        </w:rPr>
      </w:pPr>
      <w:r w:rsidRPr="00554893">
        <w:rPr>
          <w:rFonts w:ascii="Arial" w:hAnsi="Arial" w:cs="Arial"/>
          <w:color w:val="000000"/>
        </w:rPr>
        <w:t>I revisori rispondono della veridicità delle loro attestazioni e adempiono ai loro doveri con la diligenza del mandatario. Devono inoltre conservare la riservatezza sui fatti e documenti di cui hanno conoscenza per ragione del loro ufficio.</w:t>
      </w:r>
    </w:p>
    <w:p w14:paraId="0A20618F"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CONTROLLI ENTI LOCALI</w:t>
      </w:r>
    </w:p>
    <w:p w14:paraId="174B701C"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sistema dei controlli degli enti territoriali si fonda sul principio dell’equiordinazione costituzionale di tali enti con gli altri livelli di governo. Tale principio fa si che l’ente abbia capacità di verifica e di giudizio interno della propria attività.</w:t>
      </w:r>
    </w:p>
    <w:p w14:paraId="4418AEC0" w14:textId="77777777" w:rsidR="0082786C" w:rsidRPr="00554893" w:rsidRDefault="0082786C" w:rsidP="0082786C">
      <w:pPr>
        <w:spacing w:line="360" w:lineRule="auto"/>
        <w:rPr>
          <w:rFonts w:ascii="Arial" w:hAnsi="Arial" w:cs="Arial"/>
          <w:sz w:val="24"/>
          <w:szCs w:val="24"/>
        </w:rPr>
      </w:pPr>
    </w:p>
    <w:p w14:paraId="01F4C7A8"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Parallelamente, accanto al riconoscimento costituzionale dell’autonomia degli enti territoriali, si è venuto via via a ridurre il ruolo dei controlli esterni, sia con l’eliminazione dei controlli preventivi di legittimità, caratterizzati da un’impostazione di tipo gerarchico e pertanto lesiva dell’autonomia dei vari enti territoriali, sia con il ridimensionamento del ruolo della Corte dei conti, che ha conservato le proprie funzioni di controllore esterno attraverso un rapporto di tipo collaborativo.</w:t>
      </w:r>
    </w:p>
    <w:p w14:paraId="269C2B95"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Tuttavia, il contesto dinamico e le successive evoluzioni hanno imposto al legislatore riflessioni sull’adeguatezza dei controlli in essere e sulla necessità di migliorarli o integrarli, anche in ragione del principio del coordinamento della finanza pubblica - ai fini del raggiungimento degli obiettivi nazionali sulla base degli impegni comunitari - che ha determinato, da un lato, la previsione di vincoli sempre più stringenti alle politiche di bilancio degli enti territoriali e, dall’altro, l’intensificazione, in controtendenza rispetto al passato, del sistema dei controlli esterni sulla gestione finanziaria degli enti, affidato alla Corte dei conti.</w:t>
      </w:r>
    </w:p>
    <w:p w14:paraId="5040CBC5"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processo di rinnovamento del sistema dei controlli, nella XVI legislatura, è iniziato con il D.Lgs. n. 150 del 27 ottobre 2009, (c.d. Decreto Brunetta) che ha introdotto il concetto di valutazione delle performance individuali e organizzative del personale della pubblica amministrazione (compresi dunque gli enti territoriali) da esercitarsi attraverso Organismi indipendenti di valutazione, e si è andato poi sviluppando alla luce della riforma dei controlli di regolarità amministrativa e contabile e del potenziamento dell’attività di analisi e valutazione della spesa (ai sensi del D.Lgs. 30 giugno 2011, n. 123) e dei meccanismi sanzionatori e premiali per regioni, province e comuni, introdotti dal decreto legislativo 6 settembre 2011, n. 149, adottato in sede di attuazione della legge delega sul federalismo fiscale.</w:t>
      </w:r>
    </w:p>
    <w:p w14:paraId="60D630D6" w14:textId="77777777" w:rsidR="0082786C" w:rsidRPr="00554893" w:rsidRDefault="0082786C" w:rsidP="0082786C">
      <w:pPr>
        <w:spacing w:line="360" w:lineRule="auto"/>
        <w:rPr>
          <w:rFonts w:ascii="Arial" w:hAnsi="Arial" w:cs="Arial"/>
          <w:sz w:val="24"/>
          <w:szCs w:val="24"/>
        </w:rPr>
      </w:pPr>
      <w:proofErr w:type="gramStart"/>
      <w:r w:rsidRPr="00554893">
        <w:rPr>
          <w:rFonts w:ascii="Arial" w:hAnsi="Arial" w:cs="Arial"/>
          <w:sz w:val="24"/>
          <w:szCs w:val="24"/>
        </w:rPr>
        <w:t>E’</w:t>
      </w:r>
      <w:proofErr w:type="gramEnd"/>
      <w:r w:rsidRPr="00554893">
        <w:rPr>
          <w:rFonts w:ascii="Arial" w:hAnsi="Arial" w:cs="Arial"/>
          <w:sz w:val="24"/>
          <w:szCs w:val="24"/>
        </w:rPr>
        <w:t xml:space="preserve"> stato poi adottato il decreto legge n. 174 del 10 ottobre 2012, che ha integralmente rivisto e potenziato il sistema dei controlli, sia interni che esterni, degli enti territoriali, finalizzandolo all’esigenza di rafforzamento del coordinamento della finanza pubblica e di garanzia del rispetto dei vincoli finanziari derivanti dall’appartenenza dell’Italia all’Unione europea.</w:t>
      </w:r>
    </w:p>
    <w:p w14:paraId="141C6DA4"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 controlli interni sugli enti locali</w:t>
      </w:r>
    </w:p>
    <w:p w14:paraId="21A6F5A3"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sistema dei controlli interni negli enti locali ha subito, nel corso della legislatura, una profonda innovazione, determinata dal D.Lgs. 27 ottobre 2009, n. 150 e, in particolare, dall’articolo 3 del D.L. 10 ottobre 2012, n. 174, provvedimento quest’ultimo che ha completamente ridisegnato l’assetto delineato dall'articolo 147 del D.Lgs. 18 agosto 2000, n. 267 (Testo Unico delle leggi sull’ordinamento degli enti locali). Tale assetto era originariamente basato sulle seguenti tipologie di controlli:</w:t>
      </w:r>
    </w:p>
    <w:p w14:paraId="1D2A2584"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controllo di regolarità amministrativa e contabile;</w:t>
      </w:r>
    </w:p>
    <w:p w14:paraId="74EDEE60"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il controllo di gestione; </w:t>
      </w:r>
    </w:p>
    <w:p w14:paraId="66DEC645"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il controllo strategico. </w:t>
      </w:r>
    </w:p>
    <w:p w14:paraId="0B692667"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 valutazione della dirigenza.</w:t>
      </w:r>
    </w:p>
    <w:p w14:paraId="5BF2EF05"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Con riferimento alla valutazione della dirigenza, il D.Lgs. n. 150 del 27 ottobre 2009 (c.d. Decreto Brunetta) è intervenuto attribuendo tale valutazione a nuovi soggetti, gli Organismi indipendenti di valutazione, i quali si sostituiscono, in tale attività, ai servizi di controllo interno. La misurazione della performance organizzativa e individuale si è sostituita alla previgente valutazione della dirigenza, estendendosi al personale amministrativo.</w:t>
      </w:r>
    </w:p>
    <w:p w14:paraId="11C87619" w14:textId="77777777" w:rsidR="0082786C" w:rsidRPr="00554893" w:rsidRDefault="0082786C" w:rsidP="0082786C">
      <w:pPr>
        <w:spacing w:line="360" w:lineRule="auto"/>
        <w:rPr>
          <w:rFonts w:ascii="Arial" w:hAnsi="Arial" w:cs="Arial"/>
          <w:sz w:val="24"/>
          <w:szCs w:val="24"/>
        </w:rPr>
      </w:pPr>
    </w:p>
    <w:p w14:paraId="52676A68"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controllo sulla dirigenza, ora disciplinato per tutte le pubbliche amministrazioni nel citato D.Lgs. n. 150/2009, è dunque fuoriuscito dal sistema dei controlli interni dell’ente locale delineati dal TUEL, pur restando strettamente legato alle verifiche attinenti al ciclo strategico dell’ente.</w:t>
      </w:r>
    </w:p>
    <w:p w14:paraId="646A0300"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Con riferimento alle altre tipologie di controlli, l’articolo 3 del D.L. n. 174/2012 ha operato diverse novelle al fine di implementare il sistema preesistente. In particolare, oltre ai controlli di regolarità amministrativa contabile, di gestione e di controllo strategico, compaiono ora nuove attività, quali:</w:t>
      </w:r>
    </w:p>
    <w:p w14:paraId="5202146E"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il controllo sugli equilibri finanziari dell’ente, che è strumentale alla realizzazione degli obiettivi di finanza pubblica determinati dal Patto di stabilita' </w:t>
      </w:r>
      <w:proofErr w:type="gramStart"/>
      <w:r w:rsidRPr="00554893">
        <w:rPr>
          <w:rFonts w:ascii="Arial" w:hAnsi="Arial" w:cs="Arial"/>
          <w:sz w:val="24"/>
          <w:szCs w:val="24"/>
        </w:rPr>
        <w:t>interno ,</w:t>
      </w:r>
      <w:proofErr w:type="gramEnd"/>
      <w:r w:rsidRPr="00554893">
        <w:rPr>
          <w:rFonts w:ascii="Arial" w:hAnsi="Arial" w:cs="Arial"/>
          <w:sz w:val="24"/>
          <w:szCs w:val="24"/>
        </w:rPr>
        <w:t xml:space="preserve"> mediante il coordinamento e la vigilanza del responsabile del servizio finanziario, nonché dei responsabili dei servizi;</w:t>
      </w:r>
    </w:p>
    <w:p w14:paraId="34D69C59"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 verifica, attraverso il controllo sullo stato di attuazione di indirizzi ed obiettivi gestionali, dell’efficacia ed economicità degli organismi gestionali esterni all’ente;</w:t>
      </w:r>
    </w:p>
    <w:p w14:paraId="2838DAC0"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 verifica della qualità dei servizi erogati, sia direttamente, sia mediante organismi gestionali esterni.</w:t>
      </w:r>
    </w:p>
    <w:p w14:paraId="282CB81D"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In parallelo alle suddette due attività di verifica dell’efficacia degli organismi gestionali esterni all’ente e della  qualità dei servizi erogati - le quali appaiono comunque inquadrarsi nell’alveo dei controlli gestionali estesi agli enti facenti parte del bilancio consolidato dell’ente - viene specificamente introdotta una nuova tipologia di controllo interno, il controllo sulle societa' partecipate dagli enti locali, il quale dovrà essere periodico e prevedere l’analisi degli scostamenti rispetto agli obiettivi assegnati, anche con riferimento ai possibili squilibri economico finanziari rilevati per il bilancio dell’ente locale. Il controllo sulle partecipate riguarda sia aspetti di regolarità amministrativa e contabile (ricomprendendo anche la verifica dell'andamento economico finanziario della società al fine di rilevare possibili ripercussioni sull'ente locale) che aspetti tipici del controllo di gestione e del controllo strategico.</w:t>
      </w:r>
    </w:p>
    <w:p w14:paraId="56A00B7F"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sistema di controlli sulle società partecipate, che deve essere definito secondo l’autonomia organizzativa dell’ente, riguarda gli enti locali con popolazione superiore a 100.000 abitanti in fase di prima applicazione, a 50.000 abitanti per il 2014 e a 15.000 abitanti a decorrere dal 2015.</w:t>
      </w:r>
    </w:p>
    <w:p w14:paraId="54E5F49B"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L’introduzione del controllo sulle società partecipate rappresenta uno degli elementi più innovativi della riforma del sistema dei controlli, quale momento indispensabile alla governance dell’ente locale come “gruppo”.</w:t>
      </w:r>
    </w:p>
    <w:p w14:paraId="14E5C69D"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In merito si sottolinea come negli ultimi anni, infatti, si sia registrata una crescente attenzione del legislatore sul tema delle società controllate dagli enti locali - secondo una tendenza già in atto nella legislatura precedente – che discende dalla effettiva necessità di controllare con sempre maggiore attenzione la spesa complessiva delle amministrazioni locali, posto che non di rado le situazioni di dissesto o comunque di serio squilibrio economico finanziario dell’ente locale possono essere connesse a circostanze che vedono coinvolti gli enti partecipati.</w:t>
      </w:r>
    </w:p>
    <w:p w14:paraId="4E012284"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Altro aspetto importante del controllo sulle società partecipate è previsto dal nuovo articolo 147-quater del D.Lgs. n. 267/2000 (TUEL), il quale ribadisce l’obbligo di redazione del bilancio consolidato, già previsto nell’ambito del D.Lgs. 23 giugno 2011, n. 118 in tema di armonizzazione dei sistemi contabili e degli schemi di bilancio delle Regioni, degli Enti Locali e dei loro organismi.</w:t>
      </w:r>
    </w:p>
    <w:p w14:paraId="1C96059C"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 Per ciò che concerne i controlli pre-esistenti, quali, in particolare, il controllo sulla regolarità amministrativo contabile, si osservi, infine, che sono stati implementati e resi più stringenti dal D.L. n. 174/2012 i casi in cui in cui è obbligatorio il parere di regolarità contabile del responsabile di ragioneria, stabilendosi che tale parere debba essere richiesto non solo per le proposte di delibere sottoposte alla Giunta e al Consiglio che comportino impegno di spesa o diminuzione di entrata, ma su ogni proposta di deliberazione che comporti riflessi diretti o indiretti sulla situazione economico-finanziaria o sul patrimonio dell’ente.</w:t>
      </w:r>
    </w:p>
    <w:p w14:paraId="4261FB7A"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 L'operazione di rafforzamento del sistema dei controlli interni non poteva, inoltre, non coinvolgere il ruolo svolto dal revisore contabile dell'ente, in particolare ampliando la gamma degli atti che necessitano "obbligatoriamente" del parere dell'organo di revisione.</w:t>
      </w:r>
    </w:p>
    <w:p w14:paraId="43F94DF0"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 Ai fini della verifica della situazione finanziaria degli enti locali, si ricorda, inoltre, che il D.Lgs. n. 149/2011 (cosiddetto "premi e sanzioni", emanato in attuazione della legge n. 42/2009 sul federalismo fiscale) ha introdotto alcuni specifici strumenti volti a garantire il coordinamento della finanza pubblica ed in particolare il principio di trasparenza delle decisioni di entrata e di spesa. In particolare, il decreto legislativo ha previsto per le province e gli enti locali, così come per le regioni, l’obbligo di redigere una “relazione di fine mandato”, consistente in un documento sottoscritto dal presidente della provincia o dal sindaco, certificato dagli organi di controllo interno dell’ente, e verificato da un apposito Tavolo tecnico interistituzionale.</w:t>
      </w:r>
    </w:p>
    <w:p w14:paraId="4E2FC920"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documento costituisce in sostanza uno strumento di rendicontazione delle principali attività normative e amministrative svolte durante il mandato, con particolare riferimento al sistema e agli esiti dei controlli interni, agli eventuali rilievi della Corte dei Conti, alle azioni intraprese per il rispetto dei saldi di finanza pubblica programmati e lo stato del percorso di convergenza verso i fabbisogni standard, alla situazione finanziaria e patrimoniale, anche evidenziando le carenze riscontrate nella gestione degli enti e società controllate dal comune o dalla provincia, alle azioni di contenimento della spesa e stato del percorso di convergenza ai fabbisogni standard, alla quantificazione della misura dell'indebitamento provinciale o comunale. Esso deve essere pubblicato, unitamente al rapporto di verifica, sul sito istituzionale della provincia o del comune.</w:t>
      </w:r>
    </w:p>
    <w:p w14:paraId="1A43C1C5"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Con il D.L. n. 174/2011, è stato inoltre previsto l'obbigo per comuni e province di redigere anche una relazione di inizio mandato, volta a verificare la situazione finanziaria e patrimoniale e la misura dell'indebitamento dei medesimi enti. La relazione di inizio mandato, predisposta dal responsabile del servizio finanziario o dal segretario generale, è sottoscritta dal presidente della provincia o dal sindaco entro il novantesimo giorno dall'inizio del mandato.</w:t>
      </w:r>
    </w:p>
    <w:p w14:paraId="346D60AF"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 controlli esterni sugli enti locali</w:t>
      </w:r>
    </w:p>
    <w:p w14:paraId="6322E34D"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Per quanto concerne i controlli esterni sugli enti locali, l’articolo 3 del D.L. n. 174/2012 ha potenziato i poteri della Corte dei conti, già da tempo operanti nell'ordinamento (in particolare sulla base di quanto disposto dall’articolo 7, comma 7, della legge n. 131 del 2003, dall’articolo 1, commi 166 e seguenti, della legge n. 266 del 2005 e dall’articolo 11 della legge n. 15 del 2009).</w:t>
      </w:r>
    </w:p>
    <w:p w14:paraId="4C76F6FC"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 funzione di controllo della Corte nei confronti degli enti locali, ne risulta consistentemente ampliata, e viene ora a comprendere, anche in corso di esercizio:</w:t>
      </w:r>
    </w:p>
    <w:p w14:paraId="0AEDFE9D"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 regolarità della gestione finanziaria e degli atti di programmazione;</w:t>
      </w:r>
    </w:p>
    <w:p w14:paraId="674D7113"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la verifica del funzionamento dei controlli interni di ciascun ente. </w:t>
      </w:r>
    </w:p>
    <w:p w14:paraId="20F7CDE8"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A tal fine, il nuovo articolo 148 del D.Lgs. n. 267/2000 prevede che le sezioni regionali della Corte verifichino, semestralmente – tramite l’apposito referto ad esse inviato dall’ente - la regolarità della gestione e il funzionamento dei controlli interni adottati al fine del rispetto delle regole contabili e del pareggio di bilancio di ciascun ente locale. Per l'effettuazione dell'attività di verifica semestrale le sezioni regionali di controllo della Corte possono avvalersi anche del Corpo della Guardia di finanza o dei servizi ispettivi del Dipartimento della Ragioneria Generale dello Stato previsti dall'articolo 14 della legge di contabilità nazionale.</w:t>
      </w:r>
    </w:p>
    <w:p w14:paraId="5DA2F540" w14:textId="77777777" w:rsidR="0082786C" w:rsidRPr="00554893" w:rsidRDefault="0082786C" w:rsidP="0082786C">
      <w:pPr>
        <w:spacing w:line="360" w:lineRule="auto"/>
        <w:rPr>
          <w:rFonts w:ascii="Arial" w:hAnsi="Arial" w:cs="Arial"/>
          <w:sz w:val="24"/>
          <w:szCs w:val="24"/>
        </w:rPr>
      </w:pPr>
    </w:p>
    <w:p w14:paraId="4FA78C63"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Alla Corte è affidato, inoltre, un potere sanzionatorio nei confronti degli amministratori dell’ente locale responsabili.</w:t>
      </w:r>
    </w:p>
    <w:p w14:paraId="69C1A0A2"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rafforzamento del controllo della Corte dei conti sulla gestione finanziaria degli enti locali, disciplinato dal nuovo articolo 148-bis del D.Lgs. n. 267/2000, comporta, nello specifico, che le sezioni regionali di controllo sono tenute ad esaminare i bilanci preventivi e i rendiconti consuntivi degli enti locali ai fini della verifica del rispetto degli obiettivi annuali posti dal patto di stabilita' interno, dell'osservanza del vincolo previsto in materia di indebitamento dall'articolo 119 della Costituzione nonché della sostenibilità dell' indebitamento degli enti territoriali, dell'assenza di irregolarità, suscettibili di pregiudicare, anche in prospettiva, gli equilibri economico-finanziari degli enti.</w:t>
      </w:r>
    </w:p>
    <w:p w14:paraId="443C4B8E"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L'accertamento, da parte delle competenti sezioni regionali di controllo della Corte, di squilibri economico-finanziari, della mancata copertura di spese, della violazione di norme finalizzate a garantire la regolarità della gestione finanziaria, o del mancato rispetto degli obiettivi posti con il patto di stabilità interno, ha effetti inibenti per gli enti locali, i quali sono tenuti a rimuovere le irregolarità e a ripristinare gli equilibri di bilancio, pena l’impossibilità di dare attuazione ai programmi di spesa per i quali è stata accertata la non sostenibilità finanziaria.</w:t>
      </w:r>
    </w:p>
    <w:p w14:paraId="582B6538"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Si consideri, poi, che, ai sensi del decreto legislativo 6 settembre 2011, n. 149, ulteriori conseguenze – quali la declaratoria dello stato di dissesto dell’ente - sono state previste qualora il controllo della Corte dei conti sulla sana gestione finanziaria degli enti locali abbia dato esito negativo e gli enti non abbiano provveduto </w:t>
      </w:r>
      <w:proofErr w:type="gramStart"/>
      <w:r w:rsidRPr="00554893">
        <w:rPr>
          <w:rFonts w:ascii="Arial" w:hAnsi="Arial" w:cs="Arial"/>
          <w:sz w:val="24"/>
          <w:szCs w:val="24"/>
        </w:rPr>
        <w:t>ad</w:t>
      </w:r>
      <w:proofErr w:type="gramEnd"/>
      <w:r w:rsidRPr="00554893">
        <w:rPr>
          <w:rFonts w:ascii="Arial" w:hAnsi="Arial" w:cs="Arial"/>
          <w:sz w:val="24"/>
          <w:szCs w:val="24"/>
        </w:rPr>
        <w:t xml:space="preserve"> adottare le necessarie misure correttive dalla medesima Corte indicate.</w:t>
      </w:r>
    </w:p>
    <w:p w14:paraId="13D6FEFF"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In particolare, si prevede che il dissesto dell’ente sia disposto da un commissario ad acta nominato dal prefetto ed il consiglio dell'ente sia sciolto qualora dalle pronunce delle sezioni regionali emergano comportamenti dell’ente difformi dalla sana gestione finanziaria ovvero irregolarità contabili o squilibri strutturali del bilancio tali da provocarne il dissesto, e l’ente perduri nel non adottare le necessarie misure correttive dalla stessa Corte indicate.</w:t>
      </w:r>
    </w:p>
    <w:p w14:paraId="3A013476"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 xml:space="preserve"> I controlli esterni sono esercitati, oltre che dalle sezioni regionali di controllo della Corte dei conti, anche dal Ministero dell’economia e finanze – Ragioneria Generale dello Stato, per tramite dei Servizi ispettivi di finanza pubblica (SiFiP) - che, in via generale, ai sensi della disciplina sui poteri di monitoraggio attribuiti alla RGS dalla legge di contabilità nazionale (articolo 14, legge n. 196/2009), procede in ogni caso ad effettuare verifiche circa gli eventuali scostamenti dagli obiettivi di finanza pubblica.</w:t>
      </w:r>
    </w:p>
    <w:p w14:paraId="5B4652B4"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In particolare, l’articolo 5 del D.Lgs. n. 149/2011 (cosiddetto "premi e sanzioni", già sopra più volte citato) consente al Ministero dell'economia e delle finanze - Dipartimento della Ragioneria generale dello Stato – di attivare verifiche sulla regolarità della gestione amministrativo-contabile, qualora un ente, anche attraverso le rilevazioni SIOPE, evidenzi situazioni di squilibrio finanziario riferibili ai seguenti indicatori: ripetuto utilizzo dell'anticipazione di tesoreria; disequilibrio consolidato della parte corrente del bilancio; anomale modalità di gestione dei servizi per conto di terzi.</w:t>
      </w:r>
    </w:p>
    <w:p w14:paraId="33DFBA4E"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Il SiFiP, in tale verifica, come già detto, può essere anche attivato dalla Corte dei conti.</w:t>
      </w:r>
    </w:p>
    <w:p w14:paraId="28FAFFEE" w14:textId="77777777" w:rsidR="0082786C" w:rsidRPr="00554893" w:rsidRDefault="0082786C" w:rsidP="0082786C">
      <w:pPr>
        <w:spacing w:line="360" w:lineRule="auto"/>
        <w:rPr>
          <w:rFonts w:ascii="Arial" w:hAnsi="Arial" w:cs="Arial"/>
          <w:sz w:val="24"/>
          <w:szCs w:val="24"/>
        </w:rPr>
      </w:pPr>
      <w:r w:rsidRPr="00554893">
        <w:rPr>
          <w:rFonts w:ascii="Arial" w:hAnsi="Arial" w:cs="Arial"/>
          <w:sz w:val="24"/>
          <w:szCs w:val="24"/>
        </w:rPr>
        <w:t>CONTROLLO SUGLI ORGANI</w:t>
      </w:r>
    </w:p>
    <w:p w14:paraId="40390CC7" w14:textId="77777777" w:rsidR="0082786C" w:rsidRPr="00554893" w:rsidRDefault="0082786C" w:rsidP="0082786C">
      <w:pPr>
        <w:pStyle w:val="Corpotesto"/>
        <w:shd w:val="clear" w:color="auto" w:fill="FFFFFF"/>
        <w:jc w:val="both"/>
        <w:rPr>
          <w:rFonts w:ascii="Arial" w:hAnsi="Arial" w:cs="Arial"/>
          <w:color w:val="000000"/>
        </w:rPr>
      </w:pPr>
      <w:r w:rsidRPr="00554893">
        <w:rPr>
          <w:rFonts w:ascii="Arial" w:hAnsi="Arial" w:cs="Arial"/>
          <w:color w:val="000000"/>
        </w:rPr>
        <w:t xml:space="preserve">L’attività di verifica, oltre che sugli atti, viene esercitata anche sugli organi degli enti locali. </w:t>
      </w:r>
      <w:proofErr w:type="gramStart"/>
      <w:r w:rsidRPr="00554893">
        <w:rPr>
          <w:rFonts w:ascii="Arial" w:hAnsi="Arial" w:cs="Arial"/>
          <w:color w:val="000000"/>
        </w:rPr>
        <w:t>Infatti</w:t>
      </w:r>
      <w:proofErr w:type="gramEnd"/>
      <w:r w:rsidRPr="00554893">
        <w:rPr>
          <w:rFonts w:ascii="Arial" w:hAnsi="Arial" w:cs="Arial"/>
          <w:color w:val="000000"/>
        </w:rPr>
        <w:t xml:space="preserve"> i Consigli comunali o provinciali possono essere sciolti con decreto del Presidente della Repubblica, su proposta del Ministro dell’interno:</w:t>
      </w:r>
    </w:p>
    <w:p w14:paraId="67ABF46C" w14:textId="77777777" w:rsidR="0082786C" w:rsidRPr="00554893" w:rsidRDefault="0082786C">
      <w:pPr>
        <w:pStyle w:val="Paragrafoelenco"/>
        <w:numPr>
          <w:ilvl w:val="0"/>
          <w:numId w:val="12"/>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Quando compiano atti contrari alla Costituzione,</w:t>
      </w:r>
    </w:p>
    <w:p w14:paraId="4ACCD409" w14:textId="77777777" w:rsidR="0082786C" w:rsidRPr="00554893" w:rsidRDefault="0082786C">
      <w:pPr>
        <w:pStyle w:val="Paragrafoelenco"/>
        <w:numPr>
          <w:ilvl w:val="0"/>
          <w:numId w:val="12"/>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Per gravi e persistenti violazioni di legge,</w:t>
      </w:r>
    </w:p>
    <w:p w14:paraId="2EEF4053" w14:textId="77777777" w:rsidR="0082786C" w:rsidRPr="00554893" w:rsidRDefault="0082786C">
      <w:pPr>
        <w:pStyle w:val="Paragrafoelenco"/>
        <w:numPr>
          <w:ilvl w:val="1"/>
          <w:numId w:val="13"/>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Per gravi motivi di ordine pubblico,</w:t>
      </w:r>
    </w:p>
    <w:p w14:paraId="2B838EF0" w14:textId="77777777" w:rsidR="0082786C" w:rsidRPr="00554893" w:rsidRDefault="0082786C">
      <w:pPr>
        <w:pStyle w:val="Paragrafoelenco"/>
        <w:numPr>
          <w:ilvl w:val="1"/>
          <w:numId w:val="13"/>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Quando non possa essere assicurato il normale funzionamento degli organi e dei servizi per:</w:t>
      </w:r>
    </w:p>
    <w:p w14:paraId="710F5E68" w14:textId="77777777" w:rsidR="0082786C" w:rsidRPr="00554893" w:rsidRDefault="0082786C">
      <w:pPr>
        <w:pStyle w:val="Corpotesto"/>
        <w:numPr>
          <w:ilvl w:val="0"/>
          <w:numId w:val="16"/>
        </w:numPr>
        <w:shd w:val="clear" w:color="auto" w:fill="FFFFFF"/>
        <w:jc w:val="both"/>
        <w:rPr>
          <w:rFonts w:ascii="Arial" w:hAnsi="Arial" w:cs="Arial"/>
          <w:color w:val="000000"/>
        </w:rPr>
      </w:pPr>
      <w:r w:rsidRPr="00554893">
        <w:rPr>
          <w:rFonts w:ascii="Arial" w:hAnsi="Arial" w:cs="Arial"/>
          <w:color w:val="000000"/>
        </w:rPr>
        <w:t>dimissioni\impedimento permanente\rimozione\decadenza\decesso del sindaco o del presidente della provincia;</w:t>
      </w:r>
    </w:p>
    <w:p w14:paraId="75A5B816" w14:textId="77777777" w:rsidR="0082786C" w:rsidRPr="00554893" w:rsidRDefault="0082786C">
      <w:pPr>
        <w:pStyle w:val="Corpotesto"/>
        <w:numPr>
          <w:ilvl w:val="0"/>
          <w:numId w:val="16"/>
        </w:numPr>
        <w:shd w:val="clear" w:color="auto" w:fill="FFFFFF"/>
        <w:jc w:val="both"/>
        <w:rPr>
          <w:rFonts w:ascii="Arial" w:hAnsi="Arial" w:cs="Arial"/>
          <w:color w:val="000000"/>
        </w:rPr>
      </w:pPr>
      <w:r w:rsidRPr="00554893">
        <w:rPr>
          <w:rFonts w:ascii="Arial" w:hAnsi="Arial" w:cs="Arial"/>
          <w:color w:val="000000"/>
        </w:rPr>
        <w:t xml:space="preserve">cessazione dalla carica per dimissioni contestuali, ovvero rese anche con atti separati purché contemporaneamente presentati al protocollo dell’ente, della metà </w:t>
      </w:r>
      <w:proofErr w:type="gramStart"/>
      <w:r w:rsidRPr="00554893">
        <w:rPr>
          <w:rFonts w:ascii="Arial" w:hAnsi="Arial" w:cs="Arial"/>
          <w:color w:val="000000"/>
        </w:rPr>
        <w:t>più  uno</w:t>
      </w:r>
      <w:proofErr w:type="gramEnd"/>
      <w:r w:rsidRPr="00554893">
        <w:rPr>
          <w:rFonts w:ascii="Arial" w:hAnsi="Arial" w:cs="Arial"/>
          <w:color w:val="000000"/>
        </w:rPr>
        <w:t xml:space="preserve"> dei membri assegnati, non computando a tal fine il sindaco o il presidente della provincia;</w:t>
      </w:r>
    </w:p>
    <w:p w14:paraId="71940B04" w14:textId="77777777" w:rsidR="0082786C" w:rsidRPr="00554893" w:rsidRDefault="0082786C">
      <w:pPr>
        <w:pStyle w:val="Corpotesto"/>
        <w:numPr>
          <w:ilvl w:val="0"/>
          <w:numId w:val="16"/>
        </w:numPr>
        <w:shd w:val="clear" w:color="auto" w:fill="FFFFFF"/>
        <w:jc w:val="both"/>
        <w:rPr>
          <w:rFonts w:ascii="Arial" w:hAnsi="Arial" w:cs="Arial"/>
          <w:color w:val="000000"/>
        </w:rPr>
      </w:pPr>
      <w:r w:rsidRPr="00554893">
        <w:rPr>
          <w:rFonts w:ascii="Arial" w:hAnsi="Arial" w:cs="Arial"/>
          <w:color w:val="000000"/>
        </w:rPr>
        <w:t>riduzione dell’organico assembleare per impossibilità di surroga alla metà dei componenti del consiglio;</w:t>
      </w:r>
    </w:p>
    <w:p w14:paraId="57778F5D" w14:textId="77777777" w:rsidR="0082786C" w:rsidRPr="00554893" w:rsidRDefault="0082786C">
      <w:pPr>
        <w:pStyle w:val="Paragrafoelenco"/>
        <w:numPr>
          <w:ilvl w:val="0"/>
          <w:numId w:val="14"/>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 xml:space="preserve">Quando non sia approvato nei termini il bilancio. </w:t>
      </w:r>
    </w:p>
    <w:p w14:paraId="20C3C6D1" w14:textId="77777777" w:rsidR="0082786C" w:rsidRPr="00554893" w:rsidRDefault="0082786C" w:rsidP="0082786C">
      <w:pPr>
        <w:pStyle w:val="Corpotesto"/>
        <w:shd w:val="clear" w:color="auto" w:fill="FFFFFF"/>
        <w:jc w:val="both"/>
        <w:rPr>
          <w:rFonts w:ascii="Arial" w:hAnsi="Arial" w:cs="Arial"/>
          <w:color w:val="000000"/>
        </w:rPr>
      </w:pPr>
      <w:r w:rsidRPr="00554893">
        <w:rPr>
          <w:rFonts w:ascii="Arial" w:hAnsi="Arial" w:cs="Arial"/>
          <w:color w:val="000000"/>
        </w:rPr>
        <w:t>Relativamente ai singoli amministratori, con decreto del Ministro dell’interno,</w:t>
      </w:r>
    </w:p>
    <w:p w14:paraId="11AF0636"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il sindaco,</w:t>
      </w:r>
    </w:p>
    <w:p w14:paraId="028E07A2"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il presidente della provincia,</w:t>
      </w:r>
    </w:p>
    <w:p w14:paraId="1DC7864E"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 presidenti dei consorzi,</w:t>
      </w:r>
    </w:p>
    <w:p w14:paraId="0A781783"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 presidenti delle comunità montane,</w:t>
      </w:r>
    </w:p>
    <w:p w14:paraId="3C2AB769"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 componenti dei consigli,</w:t>
      </w:r>
    </w:p>
    <w:p w14:paraId="4DCB012C"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 componenti delle giunte,</w:t>
      </w:r>
    </w:p>
    <w:p w14:paraId="7FF8E081" w14:textId="77777777" w:rsidR="0082786C" w:rsidRPr="00554893" w:rsidRDefault="0082786C" w:rsidP="0082786C">
      <w:pPr>
        <w:pStyle w:val="Corpotesto"/>
        <w:shd w:val="clear" w:color="auto" w:fill="FFFFFF"/>
        <w:ind w:left="360" w:hanging="360"/>
        <w:jc w:val="both"/>
        <w:rPr>
          <w:rFonts w:ascii="Arial" w:hAnsi="Arial" w:cs="Arial"/>
          <w:color w:val="000000"/>
        </w:rPr>
      </w:pPr>
      <w:r w:rsidRPr="00554893">
        <w:rPr>
          <w:rFonts w:ascii="Arial" w:hAnsi="Arial" w:cs="Arial"/>
          <w:color w:val="000000"/>
        </w:rPr>
        <w:t>-       i presidenti dei consigli circoscrizionali,</w:t>
      </w:r>
    </w:p>
    <w:p w14:paraId="09C9A7CF" w14:textId="77777777" w:rsidR="0082786C" w:rsidRPr="00554893" w:rsidRDefault="0082786C" w:rsidP="0082786C">
      <w:pPr>
        <w:pStyle w:val="Corpotesto"/>
        <w:shd w:val="clear" w:color="auto" w:fill="FFFFFF"/>
        <w:jc w:val="both"/>
        <w:rPr>
          <w:rFonts w:ascii="Arial" w:hAnsi="Arial" w:cs="Arial"/>
          <w:color w:val="000000"/>
        </w:rPr>
      </w:pPr>
      <w:r w:rsidRPr="00554893">
        <w:rPr>
          <w:rFonts w:ascii="Arial" w:hAnsi="Arial" w:cs="Arial"/>
          <w:color w:val="000000"/>
        </w:rPr>
        <w:t>possono essere rimossi quando:</w:t>
      </w:r>
    </w:p>
    <w:p w14:paraId="183755E4" w14:textId="77777777" w:rsidR="0082786C" w:rsidRPr="00554893" w:rsidRDefault="0082786C">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Compiano atti contrari alla Costituzione,</w:t>
      </w:r>
    </w:p>
    <w:p w14:paraId="1DE6CD51" w14:textId="77777777" w:rsidR="0082786C" w:rsidRPr="00554893" w:rsidRDefault="0082786C">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Per gravi e persistenti violazioni di legge,</w:t>
      </w:r>
    </w:p>
    <w:p w14:paraId="3A5F6CD3" w14:textId="77777777" w:rsidR="00F33E3E" w:rsidRPr="00554893" w:rsidRDefault="0082786C">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Per gravi motivi di ordine pubblico</w:t>
      </w:r>
    </w:p>
    <w:p w14:paraId="79DEB0AB" w14:textId="77777777" w:rsidR="0082786C" w:rsidRPr="00554893" w:rsidRDefault="0082786C">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Con provvedimenti della autorità giudiziaria possono essere sospesi o decadere di diritto nei casi di cui all’art. 59 del D. lgs. 267\2000.</w:t>
      </w:r>
    </w:p>
    <w:p w14:paraId="6F2C7E0A" w14:textId="77777777" w:rsidR="00F33E3E" w:rsidRPr="00554893" w:rsidRDefault="00F33E3E" w:rsidP="00F33E3E">
      <w:pPr>
        <w:pStyle w:val="Corpodeltesto2"/>
        <w:shd w:val="clear" w:color="auto" w:fill="FFFFFF"/>
        <w:rPr>
          <w:rFonts w:ascii="Arial" w:hAnsi="Arial" w:cs="Arial"/>
          <w:color w:val="000000"/>
        </w:rPr>
      </w:pPr>
      <w:r w:rsidRPr="00554893">
        <w:rPr>
          <w:rFonts w:ascii="Arial" w:hAnsi="Arial" w:cs="Arial"/>
          <w:color w:val="000000"/>
        </w:rPr>
        <w:t>IL CONTROLLO SOSTITUTIVO</w:t>
      </w:r>
    </w:p>
    <w:p w14:paraId="18EC3175" w14:textId="77777777" w:rsidR="00F33E3E" w:rsidRPr="00554893" w:rsidRDefault="00F33E3E" w:rsidP="00F33E3E">
      <w:pPr>
        <w:pStyle w:val="Corpodeltesto2"/>
        <w:shd w:val="clear" w:color="auto" w:fill="FFFFFF"/>
        <w:rPr>
          <w:rFonts w:ascii="Arial" w:hAnsi="Arial" w:cs="Arial"/>
          <w:color w:val="000000"/>
        </w:rPr>
      </w:pPr>
      <w:r w:rsidRPr="00554893">
        <w:rPr>
          <w:rFonts w:ascii="Arial" w:hAnsi="Arial" w:cs="Arial"/>
          <w:color w:val="000000"/>
        </w:rPr>
        <w:t>Il controllo sostitutivo viene esercitato:</w:t>
      </w:r>
    </w:p>
    <w:p w14:paraId="383217AB" w14:textId="77777777" w:rsidR="00F33E3E" w:rsidRPr="00554893" w:rsidRDefault="00F33E3E">
      <w:pPr>
        <w:pStyle w:val="Corpodeltesto2"/>
        <w:numPr>
          <w:ilvl w:val="0"/>
          <w:numId w:val="15"/>
        </w:numPr>
        <w:shd w:val="clear" w:color="auto" w:fill="FFFFFF"/>
        <w:rPr>
          <w:rFonts w:ascii="Arial" w:hAnsi="Arial" w:cs="Arial"/>
          <w:color w:val="000000"/>
        </w:rPr>
      </w:pPr>
      <w:r w:rsidRPr="00554893">
        <w:rPr>
          <w:rFonts w:ascii="Arial" w:hAnsi="Arial" w:cs="Arial"/>
          <w:color w:val="000000"/>
        </w:rPr>
        <w:t xml:space="preserve"> dal difensore civico regionale, ove costituito, oppure dal comitato regionale di controllo in caso di:</w:t>
      </w:r>
    </w:p>
    <w:p w14:paraId="74C2BD81" w14:textId="77777777" w:rsidR="00F33E3E" w:rsidRPr="00554893" w:rsidRDefault="00F33E3E">
      <w:pPr>
        <w:pStyle w:val="Paragrafoelenco"/>
        <w:numPr>
          <w:ilvl w:val="0"/>
          <w:numId w:val="17"/>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ritardo od omissione nel compimento di atti:</w:t>
      </w:r>
    </w:p>
    <w:p w14:paraId="6DECFB84" w14:textId="77777777" w:rsidR="00F33E3E" w:rsidRPr="00554893" w:rsidRDefault="00F33E3E">
      <w:pPr>
        <w:pStyle w:val="Corpotesto"/>
        <w:numPr>
          <w:ilvl w:val="0"/>
          <w:numId w:val="17"/>
        </w:numPr>
        <w:shd w:val="clear" w:color="auto" w:fill="FFFFFF"/>
        <w:jc w:val="both"/>
        <w:rPr>
          <w:rFonts w:ascii="Arial" w:hAnsi="Arial" w:cs="Arial"/>
          <w:color w:val="000000"/>
        </w:rPr>
      </w:pPr>
      <w:r w:rsidRPr="00554893">
        <w:rPr>
          <w:rFonts w:ascii="Arial" w:hAnsi="Arial" w:cs="Arial"/>
          <w:color w:val="000000"/>
        </w:rPr>
        <w:t>obbligatori per legge,</w:t>
      </w:r>
    </w:p>
    <w:p w14:paraId="3779E852" w14:textId="77777777" w:rsidR="00F33E3E" w:rsidRPr="00554893" w:rsidRDefault="00F33E3E">
      <w:pPr>
        <w:pStyle w:val="Corpotesto"/>
        <w:numPr>
          <w:ilvl w:val="0"/>
          <w:numId w:val="17"/>
        </w:numPr>
        <w:shd w:val="clear" w:color="auto" w:fill="FFFFFF"/>
        <w:jc w:val="both"/>
        <w:rPr>
          <w:rFonts w:ascii="Arial" w:hAnsi="Arial" w:cs="Arial"/>
          <w:color w:val="000000"/>
        </w:rPr>
      </w:pPr>
      <w:r w:rsidRPr="00554893">
        <w:rPr>
          <w:rFonts w:ascii="Arial" w:hAnsi="Arial" w:cs="Arial"/>
          <w:color w:val="000000"/>
        </w:rPr>
        <w:t>da adottare entro termini perentori,</w:t>
      </w:r>
    </w:p>
    <w:p w14:paraId="5AD264E2" w14:textId="77777777" w:rsidR="00F33E3E" w:rsidRPr="00554893" w:rsidRDefault="00F33E3E">
      <w:pPr>
        <w:pStyle w:val="Corpotesto"/>
        <w:numPr>
          <w:ilvl w:val="0"/>
          <w:numId w:val="17"/>
        </w:numPr>
        <w:shd w:val="clear" w:color="auto" w:fill="FFFFFF"/>
        <w:jc w:val="both"/>
        <w:rPr>
          <w:rFonts w:ascii="Arial" w:hAnsi="Arial" w:cs="Arial"/>
          <w:color w:val="000000"/>
        </w:rPr>
      </w:pPr>
      <w:r w:rsidRPr="00554893">
        <w:rPr>
          <w:rFonts w:ascii="Arial" w:hAnsi="Arial" w:cs="Arial"/>
          <w:color w:val="000000"/>
        </w:rPr>
        <w:t>da adottare a seguito di decisioni definitive dell’A. G.,</w:t>
      </w:r>
    </w:p>
    <w:p w14:paraId="54751CCC" w14:textId="77777777" w:rsidR="00F33E3E" w:rsidRPr="00554893" w:rsidRDefault="00F33E3E">
      <w:pPr>
        <w:pStyle w:val="Corpotesto"/>
        <w:numPr>
          <w:ilvl w:val="0"/>
          <w:numId w:val="17"/>
        </w:numPr>
        <w:shd w:val="clear" w:color="auto" w:fill="FFFFFF"/>
        <w:jc w:val="both"/>
        <w:rPr>
          <w:rFonts w:ascii="Arial" w:hAnsi="Arial" w:cs="Arial"/>
          <w:color w:val="000000"/>
        </w:rPr>
      </w:pPr>
      <w:r w:rsidRPr="00554893">
        <w:rPr>
          <w:rFonts w:ascii="Arial" w:hAnsi="Arial" w:cs="Arial"/>
          <w:color w:val="000000"/>
        </w:rPr>
        <w:t xml:space="preserve">da adottare a seguito di provvedimenti coattivi di altre P. </w:t>
      </w:r>
      <w:proofErr w:type="gramStart"/>
      <w:r w:rsidRPr="00554893">
        <w:rPr>
          <w:rFonts w:ascii="Arial" w:hAnsi="Arial" w:cs="Arial"/>
          <w:color w:val="000000"/>
        </w:rPr>
        <w:t>A..</w:t>
      </w:r>
      <w:proofErr w:type="gramEnd"/>
    </w:p>
    <w:p w14:paraId="2BDEB120" w14:textId="77777777" w:rsidR="00F33E3E" w:rsidRPr="00554893" w:rsidRDefault="00F33E3E" w:rsidP="00F33E3E">
      <w:p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 xml:space="preserve">Segue la diffida </w:t>
      </w:r>
      <w:proofErr w:type="gramStart"/>
      <w:r w:rsidRPr="00554893">
        <w:rPr>
          <w:rFonts w:ascii="Arial" w:hAnsi="Arial" w:cs="Arial"/>
          <w:color w:val="000000"/>
          <w:sz w:val="24"/>
          <w:szCs w:val="24"/>
        </w:rPr>
        <w:t>ad</w:t>
      </w:r>
      <w:proofErr w:type="gramEnd"/>
      <w:r w:rsidRPr="00554893">
        <w:rPr>
          <w:rFonts w:ascii="Arial" w:hAnsi="Arial" w:cs="Arial"/>
          <w:color w:val="000000"/>
          <w:sz w:val="24"/>
          <w:szCs w:val="24"/>
        </w:rPr>
        <w:t xml:space="preserve"> adempiere entro un termine congruo; in caso di inottemperanza si procede alla nomina di un commissario </w:t>
      </w:r>
      <w:r w:rsidRPr="00554893">
        <w:rPr>
          <w:rFonts w:ascii="Arial" w:hAnsi="Arial" w:cs="Arial"/>
          <w:i/>
          <w:iCs/>
          <w:color w:val="000000"/>
          <w:sz w:val="24"/>
          <w:szCs w:val="24"/>
        </w:rPr>
        <w:t>ad acta.</w:t>
      </w:r>
      <w:r w:rsidRPr="00554893">
        <w:rPr>
          <w:rFonts w:ascii="Arial" w:hAnsi="Arial" w:cs="Arial"/>
          <w:color w:val="000000"/>
          <w:sz w:val="24"/>
          <w:szCs w:val="24"/>
        </w:rPr>
        <w:t xml:space="preserve">  </w:t>
      </w:r>
    </w:p>
    <w:p w14:paraId="193DEB80" w14:textId="77777777" w:rsidR="00F33E3E" w:rsidRPr="00554893" w:rsidRDefault="00F33E3E" w:rsidP="00F33E3E">
      <w:p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CONTROLLO PREFETTIZIO</w:t>
      </w:r>
    </w:p>
    <w:p w14:paraId="77803CED" w14:textId="77777777" w:rsidR="00F33E3E" w:rsidRPr="00554893" w:rsidRDefault="00F33E3E" w:rsidP="00F33E3E">
      <w:pPr>
        <w:pStyle w:val="Corpodeltesto2"/>
        <w:shd w:val="clear" w:color="auto" w:fill="FFFFFF"/>
        <w:rPr>
          <w:rFonts w:ascii="Arial" w:hAnsi="Arial" w:cs="Arial"/>
          <w:color w:val="000000"/>
        </w:rPr>
      </w:pPr>
      <w:r w:rsidRPr="00554893">
        <w:rPr>
          <w:rFonts w:ascii="Arial" w:hAnsi="Arial" w:cs="Arial"/>
          <w:color w:val="000000"/>
        </w:rPr>
        <w:t>Al prefetto è, altresì, attribuita la facoltà di controllo preventivo di legittimità sulle deliberazioni adottate da:</w:t>
      </w:r>
    </w:p>
    <w:p w14:paraId="0DAE4F7B"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Province,</w:t>
      </w:r>
    </w:p>
    <w:p w14:paraId="732BCD10"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Comuni,</w:t>
      </w:r>
    </w:p>
    <w:p w14:paraId="7266E588"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Città metropolitane,</w:t>
      </w:r>
    </w:p>
    <w:p w14:paraId="70808305"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Comunità isolane,</w:t>
      </w:r>
    </w:p>
    <w:p w14:paraId="0D2F5752"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Comunità montane,</w:t>
      </w:r>
    </w:p>
    <w:p w14:paraId="6C35AC0B"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Unioni di comuni,</w:t>
      </w:r>
    </w:p>
    <w:p w14:paraId="6216183B"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Consorzi (in parte),</w:t>
      </w:r>
    </w:p>
    <w:p w14:paraId="04AC818E"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 xml:space="preserve">in materia di acquisti, alienazioni, appalti ed in generale tutti i contratti. </w:t>
      </w:r>
    </w:p>
    <w:p w14:paraId="68F2CA33"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In materia di  appalti di opere pubbliche o di pubbliche forniture o di pubblici servizi, di competenza dei comuni, delle province, dei consorzi di comuni e province, delle unioni di comuni, delle unità sanitarie locali, delle comunità montane, delle aziende speciali di comuni e province e degli altri enti pubblici locali con sede nella provincia, il prefetto può, altresì,  richiedere all'ente od organo interessato notizie e informazioni sull'espletamento della gara d'appalto e sull'esecuzione del  contratto.</w:t>
      </w:r>
    </w:p>
    <w:p w14:paraId="4543E769" w14:textId="77777777" w:rsidR="00F33E3E" w:rsidRPr="00554893" w:rsidRDefault="00F33E3E">
      <w:pPr>
        <w:pStyle w:val="Paragrafoelenco"/>
        <w:numPr>
          <w:ilvl w:val="0"/>
          <w:numId w:val="15"/>
        </w:num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 xml:space="preserve">Inoltre, per assicurare il buon andamento, l'imparzialità e </w:t>
      </w:r>
      <w:proofErr w:type="gramStart"/>
      <w:r w:rsidRPr="00554893">
        <w:rPr>
          <w:rFonts w:ascii="Arial" w:hAnsi="Arial" w:cs="Arial"/>
          <w:color w:val="000000"/>
          <w:sz w:val="24"/>
          <w:szCs w:val="24"/>
        </w:rPr>
        <w:t>l'efficienza  dell'azione</w:t>
      </w:r>
      <w:proofErr w:type="gramEnd"/>
      <w:r w:rsidRPr="00554893">
        <w:rPr>
          <w:rFonts w:ascii="Arial" w:hAnsi="Arial" w:cs="Arial"/>
          <w:color w:val="000000"/>
          <w:sz w:val="24"/>
          <w:szCs w:val="24"/>
        </w:rPr>
        <w:t xml:space="preserve"> amministrativa affidata agli organi decentrati dello  Stato e agli enti pubblici è istituito, presso ciascuna prefettura,   il comitato provinciale della pubblica amministrazione quale organo  di coordinamento delle attività statali in ambito provinciale, nonché   di informazione e di consulenza del prefetto per l'esercizio delle attribuzioni ad esso affidate dalla legge. </w:t>
      </w:r>
    </w:p>
    <w:p w14:paraId="59117BAA" w14:textId="77777777" w:rsidR="00F33E3E" w:rsidRPr="00554893" w:rsidRDefault="00F33E3E" w:rsidP="00F33E3E">
      <w:pPr>
        <w:pStyle w:val="Titolo2"/>
        <w:shd w:val="clear" w:color="auto" w:fill="FFFFFF"/>
        <w:jc w:val="both"/>
        <w:rPr>
          <w:rFonts w:ascii="Arial" w:hAnsi="Arial" w:cs="Arial"/>
          <w:color w:val="000000" w:themeColor="text1"/>
          <w:sz w:val="24"/>
          <w:szCs w:val="24"/>
        </w:rPr>
      </w:pPr>
      <w:r w:rsidRPr="00554893">
        <w:rPr>
          <w:rFonts w:ascii="Arial" w:hAnsi="Arial" w:cs="Arial"/>
          <w:color w:val="000000" w:themeColor="text1"/>
          <w:sz w:val="24"/>
          <w:szCs w:val="24"/>
        </w:rPr>
        <w:t>CONTROLLO AGGIUNTIVO</w:t>
      </w:r>
    </w:p>
    <w:p w14:paraId="0EC1FE67" w14:textId="77777777" w:rsidR="00F33E3E" w:rsidRPr="00554893" w:rsidRDefault="00F33E3E" w:rsidP="00F33E3E">
      <w:pPr>
        <w:shd w:val="clear" w:color="auto" w:fill="FFFFFF"/>
        <w:spacing w:before="100" w:beforeAutospacing="1" w:after="100" w:afterAutospacing="1"/>
        <w:jc w:val="both"/>
        <w:rPr>
          <w:rFonts w:ascii="Arial" w:hAnsi="Arial" w:cs="Arial"/>
          <w:color w:val="000000"/>
          <w:sz w:val="24"/>
          <w:szCs w:val="24"/>
        </w:rPr>
      </w:pPr>
      <w:r w:rsidRPr="00554893">
        <w:rPr>
          <w:rFonts w:ascii="Arial" w:hAnsi="Arial" w:cs="Arial"/>
          <w:color w:val="000000"/>
          <w:sz w:val="24"/>
          <w:szCs w:val="24"/>
        </w:rPr>
        <w:t xml:space="preserve">Il Governo, a tutela dell’unità dell’ordinamento, con decreto del Presidente della Repubblica, previa deliberazione del </w:t>
      </w:r>
      <w:proofErr w:type="gramStart"/>
      <w:r w:rsidRPr="00554893">
        <w:rPr>
          <w:rFonts w:ascii="Arial" w:hAnsi="Arial" w:cs="Arial"/>
          <w:color w:val="000000"/>
          <w:sz w:val="24"/>
          <w:szCs w:val="24"/>
        </w:rPr>
        <w:t>Consiglio dei Ministri</w:t>
      </w:r>
      <w:proofErr w:type="gramEnd"/>
      <w:r w:rsidRPr="00554893">
        <w:rPr>
          <w:rFonts w:ascii="Arial" w:hAnsi="Arial" w:cs="Arial"/>
          <w:color w:val="000000"/>
          <w:sz w:val="24"/>
          <w:szCs w:val="24"/>
        </w:rPr>
        <w:t xml:space="preserve">, su proposta del Ministro dell’Interno, ha facoltà, in ogni tempo, di annullare, d’ufficio o su denuncia, sentito il Consiglio di Stato, gli atti degli enti locali viziati da illegittimità.  Questa ipotesi straordinaria di annullamento era già disciplinata dall’art. 6 r.d. 383\1934; norma che si poteva ritenere vigente in quanto mai abrogata espressamente né implicitamente per contrasto con norme successive. Deponeva a favore della vigenza, della facoltà di annullamento, la constatazione che l’art. 64 della legge 142\1990, co. 1, lett. c), aveva fatto salvo, dalla abrogazione del r.d. 383\1934, l’art. 6. Il Consiglio di Stato, inoltre, aveva affermato espressamente la legittimità </w:t>
      </w:r>
      <w:proofErr w:type="gramStart"/>
      <w:r w:rsidRPr="00554893">
        <w:rPr>
          <w:rFonts w:ascii="Arial" w:hAnsi="Arial" w:cs="Arial"/>
          <w:color w:val="000000"/>
          <w:sz w:val="24"/>
          <w:szCs w:val="24"/>
        </w:rPr>
        <w:t>dell'annullamento  d'ufficio</w:t>
      </w:r>
      <w:proofErr w:type="gramEnd"/>
      <w:r w:rsidRPr="00554893">
        <w:rPr>
          <w:rFonts w:ascii="Arial" w:hAnsi="Arial" w:cs="Arial"/>
          <w:color w:val="000000"/>
          <w:sz w:val="24"/>
          <w:szCs w:val="24"/>
        </w:rPr>
        <w:t>  da parte  del  Governo nei confronti di atti di  enti  locali territoriali,  anche  se sottoposti  al controllo  della  regione.</w:t>
      </w:r>
    </w:p>
    <w:p w14:paraId="4349807F" w14:textId="77777777" w:rsidR="00F33E3E" w:rsidRPr="00554893" w:rsidRDefault="00F33E3E" w:rsidP="00F33E3E">
      <w:p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CONTROLLO REVISORI</w:t>
      </w:r>
    </w:p>
    <w:p w14:paraId="75D3621F" w14:textId="77777777" w:rsidR="00F33E3E" w:rsidRPr="00554893" w:rsidRDefault="00F33E3E" w:rsidP="00F33E3E">
      <w:p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Il revisore unico o il collegio dei revisori dei conti svolge una funzione di controllo interno attraverso:</w:t>
      </w:r>
    </w:p>
    <w:p w14:paraId="4968453C"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L’attività di collaborazione con l’organo consiliare secondo le disposizioni dello statuto e del regolamento,</w:t>
      </w:r>
    </w:p>
    <w:p w14:paraId="4034DFF2"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Pareri sulle proposte di bilancio di previsione e sulle variazioni,</w:t>
      </w:r>
    </w:p>
    <w:p w14:paraId="478015E3"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Relazione al conto consuntivo,</w:t>
      </w:r>
    </w:p>
    <w:p w14:paraId="17D4908A"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Esame della corrispondenza del rendiconto alle risultanze di gestione,</w:t>
      </w:r>
    </w:p>
    <w:p w14:paraId="50B9C743"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Vigilanza sulla regolarità contabile, finanziaria ed economica della gestione,</w:t>
      </w:r>
    </w:p>
    <w:p w14:paraId="021E39F9"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Referti all’organo consiliare su gravi irregolarità nella gestione dell’ente,</w:t>
      </w:r>
    </w:p>
    <w:p w14:paraId="5CA2B6C2"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Verifiche di cassa,</w:t>
      </w:r>
    </w:p>
    <w:p w14:paraId="694A1E3F"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Diritto di accesso agli atti e documenti dell’ente,</w:t>
      </w:r>
    </w:p>
    <w:p w14:paraId="5B774BB3"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Partecipazioni alle sedute consiliari e di giunta,</w:t>
      </w:r>
    </w:p>
    <w:p w14:paraId="0A9FF2B0"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Esame delle decisioni di annullamento di deliberazioni trasmesse dal comitato regionale di controllo,</w:t>
      </w:r>
    </w:p>
    <w:p w14:paraId="352E098D"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Esame delle attestazioni di assenza di copertura finanziaria trasmesse dal responsabile del servizio finanziario,</w:t>
      </w:r>
    </w:p>
    <w:p w14:paraId="4231483B"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Ispezioni e controlli,</w:t>
      </w:r>
    </w:p>
    <w:p w14:paraId="77ACC962" w14:textId="77777777" w:rsidR="00F33E3E" w:rsidRPr="00554893"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Rilievi e proposte sulla efficienza, produttività ed economicità della gestione,</w:t>
      </w:r>
    </w:p>
    <w:p w14:paraId="3AB6BF85" w14:textId="77777777" w:rsidR="00F33E3E" w:rsidRDefault="00F33E3E">
      <w:pPr>
        <w:pStyle w:val="Paragrafoelenco"/>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24"/>
          <w:szCs w:val="24"/>
          <w:lang w:eastAsia="it-IT"/>
        </w:rPr>
      </w:pPr>
      <w:r w:rsidRPr="00554893">
        <w:rPr>
          <w:rFonts w:ascii="Arial" w:eastAsia="Times New Roman" w:hAnsi="Arial" w:cs="Arial"/>
          <w:color w:val="000000"/>
          <w:sz w:val="24"/>
          <w:szCs w:val="24"/>
          <w:lang w:eastAsia="it-IT"/>
        </w:rPr>
        <w:t>Funzioni aggiuntive contenute nello statuto dell’ente.</w:t>
      </w:r>
    </w:p>
    <w:p w14:paraId="696F51F3" w14:textId="58EFBF69" w:rsidR="00C930BA" w:rsidRPr="00C930BA" w:rsidRDefault="00C930BA" w:rsidP="00C930BA">
      <w:pPr>
        <w:shd w:val="clear" w:color="auto" w:fill="FFFFFF"/>
        <w:spacing w:before="100" w:beforeAutospacing="1" w:after="100" w:afterAutospacing="1" w:line="240" w:lineRule="auto"/>
        <w:rPr>
          <w:rFonts w:ascii="Arial" w:eastAsia="Times New Roman" w:hAnsi="Arial" w:cs="Arial"/>
          <w:b/>
          <w:bCs/>
          <w:color w:val="000000"/>
          <w:sz w:val="24"/>
          <w:szCs w:val="24"/>
          <w:lang w:eastAsia="it-IT"/>
        </w:rPr>
      </w:pPr>
      <w:r w:rsidRPr="00C930BA">
        <w:rPr>
          <w:rFonts w:ascii="Arial" w:eastAsia="Times New Roman" w:hAnsi="Arial" w:cs="Arial"/>
          <w:b/>
          <w:bCs/>
          <w:color w:val="000000"/>
          <w:sz w:val="24"/>
          <w:szCs w:val="24"/>
          <w:lang w:eastAsia="it-IT"/>
        </w:rPr>
        <w:t>TESORERIA</w:t>
      </w:r>
    </w:p>
    <w:p w14:paraId="0FDE222B" w14:textId="49FCC157" w:rsidR="0082786C" w:rsidRDefault="00C930BA" w:rsidP="0082786C">
      <w:pPr>
        <w:spacing w:line="360" w:lineRule="auto"/>
        <w:rPr>
          <w:rFonts w:ascii="Arial" w:hAnsi="Arial" w:cs="Arial"/>
          <w:sz w:val="24"/>
          <w:szCs w:val="24"/>
        </w:rPr>
      </w:pPr>
      <w:r w:rsidRPr="00C930BA">
        <w:rPr>
          <w:rFonts w:ascii="Arial" w:hAnsi="Arial" w:cs="Arial"/>
          <w:sz w:val="24"/>
          <w:szCs w:val="24"/>
        </w:rPr>
        <w:t>Ai sensi dell’articolo 209 del Testo Unico Enti Locali, il servizio di tesoreria consiste nel complesso di operazioni connesse alla gestione finanziaria dell’ente locale e finalizzate alla riscossione delle entrate, al pagamento delle spese, alla custodia dei titoli e valori ed agli adempimenti connessi previsti dalla legge, dallo statuto e dai regolamenti dell’ente o da norme pattizie.</w:t>
      </w:r>
    </w:p>
    <w:p w14:paraId="46F9D846"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Per quanto attiene all’affidamento del servizio di tesoreria, questo viene effettuato mediante le procedure ad evidenza pubblica stabilite nel regolamento di contabilità di ciascun ente, con modalità che rispettino i princìpi della concorrenza.</w:t>
      </w:r>
    </w:p>
    <w:p w14:paraId="3E7D8E7E"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Il Tesoriere è un agente contabile esterno tenuto a rendere il conto giudiziale inerente alla propria gestione. Il d.lgs. Testo Unico Enti Locali dispone all’art. 208 che gli enti locali hanno un Servizio di Tesoreria che può essere affidato:</w:t>
      </w:r>
    </w:p>
    <w:p w14:paraId="5D59A26A"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a) per i comuni capoluoghi di provincia, le province, le città metropolitane, ad una banca autorizzata a svolgere l’atti-</w:t>
      </w:r>
      <w:proofErr w:type="spellStart"/>
      <w:r w:rsidRPr="00C930BA">
        <w:rPr>
          <w:rFonts w:ascii="Arial" w:hAnsi="Arial" w:cs="Arial"/>
          <w:sz w:val="24"/>
          <w:szCs w:val="24"/>
        </w:rPr>
        <w:t>vità</w:t>
      </w:r>
      <w:proofErr w:type="spellEnd"/>
      <w:r w:rsidRPr="00C930BA">
        <w:rPr>
          <w:rFonts w:ascii="Arial" w:hAnsi="Arial" w:cs="Arial"/>
          <w:sz w:val="24"/>
          <w:szCs w:val="24"/>
        </w:rPr>
        <w:t xml:space="preserve"> di cui all’articolo 10 del decreto legislativo 1° settembre 1993, n. 385;</w:t>
      </w:r>
    </w:p>
    <w:p w14:paraId="52B8B66A"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b) per i comuni non capoluoghi di provincia, le comunità montane e le unioni di comuni, anche a società per azioni regolarmente costituite con capitale sociale interamente versato non inferiore a cinquecentomila euro, aventi per oggetto la gestione del Servizio di Tesoreria e la riscossione dei tributi degli enti locali e che alla data del 25 febbraio 1995 erano incaricate dello svolgimento del medesimo servizio a condizione che il capitale sociale risulti adeguato a quello minimo richiesto dalla normativa vigente per le banche di credito cooperativo;</w:t>
      </w:r>
    </w:p>
    <w:p w14:paraId="133AEEA8"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c) altri soggetti abilitati per legge.</w:t>
      </w:r>
    </w:p>
    <w:p w14:paraId="75F11179" w14:textId="77777777" w:rsidR="00C930BA" w:rsidRPr="00C930BA" w:rsidRDefault="00C930BA" w:rsidP="00C930BA">
      <w:pPr>
        <w:spacing w:line="360" w:lineRule="auto"/>
        <w:rPr>
          <w:rFonts w:ascii="Arial" w:hAnsi="Arial" w:cs="Arial"/>
          <w:sz w:val="24"/>
          <w:szCs w:val="24"/>
        </w:rPr>
      </w:pPr>
      <w:r w:rsidRPr="00C930BA">
        <w:rPr>
          <w:rFonts w:ascii="Arial" w:hAnsi="Arial" w:cs="Arial"/>
          <w:sz w:val="24"/>
          <w:szCs w:val="24"/>
        </w:rPr>
        <w:t>Ai sensi dell’articolo 211 Testo Unico Ente Locale, il tesoriere risponde con tutte le proprie attività ed il proprio patrimonio per eventuali danni causati all’ente o a terzi. Il tesoriere è responsabile di tutti i depositi intestati all’ente. Nel giudizio di responsabilità contabile, la giurisprudenza esclude la colpa grave del tesoriere per aver estinto un mandato a favore di soggetto che appariva legittimato alla riscossione in una fattispecie in cui il soggetto esibiva avviso di pagamento del comune e l’amministrazione aveva omesso di comunicare l’avvenuta cessione del credito.</w:t>
      </w:r>
    </w:p>
    <w:p w14:paraId="3C385694" w14:textId="77777777" w:rsidR="00C930BA" w:rsidRPr="00C930BA" w:rsidRDefault="00C930BA" w:rsidP="00C930BA">
      <w:pPr>
        <w:spacing w:line="360" w:lineRule="auto"/>
        <w:rPr>
          <w:rFonts w:ascii="Arial" w:hAnsi="Arial" w:cs="Arial"/>
          <w:sz w:val="24"/>
          <w:szCs w:val="24"/>
        </w:rPr>
      </w:pPr>
    </w:p>
    <w:p w14:paraId="7D7DF7B1" w14:textId="585E3CE9" w:rsidR="00C930BA" w:rsidRPr="00554893" w:rsidRDefault="00C930BA" w:rsidP="00C930BA">
      <w:pPr>
        <w:spacing w:line="360" w:lineRule="auto"/>
        <w:rPr>
          <w:rFonts w:ascii="Arial" w:hAnsi="Arial" w:cs="Arial"/>
          <w:sz w:val="24"/>
          <w:szCs w:val="24"/>
        </w:rPr>
      </w:pPr>
      <w:r w:rsidRPr="00C930BA">
        <w:rPr>
          <w:rFonts w:ascii="Arial" w:hAnsi="Arial" w:cs="Arial"/>
          <w:sz w:val="24"/>
          <w:szCs w:val="24"/>
        </w:rPr>
        <w:t>Nel caso di condanna del tesoriere al pagamento nei confronti dell’ente pari alla somma corrispondente all’ammanco, l’ente locale iscrive in bilancio tale credito fra i residui attivi provenienti dall’esercizio nel quale l’ammanco si è verificato.</w:t>
      </w:r>
    </w:p>
    <w:p w14:paraId="57D17EB9" w14:textId="77777777" w:rsidR="0082786C" w:rsidRPr="00554893" w:rsidRDefault="0082786C" w:rsidP="0082786C">
      <w:pPr>
        <w:spacing w:line="360" w:lineRule="auto"/>
        <w:rPr>
          <w:rFonts w:ascii="Arial" w:hAnsi="Arial" w:cs="Arial"/>
          <w:sz w:val="24"/>
          <w:szCs w:val="24"/>
        </w:rPr>
      </w:pPr>
    </w:p>
    <w:p w14:paraId="1AF75467" w14:textId="77777777" w:rsidR="009D2685" w:rsidRPr="00554893" w:rsidRDefault="009D2685" w:rsidP="0082786C">
      <w:pPr>
        <w:spacing w:line="360" w:lineRule="auto"/>
        <w:rPr>
          <w:rFonts w:ascii="Arial" w:hAnsi="Arial" w:cs="Arial"/>
          <w:sz w:val="24"/>
          <w:szCs w:val="24"/>
        </w:rPr>
      </w:pPr>
    </w:p>
    <w:sectPr w:rsidR="009D2685" w:rsidRPr="00554893" w:rsidSect="00592D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38"/>
    <w:multiLevelType w:val="hybridMultilevel"/>
    <w:tmpl w:val="E14A659E"/>
    <w:lvl w:ilvl="0" w:tplc="D51048A6">
      <w:start w:val="3"/>
      <w:numFmt w:val="bullet"/>
      <w:lvlText w:val=""/>
      <w:lvlJc w:val="left"/>
      <w:pPr>
        <w:ind w:left="1065" w:hanging="705"/>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585546"/>
    <w:multiLevelType w:val="hybridMultilevel"/>
    <w:tmpl w:val="5CFA6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F961E7"/>
    <w:multiLevelType w:val="multilevel"/>
    <w:tmpl w:val="3760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C4285"/>
    <w:multiLevelType w:val="hybridMultilevel"/>
    <w:tmpl w:val="414C7E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3F07629"/>
    <w:multiLevelType w:val="multilevel"/>
    <w:tmpl w:val="9B06CD36"/>
    <w:lvl w:ilvl="0">
      <w:start w:val="1"/>
      <w:numFmt w:val="bullet"/>
      <w:lvlText w:val=""/>
      <w:lvlJc w:val="left"/>
      <w:pPr>
        <w:ind w:left="1065" w:hanging="705"/>
      </w:pPr>
      <w:rPr>
        <w:rFonts w:ascii="Wingdings" w:hAnsi="Wingding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5" w15:restartNumberingAfterBreak="0">
    <w:nsid w:val="2628171D"/>
    <w:multiLevelType w:val="multilevel"/>
    <w:tmpl w:val="958A4556"/>
    <w:lvl w:ilvl="0">
      <w:start w:val="3"/>
      <w:numFmt w:val="bullet"/>
      <w:lvlText w:val=""/>
      <w:lvlJc w:val="left"/>
      <w:pPr>
        <w:ind w:left="1065" w:hanging="705"/>
      </w:pPr>
      <w:rPr>
        <w:rFonts w:ascii="Symbol" w:eastAsiaTheme="minorHAnsi" w:hAnsi="Symbol" w:cs="Arial"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6" w15:restartNumberingAfterBreak="0">
    <w:nsid w:val="267F7DC7"/>
    <w:multiLevelType w:val="multilevel"/>
    <w:tmpl w:val="0A80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0374D2"/>
    <w:multiLevelType w:val="hybridMultilevel"/>
    <w:tmpl w:val="7924CB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0943DC"/>
    <w:multiLevelType w:val="hybridMultilevel"/>
    <w:tmpl w:val="A2065D6A"/>
    <w:lvl w:ilvl="0" w:tplc="D51048A6">
      <w:start w:val="3"/>
      <w:numFmt w:val="bullet"/>
      <w:lvlText w:val=""/>
      <w:lvlJc w:val="left"/>
      <w:pPr>
        <w:ind w:left="1065" w:hanging="705"/>
      </w:pPr>
      <w:rPr>
        <w:rFonts w:ascii="Symbol" w:eastAsiaTheme="minorHAnsi" w:hAnsi="Symbol" w:cs="Arial" w:hint="default"/>
      </w:rPr>
    </w:lvl>
    <w:lvl w:ilvl="1" w:tplc="10421FB8">
      <w:start w:val="3"/>
      <w:numFmt w:val="bullet"/>
      <w:lvlText w:val="-"/>
      <w:lvlJc w:val="left"/>
      <w:pPr>
        <w:ind w:left="1440" w:hanging="360"/>
      </w:pPr>
      <w:rPr>
        <w:rFonts w:ascii="Trebuchet MS" w:eastAsia="Times New Roman" w:hAnsi="Trebuchet MS" w:cs="Times New Roman" w:hint="default"/>
        <w:sz w:val="2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C96F6B"/>
    <w:multiLevelType w:val="multilevel"/>
    <w:tmpl w:val="4E0A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524FBC"/>
    <w:multiLevelType w:val="hybridMultilevel"/>
    <w:tmpl w:val="32569F2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4B0A07"/>
    <w:multiLevelType w:val="multilevel"/>
    <w:tmpl w:val="34CE5486"/>
    <w:lvl w:ilvl="0">
      <w:start w:val="1"/>
      <w:numFmt w:val="decimal"/>
      <w:lvlText w:val="%1."/>
      <w:lvlJc w:val="left"/>
      <w:pPr>
        <w:tabs>
          <w:tab w:val="num" w:pos="720"/>
        </w:tabs>
        <w:ind w:left="720" w:hanging="360"/>
      </w:pPr>
    </w:lvl>
    <w:lvl w:ilvl="1">
      <w:start w:val="175"/>
      <w:numFmt w:val="bullet"/>
      <w:lvlText w:val="-"/>
      <w:lvlJc w:val="left"/>
      <w:pPr>
        <w:ind w:left="1788" w:hanging="708"/>
      </w:pPr>
      <w:rPr>
        <w:rFonts w:ascii="Arial" w:eastAsiaTheme="minorHAnsi"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8E4D83"/>
    <w:multiLevelType w:val="multilevel"/>
    <w:tmpl w:val="B7E43D2E"/>
    <w:lvl w:ilvl="0">
      <w:start w:val="1"/>
      <w:numFmt w:val="decimal"/>
      <w:lvlText w:val="%1"/>
      <w:lvlJc w:val="left"/>
      <w:pPr>
        <w:ind w:left="1065" w:hanging="705"/>
      </w:pPr>
      <w:rPr>
        <w:rFonts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13" w15:restartNumberingAfterBreak="0">
    <w:nsid w:val="485B1825"/>
    <w:multiLevelType w:val="multilevel"/>
    <w:tmpl w:val="E6E6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0E1767"/>
    <w:multiLevelType w:val="hybridMultilevel"/>
    <w:tmpl w:val="F2C891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FAD75BE"/>
    <w:multiLevelType w:val="multilevel"/>
    <w:tmpl w:val="C994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1755B4"/>
    <w:multiLevelType w:val="multilevel"/>
    <w:tmpl w:val="5782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C21FF"/>
    <w:multiLevelType w:val="multilevel"/>
    <w:tmpl w:val="DED2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797B3B"/>
    <w:multiLevelType w:val="multilevel"/>
    <w:tmpl w:val="958A4556"/>
    <w:lvl w:ilvl="0">
      <w:start w:val="3"/>
      <w:numFmt w:val="bullet"/>
      <w:lvlText w:val=""/>
      <w:lvlJc w:val="left"/>
      <w:pPr>
        <w:ind w:left="1065" w:hanging="705"/>
      </w:pPr>
      <w:rPr>
        <w:rFonts w:ascii="Symbol" w:eastAsiaTheme="minorHAnsi" w:hAnsi="Symbol" w:cs="Arial" w:hint="default"/>
      </w:rPr>
    </w:lvl>
    <w:lvl w:ilvl="1">
      <w:start w:val="3"/>
      <w:numFmt w:val="bullet"/>
      <w:lvlText w:val=""/>
      <w:lvlJc w:val="left"/>
      <w:pPr>
        <w:ind w:left="1080" w:hanging="720"/>
      </w:pPr>
      <w:rPr>
        <w:rFonts w:ascii="Symbol" w:eastAsiaTheme="minorHAnsi" w:hAnsi="Symbol" w:cs="Arial" w:hint="default"/>
        <w:sz w:val="20"/>
      </w:rPr>
    </w:lvl>
    <w:lvl w:ilvl="2">
      <w:start w:val="1"/>
      <w:numFmt w:val="decimal"/>
      <w:isLgl/>
      <w:lvlText w:val="%1.%2.%3."/>
      <w:lvlJc w:val="left"/>
      <w:pPr>
        <w:ind w:left="1440" w:hanging="1080"/>
      </w:pPr>
      <w:rPr>
        <w:rFonts w:hint="default"/>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2160" w:hanging="180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520" w:hanging="2160"/>
      </w:pPr>
      <w:rPr>
        <w:rFonts w:hint="default"/>
        <w:sz w:val="20"/>
      </w:rPr>
    </w:lvl>
    <w:lvl w:ilvl="8">
      <w:start w:val="1"/>
      <w:numFmt w:val="decimal"/>
      <w:isLgl/>
      <w:lvlText w:val="%1.%2.%3.%4.%5.%6.%7.%8.%9."/>
      <w:lvlJc w:val="left"/>
      <w:pPr>
        <w:ind w:left="2880" w:hanging="2520"/>
      </w:pPr>
      <w:rPr>
        <w:rFonts w:hint="default"/>
        <w:sz w:val="20"/>
      </w:rPr>
    </w:lvl>
  </w:abstractNum>
  <w:abstractNum w:abstractNumId="19" w15:restartNumberingAfterBreak="0">
    <w:nsid w:val="6EE94348"/>
    <w:multiLevelType w:val="multilevel"/>
    <w:tmpl w:val="D86672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0D256D"/>
    <w:multiLevelType w:val="hybridMultilevel"/>
    <w:tmpl w:val="E8C2F29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1" w15:restartNumberingAfterBreak="0">
    <w:nsid w:val="752E2E07"/>
    <w:multiLevelType w:val="hybridMultilevel"/>
    <w:tmpl w:val="0D3C3486"/>
    <w:lvl w:ilvl="0" w:tplc="D51048A6">
      <w:start w:val="3"/>
      <w:numFmt w:val="bullet"/>
      <w:lvlText w:val=""/>
      <w:lvlJc w:val="left"/>
      <w:pPr>
        <w:ind w:left="705" w:hanging="705"/>
      </w:pPr>
      <w:rPr>
        <w:rFonts w:ascii="Symbol" w:eastAsiaTheme="minorHAnsi" w:hAnsi="Symbo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F6E74B4"/>
    <w:multiLevelType w:val="multilevel"/>
    <w:tmpl w:val="4F200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FB1185"/>
    <w:multiLevelType w:val="multilevel"/>
    <w:tmpl w:val="ABA4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423619">
    <w:abstractNumId w:val="15"/>
  </w:num>
  <w:num w:numId="2" w16cid:durableId="1905021678">
    <w:abstractNumId w:val="9"/>
  </w:num>
  <w:num w:numId="3" w16cid:durableId="1302953869">
    <w:abstractNumId w:val="21"/>
  </w:num>
  <w:num w:numId="4" w16cid:durableId="717389083">
    <w:abstractNumId w:val="22"/>
  </w:num>
  <w:num w:numId="5" w16cid:durableId="1968661872">
    <w:abstractNumId w:val="2"/>
  </w:num>
  <w:num w:numId="6" w16cid:durableId="1246383811">
    <w:abstractNumId w:val="11"/>
  </w:num>
  <w:num w:numId="7" w16cid:durableId="54353317">
    <w:abstractNumId w:val="23"/>
  </w:num>
  <w:num w:numId="8" w16cid:durableId="1458530196">
    <w:abstractNumId w:val="13"/>
  </w:num>
  <w:num w:numId="9" w16cid:durableId="1127820512">
    <w:abstractNumId w:val="0"/>
  </w:num>
  <w:num w:numId="10" w16cid:durableId="2116704257">
    <w:abstractNumId w:val="6"/>
  </w:num>
  <w:num w:numId="11" w16cid:durableId="641234821">
    <w:abstractNumId w:val="17"/>
  </w:num>
  <w:num w:numId="12" w16cid:durableId="1698579393">
    <w:abstractNumId w:val="8"/>
  </w:num>
  <w:num w:numId="13" w16cid:durableId="708066889">
    <w:abstractNumId w:val="12"/>
  </w:num>
  <w:num w:numId="14" w16cid:durableId="15665890">
    <w:abstractNumId w:val="5"/>
  </w:num>
  <w:num w:numId="15" w16cid:durableId="772629257">
    <w:abstractNumId w:val="18"/>
  </w:num>
  <w:num w:numId="16" w16cid:durableId="494031464">
    <w:abstractNumId w:val="10"/>
  </w:num>
  <w:num w:numId="17" w16cid:durableId="1941254731">
    <w:abstractNumId w:val="4"/>
  </w:num>
  <w:num w:numId="18" w16cid:durableId="211039515">
    <w:abstractNumId w:val="7"/>
  </w:num>
  <w:num w:numId="19" w16cid:durableId="405542748">
    <w:abstractNumId w:val="19"/>
  </w:num>
  <w:num w:numId="20" w16cid:durableId="1738748337">
    <w:abstractNumId w:val="16"/>
  </w:num>
  <w:num w:numId="21" w16cid:durableId="1059210178">
    <w:abstractNumId w:val="3"/>
  </w:num>
  <w:num w:numId="22" w16cid:durableId="780881586">
    <w:abstractNumId w:val="14"/>
  </w:num>
  <w:num w:numId="23" w16cid:durableId="181938455">
    <w:abstractNumId w:val="1"/>
  </w:num>
  <w:num w:numId="24" w16cid:durableId="1407806043">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5D9"/>
    <w:rsid w:val="00120FD9"/>
    <w:rsid w:val="0023156F"/>
    <w:rsid w:val="00302030"/>
    <w:rsid w:val="003B55D9"/>
    <w:rsid w:val="00495851"/>
    <w:rsid w:val="004D5E62"/>
    <w:rsid w:val="00554893"/>
    <w:rsid w:val="0057653A"/>
    <w:rsid w:val="00576D9D"/>
    <w:rsid w:val="0059095C"/>
    <w:rsid w:val="00592D8F"/>
    <w:rsid w:val="005F2916"/>
    <w:rsid w:val="005F7599"/>
    <w:rsid w:val="006C75A8"/>
    <w:rsid w:val="0079415A"/>
    <w:rsid w:val="0082786C"/>
    <w:rsid w:val="008F2E86"/>
    <w:rsid w:val="009D2685"/>
    <w:rsid w:val="00BA69A3"/>
    <w:rsid w:val="00C419B1"/>
    <w:rsid w:val="00C930BA"/>
    <w:rsid w:val="00DF3CC6"/>
    <w:rsid w:val="00EE2E78"/>
    <w:rsid w:val="00F33E3E"/>
    <w:rsid w:val="00F703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DAE14"/>
  <w15:docId w15:val="{11DCAA2D-9329-48D0-A4DF-D53A731F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2D8F"/>
  </w:style>
  <w:style w:type="paragraph" w:styleId="Titolo2">
    <w:name w:val="heading 2"/>
    <w:basedOn w:val="Normale"/>
    <w:next w:val="Normale"/>
    <w:link w:val="Titolo2Carattere"/>
    <w:uiPriority w:val="9"/>
    <w:semiHidden/>
    <w:unhideWhenUsed/>
    <w:qFormat/>
    <w:rsid w:val="005F759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link w:val="Titolo3Carattere"/>
    <w:uiPriority w:val="9"/>
    <w:qFormat/>
    <w:rsid w:val="00DF3CC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6">
    <w:name w:val="heading 6"/>
    <w:basedOn w:val="Normale"/>
    <w:next w:val="Normale"/>
    <w:link w:val="Titolo6Carattere"/>
    <w:uiPriority w:val="9"/>
    <w:semiHidden/>
    <w:unhideWhenUsed/>
    <w:qFormat/>
    <w:rsid w:val="00BA69A3"/>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F3CC6"/>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DF3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F3CC6"/>
  </w:style>
  <w:style w:type="character" w:styleId="Collegamentoipertestuale">
    <w:name w:val="Hyperlink"/>
    <w:basedOn w:val="Carpredefinitoparagrafo"/>
    <w:uiPriority w:val="99"/>
    <w:semiHidden/>
    <w:unhideWhenUsed/>
    <w:rsid w:val="00DF3CC6"/>
    <w:rPr>
      <w:color w:val="0000FF"/>
      <w:u w:val="single"/>
    </w:rPr>
  </w:style>
  <w:style w:type="character" w:customStyle="1" w:styleId="mw-headline">
    <w:name w:val="mw-headline"/>
    <w:basedOn w:val="Carpredefinitoparagrafo"/>
    <w:rsid w:val="00DF3CC6"/>
  </w:style>
  <w:style w:type="character" w:customStyle="1" w:styleId="mw-editsection">
    <w:name w:val="mw-editsection"/>
    <w:basedOn w:val="Carpredefinitoparagrafo"/>
    <w:rsid w:val="00DF3CC6"/>
  </w:style>
  <w:style w:type="character" w:customStyle="1" w:styleId="mw-editsection-bracket">
    <w:name w:val="mw-editsection-bracket"/>
    <w:basedOn w:val="Carpredefinitoparagrafo"/>
    <w:rsid w:val="00DF3CC6"/>
  </w:style>
  <w:style w:type="character" w:customStyle="1" w:styleId="mw-editsection-divider">
    <w:name w:val="mw-editsection-divider"/>
    <w:basedOn w:val="Carpredefinitoparagrafo"/>
    <w:rsid w:val="00DF3CC6"/>
  </w:style>
  <w:style w:type="character" w:styleId="Enfasigrassetto">
    <w:name w:val="Strong"/>
    <w:basedOn w:val="Carpredefinitoparagrafo"/>
    <w:uiPriority w:val="22"/>
    <w:qFormat/>
    <w:rsid w:val="00DF3CC6"/>
    <w:rPr>
      <w:b/>
      <w:bCs/>
    </w:rPr>
  </w:style>
  <w:style w:type="character" w:customStyle="1" w:styleId="Titolo2Carattere">
    <w:name w:val="Titolo 2 Carattere"/>
    <w:basedOn w:val="Carpredefinitoparagrafo"/>
    <w:link w:val="Titolo2"/>
    <w:uiPriority w:val="9"/>
    <w:semiHidden/>
    <w:rsid w:val="005F7599"/>
    <w:rPr>
      <w:rFonts w:asciiTheme="majorHAnsi" w:eastAsiaTheme="majorEastAsia" w:hAnsiTheme="majorHAnsi" w:cstheme="majorBidi"/>
      <w:b/>
      <w:bCs/>
      <w:color w:val="5B9BD5" w:themeColor="accent1"/>
      <w:sz w:val="26"/>
      <w:szCs w:val="26"/>
    </w:rPr>
  </w:style>
  <w:style w:type="character" w:customStyle="1" w:styleId="Titolo6Carattere">
    <w:name w:val="Titolo 6 Carattere"/>
    <w:basedOn w:val="Carpredefinitoparagrafo"/>
    <w:link w:val="Titolo6"/>
    <w:uiPriority w:val="9"/>
    <w:semiHidden/>
    <w:rsid w:val="00BA69A3"/>
    <w:rPr>
      <w:rFonts w:asciiTheme="majorHAnsi" w:eastAsiaTheme="majorEastAsia" w:hAnsiTheme="majorHAnsi" w:cstheme="majorBidi"/>
      <w:i/>
      <w:iCs/>
      <w:color w:val="1F4D78" w:themeColor="accent1" w:themeShade="7F"/>
    </w:rPr>
  </w:style>
  <w:style w:type="paragraph" w:customStyle="1" w:styleId="conttesto">
    <w:name w:val="cont_testo"/>
    <w:basedOn w:val="Normale"/>
    <w:rsid w:val="00BA69A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octoggle">
    <w:name w:val="toctoggle"/>
    <w:basedOn w:val="Carpredefinitoparagrafo"/>
    <w:rsid w:val="00BA69A3"/>
  </w:style>
  <w:style w:type="character" w:customStyle="1" w:styleId="tocnumber">
    <w:name w:val="tocnumber"/>
    <w:basedOn w:val="Carpredefinitoparagrafo"/>
    <w:rsid w:val="00BA69A3"/>
  </w:style>
  <w:style w:type="character" w:customStyle="1" w:styleId="toctext">
    <w:name w:val="toctext"/>
    <w:basedOn w:val="Carpredefinitoparagrafo"/>
    <w:rsid w:val="00BA69A3"/>
  </w:style>
  <w:style w:type="paragraph" w:styleId="Paragrafoelenco">
    <w:name w:val="List Paragraph"/>
    <w:basedOn w:val="Normale"/>
    <w:uiPriority w:val="34"/>
    <w:qFormat/>
    <w:rsid w:val="0079415A"/>
    <w:pPr>
      <w:ind w:left="720"/>
      <w:contextualSpacing/>
    </w:pPr>
  </w:style>
  <w:style w:type="paragraph" w:styleId="Corpodeltesto2">
    <w:name w:val="Body Text 2"/>
    <w:basedOn w:val="Normale"/>
    <w:link w:val="Corpodeltesto2Carattere"/>
    <w:uiPriority w:val="99"/>
    <w:semiHidden/>
    <w:unhideWhenUsed/>
    <w:rsid w:val="008278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82786C"/>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82786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82786C"/>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6470">
      <w:bodyDiv w:val="1"/>
      <w:marLeft w:val="0"/>
      <w:marRight w:val="0"/>
      <w:marTop w:val="0"/>
      <w:marBottom w:val="0"/>
      <w:divBdr>
        <w:top w:val="none" w:sz="0" w:space="0" w:color="auto"/>
        <w:left w:val="none" w:sz="0" w:space="0" w:color="auto"/>
        <w:bottom w:val="none" w:sz="0" w:space="0" w:color="auto"/>
        <w:right w:val="none" w:sz="0" w:space="0" w:color="auto"/>
      </w:divBdr>
    </w:div>
    <w:div w:id="166406625">
      <w:bodyDiv w:val="1"/>
      <w:marLeft w:val="0"/>
      <w:marRight w:val="0"/>
      <w:marTop w:val="0"/>
      <w:marBottom w:val="0"/>
      <w:divBdr>
        <w:top w:val="none" w:sz="0" w:space="0" w:color="auto"/>
        <w:left w:val="none" w:sz="0" w:space="0" w:color="auto"/>
        <w:bottom w:val="none" w:sz="0" w:space="0" w:color="auto"/>
        <w:right w:val="none" w:sz="0" w:space="0" w:color="auto"/>
      </w:divBdr>
    </w:div>
    <w:div w:id="248657447">
      <w:bodyDiv w:val="1"/>
      <w:marLeft w:val="0"/>
      <w:marRight w:val="0"/>
      <w:marTop w:val="0"/>
      <w:marBottom w:val="0"/>
      <w:divBdr>
        <w:top w:val="none" w:sz="0" w:space="0" w:color="auto"/>
        <w:left w:val="none" w:sz="0" w:space="0" w:color="auto"/>
        <w:bottom w:val="none" w:sz="0" w:space="0" w:color="auto"/>
        <w:right w:val="none" w:sz="0" w:space="0" w:color="auto"/>
      </w:divBdr>
    </w:div>
    <w:div w:id="270432530">
      <w:bodyDiv w:val="1"/>
      <w:marLeft w:val="0"/>
      <w:marRight w:val="0"/>
      <w:marTop w:val="0"/>
      <w:marBottom w:val="0"/>
      <w:divBdr>
        <w:top w:val="none" w:sz="0" w:space="0" w:color="auto"/>
        <w:left w:val="none" w:sz="0" w:space="0" w:color="auto"/>
        <w:bottom w:val="none" w:sz="0" w:space="0" w:color="auto"/>
        <w:right w:val="none" w:sz="0" w:space="0" w:color="auto"/>
      </w:divBdr>
    </w:div>
    <w:div w:id="393165353">
      <w:bodyDiv w:val="1"/>
      <w:marLeft w:val="0"/>
      <w:marRight w:val="0"/>
      <w:marTop w:val="0"/>
      <w:marBottom w:val="0"/>
      <w:divBdr>
        <w:top w:val="none" w:sz="0" w:space="0" w:color="auto"/>
        <w:left w:val="none" w:sz="0" w:space="0" w:color="auto"/>
        <w:bottom w:val="none" w:sz="0" w:space="0" w:color="auto"/>
        <w:right w:val="none" w:sz="0" w:space="0" w:color="auto"/>
      </w:divBdr>
    </w:div>
    <w:div w:id="441219261">
      <w:bodyDiv w:val="1"/>
      <w:marLeft w:val="0"/>
      <w:marRight w:val="0"/>
      <w:marTop w:val="0"/>
      <w:marBottom w:val="0"/>
      <w:divBdr>
        <w:top w:val="none" w:sz="0" w:space="0" w:color="auto"/>
        <w:left w:val="none" w:sz="0" w:space="0" w:color="auto"/>
        <w:bottom w:val="none" w:sz="0" w:space="0" w:color="auto"/>
        <w:right w:val="none" w:sz="0" w:space="0" w:color="auto"/>
      </w:divBdr>
      <w:divsChild>
        <w:div w:id="1630167485">
          <w:marLeft w:val="0"/>
          <w:marRight w:val="0"/>
          <w:marTop w:val="0"/>
          <w:marBottom w:val="0"/>
          <w:divBdr>
            <w:top w:val="none" w:sz="0" w:space="0" w:color="auto"/>
            <w:left w:val="none" w:sz="0" w:space="0" w:color="auto"/>
            <w:bottom w:val="none" w:sz="0" w:space="0" w:color="auto"/>
            <w:right w:val="none" w:sz="0" w:space="0" w:color="auto"/>
          </w:divBdr>
          <w:divsChild>
            <w:div w:id="2013487040">
              <w:marLeft w:val="0"/>
              <w:marRight w:val="0"/>
              <w:marTop w:val="0"/>
              <w:marBottom w:val="150"/>
              <w:divBdr>
                <w:top w:val="none" w:sz="0" w:space="0" w:color="auto"/>
                <w:left w:val="none" w:sz="0" w:space="0" w:color="auto"/>
                <w:bottom w:val="none" w:sz="0" w:space="0" w:color="auto"/>
                <w:right w:val="none" w:sz="0" w:space="0" w:color="auto"/>
              </w:divBdr>
              <w:divsChild>
                <w:div w:id="399789388">
                  <w:marLeft w:val="0"/>
                  <w:marRight w:val="0"/>
                  <w:marTop w:val="0"/>
                  <w:marBottom w:val="0"/>
                  <w:divBdr>
                    <w:top w:val="none" w:sz="0" w:space="0" w:color="auto"/>
                    <w:left w:val="none" w:sz="0" w:space="0" w:color="auto"/>
                    <w:bottom w:val="none" w:sz="0" w:space="0" w:color="auto"/>
                    <w:right w:val="none" w:sz="0" w:space="0" w:color="auto"/>
                  </w:divBdr>
                  <w:divsChild>
                    <w:div w:id="850027985">
                      <w:marLeft w:val="0"/>
                      <w:marRight w:val="0"/>
                      <w:marTop w:val="0"/>
                      <w:marBottom w:val="0"/>
                      <w:divBdr>
                        <w:top w:val="none" w:sz="0" w:space="0" w:color="auto"/>
                        <w:left w:val="none" w:sz="0" w:space="0" w:color="auto"/>
                        <w:bottom w:val="none" w:sz="0" w:space="0" w:color="auto"/>
                        <w:right w:val="none" w:sz="0" w:space="0" w:color="auto"/>
                      </w:divBdr>
                      <w:divsChild>
                        <w:div w:id="730345163">
                          <w:marLeft w:val="0"/>
                          <w:marRight w:val="0"/>
                          <w:marTop w:val="0"/>
                          <w:marBottom w:val="0"/>
                          <w:divBdr>
                            <w:top w:val="none" w:sz="0" w:space="0" w:color="auto"/>
                            <w:left w:val="none" w:sz="0" w:space="0" w:color="auto"/>
                            <w:bottom w:val="none" w:sz="0" w:space="0" w:color="auto"/>
                            <w:right w:val="none" w:sz="0" w:space="0" w:color="auto"/>
                          </w:divBdr>
                          <w:divsChild>
                            <w:div w:id="18442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648396">
          <w:marLeft w:val="0"/>
          <w:marRight w:val="0"/>
          <w:marTop w:val="0"/>
          <w:marBottom w:val="300"/>
          <w:divBdr>
            <w:top w:val="none" w:sz="0" w:space="0" w:color="auto"/>
            <w:left w:val="none" w:sz="0" w:space="0" w:color="auto"/>
            <w:bottom w:val="none" w:sz="0" w:space="0" w:color="auto"/>
            <w:right w:val="none" w:sz="0" w:space="0" w:color="auto"/>
          </w:divBdr>
        </w:div>
        <w:div w:id="1287127154">
          <w:marLeft w:val="0"/>
          <w:marRight w:val="0"/>
          <w:marTop w:val="0"/>
          <w:marBottom w:val="300"/>
          <w:divBdr>
            <w:top w:val="none" w:sz="0" w:space="0" w:color="auto"/>
            <w:left w:val="none" w:sz="0" w:space="0" w:color="auto"/>
            <w:bottom w:val="none" w:sz="0" w:space="0" w:color="auto"/>
            <w:right w:val="none" w:sz="0" w:space="0" w:color="auto"/>
          </w:divBdr>
        </w:div>
      </w:divsChild>
    </w:div>
    <w:div w:id="457727636">
      <w:bodyDiv w:val="1"/>
      <w:marLeft w:val="0"/>
      <w:marRight w:val="0"/>
      <w:marTop w:val="0"/>
      <w:marBottom w:val="0"/>
      <w:divBdr>
        <w:top w:val="none" w:sz="0" w:space="0" w:color="auto"/>
        <w:left w:val="none" w:sz="0" w:space="0" w:color="auto"/>
        <w:bottom w:val="none" w:sz="0" w:space="0" w:color="auto"/>
        <w:right w:val="none" w:sz="0" w:space="0" w:color="auto"/>
      </w:divBdr>
    </w:div>
    <w:div w:id="647517964">
      <w:bodyDiv w:val="1"/>
      <w:marLeft w:val="0"/>
      <w:marRight w:val="0"/>
      <w:marTop w:val="0"/>
      <w:marBottom w:val="0"/>
      <w:divBdr>
        <w:top w:val="none" w:sz="0" w:space="0" w:color="auto"/>
        <w:left w:val="none" w:sz="0" w:space="0" w:color="auto"/>
        <w:bottom w:val="none" w:sz="0" w:space="0" w:color="auto"/>
        <w:right w:val="none" w:sz="0" w:space="0" w:color="auto"/>
      </w:divBdr>
    </w:div>
    <w:div w:id="674112460">
      <w:bodyDiv w:val="1"/>
      <w:marLeft w:val="0"/>
      <w:marRight w:val="0"/>
      <w:marTop w:val="0"/>
      <w:marBottom w:val="0"/>
      <w:divBdr>
        <w:top w:val="none" w:sz="0" w:space="0" w:color="auto"/>
        <w:left w:val="none" w:sz="0" w:space="0" w:color="auto"/>
        <w:bottom w:val="none" w:sz="0" w:space="0" w:color="auto"/>
        <w:right w:val="none" w:sz="0" w:space="0" w:color="auto"/>
      </w:divBdr>
    </w:div>
    <w:div w:id="880282242">
      <w:bodyDiv w:val="1"/>
      <w:marLeft w:val="0"/>
      <w:marRight w:val="0"/>
      <w:marTop w:val="0"/>
      <w:marBottom w:val="0"/>
      <w:divBdr>
        <w:top w:val="none" w:sz="0" w:space="0" w:color="auto"/>
        <w:left w:val="none" w:sz="0" w:space="0" w:color="auto"/>
        <w:bottom w:val="none" w:sz="0" w:space="0" w:color="auto"/>
        <w:right w:val="none" w:sz="0" w:space="0" w:color="auto"/>
      </w:divBdr>
      <w:divsChild>
        <w:div w:id="156560519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5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617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6156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590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635134">
      <w:bodyDiv w:val="1"/>
      <w:marLeft w:val="0"/>
      <w:marRight w:val="0"/>
      <w:marTop w:val="0"/>
      <w:marBottom w:val="0"/>
      <w:divBdr>
        <w:top w:val="none" w:sz="0" w:space="0" w:color="auto"/>
        <w:left w:val="none" w:sz="0" w:space="0" w:color="auto"/>
        <w:bottom w:val="none" w:sz="0" w:space="0" w:color="auto"/>
        <w:right w:val="none" w:sz="0" w:space="0" w:color="auto"/>
      </w:divBdr>
    </w:div>
    <w:div w:id="1087270902">
      <w:bodyDiv w:val="1"/>
      <w:marLeft w:val="0"/>
      <w:marRight w:val="0"/>
      <w:marTop w:val="0"/>
      <w:marBottom w:val="0"/>
      <w:divBdr>
        <w:top w:val="none" w:sz="0" w:space="0" w:color="auto"/>
        <w:left w:val="none" w:sz="0" w:space="0" w:color="auto"/>
        <w:bottom w:val="none" w:sz="0" w:space="0" w:color="auto"/>
        <w:right w:val="none" w:sz="0" w:space="0" w:color="auto"/>
      </w:divBdr>
    </w:div>
    <w:div w:id="1124080928">
      <w:bodyDiv w:val="1"/>
      <w:marLeft w:val="0"/>
      <w:marRight w:val="0"/>
      <w:marTop w:val="0"/>
      <w:marBottom w:val="0"/>
      <w:divBdr>
        <w:top w:val="none" w:sz="0" w:space="0" w:color="auto"/>
        <w:left w:val="none" w:sz="0" w:space="0" w:color="auto"/>
        <w:bottom w:val="none" w:sz="0" w:space="0" w:color="auto"/>
        <w:right w:val="none" w:sz="0" w:space="0" w:color="auto"/>
      </w:divBdr>
      <w:divsChild>
        <w:div w:id="538053360">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493981165">
      <w:bodyDiv w:val="1"/>
      <w:marLeft w:val="0"/>
      <w:marRight w:val="0"/>
      <w:marTop w:val="0"/>
      <w:marBottom w:val="0"/>
      <w:divBdr>
        <w:top w:val="none" w:sz="0" w:space="0" w:color="auto"/>
        <w:left w:val="none" w:sz="0" w:space="0" w:color="auto"/>
        <w:bottom w:val="none" w:sz="0" w:space="0" w:color="auto"/>
        <w:right w:val="none" w:sz="0" w:space="0" w:color="auto"/>
      </w:divBdr>
      <w:divsChild>
        <w:div w:id="130168659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549608570">
      <w:bodyDiv w:val="1"/>
      <w:marLeft w:val="0"/>
      <w:marRight w:val="0"/>
      <w:marTop w:val="0"/>
      <w:marBottom w:val="0"/>
      <w:divBdr>
        <w:top w:val="none" w:sz="0" w:space="0" w:color="auto"/>
        <w:left w:val="none" w:sz="0" w:space="0" w:color="auto"/>
        <w:bottom w:val="none" w:sz="0" w:space="0" w:color="auto"/>
        <w:right w:val="none" w:sz="0" w:space="0" w:color="auto"/>
      </w:divBdr>
    </w:div>
    <w:div w:id="1707483522">
      <w:bodyDiv w:val="1"/>
      <w:marLeft w:val="0"/>
      <w:marRight w:val="0"/>
      <w:marTop w:val="0"/>
      <w:marBottom w:val="0"/>
      <w:divBdr>
        <w:top w:val="none" w:sz="0" w:space="0" w:color="auto"/>
        <w:left w:val="none" w:sz="0" w:space="0" w:color="auto"/>
        <w:bottom w:val="none" w:sz="0" w:space="0" w:color="auto"/>
        <w:right w:val="none" w:sz="0" w:space="0" w:color="auto"/>
      </w:divBdr>
    </w:div>
    <w:div w:id="1724595926">
      <w:bodyDiv w:val="1"/>
      <w:marLeft w:val="0"/>
      <w:marRight w:val="0"/>
      <w:marTop w:val="0"/>
      <w:marBottom w:val="0"/>
      <w:divBdr>
        <w:top w:val="none" w:sz="0" w:space="0" w:color="auto"/>
        <w:left w:val="none" w:sz="0" w:space="0" w:color="auto"/>
        <w:bottom w:val="none" w:sz="0" w:space="0" w:color="auto"/>
        <w:right w:val="none" w:sz="0" w:space="0" w:color="auto"/>
      </w:divBdr>
    </w:div>
    <w:div w:id="1741096342">
      <w:bodyDiv w:val="1"/>
      <w:marLeft w:val="0"/>
      <w:marRight w:val="0"/>
      <w:marTop w:val="0"/>
      <w:marBottom w:val="0"/>
      <w:divBdr>
        <w:top w:val="none" w:sz="0" w:space="0" w:color="auto"/>
        <w:left w:val="none" w:sz="0" w:space="0" w:color="auto"/>
        <w:bottom w:val="none" w:sz="0" w:space="0" w:color="auto"/>
        <w:right w:val="none" w:sz="0" w:space="0" w:color="auto"/>
      </w:divBdr>
      <w:divsChild>
        <w:div w:id="264269914">
          <w:marLeft w:val="0"/>
          <w:marRight w:val="0"/>
          <w:marTop w:val="0"/>
          <w:marBottom w:val="0"/>
          <w:divBdr>
            <w:top w:val="none" w:sz="0" w:space="0" w:color="auto"/>
            <w:left w:val="none" w:sz="0" w:space="0" w:color="auto"/>
            <w:bottom w:val="none" w:sz="0" w:space="0" w:color="auto"/>
            <w:right w:val="none" w:sz="0" w:space="0" w:color="auto"/>
          </w:divBdr>
        </w:div>
        <w:div w:id="1302465716">
          <w:marLeft w:val="0"/>
          <w:marRight w:val="0"/>
          <w:marTop w:val="0"/>
          <w:marBottom w:val="0"/>
          <w:divBdr>
            <w:top w:val="none" w:sz="0" w:space="0" w:color="auto"/>
            <w:left w:val="none" w:sz="0" w:space="0" w:color="auto"/>
            <w:bottom w:val="none" w:sz="0" w:space="0" w:color="auto"/>
            <w:right w:val="none" w:sz="0" w:space="0" w:color="auto"/>
          </w:divBdr>
        </w:div>
        <w:div w:id="1353802817">
          <w:marLeft w:val="0"/>
          <w:marRight w:val="0"/>
          <w:marTop w:val="0"/>
          <w:marBottom w:val="0"/>
          <w:divBdr>
            <w:top w:val="none" w:sz="0" w:space="0" w:color="auto"/>
            <w:left w:val="none" w:sz="0" w:space="0" w:color="auto"/>
            <w:bottom w:val="none" w:sz="0" w:space="0" w:color="auto"/>
            <w:right w:val="none" w:sz="0" w:space="0" w:color="auto"/>
          </w:divBdr>
        </w:div>
        <w:div w:id="644823382">
          <w:marLeft w:val="0"/>
          <w:marRight w:val="0"/>
          <w:marTop w:val="0"/>
          <w:marBottom w:val="0"/>
          <w:divBdr>
            <w:top w:val="none" w:sz="0" w:space="0" w:color="auto"/>
            <w:left w:val="none" w:sz="0" w:space="0" w:color="auto"/>
            <w:bottom w:val="none" w:sz="0" w:space="0" w:color="auto"/>
            <w:right w:val="none" w:sz="0" w:space="0" w:color="auto"/>
          </w:divBdr>
        </w:div>
        <w:div w:id="784932916">
          <w:marLeft w:val="0"/>
          <w:marRight w:val="0"/>
          <w:marTop w:val="0"/>
          <w:marBottom w:val="0"/>
          <w:divBdr>
            <w:top w:val="none" w:sz="0" w:space="0" w:color="auto"/>
            <w:left w:val="none" w:sz="0" w:space="0" w:color="auto"/>
            <w:bottom w:val="none" w:sz="0" w:space="0" w:color="auto"/>
            <w:right w:val="none" w:sz="0" w:space="0" w:color="auto"/>
          </w:divBdr>
        </w:div>
        <w:div w:id="1842309272">
          <w:marLeft w:val="0"/>
          <w:marRight w:val="0"/>
          <w:marTop w:val="0"/>
          <w:marBottom w:val="0"/>
          <w:divBdr>
            <w:top w:val="none" w:sz="0" w:space="0" w:color="auto"/>
            <w:left w:val="none" w:sz="0" w:space="0" w:color="auto"/>
            <w:bottom w:val="none" w:sz="0" w:space="0" w:color="auto"/>
            <w:right w:val="none" w:sz="0" w:space="0" w:color="auto"/>
          </w:divBdr>
        </w:div>
        <w:div w:id="1067529505">
          <w:marLeft w:val="0"/>
          <w:marRight w:val="0"/>
          <w:marTop w:val="0"/>
          <w:marBottom w:val="0"/>
          <w:divBdr>
            <w:top w:val="none" w:sz="0" w:space="0" w:color="auto"/>
            <w:left w:val="none" w:sz="0" w:space="0" w:color="auto"/>
            <w:bottom w:val="none" w:sz="0" w:space="0" w:color="auto"/>
            <w:right w:val="none" w:sz="0" w:space="0" w:color="auto"/>
          </w:divBdr>
        </w:div>
        <w:div w:id="1537087618">
          <w:marLeft w:val="0"/>
          <w:marRight w:val="0"/>
          <w:marTop w:val="0"/>
          <w:marBottom w:val="0"/>
          <w:divBdr>
            <w:top w:val="none" w:sz="0" w:space="0" w:color="auto"/>
            <w:left w:val="none" w:sz="0" w:space="0" w:color="auto"/>
            <w:bottom w:val="none" w:sz="0" w:space="0" w:color="auto"/>
            <w:right w:val="none" w:sz="0" w:space="0" w:color="auto"/>
          </w:divBdr>
        </w:div>
        <w:div w:id="911741875">
          <w:marLeft w:val="0"/>
          <w:marRight w:val="0"/>
          <w:marTop w:val="0"/>
          <w:marBottom w:val="0"/>
          <w:divBdr>
            <w:top w:val="none" w:sz="0" w:space="0" w:color="auto"/>
            <w:left w:val="none" w:sz="0" w:space="0" w:color="auto"/>
            <w:bottom w:val="none" w:sz="0" w:space="0" w:color="auto"/>
            <w:right w:val="none" w:sz="0" w:space="0" w:color="auto"/>
          </w:divBdr>
        </w:div>
        <w:div w:id="1341083292">
          <w:marLeft w:val="0"/>
          <w:marRight w:val="0"/>
          <w:marTop w:val="0"/>
          <w:marBottom w:val="0"/>
          <w:divBdr>
            <w:top w:val="none" w:sz="0" w:space="0" w:color="auto"/>
            <w:left w:val="none" w:sz="0" w:space="0" w:color="auto"/>
            <w:bottom w:val="none" w:sz="0" w:space="0" w:color="auto"/>
            <w:right w:val="none" w:sz="0" w:space="0" w:color="auto"/>
          </w:divBdr>
        </w:div>
        <w:div w:id="1596943124">
          <w:marLeft w:val="0"/>
          <w:marRight w:val="0"/>
          <w:marTop w:val="0"/>
          <w:marBottom w:val="0"/>
          <w:divBdr>
            <w:top w:val="none" w:sz="0" w:space="0" w:color="auto"/>
            <w:left w:val="none" w:sz="0" w:space="0" w:color="auto"/>
            <w:bottom w:val="none" w:sz="0" w:space="0" w:color="auto"/>
            <w:right w:val="none" w:sz="0" w:space="0" w:color="auto"/>
          </w:divBdr>
        </w:div>
        <w:div w:id="123233647">
          <w:marLeft w:val="0"/>
          <w:marRight w:val="0"/>
          <w:marTop w:val="0"/>
          <w:marBottom w:val="0"/>
          <w:divBdr>
            <w:top w:val="none" w:sz="0" w:space="0" w:color="auto"/>
            <w:left w:val="none" w:sz="0" w:space="0" w:color="auto"/>
            <w:bottom w:val="none" w:sz="0" w:space="0" w:color="auto"/>
            <w:right w:val="none" w:sz="0" w:space="0" w:color="auto"/>
          </w:divBdr>
        </w:div>
        <w:div w:id="1929267754">
          <w:marLeft w:val="0"/>
          <w:marRight w:val="0"/>
          <w:marTop w:val="0"/>
          <w:marBottom w:val="0"/>
          <w:divBdr>
            <w:top w:val="none" w:sz="0" w:space="0" w:color="auto"/>
            <w:left w:val="none" w:sz="0" w:space="0" w:color="auto"/>
            <w:bottom w:val="none" w:sz="0" w:space="0" w:color="auto"/>
            <w:right w:val="none" w:sz="0" w:space="0" w:color="auto"/>
          </w:divBdr>
        </w:div>
        <w:div w:id="1524660935">
          <w:marLeft w:val="0"/>
          <w:marRight w:val="0"/>
          <w:marTop w:val="0"/>
          <w:marBottom w:val="0"/>
          <w:divBdr>
            <w:top w:val="none" w:sz="0" w:space="0" w:color="auto"/>
            <w:left w:val="none" w:sz="0" w:space="0" w:color="auto"/>
            <w:bottom w:val="none" w:sz="0" w:space="0" w:color="auto"/>
            <w:right w:val="none" w:sz="0" w:space="0" w:color="auto"/>
          </w:divBdr>
        </w:div>
        <w:div w:id="1501307729">
          <w:marLeft w:val="0"/>
          <w:marRight w:val="0"/>
          <w:marTop w:val="0"/>
          <w:marBottom w:val="0"/>
          <w:divBdr>
            <w:top w:val="none" w:sz="0" w:space="0" w:color="auto"/>
            <w:left w:val="none" w:sz="0" w:space="0" w:color="auto"/>
            <w:bottom w:val="none" w:sz="0" w:space="0" w:color="auto"/>
            <w:right w:val="none" w:sz="0" w:space="0" w:color="auto"/>
          </w:divBdr>
        </w:div>
      </w:divsChild>
    </w:div>
    <w:div w:id="1963149853">
      <w:bodyDiv w:val="1"/>
      <w:marLeft w:val="0"/>
      <w:marRight w:val="0"/>
      <w:marTop w:val="0"/>
      <w:marBottom w:val="0"/>
      <w:divBdr>
        <w:top w:val="none" w:sz="0" w:space="0" w:color="auto"/>
        <w:left w:val="none" w:sz="0" w:space="0" w:color="auto"/>
        <w:bottom w:val="none" w:sz="0" w:space="0" w:color="auto"/>
        <w:right w:val="none" w:sz="0" w:space="0" w:color="auto"/>
      </w:divBdr>
    </w:div>
    <w:div w:id="2000840576">
      <w:bodyDiv w:val="1"/>
      <w:marLeft w:val="0"/>
      <w:marRight w:val="0"/>
      <w:marTop w:val="0"/>
      <w:marBottom w:val="0"/>
      <w:divBdr>
        <w:top w:val="none" w:sz="0" w:space="0" w:color="auto"/>
        <w:left w:val="none" w:sz="0" w:space="0" w:color="auto"/>
        <w:bottom w:val="none" w:sz="0" w:space="0" w:color="auto"/>
        <w:right w:val="none" w:sz="0" w:space="0" w:color="auto"/>
      </w:divBdr>
    </w:div>
    <w:div w:id="2038238704">
      <w:bodyDiv w:val="1"/>
      <w:marLeft w:val="0"/>
      <w:marRight w:val="0"/>
      <w:marTop w:val="0"/>
      <w:marBottom w:val="0"/>
      <w:divBdr>
        <w:top w:val="none" w:sz="0" w:space="0" w:color="auto"/>
        <w:left w:val="none" w:sz="0" w:space="0" w:color="auto"/>
        <w:bottom w:val="none" w:sz="0" w:space="0" w:color="auto"/>
        <w:right w:val="none" w:sz="0" w:space="0" w:color="auto"/>
      </w:divBdr>
    </w:div>
    <w:div w:id="207658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00_0267.htm" TargetMode="External"/><Relationship Id="rId3" Type="http://schemas.openxmlformats.org/officeDocument/2006/relationships/settings" Target="settings.xml"/><Relationship Id="rId7" Type="http://schemas.openxmlformats.org/officeDocument/2006/relationships/hyperlink" Target="https://www.bosettiegatti.eu/info/norme/statali/2000_0267.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wikipedia.org/wiki/Circoscrizione_di_decentramento_comunale" TargetMode="External"/><Relationship Id="rId5" Type="http://schemas.openxmlformats.org/officeDocument/2006/relationships/hyperlink" Target="https://it.wikipedia.org/wiki/Consiglio_comunale_(Itali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19973</Words>
  <Characters>113847</Characters>
  <Application>Microsoft Office Word</Application>
  <DocSecurity>0</DocSecurity>
  <Lines>948</Lines>
  <Paragraphs>267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SerenaG</dc:creator>
  <cp:keywords/>
  <dc:description/>
  <cp:lastModifiedBy>SERENA GUARDUCCI</cp:lastModifiedBy>
  <cp:revision>6</cp:revision>
  <dcterms:created xsi:type="dcterms:W3CDTF">2023-04-20T12:33:00Z</dcterms:created>
  <dcterms:modified xsi:type="dcterms:W3CDTF">2023-10-29T12:07:00Z</dcterms:modified>
</cp:coreProperties>
</file>