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b/>
          <w:color w:val="5F5F5F"/>
        </w:rPr>
      </w:pPr>
      <w:r w:rsidRPr="00413BE2">
        <w:rPr>
          <w:rFonts w:ascii="Arial" w:hAnsi="Arial" w:cs="Arial"/>
          <w:b/>
          <w:color w:val="5F5F5F"/>
        </w:rPr>
        <w:t>Entro l’ampia categoria dei tributi sono da includere: l’imposta, la tassa, e il contributo.</w:t>
      </w:r>
    </w:p>
    <w:p w:rsidR="002734FB" w:rsidRPr="00413BE2" w:rsidRDefault="00BD4CB9" w:rsidP="002734FB">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5F5F5F"/>
        </w:rPr>
        <w:t>L’imposta è il tributo per eccellenza, da studiare in relazione al tipo di presupposto che da vita al prelievo. Soprattutto al fine di distinguere l’imposta dalla tassa, l’imposta viene caratterizzata per ciò, che il suo presupposto è un fatto posto in essere da un soggetto passivo, senza alcuna relazione specifica con un’attività dell’ente pubblico; il suo presupposto insomma, è un evento cui sono estranei l’ente e l’attività pubblica.</w:t>
      </w:r>
      <w:r w:rsidR="002734FB" w:rsidRPr="00413BE2">
        <w:rPr>
          <w:rFonts w:ascii="Arial" w:hAnsi="Arial" w:cs="Arial"/>
          <w:color w:val="202122"/>
        </w:rPr>
        <w:t xml:space="preserve"> L'imposta è un prelievo coattivo di ricchezza che, si caratterizza per essere espressione del potere d'imperio attribuito allo Stato, il quale per regolare la quantità di denaro in circolazione ne preleva una quantità variabile, ad ogni cittadino (in maniera proporzionale al proprio reddito), in maniera da mantenere la corretta quantità di moneta in circolazione in funzione della capacità produttiva dello stato stesso. Lo stato fornisce moneta ai propri cittadini con i pubblici servizi indivisibili (come ad esempio la difesa, la ricerca, oppure la costruzione delle strade) e ne preleva una quantità variabile con le imposte.</w:t>
      </w:r>
    </w:p>
    <w:p w:rsidR="002734FB" w:rsidRPr="00413BE2" w:rsidRDefault="002734FB" w:rsidP="002734FB">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Si distingue dalla tassa in quanto essa è il corrispettivo per un pubblico servizio richiesto in forma individuale.</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Ogni imposta si classifica in quattro modalità. Quanto:</w:t>
      </w:r>
    </w:p>
    <w:p w:rsidR="002734FB" w:rsidRPr="00413BE2" w:rsidRDefault="002734FB" w:rsidP="002734FB">
      <w:pPr>
        <w:numPr>
          <w:ilvl w:val="0"/>
          <w:numId w:val="1"/>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sidRPr="00413BE2">
        <w:rPr>
          <w:rFonts w:ascii="Arial" w:eastAsia="Times New Roman" w:hAnsi="Arial" w:cs="Arial"/>
          <w:i/>
          <w:iCs/>
          <w:color w:val="202122"/>
          <w:sz w:val="24"/>
          <w:szCs w:val="24"/>
          <w:lang w:eastAsia="it-IT"/>
        </w:rPr>
        <w:t>al soggetto</w:t>
      </w:r>
      <w:r w:rsidRPr="00413BE2">
        <w:rPr>
          <w:rFonts w:ascii="Arial" w:eastAsia="Times New Roman" w:hAnsi="Arial" w:cs="Arial"/>
          <w:color w:val="202122"/>
          <w:sz w:val="24"/>
          <w:szCs w:val="24"/>
          <w:lang w:eastAsia="it-IT"/>
        </w:rPr>
        <w:t>, la persona fisica o persona giuridica obbligata a pagarla. Si classificano in: imposte dirette o indirette,</w:t>
      </w:r>
    </w:p>
    <w:p w:rsidR="002734FB" w:rsidRPr="00413BE2" w:rsidRDefault="002734FB" w:rsidP="002734FB">
      <w:pPr>
        <w:numPr>
          <w:ilvl w:val="0"/>
          <w:numId w:val="1"/>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sidRPr="00413BE2">
        <w:rPr>
          <w:rFonts w:ascii="Arial" w:eastAsia="Times New Roman" w:hAnsi="Arial" w:cs="Arial"/>
          <w:i/>
          <w:iCs/>
          <w:color w:val="202122"/>
          <w:sz w:val="24"/>
          <w:szCs w:val="24"/>
          <w:lang w:eastAsia="it-IT"/>
        </w:rPr>
        <w:t>all'oggetto</w:t>
      </w:r>
      <w:r w:rsidRPr="00413BE2">
        <w:rPr>
          <w:rFonts w:ascii="Arial" w:eastAsia="Times New Roman" w:hAnsi="Arial" w:cs="Arial"/>
          <w:color w:val="202122"/>
          <w:sz w:val="24"/>
          <w:szCs w:val="24"/>
          <w:lang w:eastAsia="it-IT"/>
        </w:rPr>
        <w:t>. Si classificano in imposte reali e personali. Le imposte reali colpiscono senza tenere conto delle condizioni personali del suo possessore (stato di famiglia, indicatore ISEE, oneri, passività).</w:t>
      </w:r>
    </w:p>
    <w:p w:rsidR="002734FB" w:rsidRPr="00413BE2" w:rsidRDefault="002734FB" w:rsidP="002734FB">
      <w:pPr>
        <w:numPr>
          <w:ilvl w:val="0"/>
          <w:numId w:val="1"/>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sidRPr="00413BE2">
        <w:rPr>
          <w:rFonts w:ascii="Arial" w:eastAsia="Times New Roman" w:hAnsi="Arial" w:cs="Arial"/>
          <w:i/>
          <w:iCs/>
          <w:color w:val="202122"/>
          <w:sz w:val="24"/>
          <w:szCs w:val="24"/>
          <w:lang w:eastAsia="it-IT"/>
        </w:rPr>
        <w:t>al modo di pagamento</w:t>
      </w:r>
      <w:r w:rsidRPr="00413BE2">
        <w:rPr>
          <w:rFonts w:ascii="Arial" w:eastAsia="Times New Roman" w:hAnsi="Arial" w:cs="Arial"/>
          <w:color w:val="202122"/>
          <w:sz w:val="24"/>
          <w:szCs w:val="24"/>
          <w:lang w:eastAsia="it-IT"/>
        </w:rPr>
        <w:t>: imposte in moneta, o imposte in natura (in disuso).</w:t>
      </w:r>
    </w:p>
    <w:p w:rsidR="002734FB" w:rsidRPr="00413BE2" w:rsidRDefault="002734FB" w:rsidP="002734FB">
      <w:pPr>
        <w:numPr>
          <w:ilvl w:val="0"/>
          <w:numId w:val="1"/>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sidRPr="00413BE2">
        <w:rPr>
          <w:rFonts w:ascii="Arial" w:eastAsia="Times New Roman" w:hAnsi="Arial" w:cs="Arial"/>
          <w:i/>
          <w:iCs/>
          <w:color w:val="202122"/>
          <w:sz w:val="24"/>
          <w:szCs w:val="24"/>
          <w:lang w:eastAsia="it-IT"/>
        </w:rPr>
        <w:t>metodo di riscossione</w:t>
      </w:r>
      <w:r w:rsidRPr="00413BE2">
        <w:rPr>
          <w:rFonts w:ascii="Arial" w:eastAsia="Times New Roman" w:hAnsi="Arial" w:cs="Arial"/>
          <w:color w:val="202122"/>
          <w:sz w:val="24"/>
          <w:szCs w:val="24"/>
          <w:lang w:eastAsia="it-IT"/>
        </w:rPr>
        <w:t>: imposte di contingente e imposte di quotità. Lo Stato centrale decide il gettito complessivo di imposta in base al fabbisogno e costo standard. Le regioni si accordano sulla quota di carico di ciascuna, in base alla popolazione residente, alla redditività del patrimonio (es. la superficie coltivabile e la produttività del terreno, la superficie edificabile e i prezzi di affitto e vendita nel mercato immobiliare). Gli enti locali si accordano tra loro e con la regione, e infine i comuni ripartiscono l'imposta fra i propri contribuenti.</w:t>
      </w:r>
    </w:p>
    <w:p w:rsidR="002734FB" w:rsidRPr="00413BE2" w:rsidRDefault="002734FB" w:rsidP="002734FB">
      <w:pPr>
        <w:shd w:val="clear" w:color="auto" w:fill="FFFFFF"/>
        <w:spacing w:before="72" w:after="0" w:line="240" w:lineRule="auto"/>
        <w:outlineLvl w:val="2"/>
        <w:rPr>
          <w:rFonts w:ascii="Arial" w:eastAsia="Times New Roman" w:hAnsi="Arial" w:cs="Arial"/>
          <w:b/>
          <w:bCs/>
          <w:color w:val="000000"/>
          <w:sz w:val="24"/>
          <w:szCs w:val="24"/>
          <w:lang w:eastAsia="it-IT"/>
        </w:rPr>
      </w:pPr>
      <w:r w:rsidRPr="00413BE2">
        <w:rPr>
          <w:rFonts w:ascii="Arial" w:eastAsia="Times New Roman" w:hAnsi="Arial" w:cs="Arial"/>
          <w:b/>
          <w:bCs/>
          <w:color w:val="000000"/>
          <w:sz w:val="24"/>
          <w:szCs w:val="24"/>
          <w:lang w:eastAsia="it-IT"/>
        </w:rPr>
        <w:t>Imposte dirette e indirette</w:t>
      </w:r>
    </w:p>
    <w:p w:rsidR="002734FB" w:rsidRPr="00413BE2" w:rsidRDefault="002734FB" w:rsidP="00413BE2">
      <w:pPr>
        <w:shd w:val="clear" w:color="auto" w:fill="FFFFFF"/>
        <w:spacing w:before="120" w:after="120" w:line="240" w:lineRule="auto"/>
        <w:rPr>
          <w:rFonts w:ascii="Arial" w:eastAsia="Times New Roman" w:hAnsi="Arial" w:cs="Arial"/>
          <w:b/>
          <w:bCs/>
          <w:color w:val="000000"/>
          <w:sz w:val="24"/>
          <w:szCs w:val="24"/>
          <w:lang w:eastAsia="it-IT"/>
        </w:rPr>
      </w:pPr>
      <w:r w:rsidRPr="00413BE2">
        <w:rPr>
          <w:rFonts w:ascii="Arial" w:eastAsia="Times New Roman" w:hAnsi="Arial" w:cs="Arial"/>
          <w:color w:val="202122"/>
          <w:sz w:val="24"/>
          <w:szCs w:val="24"/>
          <w:lang w:eastAsia="it-IT"/>
        </w:rPr>
        <w:t>Si tratta della principale classificazione delle imposte. Sono </w:t>
      </w:r>
      <w:r w:rsidRPr="00413BE2">
        <w:rPr>
          <w:rFonts w:ascii="Arial" w:eastAsia="Times New Roman" w:hAnsi="Arial" w:cs="Arial"/>
          <w:b/>
          <w:bCs/>
          <w:color w:val="202122"/>
          <w:sz w:val="24"/>
          <w:szCs w:val="24"/>
          <w:lang w:eastAsia="it-IT"/>
        </w:rPr>
        <w:t>dirette</w:t>
      </w:r>
      <w:r w:rsidRPr="00413BE2">
        <w:rPr>
          <w:rFonts w:ascii="Arial" w:eastAsia="Times New Roman" w:hAnsi="Arial" w:cs="Arial"/>
          <w:color w:val="202122"/>
          <w:sz w:val="24"/>
          <w:szCs w:val="24"/>
          <w:lang w:eastAsia="it-IT"/>
        </w:rPr>
        <w:t> quelle che gravano sulle manifestazioni più evidenti della capacità contributiva, come il reddito o il patrimonio; sono </w:t>
      </w:r>
      <w:r w:rsidRPr="00413BE2">
        <w:rPr>
          <w:rFonts w:ascii="Arial" w:eastAsia="Times New Roman" w:hAnsi="Arial" w:cs="Arial"/>
          <w:b/>
          <w:bCs/>
          <w:color w:val="202122"/>
          <w:sz w:val="24"/>
          <w:szCs w:val="24"/>
          <w:lang w:eastAsia="it-IT"/>
        </w:rPr>
        <w:t>indirette</w:t>
      </w:r>
      <w:r w:rsidRPr="00413BE2">
        <w:rPr>
          <w:rFonts w:ascii="Arial" w:eastAsia="Times New Roman" w:hAnsi="Arial" w:cs="Arial"/>
          <w:color w:val="202122"/>
          <w:sz w:val="24"/>
          <w:szCs w:val="24"/>
          <w:lang w:eastAsia="it-IT"/>
        </w:rPr>
        <w:t xml:space="preserve"> le imposte che colpiscono le manifestazioni meno evidenti della capacità contributiva ovvero consumi, trasferimenti, scambi. </w:t>
      </w:r>
      <w:r w:rsidRPr="00413BE2">
        <w:rPr>
          <w:rFonts w:ascii="Arial" w:eastAsia="Times New Roman" w:hAnsi="Arial" w:cs="Arial"/>
          <w:b/>
          <w:bCs/>
          <w:color w:val="000000"/>
          <w:sz w:val="24"/>
          <w:szCs w:val="24"/>
          <w:lang w:eastAsia="it-IT"/>
        </w:rPr>
        <w:t>Imposte generali e speciali</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L'imposta è </w:t>
      </w:r>
      <w:r w:rsidRPr="00413BE2">
        <w:rPr>
          <w:rFonts w:ascii="Arial" w:eastAsia="Times New Roman" w:hAnsi="Arial" w:cs="Arial"/>
          <w:b/>
          <w:bCs/>
          <w:color w:val="202122"/>
          <w:sz w:val="24"/>
          <w:szCs w:val="24"/>
          <w:lang w:eastAsia="it-IT"/>
        </w:rPr>
        <w:t>generale</w:t>
      </w:r>
      <w:r w:rsidRPr="00413BE2">
        <w:rPr>
          <w:rFonts w:ascii="Arial" w:eastAsia="Times New Roman" w:hAnsi="Arial" w:cs="Arial"/>
          <w:color w:val="202122"/>
          <w:sz w:val="24"/>
          <w:szCs w:val="24"/>
          <w:lang w:eastAsia="it-IT"/>
        </w:rPr>
        <w:t> quando colpisce uniformemente un certo tipo di operazioni in qualunque settore economico; è </w:t>
      </w:r>
      <w:r w:rsidRPr="00413BE2">
        <w:rPr>
          <w:rFonts w:ascii="Arial" w:eastAsia="Times New Roman" w:hAnsi="Arial" w:cs="Arial"/>
          <w:b/>
          <w:bCs/>
          <w:color w:val="202122"/>
          <w:sz w:val="24"/>
          <w:szCs w:val="24"/>
          <w:lang w:eastAsia="it-IT"/>
        </w:rPr>
        <w:t>speciale</w:t>
      </w:r>
      <w:r w:rsidRPr="00413BE2">
        <w:rPr>
          <w:rFonts w:ascii="Arial" w:eastAsia="Times New Roman" w:hAnsi="Arial" w:cs="Arial"/>
          <w:color w:val="202122"/>
          <w:sz w:val="24"/>
          <w:szCs w:val="24"/>
          <w:lang w:eastAsia="it-IT"/>
        </w:rPr>
        <w:t xml:space="preserve"> quando si riferisce ad un solo settore dell'economia oppure ad un solo piccolo gruppo di manifestazioni della capacità contributiva. </w:t>
      </w:r>
    </w:p>
    <w:p w:rsidR="002734FB" w:rsidRPr="00413BE2" w:rsidRDefault="002734FB" w:rsidP="002734FB">
      <w:pPr>
        <w:shd w:val="clear" w:color="auto" w:fill="FFFFFF"/>
        <w:spacing w:before="72" w:after="0" w:line="240" w:lineRule="auto"/>
        <w:outlineLvl w:val="2"/>
        <w:rPr>
          <w:rFonts w:ascii="Arial" w:eastAsia="Times New Roman" w:hAnsi="Arial" w:cs="Arial"/>
          <w:b/>
          <w:bCs/>
          <w:color w:val="000000"/>
          <w:sz w:val="24"/>
          <w:szCs w:val="24"/>
          <w:lang w:eastAsia="it-IT"/>
        </w:rPr>
      </w:pPr>
      <w:r w:rsidRPr="00413BE2">
        <w:rPr>
          <w:rFonts w:ascii="Arial" w:eastAsia="Times New Roman" w:hAnsi="Arial" w:cs="Arial"/>
          <w:b/>
          <w:bCs/>
          <w:color w:val="000000"/>
          <w:sz w:val="24"/>
          <w:szCs w:val="24"/>
          <w:lang w:eastAsia="it-IT"/>
        </w:rPr>
        <w:t>Imposte fisse, proporzionali, progressive, regressive</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L'imposta è:</w:t>
      </w:r>
    </w:p>
    <w:p w:rsidR="002734FB" w:rsidRPr="00413BE2" w:rsidRDefault="002734FB" w:rsidP="002734FB">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b/>
          <w:bCs/>
          <w:color w:val="202122"/>
          <w:sz w:val="24"/>
          <w:szCs w:val="24"/>
          <w:lang w:eastAsia="it-IT"/>
        </w:rPr>
        <w:t>fissa</w:t>
      </w:r>
      <w:r w:rsidRPr="00413BE2">
        <w:rPr>
          <w:rFonts w:ascii="Arial" w:eastAsia="Times New Roman" w:hAnsi="Arial" w:cs="Arial"/>
          <w:color w:val="202122"/>
          <w:sz w:val="24"/>
          <w:szCs w:val="24"/>
          <w:lang w:eastAsia="it-IT"/>
        </w:rPr>
        <w:t> quando il suo ammontare non varia al variare del reddito o delle caratteristiche del soggetto;</w:t>
      </w:r>
    </w:p>
    <w:p w:rsidR="002734FB" w:rsidRPr="00413BE2" w:rsidRDefault="002734FB" w:rsidP="002734FB">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b/>
          <w:bCs/>
          <w:color w:val="202122"/>
          <w:sz w:val="24"/>
          <w:szCs w:val="24"/>
          <w:lang w:eastAsia="it-IT"/>
        </w:rPr>
        <w:t>proporzionale</w:t>
      </w:r>
      <w:r w:rsidRPr="00413BE2">
        <w:rPr>
          <w:rFonts w:ascii="Arial" w:eastAsia="Times New Roman" w:hAnsi="Arial" w:cs="Arial"/>
          <w:color w:val="202122"/>
          <w:sz w:val="24"/>
          <w:szCs w:val="24"/>
          <w:lang w:eastAsia="it-IT"/>
        </w:rPr>
        <w:t> quando l'aliquota è costante, ovvero l'imposta è direttamente proporzionale all'imponibile;</w:t>
      </w:r>
    </w:p>
    <w:p w:rsidR="002734FB" w:rsidRPr="00413BE2" w:rsidRDefault="002734FB" w:rsidP="002734FB">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b/>
          <w:bCs/>
          <w:color w:val="202122"/>
          <w:sz w:val="24"/>
          <w:szCs w:val="24"/>
          <w:lang w:eastAsia="it-IT"/>
        </w:rPr>
        <w:lastRenderedPageBreak/>
        <w:t>regressive</w:t>
      </w:r>
      <w:r w:rsidRPr="00413BE2">
        <w:rPr>
          <w:rFonts w:ascii="Arial" w:eastAsia="Times New Roman" w:hAnsi="Arial" w:cs="Arial"/>
          <w:color w:val="202122"/>
          <w:sz w:val="24"/>
          <w:szCs w:val="24"/>
          <w:lang w:eastAsia="it-IT"/>
        </w:rPr>
        <w:t> quando, all'aumentare dell'imponibile, l'aliquota decresce (ovvero l'imposta aumenta in misura meno che proporzionale rispetto all'imponibile);</w:t>
      </w:r>
    </w:p>
    <w:p w:rsidR="002734FB" w:rsidRPr="00413BE2" w:rsidRDefault="002734FB" w:rsidP="002734FB">
      <w:pPr>
        <w:numPr>
          <w:ilvl w:val="0"/>
          <w:numId w:val="4"/>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b/>
          <w:bCs/>
          <w:color w:val="202122"/>
          <w:sz w:val="24"/>
          <w:szCs w:val="24"/>
          <w:lang w:eastAsia="it-IT"/>
        </w:rPr>
        <w:t>progressiva</w:t>
      </w:r>
      <w:r w:rsidRPr="00413BE2">
        <w:rPr>
          <w:rFonts w:ascii="Arial" w:eastAsia="Times New Roman" w:hAnsi="Arial" w:cs="Arial"/>
          <w:color w:val="202122"/>
          <w:sz w:val="24"/>
          <w:szCs w:val="24"/>
          <w:lang w:eastAsia="it-IT"/>
        </w:rPr>
        <w:t> quando, all'aumentare dell'imponibile, l'aliquota aumenta (ovvero l'imposta aumenta in misura più che proporzionale rispetto all'imponibile). L'IRPEF, ad esempio, appartiene a quest'ultima categoria.</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La progressività è una caratteristica dell' </w:t>
      </w:r>
      <w:r w:rsidR="006D22C1" w:rsidRPr="00413BE2">
        <w:rPr>
          <w:rFonts w:ascii="Arial" w:eastAsia="Times New Roman" w:hAnsi="Arial" w:cs="Arial"/>
          <w:color w:val="202122"/>
          <w:sz w:val="24"/>
          <w:szCs w:val="24"/>
          <w:lang w:eastAsia="it-IT"/>
        </w:rPr>
        <w:t xml:space="preserve">ordinamento </w:t>
      </w:r>
      <w:r w:rsidRPr="00413BE2">
        <w:rPr>
          <w:rFonts w:ascii="Arial" w:eastAsia="Times New Roman" w:hAnsi="Arial" w:cs="Arial"/>
          <w:color w:val="202122"/>
          <w:sz w:val="24"/>
          <w:szCs w:val="24"/>
          <w:lang w:eastAsia="it-IT"/>
        </w:rPr>
        <w:t>tributario italiano; l'art. 53 della </w:t>
      </w:r>
      <w:r w:rsidR="006D22C1" w:rsidRPr="00413BE2">
        <w:rPr>
          <w:rFonts w:ascii="Arial" w:eastAsia="Times New Roman" w:hAnsi="Arial" w:cs="Arial"/>
          <w:color w:val="202122"/>
          <w:sz w:val="24"/>
          <w:szCs w:val="24"/>
          <w:lang w:eastAsia="it-IT"/>
        </w:rPr>
        <w:t>cosotituzione</w:t>
      </w:r>
      <w:r w:rsidRPr="00413BE2">
        <w:rPr>
          <w:rFonts w:ascii="Arial" w:eastAsia="Times New Roman" w:hAnsi="Arial" w:cs="Arial"/>
          <w:color w:val="202122"/>
          <w:sz w:val="24"/>
          <w:szCs w:val="24"/>
          <w:lang w:eastAsia="it-IT"/>
        </w:rPr>
        <w:t> dispone in tal senso: "Tutti sono tenuti a concorrere alle </w:t>
      </w:r>
      <w:r w:rsidR="006D22C1" w:rsidRPr="00413BE2">
        <w:rPr>
          <w:rFonts w:ascii="Arial" w:eastAsia="Times New Roman" w:hAnsi="Arial" w:cs="Arial"/>
          <w:color w:val="202122"/>
          <w:sz w:val="24"/>
          <w:szCs w:val="24"/>
          <w:lang w:eastAsia="it-IT"/>
        </w:rPr>
        <w:t>spese pubbliche</w:t>
      </w:r>
      <w:r w:rsidRPr="00413BE2">
        <w:rPr>
          <w:rFonts w:ascii="Arial" w:eastAsia="Times New Roman" w:hAnsi="Arial" w:cs="Arial"/>
          <w:color w:val="202122"/>
          <w:sz w:val="24"/>
          <w:szCs w:val="24"/>
          <w:lang w:eastAsia="it-IT"/>
        </w:rPr>
        <w:t> in ragione della loro </w:t>
      </w:r>
      <w:r w:rsidR="006D22C1" w:rsidRPr="00413BE2">
        <w:rPr>
          <w:rFonts w:ascii="Arial" w:eastAsia="Times New Roman" w:hAnsi="Arial" w:cs="Arial"/>
          <w:color w:val="202122"/>
          <w:sz w:val="24"/>
          <w:szCs w:val="24"/>
          <w:lang w:eastAsia="it-IT"/>
        </w:rPr>
        <w:t>capacità contributiva</w:t>
      </w:r>
      <w:r w:rsidRPr="00413BE2">
        <w:rPr>
          <w:rFonts w:ascii="Arial" w:eastAsia="Times New Roman" w:hAnsi="Arial" w:cs="Arial"/>
          <w:color w:val="202122"/>
          <w:sz w:val="24"/>
          <w:szCs w:val="24"/>
          <w:lang w:eastAsia="it-IT"/>
        </w:rPr>
        <w:t>. Il sistema tributario è informato a criteri di progressività". Da un punto di vista teorico-politico, l'utilità della progressività dell'imposta è dibattuta:</w:t>
      </w:r>
    </w:p>
    <w:p w:rsidR="002734FB" w:rsidRPr="00413BE2" w:rsidRDefault="002734FB" w:rsidP="006D22C1">
      <w:pPr>
        <w:numPr>
          <w:ilvl w:val="0"/>
          <w:numId w:val="5"/>
        </w:numPr>
        <w:shd w:val="clear" w:color="auto" w:fill="FFFFFF"/>
        <w:spacing w:before="100" w:beforeAutospacing="1" w:after="24" w:line="240" w:lineRule="auto"/>
        <w:ind w:left="384"/>
        <w:rPr>
          <w:rFonts w:ascii="Arial" w:eastAsia="Times New Roman" w:hAnsi="Arial" w:cs="Arial"/>
          <w:b/>
          <w:bCs/>
          <w:color w:val="000000"/>
          <w:sz w:val="24"/>
          <w:szCs w:val="24"/>
          <w:lang w:eastAsia="it-IT"/>
        </w:rPr>
      </w:pPr>
      <w:r w:rsidRPr="00413BE2">
        <w:rPr>
          <w:rFonts w:ascii="Arial" w:eastAsia="Times New Roman" w:hAnsi="Arial" w:cs="Arial"/>
          <w:color w:val="202122"/>
          <w:sz w:val="24"/>
          <w:szCs w:val="24"/>
          <w:lang w:eastAsia="it-IT"/>
        </w:rPr>
        <w:t>i fautori di essa sostengono che, in tal modo, il prelievo tributario ha funzione di redistribuzione della </w:t>
      </w:r>
      <w:r w:rsidR="006D22C1" w:rsidRPr="00413BE2">
        <w:rPr>
          <w:rFonts w:ascii="Arial" w:eastAsia="Times New Roman" w:hAnsi="Arial" w:cs="Arial"/>
          <w:color w:val="202122"/>
          <w:sz w:val="24"/>
          <w:szCs w:val="24"/>
          <w:lang w:eastAsia="it-IT"/>
        </w:rPr>
        <w:t>ricchezza</w:t>
      </w:r>
      <w:r w:rsidRPr="00413BE2">
        <w:rPr>
          <w:rFonts w:ascii="Arial" w:eastAsia="Times New Roman" w:hAnsi="Arial" w:cs="Arial"/>
          <w:color w:val="202122"/>
          <w:sz w:val="24"/>
          <w:szCs w:val="24"/>
          <w:lang w:eastAsia="it-IT"/>
        </w:rPr>
        <w:t> prodotta, contribuendo, con spirito solidaristico, al benessere della collettività.</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Esistono quattro tipi di </w:t>
      </w:r>
      <w:r w:rsidR="00413BE2" w:rsidRPr="00413BE2">
        <w:rPr>
          <w:rFonts w:ascii="Arial" w:eastAsia="Times New Roman" w:hAnsi="Arial" w:cs="Arial"/>
          <w:color w:val="202122"/>
          <w:sz w:val="24"/>
          <w:szCs w:val="24"/>
          <w:lang w:eastAsia="it-IT"/>
        </w:rPr>
        <w:t>PROGRESSIVITA’</w:t>
      </w:r>
      <w:r w:rsidRPr="00413BE2">
        <w:rPr>
          <w:rFonts w:ascii="Arial" w:eastAsia="Times New Roman" w:hAnsi="Arial" w:cs="Arial"/>
          <w:color w:val="202122"/>
          <w:sz w:val="24"/>
          <w:szCs w:val="24"/>
          <w:lang w:eastAsia="it-IT"/>
        </w:rPr>
        <w:t>: continua, per classi, per scaglioni, per deduzione e detrazione.</w:t>
      </w:r>
    </w:p>
    <w:p w:rsidR="002734FB" w:rsidRPr="00413BE2" w:rsidRDefault="002734FB" w:rsidP="002734FB">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w:t>
      </w:r>
      <w:r w:rsidRPr="00413BE2">
        <w:rPr>
          <w:rFonts w:ascii="Arial" w:eastAsia="Times New Roman" w:hAnsi="Arial" w:cs="Arial"/>
          <w:b/>
          <w:bCs/>
          <w:color w:val="202122"/>
          <w:sz w:val="24"/>
          <w:szCs w:val="24"/>
          <w:lang w:eastAsia="it-IT"/>
        </w:rPr>
        <w:t>continua</w:t>
      </w:r>
      <w:r w:rsidRPr="00413BE2">
        <w:rPr>
          <w:rFonts w:ascii="Arial" w:eastAsia="Times New Roman" w:hAnsi="Arial" w:cs="Arial"/>
          <w:color w:val="202122"/>
          <w:sz w:val="24"/>
          <w:szCs w:val="24"/>
          <w:lang w:eastAsia="it-IT"/>
        </w:rPr>
        <w:t>: si ha quando l'aliquota varia in maniera continua al variare della base imponibile (ovvero l'aliquota è una funzione matematica). Un esempio è rappresentato dalla ormai soppressa imposta complementare progressiva sul reddito, che fino al </w:t>
      </w:r>
      <w:r w:rsidR="00413BE2" w:rsidRPr="00413BE2">
        <w:rPr>
          <w:rFonts w:ascii="Arial" w:eastAsia="Times New Roman" w:hAnsi="Arial" w:cs="Arial"/>
          <w:color w:val="202122"/>
          <w:sz w:val="24"/>
          <w:szCs w:val="24"/>
          <w:lang w:eastAsia="it-IT"/>
        </w:rPr>
        <w:t>1973</w:t>
      </w:r>
      <w:r w:rsidRPr="00413BE2">
        <w:rPr>
          <w:rFonts w:ascii="Arial" w:eastAsia="Times New Roman" w:hAnsi="Arial" w:cs="Arial"/>
          <w:color w:val="202122"/>
          <w:sz w:val="24"/>
          <w:szCs w:val="24"/>
          <w:lang w:eastAsia="it-IT"/>
        </w:rPr>
        <w:t> era calcolata con la formula y = 0,023025Vx - 0,0000472x + 0,00874 per i redditi fino a cinque milioni di lire;</w:t>
      </w:r>
    </w:p>
    <w:p w:rsidR="002734FB" w:rsidRPr="00413BE2" w:rsidRDefault="002734FB" w:rsidP="002734FB">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per </w:t>
      </w:r>
      <w:r w:rsidRPr="00413BE2">
        <w:rPr>
          <w:rFonts w:ascii="Arial" w:eastAsia="Times New Roman" w:hAnsi="Arial" w:cs="Arial"/>
          <w:b/>
          <w:bCs/>
          <w:color w:val="202122"/>
          <w:sz w:val="24"/>
          <w:szCs w:val="24"/>
          <w:lang w:eastAsia="it-IT"/>
        </w:rPr>
        <w:t>classi</w:t>
      </w:r>
      <w:r w:rsidRPr="00413BE2">
        <w:rPr>
          <w:rFonts w:ascii="Arial" w:eastAsia="Times New Roman" w:hAnsi="Arial" w:cs="Arial"/>
          <w:color w:val="202122"/>
          <w:sz w:val="24"/>
          <w:szCs w:val="24"/>
          <w:lang w:eastAsia="it-IT"/>
        </w:rPr>
        <w:t>: si ha quando la base imponibile viene suddivisa in "fasce", dette classi. In base alla fascia di imponibile viene applicata una diversa aliquota, a tutto l'importo;</w:t>
      </w:r>
    </w:p>
    <w:p w:rsidR="002734FB" w:rsidRPr="00413BE2" w:rsidRDefault="002734FB" w:rsidP="002734FB">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per </w:t>
      </w:r>
      <w:r w:rsidRPr="00413BE2">
        <w:rPr>
          <w:rFonts w:ascii="Arial" w:eastAsia="Times New Roman" w:hAnsi="Arial" w:cs="Arial"/>
          <w:b/>
          <w:bCs/>
          <w:color w:val="202122"/>
          <w:sz w:val="24"/>
          <w:szCs w:val="24"/>
          <w:lang w:eastAsia="it-IT"/>
        </w:rPr>
        <w:t>scaglioni</w:t>
      </w:r>
      <w:r w:rsidRPr="00413BE2">
        <w:rPr>
          <w:rFonts w:ascii="Arial" w:eastAsia="Times New Roman" w:hAnsi="Arial" w:cs="Arial"/>
          <w:color w:val="202122"/>
          <w:sz w:val="24"/>
          <w:szCs w:val="24"/>
          <w:lang w:eastAsia="it-IT"/>
        </w:rPr>
        <w:t>: si ha quando la base imponibile viene suddivisa in "fasce", dette scaglioni, ad ognuno dei quali è associata una aliquota. L'aliquota superiore si applica solo alla parte che eccede lo scaglione inferiore;</w:t>
      </w:r>
    </w:p>
    <w:p w:rsidR="002734FB" w:rsidRPr="00413BE2" w:rsidRDefault="002734FB" w:rsidP="002734FB">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per </w:t>
      </w:r>
      <w:r w:rsidRPr="00413BE2">
        <w:rPr>
          <w:rFonts w:ascii="Arial" w:eastAsia="Times New Roman" w:hAnsi="Arial" w:cs="Arial"/>
          <w:b/>
          <w:bCs/>
          <w:color w:val="202122"/>
          <w:sz w:val="24"/>
          <w:szCs w:val="24"/>
          <w:lang w:eastAsia="it-IT"/>
        </w:rPr>
        <w:t>deduzione o detrazione</w:t>
      </w:r>
      <w:r w:rsidRPr="00413BE2">
        <w:rPr>
          <w:rFonts w:ascii="Arial" w:eastAsia="Times New Roman" w:hAnsi="Arial" w:cs="Arial"/>
          <w:color w:val="202122"/>
          <w:sz w:val="24"/>
          <w:szCs w:val="24"/>
          <w:lang w:eastAsia="it-IT"/>
        </w:rPr>
        <w:t>: si ha quando è possibile ridurre la base imponibile prima di calcolare l'imposta (deduzione) oppure diminuire l'imposta una volta calcolata (detrazione).</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u w:val="single"/>
          <w:lang w:eastAsia="it-IT"/>
        </w:rPr>
        <w:t>Differenza tra progressività per classi o per scaglioni</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tblPr>
      <w:tblGrid>
        <w:gridCol w:w="3059"/>
        <w:gridCol w:w="1152"/>
      </w:tblGrid>
      <w:tr w:rsidR="002734FB" w:rsidRPr="00413BE2" w:rsidTr="002734FB">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2734FB" w:rsidRPr="00413BE2" w:rsidRDefault="002734FB" w:rsidP="002734FB">
            <w:pPr>
              <w:spacing w:before="240" w:after="240" w:line="240" w:lineRule="auto"/>
              <w:jc w:val="center"/>
              <w:rPr>
                <w:rFonts w:ascii="Arial" w:eastAsia="Times New Roman" w:hAnsi="Arial" w:cs="Arial"/>
                <w:b/>
                <w:bCs/>
                <w:color w:val="202122"/>
                <w:sz w:val="24"/>
                <w:szCs w:val="24"/>
                <w:lang w:eastAsia="it-IT"/>
              </w:rPr>
            </w:pPr>
            <w:r w:rsidRPr="00413BE2">
              <w:rPr>
                <w:rFonts w:ascii="Arial" w:eastAsia="Times New Roman" w:hAnsi="Arial" w:cs="Arial"/>
                <w:b/>
                <w:bCs/>
                <w:color w:val="202122"/>
                <w:sz w:val="24"/>
                <w:szCs w:val="24"/>
                <w:lang w:eastAsia="it-IT"/>
              </w:rPr>
              <w:t>Fasce di reddito (in euro)</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2734FB" w:rsidRPr="00413BE2" w:rsidRDefault="002734FB" w:rsidP="002734FB">
            <w:pPr>
              <w:spacing w:before="240" w:after="240" w:line="240" w:lineRule="auto"/>
              <w:jc w:val="center"/>
              <w:rPr>
                <w:rFonts w:ascii="Arial" w:eastAsia="Times New Roman" w:hAnsi="Arial" w:cs="Arial"/>
                <w:b/>
                <w:bCs/>
                <w:color w:val="202122"/>
                <w:sz w:val="24"/>
                <w:szCs w:val="24"/>
                <w:lang w:eastAsia="it-IT"/>
              </w:rPr>
            </w:pPr>
            <w:r w:rsidRPr="00413BE2">
              <w:rPr>
                <w:rFonts w:ascii="Arial" w:eastAsia="Times New Roman" w:hAnsi="Arial" w:cs="Arial"/>
                <w:b/>
                <w:bCs/>
                <w:color w:val="202122"/>
                <w:sz w:val="24"/>
                <w:szCs w:val="24"/>
                <w:lang w:eastAsia="it-IT"/>
              </w:rPr>
              <w:t>Aliquote</w:t>
            </w:r>
          </w:p>
        </w:tc>
      </w:tr>
      <w:tr w:rsidR="002734FB" w:rsidRPr="00413BE2" w:rsidTr="002734F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2734FB" w:rsidRPr="00413BE2" w:rsidRDefault="002734FB" w:rsidP="002734FB">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da 0 fino a 10.000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2734FB" w:rsidRPr="00413BE2" w:rsidRDefault="002734FB" w:rsidP="002734FB">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10%</w:t>
            </w:r>
          </w:p>
        </w:tc>
      </w:tr>
      <w:tr w:rsidR="002734FB" w:rsidRPr="00413BE2" w:rsidTr="002734F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2734FB" w:rsidRPr="00413BE2" w:rsidRDefault="002734FB" w:rsidP="002734FB">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da 10.001 fino a 20.000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2734FB" w:rsidRPr="00413BE2" w:rsidRDefault="002734FB" w:rsidP="002734FB">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20%</w:t>
            </w:r>
          </w:p>
        </w:tc>
      </w:tr>
      <w:tr w:rsidR="002734FB" w:rsidRPr="00413BE2" w:rsidTr="002734F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2734FB" w:rsidRPr="00413BE2" w:rsidRDefault="002734FB" w:rsidP="002734FB">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ecc.</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2734FB" w:rsidRPr="00413BE2" w:rsidRDefault="002734FB" w:rsidP="002734FB">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ecc.</w:t>
            </w:r>
          </w:p>
        </w:tc>
      </w:tr>
    </w:tbl>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Un reddito pari a 15.000 euro sarà così assoggettato ad imposta:</w:t>
      </w:r>
    </w:p>
    <w:p w:rsidR="002734FB" w:rsidRPr="00413BE2" w:rsidRDefault="002734FB" w:rsidP="002734FB">
      <w:pPr>
        <w:numPr>
          <w:ilvl w:val="0"/>
          <w:numId w:val="7"/>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Nella progressione per classi appartiene alla seconda fascia e dunque è interamente colpito dall'aliquota 20%. 15.000 x 20 / 100 = 3.000 euro</w:t>
      </w:r>
    </w:p>
    <w:p w:rsidR="002734FB" w:rsidRPr="00413BE2" w:rsidRDefault="002734FB" w:rsidP="002734FB">
      <w:pPr>
        <w:numPr>
          <w:ilvl w:val="0"/>
          <w:numId w:val="7"/>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lastRenderedPageBreak/>
        <w:t>Nella progressione per scaglioni invece i primi diecimila euro saranno tassati al 10% e l'eccedenza di cinquemila con l'aliquota della seconda fascia. 10.000 x 10 / 100 + 5.000 x 20 / 100 = 2.000 euro.</w:t>
      </w:r>
    </w:p>
    <w:p w:rsidR="002734FB" w:rsidRPr="00413BE2" w:rsidRDefault="002734FB" w:rsidP="002734FB">
      <w:pPr>
        <w:shd w:val="clear" w:color="auto" w:fill="FFFFFF"/>
        <w:spacing w:before="72" w:after="0" w:line="240" w:lineRule="auto"/>
        <w:outlineLvl w:val="2"/>
        <w:rPr>
          <w:rFonts w:ascii="Arial" w:eastAsia="Times New Roman" w:hAnsi="Arial" w:cs="Arial"/>
          <w:b/>
          <w:bCs/>
          <w:color w:val="000000"/>
          <w:sz w:val="24"/>
          <w:szCs w:val="24"/>
          <w:lang w:eastAsia="it-IT"/>
        </w:rPr>
      </w:pPr>
      <w:r w:rsidRPr="00413BE2">
        <w:rPr>
          <w:rFonts w:ascii="Arial" w:eastAsia="Times New Roman" w:hAnsi="Arial" w:cs="Arial"/>
          <w:b/>
          <w:bCs/>
          <w:color w:val="000000"/>
          <w:sz w:val="24"/>
          <w:szCs w:val="24"/>
          <w:lang w:eastAsia="it-IT"/>
        </w:rPr>
        <w:t>Imposte personali e reali</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Le imposte possono anche dividersi in:</w:t>
      </w:r>
    </w:p>
    <w:p w:rsidR="002734FB" w:rsidRPr="00413BE2" w:rsidRDefault="002734FB" w:rsidP="002734FB">
      <w:pPr>
        <w:numPr>
          <w:ilvl w:val="0"/>
          <w:numId w:val="8"/>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b/>
          <w:bCs/>
          <w:color w:val="202122"/>
          <w:sz w:val="24"/>
          <w:szCs w:val="24"/>
          <w:lang w:eastAsia="it-IT"/>
        </w:rPr>
        <w:t>personali,</w:t>
      </w:r>
      <w:r w:rsidRPr="00413BE2">
        <w:rPr>
          <w:rFonts w:ascii="Arial" w:eastAsia="Times New Roman" w:hAnsi="Arial" w:cs="Arial"/>
          <w:color w:val="202122"/>
          <w:sz w:val="24"/>
          <w:szCs w:val="24"/>
          <w:lang w:eastAsia="it-IT"/>
        </w:rPr>
        <w:t> quando l'elemento fondamentale considerato è la persona (es. il reddito di una persona, il patrimonio di una persona). Tipica imposta personale è l'IRPEF;</w:t>
      </w:r>
    </w:p>
    <w:p w:rsidR="002734FB" w:rsidRPr="00413BE2" w:rsidRDefault="002734FB" w:rsidP="002734FB">
      <w:pPr>
        <w:numPr>
          <w:ilvl w:val="0"/>
          <w:numId w:val="8"/>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b/>
          <w:bCs/>
          <w:color w:val="202122"/>
          <w:sz w:val="24"/>
          <w:szCs w:val="24"/>
          <w:lang w:eastAsia="it-IT"/>
        </w:rPr>
        <w:t>reali</w:t>
      </w:r>
      <w:r w:rsidRPr="00413BE2">
        <w:rPr>
          <w:rFonts w:ascii="Arial" w:eastAsia="Times New Roman" w:hAnsi="Arial" w:cs="Arial"/>
          <w:color w:val="202122"/>
          <w:sz w:val="24"/>
          <w:szCs w:val="24"/>
          <w:lang w:eastAsia="it-IT"/>
        </w:rPr>
        <w:t> (dal latino </w:t>
      </w:r>
      <w:r w:rsidRPr="00413BE2">
        <w:rPr>
          <w:rFonts w:ascii="Arial" w:eastAsia="Times New Roman" w:hAnsi="Arial" w:cs="Arial"/>
          <w:i/>
          <w:iCs/>
          <w:color w:val="202122"/>
          <w:sz w:val="24"/>
          <w:szCs w:val="24"/>
          <w:lang w:eastAsia="it-IT"/>
        </w:rPr>
        <w:t>res</w:t>
      </w:r>
      <w:r w:rsidRPr="00413BE2">
        <w:rPr>
          <w:rFonts w:ascii="Arial" w:eastAsia="Times New Roman" w:hAnsi="Arial" w:cs="Arial"/>
          <w:color w:val="202122"/>
          <w:sz w:val="24"/>
          <w:szCs w:val="24"/>
          <w:lang w:eastAsia="it-IT"/>
        </w:rPr>
        <w:t> = cosa), se l'elemento considerato è solamente il bene in sé e per sé (prescindendo da chi ne sia il proprietario) Esempio è l'IVA che viene applicata indistintamente su ogni acquisto effettuato.</w:t>
      </w:r>
    </w:p>
    <w:p w:rsidR="002734FB" w:rsidRPr="00413BE2" w:rsidRDefault="002734FB" w:rsidP="002734FB">
      <w:pPr>
        <w:shd w:val="clear" w:color="auto" w:fill="FFFFFF"/>
        <w:spacing w:before="72" w:after="0" w:line="240" w:lineRule="auto"/>
        <w:outlineLvl w:val="3"/>
        <w:rPr>
          <w:rFonts w:ascii="Arial" w:eastAsia="Times New Roman" w:hAnsi="Arial" w:cs="Arial"/>
          <w:b/>
          <w:bCs/>
          <w:color w:val="000000"/>
          <w:sz w:val="24"/>
          <w:szCs w:val="24"/>
          <w:lang w:eastAsia="it-IT"/>
        </w:rPr>
      </w:pPr>
      <w:r w:rsidRPr="00413BE2">
        <w:rPr>
          <w:rFonts w:ascii="Arial" w:eastAsia="Times New Roman" w:hAnsi="Arial" w:cs="Arial"/>
          <w:b/>
          <w:bCs/>
          <w:color w:val="000000"/>
          <w:sz w:val="24"/>
          <w:szCs w:val="24"/>
          <w:lang w:eastAsia="it-IT"/>
        </w:rPr>
        <w:t>No tax area</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La </w:t>
      </w:r>
      <w:r w:rsidRPr="00413BE2">
        <w:rPr>
          <w:rFonts w:ascii="Arial" w:eastAsia="Times New Roman" w:hAnsi="Arial" w:cs="Arial"/>
          <w:i/>
          <w:iCs/>
          <w:color w:val="202122"/>
          <w:sz w:val="24"/>
          <w:szCs w:val="24"/>
          <w:lang w:eastAsia="it-IT"/>
        </w:rPr>
        <w:t>no tax area</w:t>
      </w:r>
      <w:r w:rsidRPr="00413BE2">
        <w:rPr>
          <w:rFonts w:ascii="Arial" w:eastAsia="Times New Roman" w:hAnsi="Arial" w:cs="Arial"/>
          <w:color w:val="202122"/>
          <w:sz w:val="24"/>
          <w:szCs w:val="24"/>
          <w:lang w:eastAsia="it-IT"/>
        </w:rPr>
        <w:t> è un sistema per aumentare l'effetto di progressività delle imposte sul reddito. Si stabilisce di non applicare le imposte sino ad un certo livello di reddito, in modo da esentare i soggetti con redditi molto bassi.</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Può essere sia una manovra di sostegno sociale sia un possibile strumento di politica economica per incrementare il PIL. Infatti, coloro che hanno un reddito basso tenderanno in proporzione a spendere di più di chi l'ha alto (teoria della </w:t>
      </w:r>
      <w:r w:rsidR="006D22C1" w:rsidRPr="00413BE2">
        <w:rPr>
          <w:rFonts w:ascii="Arial" w:eastAsia="Times New Roman" w:hAnsi="Arial" w:cs="Arial"/>
          <w:color w:val="202122"/>
          <w:sz w:val="24"/>
          <w:szCs w:val="24"/>
          <w:lang w:eastAsia="it-IT"/>
        </w:rPr>
        <w:t xml:space="preserve">prpensione al consumo </w:t>
      </w:r>
      <w:r w:rsidRPr="00413BE2">
        <w:rPr>
          <w:rFonts w:ascii="Arial" w:eastAsia="Times New Roman" w:hAnsi="Arial" w:cs="Arial"/>
          <w:color w:val="202122"/>
          <w:sz w:val="24"/>
          <w:szCs w:val="24"/>
          <w:lang w:eastAsia="it-IT"/>
        </w:rPr>
        <w:t>) e dunque in tal modo è possibile accendere una spirale virtuosa per effetto delle maggiori spese dei ceti più poveri.</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La no tax area viene normalmente adottata quando non vi sia già un sistema di sovvenzioni o rimborsi per i titolari di redditi bassi ed il regime fiscale preveda solo un numero limitato di spese detraibili, perché in caso di un numero elevato di detrazioni possibili si ottiene comunque un effetto di tassazione limitata o nulla per i redditi inferiori.</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Non viene adottata, al contrario, quando, per esempio, in fase di espansione economica si preferisce alzare il livello della tassazione, oppure, in presenza di vincoli di bilancio, quando si preferisce favorire determinate fasce sociali (chi ha famiglia o chi è in affitto o chi sostiene molte spese mediche...) adottando delle detrazioni specifiche, che abbattono comunque la tassazione nelle tipologie di soggetti agevolate.</w:t>
      </w:r>
    </w:p>
    <w:p w:rsidR="002734FB" w:rsidRPr="00413BE2" w:rsidRDefault="002734FB" w:rsidP="002734FB">
      <w:pPr>
        <w:shd w:val="clear" w:color="auto" w:fill="FFFFFF"/>
        <w:spacing w:before="72" w:after="0" w:line="240" w:lineRule="auto"/>
        <w:outlineLvl w:val="2"/>
        <w:rPr>
          <w:rFonts w:ascii="Arial" w:eastAsia="Times New Roman" w:hAnsi="Arial" w:cs="Arial"/>
          <w:b/>
          <w:bCs/>
          <w:color w:val="000000"/>
          <w:sz w:val="24"/>
          <w:szCs w:val="24"/>
          <w:lang w:eastAsia="it-IT"/>
        </w:rPr>
      </w:pPr>
      <w:r w:rsidRPr="00413BE2">
        <w:rPr>
          <w:rFonts w:ascii="Arial" w:eastAsia="Times New Roman" w:hAnsi="Arial" w:cs="Arial"/>
          <w:b/>
          <w:bCs/>
          <w:color w:val="000000"/>
          <w:sz w:val="24"/>
          <w:szCs w:val="24"/>
          <w:lang w:eastAsia="it-IT"/>
        </w:rPr>
        <w:t>Imposte monofase e plurifase</w:t>
      </w:r>
    </w:p>
    <w:p w:rsidR="002734FB" w:rsidRPr="00413BE2" w:rsidRDefault="002734FB" w:rsidP="002734FB">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Le imposte </w:t>
      </w:r>
      <w:r w:rsidRPr="00413BE2">
        <w:rPr>
          <w:rFonts w:ascii="Arial" w:eastAsia="Times New Roman" w:hAnsi="Arial" w:cs="Arial"/>
          <w:b/>
          <w:bCs/>
          <w:color w:val="202122"/>
          <w:sz w:val="24"/>
          <w:szCs w:val="24"/>
          <w:lang w:eastAsia="it-IT"/>
        </w:rPr>
        <w:t>monofase</w:t>
      </w:r>
      <w:r w:rsidRPr="00413BE2">
        <w:rPr>
          <w:rFonts w:ascii="Arial" w:eastAsia="Times New Roman" w:hAnsi="Arial" w:cs="Arial"/>
          <w:color w:val="202122"/>
          <w:sz w:val="24"/>
          <w:szCs w:val="24"/>
          <w:lang w:eastAsia="it-IT"/>
        </w:rPr>
        <w:t> si applicano in una sola fase del processo produttivo; le </w:t>
      </w:r>
      <w:r w:rsidRPr="00413BE2">
        <w:rPr>
          <w:rFonts w:ascii="Arial" w:eastAsia="Times New Roman" w:hAnsi="Arial" w:cs="Arial"/>
          <w:b/>
          <w:bCs/>
          <w:color w:val="202122"/>
          <w:sz w:val="24"/>
          <w:szCs w:val="24"/>
          <w:lang w:eastAsia="it-IT"/>
        </w:rPr>
        <w:t>plurifase</w:t>
      </w:r>
      <w:r w:rsidRPr="00413BE2">
        <w:rPr>
          <w:rFonts w:ascii="Arial" w:eastAsia="Times New Roman" w:hAnsi="Arial" w:cs="Arial"/>
          <w:color w:val="202122"/>
          <w:sz w:val="24"/>
          <w:szCs w:val="24"/>
          <w:lang w:eastAsia="it-IT"/>
        </w:rPr>
        <w:t> possono colpire il bene più volte durante la sua vi</w:t>
      </w:r>
      <w:r w:rsidR="006D22C1" w:rsidRPr="00413BE2">
        <w:rPr>
          <w:rFonts w:ascii="Arial" w:eastAsia="Times New Roman" w:hAnsi="Arial" w:cs="Arial"/>
          <w:color w:val="202122"/>
          <w:sz w:val="24"/>
          <w:szCs w:val="24"/>
          <w:lang w:eastAsia="it-IT"/>
        </w:rPr>
        <w:t>ta</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202122"/>
          <w:shd w:val="clear" w:color="auto" w:fill="FFFFFF"/>
        </w:rPr>
      </w:pPr>
      <w:r w:rsidRPr="00413BE2">
        <w:rPr>
          <w:rFonts w:ascii="Arial" w:hAnsi="Arial" w:cs="Arial"/>
          <w:color w:val="5F5F5F"/>
        </w:rPr>
        <w:t>B) La tassa si distingue dall’imposta per il fatto che il suo presupposto è un atto o un’attività pubblica, ossia l’emanazione di un provvedimento o la prestazione di un servizio, specificatamente riguardanti un determinato soggetto. Vi sono tasse collegate all’emanazione di atti o provvedimenti amministrativi e tasse collegate all’espletamento di un servizio pubblico.</w:t>
      </w:r>
      <w:r w:rsidR="000B1C59" w:rsidRPr="00413BE2">
        <w:rPr>
          <w:rFonts w:ascii="Arial" w:hAnsi="Arial" w:cs="Arial"/>
          <w:color w:val="5F5F5F"/>
        </w:rPr>
        <w:t xml:space="preserve"> </w:t>
      </w:r>
      <w:r w:rsidR="000B1C59" w:rsidRPr="00413BE2">
        <w:rPr>
          <w:rFonts w:ascii="Arial" w:hAnsi="Arial" w:cs="Arial"/>
          <w:color w:val="202122"/>
          <w:shd w:val="clear" w:color="auto" w:fill="FFFFFF"/>
        </w:rPr>
        <w:t>La tassa è relativa a un servizio di cui un </w:t>
      </w:r>
      <w:r w:rsidR="00413BE2" w:rsidRPr="00413BE2">
        <w:rPr>
          <w:rFonts w:ascii="Arial" w:hAnsi="Arial" w:cs="Arial"/>
          <w:color w:val="202122"/>
          <w:shd w:val="clear" w:color="auto" w:fill="FFFFFF"/>
        </w:rPr>
        <w:t>cittadino</w:t>
      </w:r>
      <w:r w:rsidR="000B1C59" w:rsidRPr="00413BE2">
        <w:rPr>
          <w:rFonts w:ascii="Arial" w:hAnsi="Arial" w:cs="Arial"/>
          <w:color w:val="202122"/>
          <w:shd w:val="clear" w:color="auto" w:fill="FFFFFF"/>
        </w:rPr>
        <w:t> può decidere se avvalersi o meno, e in generale non è dipendente né dal </w:t>
      </w:r>
      <w:r w:rsidR="00413BE2" w:rsidRPr="00413BE2">
        <w:rPr>
          <w:rFonts w:ascii="Arial" w:hAnsi="Arial" w:cs="Arial"/>
          <w:color w:val="202122"/>
          <w:shd w:val="clear" w:color="auto" w:fill="FFFFFF"/>
        </w:rPr>
        <w:t>reddito</w:t>
      </w:r>
      <w:r w:rsidR="000B1C59" w:rsidRPr="00413BE2">
        <w:rPr>
          <w:rFonts w:ascii="Arial" w:hAnsi="Arial" w:cs="Arial"/>
          <w:color w:val="202122"/>
          <w:shd w:val="clear" w:color="auto" w:fill="FFFFFF"/>
        </w:rPr>
        <w:t> né dal costo del servizio richiesto.</w:t>
      </w:r>
    </w:p>
    <w:p w:rsidR="000B1C59" w:rsidRPr="00413BE2" w:rsidRDefault="000B1C59" w:rsidP="00BD4CB9">
      <w:pPr>
        <w:pStyle w:val="NormaleWeb"/>
        <w:shd w:val="clear" w:color="auto" w:fill="FFFFFF"/>
        <w:spacing w:before="0" w:beforeAutospacing="0" w:after="204" w:afterAutospacing="0" w:line="380" w:lineRule="atLeast"/>
        <w:jc w:val="both"/>
        <w:rPr>
          <w:rFonts w:ascii="Arial" w:hAnsi="Arial" w:cs="Arial"/>
          <w:color w:val="202122"/>
          <w:shd w:val="clear" w:color="auto" w:fill="FFFFFF"/>
        </w:rPr>
      </w:pPr>
      <w:r w:rsidRPr="00413BE2">
        <w:rPr>
          <w:rFonts w:ascii="Arial" w:hAnsi="Arial" w:cs="Arial"/>
          <w:color w:val="202122"/>
          <w:shd w:val="clear" w:color="auto" w:fill="FFFFFF"/>
        </w:rPr>
        <w:t>ES. TASSA UNIVERSITARIA</w:t>
      </w:r>
    </w:p>
    <w:p w:rsidR="000B1C59" w:rsidRPr="00413BE2" w:rsidRDefault="000B1C59" w:rsidP="00BD4CB9">
      <w:pPr>
        <w:pStyle w:val="NormaleWeb"/>
        <w:shd w:val="clear" w:color="auto" w:fill="FFFFFF"/>
        <w:spacing w:before="0" w:beforeAutospacing="0" w:after="204" w:afterAutospacing="0" w:line="380" w:lineRule="atLeast"/>
        <w:jc w:val="both"/>
        <w:rPr>
          <w:rFonts w:ascii="Arial" w:hAnsi="Arial" w:cs="Arial"/>
          <w:color w:val="5F5F5F"/>
        </w:rPr>
      </w:pP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202122"/>
          <w:shd w:val="clear" w:color="auto" w:fill="FFFFFF"/>
        </w:rPr>
      </w:pPr>
      <w:r w:rsidRPr="00413BE2">
        <w:rPr>
          <w:rFonts w:ascii="Arial" w:hAnsi="Arial" w:cs="Arial"/>
          <w:color w:val="5F5F5F"/>
        </w:rPr>
        <w:lastRenderedPageBreak/>
        <w:t xml:space="preserve">C) Viene denominato </w:t>
      </w:r>
      <w:r w:rsidRPr="00413BE2">
        <w:rPr>
          <w:rFonts w:ascii="Arial" w:hAnsi="Arial" w:cs="Arial"/>
          <w:b/>
          <w:color w:val="5F5F5F"/>
        </w:rPr>
        <w:t>contributo o tributo speciale</w:t>
      </w:r>
      <w:r w:rsidRPr="00413BE2">
        <w:rPr>
          <w:rFonts w:ascii="Arial" w:hAnsi="Arial" w:cs="Arial"/>
          <w:color w:val="5F5F5F"/>
        </w:rPr>
        <w:t xml:space="preserve"> quel particolare tipo di tributo che ha come presupposto l’arricchimento (incremento valore immobili) che determinate categorie di soggetti ritraggono dall’esecuzione di un’opera pubblica destinata, di per sé, alla collettività.</w:t>
      </w:r>
      <w:r w:rsidR="000B1C59" w:rsidRPr="00413BE2">
        <w:rPr>
          <w:rFonts w:ascii="Arial" w:hAnsi="Arial" w:cs="Arial"/>
          <w:color w:val="202122"/>
          <w:shd w:val="clear" w:color="auto" w:fill="FFFFFF"/>
        </w:rPr>
        <w:t xml:space="preserve"> l contributo è un prelievo coattivo di </w:t>
      </w:r>
      <w:r w:rsidR="00413BE2" w:rsidRPr="00413BE2">
        <w:rPr>
          <w:rFonts w:ascii="Arial" w:hAnsi="Arial" w:cs="Arial"/>
          <w:color w:val="202122"/>
          <w:shd w:val="clear" w:color="auto" w:fill="FFFFFF"/>
        </w:rPr>
        <w:t>ricchezza</w:t>
      </w:r>
      <w:r w:rsidR="000B1C59" w:rsidRPr="00413BE2">
        <w:rPr>
          <w:rFonts w:ascii="Arial" w:hAnsi="Arial" w:cs="Arial"/>
          <w:color w:val="202122"/>
          <w:shd w:val="clear" w:color="auto" w:fill="FFFFFF"/>
        </w:rPr>
        <w:t> serve a operare per il finanziamento di </w:t>
      </w:r>
      <w:r w:rsidR="00413BE2" w:rsidRPr="00413BE2">
        <w:rPr>
          <w:rFonts w:ascii="Arial" w:hAnsi="Arial" w:cs="Arial"/>
          <w:color w:val="202122"/>
          <w:shd w:val="clear" w:color="auto" w:fill="FFFFFF"/>
        </w:rPr>
        <w:t>spesa pubblica</w:t>
      </w:r>
      <w:r w:rsidR="000B1C59" w:rsidRPr="00413BE2">
        <w:rPr>
          <w:rFonts w:ascii="Arial" w:hAnsi="Arial" w:cs="Arial"/>
          <w:color w:val="202122"/>
          <w:shd w:val="clear" w:color="auto" w:fill="FFFFFF"/>
        </w:rPr>
        <w:t> destinata al soddisfacimento di bisogni pubblici divisibili non prestati su domanda (es. contributi di urbanizzazione). È una categoria sulla cui esistenza non vi è accordo in dottrina. Secondo parte di essa è possibile ricondurlo alla </w:t>
      </w:r>
      <w:r w:rsidR="00413BE2" w:rsidRPr="00413BE2">
        <w:rPr>
          <w:rFonts w:ascii="Arial" w:hAnsi="Arial" w:cs="Arial"/>
          <w:color w:val="202122"/>
          <w:shd w:val="clear" w:color="auto" w:fill="FFFFFF"/>
        </w:rPr>
        <w:t>tassa</w:t>
      </w:r>
      <w:r w:rsidR="000B1C59" w:rsidRPr="00413BE2">
        <w:rPr>
          <w:rFonts w:ascii="Arial" w:hAnsi="Arial" w:cs="Arial"/>
          <w:color w:val="202122"/>
          <w:shd w:val="clear" w:color="auto" w:fill="FFFFFF"/>
        </w:rPr>
        <w:t> (in quanto dovuto per uno specifico servizio: es. contributo di utenza stradale), o all'imposta (contributo al </w:t>
      </w:r>
      <w:r w:rsidR="00413BE2" w:rsidRPr="00413BE2">
        <w:rPr>
          <w:rFonts w:ascii="Arial" w:hAnsi="Arial" w:cs="Arial"/>
          <w:color w:val="202122"/>
          <w:shd w:val="clear" w:color="auto" w:fill="FFFFFF"/>
        </w:rPr>
        <w:t>SSN</w:t>
      </w:r>
      <w:r w:rsidR="000B1C59" w:rsidRPr="00413BE2">
        <w:rPr>
          <w:rFonts w:ascii="Arial" w:hAnsi="Arial" w:cs="Arial"/>
          <w:color w:val="202122"/>
          <w:shd w:val="clear" w:color="auto" w:fill="FFFFFF"/>
        </w:rPr>
        <w:t>). Il suo importo tende a coprire, o ha relazione, con il costo del servizio (contributi di bonifica). A differenza della tassa, che si applica quando si richiede un servizio, il contributo può essere attivato dall'</w:t>
      </w:r>
      <w:r w:rsidR="00413BE2" w:rsidRPr="00413BE2">
        <w:rPr>
          <w:rFonts w:ascii="Arial" w:hAnsi="Arial" w:cs="Arial"/>
          <w:color w:val="202122"/>
          <w:shd w:val="clear" w:color="auto" w:fill="FFFFFF"/>
        </w:rPr>
        <w:t>ENTE PUBBLICO</w:t>
      </w:r>
      <w:r w:rsidR="000B1C59" w:rsidRPr="00413BE2">
        <w:rPr>
          <w:rFonts w:ascii="Arial" w:hAnsi="Arial" w:cs="Arial"/>
          <w:color w:val="202122"/>
          <w:shd w:val="clear" w:color="auto" w:fill="FFFFFF"/>
        </w:rPr>
        <w:t xml:space="preserve"> per coloro che ricadono nell'ambito della prestazione di un determinato servizio. Ad esempio nei consorzi di bonifica si applica a tutti i proprietari di immobili nel territorio bonificato. ES CONTRIBUTO obbligatorio assicurazioni </w:t>
      </w:r>
    </w:p>
    <w:p w:rsidR="000B1C59" w:rsidRPr="00413BE2" w:rsidRDefault="000B1C59" w:rsidP="00BD4CB9">
      <w:pPr>
        <w:pStyle w:val="NormaleWeb"/>
        <w:shd w:val="clear" w:color="auto" w:fill="FFFFFF"/>
        <w:spacing w:before="0" w:beforeAutospacing="0" w:after="204" w:afterAutospacing="0" w:line="380" w:lineRule="atLeast"/>
        <w:jc w:val="both"/>
        <w:rPr>
          <w:rFonts w:ascii="Arial" w:hAnsi="Arial" w:cs="Arial"/>
          <w:color w:val="5F5F5F"/>
        </w:rPr>
      </w:pP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D) Taluni includono nelle entrate tributarie anche quelle derivanti dai monopoli fiscali; a certi effetti, l’inclusione è opportuna ; ad altri effetti no. Molto dipende dai punti di vista: se la definizione di tributo è imperniata su i suoi caratteri strutturali, il monopolio fiscale non è un tributo; se invece ci si basa sulla funzione degli istituti fiscali anche il monopolio è un tributo</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Le fonti del diritto tributario</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L’espressione fonte del diritto è quella con cui metaforicamente sono designati gli atti e i fatti normativi, da cui sono prodotte norme astratte e generali. Le principali norme sulle fonti sono contenute nella Costituzione, negli statuti regionali, nelle disposizioni preliminari al codice civile, nella legge sull’attività di governo ecc. Le diverse fonti del diritto costituiscono un ordinamento gerarchico; esse sono disposte a gradi: le fonti di ciascun grado possono abrogare o modificare norme dello stesso grado o norme di grado inferiore, e devono conformarsi alle norme di grado superiore. Secondo la terminologia tradizionale, le leggi sono fonti primarie e i regolamenti sono fonti secondarie.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La riserva di legge (art. 23 Costituzione)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Nella nostra Costituzione, il principio trova espressione nell’art. 23, secondo il quale “nessuna prestazione personale o patrimoniale può essere imposta se non in base alla legge”. La dottrina tradizionale e la stessa Corte Costituzionale, nelle prime sentenze </w:t>
      </w:r>
      <w:r w:rsidRPr="00413BE2">
        <w:rPr>
          <w:rFonts w:ascii="Arial" w:hAnsi="Arial" w:cs="Arial"/>
          <w:color w:val="5F5F5F"/>
        </w:rPr>
        <w:lastRenderedPageBreak/>
        <w:t>hanno attribuito a tale norma la funzione garantista., conforme all’ideologia liberale di tutelare la libertà e la proprietà dei singoli.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Anche l’art. 23 va interpretato nel contesto dei valori costituzionali: ciò non significa negare che esso tuteli la proprietà e la libertà dei singoli, ma comporta che la riserva di legge in materia di prestazioni patrimoniali imposte, si pone nell’ambito della Costituzione vigente, in funzione immediata e prevalente di interessi generali e solo in via mediata e subordinata degli interessi dei privati.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A)L’art. 23 concerne le prestazioni personali e patrimoniali imposte. Adoperando tale locuzione si è costituzionalizzato un principio elaborato dalla dottrina amministrativa sotto il vigore dello statuto albertino: il principio per cui le prestazioni coattive dei singoli, a favore degli enti pubblici rappresentano una limitazione della proprietà e libertà individuali, possono essere stabiliti solo con legge. Nell’ambito di tale teoria i tributi sono prestazioni coattive. La norma contempla non soltanto le prestazioni patrimoniali ma anche quelle personali. La categoria delle prestazioni patrimoniali ha maggiore importanza pratica ed è quella che più interessa in questa sede, perché in tale categoria rientrano le prestazioni tributarie.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Circa il significato in cui il termine legge è assunto nell’art. 23, vi è concordia nel ritenere che legge non è soltanto quella statale ordinaria, ma ogni atto normativo avente efficacia formale di legge: decreto legge e decreto legislativo. Non vi è poi ragione di escludere la legge costituzionale. Si ritiene inoltre, che anche la legge regionale o provinciale soddisfa il precetto dell’art. 23 (fermo restando i limiti costituzionali della potestà legislativa regionale o provinciale, in materia impositiva). Molto dibattuto è il problema del rapporto tra riserva di legge e fonti comunitarie. Il problema riguarda, in particolare, i regolamenti comunitari self executing. La tesi prevalente è quella secondo cui, con adesione al trattato, l’Italia ha operato una limitazione della propria sovranità pienamente legittimata dall’art. 1 Costituzione : il che comporta deroga alle norme costituzionali sia in materia di potestà legislativa, sia in materia di riserva di legge.</w:t>
      </w:r>
    </w:p>
    <w:p w:rsidR="00BD4CB9" w:rsidRPr="00413BE2" w:rsidRDefault="00BD4CB9" w:rsidP="00CC74FF">
      <w:pPr>
        <w:pStyle w:val="Titolo3"/>
        <w:rPr>
          <w:rFonts w:ascii="Arial" w:hAnsi="Arial" w:cs="Arial"/>
          <w:sz w:val="24"/>
          <w:szCs w:val="24"/>
        </w:rPr>
      </w:pPr>
      <w:r w:rsidRPr="00413BE2">
        <w:rPr>
          <w:rFonts w:ascii="Arial" w:hAnsi="Arial" w:cs="Arial"/>
          <w:sz w:val="24"/>
          <w:szCs w:val="24"/>
        </w:rPr>
        <w:t xml:space="preserve">C) La riserva dell’art. 23 Costituzione è relativa, non assoluta; vediamo perciò quale sia la base legislativa, che deve essere contenuta nella legge: distinguiamo in altri termini, quali elementi della disciplina di un tributo devono essere previsti dalla legge e quali possono essere previsti con altri atti non legislativi. Il problema riguarda non tutti i tipi di norme che si definiscono correttamente tributarie, ma soltanto quelle impositive. Si ritiene concordemente, innanzitutto, che la legge debba determinare il presupposto ed i soggetti passivi del tributo. La legge deve fissare, inoltre la misura del tributo. In proposito, la Corte Costituzionale reputa rispettato il precetto ex art. 23 se la legge indica la misura massima dell’aliquota, o fissa i criteri idonei a delimitare la discrezionalità dell’ente impositore. Sovente la legge attribuisce all’autorità amministrativa poteri normativi che influiscono sulla </w:t>
      </w:r>
      <w:r w:rsidRPr="00413BE2">
        <w:rPr>
          <w:rFonts w:ascii="Arial" w:hAnsi="Arial" w:cs="Arial"/>
          <w:sz w:val="24"/>
          <w:szCs w:val="24"/>
        </w:rPr>
        <w:lastRenderedPageBreak/>
        <w:t>determinazione della base imponibile :</w:t>
      </w:r>
      <w:r w:rsidRPr="00413BE2">
        <w:rPr>
          <w:rFonts w:ascii="Arial" w:hAnsi="Arial" w:cs="Arial"/>
          <w:sz w:val="24"/>
          <w:szCs w:val="24"/>
        </w:rPr>
        <w:br/>
        <w:t>anche qui, il criterio che consente di ritenere legittime o no tali previsioni, sta nel vedere se la discrezionalità dell’autorità amministrativa è sufficientemente delimitata.</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A) La legge dello Stato è la fonte, per così dire, normale delle norme tributarie: ciò è una conseguenza della riserva di legge contenuta nell’art. 23 . Il che comporta che ,di massima, le norme tributarie siano contenute in atti aventi forma di legge o efficacia di legge. Nessuna peculiarità vi è per la formazione e l’approvazione delle leggi tributarie: si applicano gli artt. 70 e seg. della Costituzione Le leggi tributarie però non possono essere abrogate con referendum popolare e non possono essere approvate con la legge di bilancio. Si è inteso conservare la distinzione tra leggi (sostanziali) di prelievo e di spesa, e legge (formale) di approvazione del bilancio.</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Anche la legge regionale è fonte di norme tributarie: essa soddisfa la riserva di legge ex art. 23, ma può disporre solo entro certi limiti, che sono più ristretti per le regioni a statuto ordinario, più larghi per quelle a statuto speciale. Per le regioni ordinarie, occorre far capo all’art. 119 Costituzione che, nel primo comma, proclama l’autonomia finanziaria (Le regioni hanno autonomia finanziaria nelle forme e nei limiti stabiliti da leggi della Repubblica che la coordinano con la finanza dello Stato, delle Provincie e dei Comuni) e, nel secondo, delimita la potestà tributaria (alle regioni sono attribuiti tributi propri e quote di tributi……).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Questi precetti costituzionali sono stati interpretati in vario modo. Di fatto il legislatore ha optato per una soluzione piuttosto riduttiva: con la l. Del 16/5/70 n° 281, sono state attribuite alle regioni di diritto comune quattro specie di tributi (imposta sulle concessioni statali dei beni del demanio e del patrimonio indispensabile; tassa sulle concessioni regionali; tassa di circolazione; tassa per l’occupazione di spazi e aree pubbliche). La legge statale regola completamente questi tributi, lasciando al legislatore regionale la sola facoltà di fissare le aliquote, entro minimi e massimi prefissati dalle legge statale. Questi tributi quindi sono propri delle regioni solo perché le regioni ne ricevono il gettito; nella sostanza, sono tributi voluti dallo Stato, che provvede anche ad amministrarli.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Per le regioni a statuto speciale, andrebbero analizzate le singole norme statutarie: queste sembrano attribuire alle regioni differenziate un’autonoma potestà normativa in campo tributario in armonia con il sistema tributario statale . Di tale potestà le regioni hanno fatto uso soltanto per concedere esenzioni o agevolazioni rispetto a tributi erariali : il che è stato ritenuto ammissibile dalla Corte solo a condizione che le norme regionali di favore trovino riscontro in un tipo di esenzione già contemplato dalle norme statali.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lastRenderedPageBreak/>
        <w:t>C) I decreti legge sono abbastanza frequenti in materia tributaria. Essi possono essere emanati dal Governo in casi straordinari di necessità ed urgenza e debbono essere convertiti in legge entro 60 gg., altrimenti decadono ex-tunc. Le Camere possono regolare con legge i rapporti giuridici sorti sulla base di decreti non convertiti (art. 77).</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D) Anche i decreti legislativi sono molto frequenti in materia tributaria. Essi trovano fondamento nell’art. 76 Costituzione, che consente alle Camere di delegare al Governo l’esercizio della funzione legislativa “con determinazione dei principi e criteri direttivi e soltanto per un tempo limitato e per oggetto definiti”. Il ricorso frequente in materia tributaria al meccanismo della delega trova la sua ragione in ciò che le norme tributarie, per il loro tecnicismo, mal si prestano ad essere elaborate e discusse in sede parlamentare, soprattutto quando l’area di intervento è piuttosto estesa.</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 testi unici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La legge per la riforma tributaria ha attribuito al Governo il potere di emanare :</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a) decreti legislativi per l’attuazione della riforma;</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decreti legislativi con disposizioni integrative e correttive;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c) decreti legislativi recanti testi unici. Circa il contenuto dei testi unici, la legge delega dispone che essi contengano le norme emanate in attuazione della riforma e le norme previgenti rimaste in vigore, con la possibilità di apportare le modifiche necessarie per il coordinamento delle diverse disposizioni e per eliminare ogni contrasto con i principi e criteri direttivi della delega. I testi unici di attuazione della riforma tributaria, quindi, non sono testi soltanto compilativi (di pura raccolta di disposizioni vigenti), ma testi innovativi, in quanto possono contenere disposizioni integrative e correttive delle norme preesistenti.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 regolamenti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Nella gerarchia delle fonti sono subordinati alle leggi; quindi non possono essere in contrasto con norme di legge; se sono contrari alla legge, possono essere annullati dal giudice amministrativo e disapplicati dagli altri giudici (ordinario e tributario). I regolamenti non sono oggetto di giudizio di costituzionalità; se contrari a norme costituzionali, sono annullati o disapplicati come nel caso in cui sono contrari alla legge. Nei limiti in cui ciò è consentito dalla riserva di legge (art. 23), fonte di produzione di norme tributarie possono essere anche i regolamenti, sia di organi statali sia di enti locali.</w:t>
      </w:r>
    </w:p>
    <w:p w:rsidR="00BD4CB9" w:rsidRPr="00413BE2" w:rsidRDefault="00BD4CB9" w:rsidP="007B3EA5">
      <w:pPr>
        <w:pStyle w:val="Titolo3"/>
        <w:rPr>
          <w:rFonts w:ascii="Arial" w:hAnsi="Arial" w:cs="Arial"/>
          <w:sz w:val="24"/>
          <w:szCs w:val="24"/>
        </w:rPr>
      </w:pPr>
      <w:r w:rsidRPr="00413BE2">
        <w:rPr>
          <w:rFonts w:ascii="Arial" w:hAnsi="Arial" w:cs="Arial"/>
          <w:sz w:val="24"/>
          <w:szCs w:val="24"/>
        </w:rPr>
        <w:t xml:space="preserve">A) La l. 23/8/88 n°400, recante “disciplina dell’attività di governo e ordinamento della Presidenza del Consiglio dei Ministri”, ha disciplinato (art. 17) la potestà regolamentare prevedendo che i regolamenti governativi sono deliberati dal </w:t>
      </w:r>
      <w:r w:rsidRPr="00413BE2">
        <w:rPr>
          <w:rFonts w:ascii="Arial" w:hAnsi="Arial" w:cs="Arial"/>
          <w:sz w:val="24"/>
          <w:szCs w:val="24"/>
        </w:rPr>
        <w:lastRenderedPageBreak/>
        <w:t>Consiglio dei Ministri, dopo aver sentito il parere del Consiglio di Stato, e sono emanati dal Pres. Della Rep.. Tali regolamenti possono essere emanati per disciplinare: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1) l’esecuzione delle leggi e dei decreti legislativi;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2) L’attuazione ed integrazione delle leggi e dei decreti legislativi;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3) le materie in cui manchi la disciplina da parte di leggi o di atti aventi forza di legge;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4) l’organizzazione e il funzionamento delle amministrazioni pubbliche secondo le disposizioni dettate dalla legge;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5) L’organizzazione del lavoro e i rapporti di lavoro dei pubblici dipendenti in base agli accordi sindacali.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Il Governo dispone di una potestà regolamentare generale esercitabile anche senza specifica autorizzazione legislativa; esso è titolare, inoltre, di una potestà esercitabile solo previa autorizzazione legislativa, nelle materie non coperte da riserva assoluta di legge.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I regolamenti ministeriali sono adottati con decreto del Ministro nelle materie di competenza del ministro. Quando la materia è di competenza di più ministri, sono emanati regolamenti interministeriali, sempre in base ad apposite autorizzazione legislativa. I regolamenti ministeriali non possono dettare norme contrarie a quelle dei regolamenti governativi e debbono essere comunicati al Pres. del Consiglio dei Ministri prima della loro emanazione.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C) Vi sono poi i regolamenti locali, emanati da regioni, province e comuni; per lo più essi hanno per oggetto la fissazione di aliquote (la legge però fissa sempre il tetto max).</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Le fonti comunitarie</w:t>
      </w:r>
    </w:p>
    <w:p w:rsidR="00BD4CB9" w:rsidRPr="00413BE2" w:rsidRDefault="00BD4CB9" w:rsidP="007B3EA5">
      <w:pPr>
        <w:pStyle w:val="Titolo3"/>
        <w:rPr>
          <w:rFonts w:ascii="Arial" w:hAnsi="Arial" w:cs="Arial"/>
          <w:sz w:val="24"/>
          <w:szCs w:val="24"/>
        </w:rPr>
      </w:pPr>
      <w:r w:rsidRPr="00413BE2">
        <w:rPr>
          <w:rFonts w:ascii="Arial" w:hAnsi="Arial" w:cs="Arial"/>
          <w:sz w:val="24"/>
          <w:szCs w:val="24"/>
        </w:rPr>
        <w:t xml:space="preserve">Il trattato istitutivo della CEE è stato ratificato con legge ordinaria; è stato così inserito, nel sistema delle fonti del nostro diritto, un meccanismo in base al quale valgono nell’ordinamento italiano anche le norme comunitarie. Il sistema delle fonti del diritto comunitario è costituito, innanzitutto, dal diritto cosiddetto primario, elaborato direttamente dagli stati membri, e vi è poi il diritto derivato, costituito dalle norme emesse dagli organi comunitari. Tra le fonti di produzione del diritto comunitario derivato hanno particolare importanza i regolamenti e le direttive. Il regolamento a norma dell’art. 189 del trattato, ha portata generale, è obbligatorio in tutti i suoi elementi, ed è direttamente applicabile in ciascuno degli stati membri. La diretta applicabilità comporta che gli Stati non possono e non debbono emanare norme per introdurre un regolamento nell’ordinamento interno. In quanto produttivo di effetti immediati, il regolamento è idoneo ad attribuire ai singoli dei diritti che i giudici nazionali devono tutelare. Le direttive secondo l’art. 189 del trattato CEE, vincolano gli Stati membri per quanto riguarda il risultato da raggiungere, mentre è </w:t>
      </w:r>
      <w:r w:rsidRPr="00413BE2">
        <w:rPr>
          <w:rFonts w:ascii="Arial" w:hAnsi="Arial" w:cs="Arial"/>
          <w:sz w:val="24"/>
          <w:szCs w:val="24"/>
        </w:rPr>
        <w:lastRenderedPageBreak/>
        <w:t>rimessa alla discrezionalità dei singoli Stati l’adozione degli strumenti e dei mezzi per raggiungerlo.</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A) A norma dell’art. 73 Costituzione, “le leggi sono pubblicate subito dopo la promulgazione ed entrano in vigore 15 gg. dopo la loro pubblicazione, salvo che le leggi stesse stabiliscano un termine diverso”. Vi possono essere casi, nei quali entrata in vigore ed efficacia non coincidono ; ci si riferisce ai casi in cui il momento dell’entrata in vigore indica soltanto che la legge è perfetta e vale come tale, ma i suoi effetti sono differiti o retroagiscono. I decreti legge, di solito hanno efficacia dal giorno della loro pubblicazione, e perdono efficacia (sin dall’inizio) se non sono convertiti in legge entro 60 gg. dalla loro pubblicazione.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Di regola la legge non dispone che per l’avvenire : essa non ha effetto retroattivo; possono però darsi leggi retroattive. Possono dunque darsi leggi tributarie retroattive; la retroattività può concernere la fattispecie (dell’imposta), gli effetti od entrambi gli elementi della norma tributaria. La retroattività attiene alla fattispecie quando, ad esempio , viene istituito un tributo su fatti già avvenuti quando è approvata la legge. La retroattività attiene agli effetti quando, ad un fatto che si verifica dopo l’entrata in vigore della legge, sono collegati effetti che invece riguardano il passato; si pensi, ad esempio, ad una legge di condono.</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C) Una volta individuato il momento in cui inizia l’efficacia di una legge può essere dubbio quale sia il trattamento giuridico di fatti o di situazioni che avvengono in parte sotto l’impero di una legge, in parte sotto l’impero della legge successiva. Di solito il legislatore risolve i problemi che si pongono in caso di successione di legge con norme apposite dette norme di diritto transitorio.</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D) Secondo un principio consolidato, le norme procedimentali sono norme di applicazione immediata: con il che si vuole dire che si applicano ai procedimenti che iniziano o che sono in corso di svolgimento al momento dell’entrata in vigore della nuova legge, anche se hanno per oggetto fatti avvenuti in passato. Spesso, invece, nel diritto tributario, le nuove leggi procedimentali si applicano solo ai presupposti d’imposta successivi all’entrata in vigore della legge. Ciò dipende dalla stretta correlazione, di solito esistente, tra norme sostanziali di un dato tributo, e norme relative alla sua applicazione.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E) Le leggi cessano di essere efficaci quando sono abrogate, quando sono dichiarate incostituzionali, e in caso di leggi temporanee quando scade il termine previsto. L’abrogazione di una legge può avvenire in 3 modi: “per dichiarazione espressa del legislatore o per incompatibilità tra le nuove disposizioni e le precedenti o perché la nuova legge regola l’intera materia già regolata dalla legge precedente”. Con l’abrogazione, </w:t>
      </w:r>
      <w:r w:rsidRPr="00413BE2">
        <w:rPr>
          <w:rFonts w:ascii="Arial" w:hAnsi="Arial" w:cs="Arial"/>
          <w:color w:val="5F5F5F"/>
        </w:rPr>
        <w:lastRenderedPageBreak/>
        <w:t>l’efficacia della legge abrogata cessa exnunc; il che significa che la legge continua ad essere la legge regolatrice dei fatti avvenuti nell’arco temporale che va dalla sua entrata in vigore alla data della sua abrogazione; quindi una legge tributaria abrogata continua ad essere applicabile ai fatti avvenuti prima dell’abrogazione. Analogo discorso vale per le leggi temporanee dopo la scadenza del termine. Invece la dichiarazione di incostituzionalità di una legge ne fa cessare l’efficacia ex-tunc; perciò, dopo la pronuncia della Corte Costituzionale, la legge giudicata illegittima è da considerare come mai esistita.</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F) Infine, le norme nazionali pur rimanendo formalmente vigenti, diventano inapplicabili quando sopravviene una norma comunitaria non compatibile con la norma nazionale.</w:t>
      </w:r>
    </w:p>
    <w:p w:rsidR="00502BAC" w:rsidRPr="00413BE2" w:rsidRDefault="00502BAC">
      <w:pPr>
        <w:rPr>
          <w:rFonts w:ascii="Arial" w:hAnsi="Arial" w:cs="Arial"/>
          <w:b/>
          <w:color w:val="5F5F5F"/>
          <w:sz w:val="24"/>
          <w:szCs w:val="24"/>
          <w:shd w:val="clear" w:color="auto" w:fill="FFFFFF"/>
        </w:rPr>
      </w:pPr>
      <w:r w:rsidRPr="00413BE2">
        <w:rPr>
          <w:rFonts w:ascii="Arial" w:hAnsi="Arial" w:cs="Arial"/>
          <w:b/>
          <w:color w:val="5F5F5F"/>
          <w:sz w:val="24"/>
          <w:szCs w:val="24"/>
          <w:shd w:val="clear" w:color="auto" w:fill="FFFFFF"/>
        </w:rPr>
        <w:t>DIRITTO TRIBUTARIO NELLA COSTITUZIONE</w:t>
      </w:r>
    </w:p>
    <w:p w:rsidR="00C45CD4" w:rsidRPr="00413BE2" w:rsidRDefault="00C45CD4" w:rsidP="00C45CD4">
      <w:pPr>
        <w:pStyle w:val="NormaleWeb"/>
        <w:shd w:val="clear" w:color="auto" w:fill="FFFFFF"/>
        <w:spacing w:before="272" w:beforeAutospacing="0" w:after="136" w:afterAutospacing="0"/>
        <w:jc w:val="both"/>
        <w:rPr>
          <w:rFonts w:ascii="Arial" w:hAnsi="Arial" w:cs="Arial"/>
          <w:color w:val="555555"/>
        </w:rPr>
      </w:pPr>
      <w:r w:rsidRPr="00413BE2">
        <w:rPr>
          <w:rFonts w:ascii="Arial" w:hAnsi="Arial" w:cs="Arial"/>
          <w:i/>
          <w:iCs/>
          <w:color w:val="555555"/>
        </w:rPr>
        <w:t>“Tutti sono tenuti a concorrere alle spese pubbliche in ragione della loro capacità contributiva.</w:t>
      </w:r>
    </w:p>
    <w:p w:rsidR="00C45CD4" w:rsidRPr="00413BE2" w:rsidRDefault="00C45CD4" w:rsidP="00C45CD4">
      <w:pPr>
        <w:pStyle w:val="NormaleWeb"/>
        <w:shd w:val="clear" w:color="auto" w:fill="FFFFFF"/>
        <w:spacing w:before="272" w:beforeAutospacing="0" w:after="0" w:afterAutospacing="0"/>
        <w:jc w:val="both"/>
        <w:rPr>
          <w:rFonts w:ascii="Arial" w:hAnsi="Arial" w:cs="Arial"/>
          <w:color w:val="555555"/>
        </w:rPr>
      </w:pPr>
      <w:r w:rsidRPr="00413BE2">
        <w:rPr>
          <w:rFonts w:ascii="Arial" w:hAnsi="Arial" w:cs="Arial"/>
          <w:i/>
          <w:iCs/>
          <w:color w:val="555555"/>
        </w:rPr>
        <w:t>Il sistema tributario è informato a criteri di progressività.</w:t>
      </w:r>
      <w:r w:rsidRPr="00413BE2">
        <w:rPr>
          <w:rFonts w:ascii="Arial" w:hAnsi="Arial" w:cs="Arial"/>
          <w:color w:val="555555"/>
        </w:rPr>
        <w:t>” ART 53</w:t>
      </w:r>
    </w:p>
    <w:p w:rsidR="00C45CD4" w:rsidRPr="00413BE2" w:rsidRDefault="00C45CD4">
      <w:pPr>
        <w:rPr>
          <w:rFonts w:ascii="Arial" w:hAnsi="Arial" w:cs="Arial"/>
          <w:b/>
          <w:color w:val="5F5F5F"/>
          <w:sz w:val="24"/>
          <w:szCs w:val="24"/>
          <w:shd w:val="clear" w:color="auto" w:fill="FFFFFF"/>
        </w:rPr>
      </w:pPr>
    </w:p>
    <w:p w:rsidR="00502BAC" w:rsidRPr="00413BE2" w:rsidRDefault="00BD4CB9">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Nella Costituzione vi sono diverse disposizioni che, più o meno esplicitamente, riguardano il diritto tributario. Le due disposizioni più importanti sono, da un lato, l’art. 23. , e dall’altro l’art. 53 che, proclamando il principio di capacità contributiva, pone un principio che deve informare tutto il sistema giuridico tributario. </w:t>
      </w:r>
      <w:r w:rsidR="00502BAC" w:rsidRPr="00413BE2">
        <w:rPr>
          <w:rFonts w:ascii="Arial" w:hAnsi="Arial" w:cs="Arial"/>
          <w:color w:val="5F5F5F"/>
          <w:sz w:val="24"/>
          <w:szCs w:val="24"/>
          <w:u w:val="single"/>
          <w:shd w:val="clear" w:color="auto" w:fill="FFFFFF"/>
        </w:rPr>
        <w:t>N</w:t>
      </w:r>
      <w:r w:rsidRPr="00413BE2">
        <w:rPr>
          <w:rFonts w:ascii="Arial" w:hAnsi="Arial" w:cs="Arial"/>
          <w:color w:val="5F5F5F"/>
          <w:sz w:val="24"/>
          <w:szCs w:val="24"/>
          <w:u w:val="single"/>
          <w:shd w:val="clear" w:color="auto" w:fill="FFFFFF"/>
        </w:rPr>
        <w:t>ella Costituzione repubblicana: nella Repubblica democratica (art. 1) sono riconosciuti e garantiti i diritti individuali dell’uomo, ma è altresì richiesto l’adempimento dei doveri inderogabili di solidarietà politica, economica e sociale (art. 2). Il dovere tributario è appunto un dovere di solidarietà,</w:t>
      </w:r>
      <w:r w:rsidRPr="00413BE2">
        <w:rPr>
          <w:rFonts w:ascii="Arial" w:hAnsi="Arial" w:cs="Arial"/>
          <w:color w:val="5F5F5F"/>
          <w:sz w:val="24"/>
          <w:szCs w:val="24"/>
          <w:shd w:val="clear" w:color="auto" w:fill="FFFFFF"/>
        </w:rPr>
        <w:t xml:space="preserve"> che l’art. 53 impone a tutti in ragione della loro capacità contributiva.</w:t>
      </w:r>
    </w:p>
    <w:p w:rsidR="00502BAC" w:rsidRPr="00413BE2" w:rsidRDefault="00BD4CB9">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 La ragione sostanziale del dovere tributario, quindi, non deriva da un rapporto commutativo del singolo con lo Stato, ma nel dovere di solidarietà cui è tenuto ogni membro della comunità, per il fatto stesso di essere membro della comunità. </w:t>
      </w:r>
    </w:p>
    <w:p w:rsidR="00502BAC" w:rsidRPr="00413BE2" w:rsidRDefault="00BD4CB9">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Il singolo deve contribuire alle pubbliche spese, non in ragione di ciò che riceve dallo Stato, ma in ragione della sua capacità contributiva, in quanto membro di una collettività; e deve farlo, non in ragione proporzionale, ma in ragione progressiva rispetto alle sue potenzialità economiche.</w:t>
      </w:r>
    </w:p>
    <w:p w:rsidR="00502BAC" w:rsidRPr="00413BE2" w:rsidRDefault="00502BAC" w:rsidP="00502BAC">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La </w:t>
      </w:r>
      <w:r w:rsidRPr="00413BE2">
        <w:rPr>
          <w:rFonts w:ascii="Arial" w:hAnsi="Arial" w:cs="Arial"/>
          <w:b/>
          <w:bCs/>
          <w:color w:val="202122"/>
        </w:rPr>
        <w:t>capacità contributiva</w:t>
      </w:r>
      <w:r w:rsidRPr="00413BE2">
        <w:rPr>
          <w:rFonts w:ascii="Arial" w:hAnsi="Arial" w:cs="Arial"/>
          <w:color w:val="202122"/>
        </w:rPr>
        <w:t>  può avere due significati:</w:t>
      </w:r>
    </w:p>
    <w:p w:rsidR="00502BAC" w:rsidRPr="00413BE2" w:rsidRDefault="00502BAC" w:rsidP="00502BAC">
      <w:pPr>
        <w:numPr>
          <w:ilvl w:val="0"/>
          <w:numId w:val="9"/>
        </w:numPr>
        <w:shd w:val="clear" w:color="auto" w:fill="FFFFFF"/>
        <w:spacing w:before="100" w:beforeAutospacing="1" w:after="24" w:line="240" w:lineRule="auto"/>
        <w:ind w:left="384"/>
        <w:rPr>
          <w:rFonts w:ascii="Arial" w:hAnsi="Arial" w:cs="Arial"/>
          <w:color w:val="202122"/>
          <w:sz w:val="24"/>
          <w:szCs w:val="24"/>
        </w:rPr>
      </w:pPr>
      <w:r w:rsidRPr="00413BE2">
        <w:rPr>
          <w:rFonts w:ascii="Arial" w:hAnsi="Arial" w:cs="Arial"/>
          <w:color w:val="202122"/>
          <w:sz w:val="24"/>
          <w:szCs w:val="24"/>
        </w:rPr>
        <w:t>dal punto di vista dello </w:t>
      </w:r>
      <w:r w:rsidR="00413BE2" w:rsidRPr="00413BE2">
        <w:rPr>
          <w:rFonts w:ascii="Arial" w:hAnsi="Arial" w:cs="Arial"/>
          <w:color w:val="202122"/>
          <w:sz w:val="24"/>
          <w:szCs w:val="24"/>
        </w:rPr>
        <w:t>Stato</w:t>
      </w:r>
      <w:r w:rsidRPr="00413BE2">
        <w:rPr>
          <w:rFonts w:ascii="Arial" w:hAnsi="Arial" w:cs="Arial"/>
          <w:color w:val="202122"/>
          <w:sz w:val="24"/>
          <w:szCs w:val="24"/>
        </w:rPr>
        <w:t xml:space="preserve"> significa che le leggi tributarie non devono colpire fatti che non siano espressivi di capacità contributiva;</w:t>
      </w:r>
    </w:p>
    <w:p w:rsidR="00502BAC" w:rsidRPr="00413BE2" w:rsidRDefault="00502BAC" w:rsidP="00502BAC">
      <w:pPr>
        <w:numPr>
          <w:ilvl w:val="0"/>
          <w:numId w:val="9"/>
        </w:numPr>
        <w:shd w:val="clear" w:color="auto" w:fill="FFFFFF"/>
        <w:spacing w:before="100" w:beforeAutospacing="1" w:after="24" w:line="240" w:lineRule="auto"/>
        <w:ind w:left="384"/>
        <w:rPr>
          <w:rFonts w:ascii="Arial" w:hAnsi="Arial" w:cs="Arial"/>
          <w:color w:val="202122"/>
          <w:sz w:val="24"/>
          <w:szCs w:val="24"/>
        </w:rPr>
      </w:pPr>
      <w:r w:rsidRPr="00413BE2">
        <w:rPr>
          <w:rFonts w:ascii="Arial" w:hAnsi="Arial" w:cs="Arial"/>
          <w:color w:val="202122"/>
          <w:sz w:val="24"/>
          <w:szCs w:val="24"/>
        </w:rPr>
        <w:t>dal punto di vista del contribuente, è una garanzia, in quanto il contribuente non può essere sottoposto all'imposizione, se non in presenza di fatti che esprimono capacità contributiva.</w:t>
      </w:r>
    </w:p>
    <w:p w:rsidR="00C45CD4" w:rsidRPr="00413BE2" w:rsidRDefault="00C45CD4">
      <w:pPr>
        <w:rPr>
          <w:rFonts w:ascii="Arial" w:hAnsi="Arial" w:cs="Arial"/>
          <w:color w:val="202122"/>
          <w:sz w:val="24"/>
          <w:szCs w:val="24"/>
          <w:shd w:val="clear" w:color="auto" w:fill="FFFFFF"/>
        </w:rPr>
      </w:pPr>
      <w:r w:rsidRPr="00413BE2">
        <w:rPr>
          <w:rFonts w:ascii="Arial" w:hAnsi="Arial" w:cs="Arial"/>
          <w:color w:val="202122"/>
          <w:sz w:val="24"/>
          <w:szCs w:val="24"/>
          <w:shd w:val="clear" w:color="auto" w:fill="FFFFFF"/>
        </w:rPr>
        <w:lastRenderedPageBreak/>
        <w:t>Storicamente vi sono state imposte non collegate alla capacità contributiva (ad es. imposta sul celibato, introdotta dal DIRITTO ROMANO e ripresa nell'epoca del fascismo</w:t>
      </w:r>
    </w:p>
    <w:p w:rsidR="00331DCD" w:rsidRPr="00413BE2" w:rsidRDefault="00BD4CB9">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 Se lo Stato preleva i </w:t>
      </w:r>
      <w:r w:rsidRPr="00413BE2">
        <w:rPr>
          <w:rFonts w:ascii="Arial" w:hAnsi="Arial" w:cs="Arial"/>
          <w:color w:val="FF0000"/>
          <w:sz w:val="24"/>
          <w:szCs w:val="24"/>
          <w:shd w:val="clear" w:color="auto" w:fill="FFFFFF"/>
        </w:rPr>
        <w:t>tributi in relazione ad un dovere di solidarietà,</w:t>
      </w:r>
      <w:r w:rsidRPr="00413BE2">
        <w:rPr>
          <w:rFonts w:ascii="Arial" w:hAnsi="Arial" w:cs="Arial"/>
          <w:color w:val="5F5F5F"/>
          <w:sz w:val="24"/>
          <w:szCs w:val="24"/>
          <w:shd w:val="clear" w:color="auto" w:fill="FFFFFF"/>
        </w:rPr>
        <w:t xml:space="preserve"> ciò implica che la funzione del prelievo tributario non sia meramente fiscale (e cioè di procurare entrate allo Stato) ma sia anche extrafiscale. La Costituzione ripudia il concetto liberale della finanza neutrale, e delinea un concetto funzionale della finanza pubblica; il tributo deve essere utilizzato, non solo per procurare entrate, ma anche per gli altri fini, che la Costituzione assegna alla Rep.. Lo Stato non deve limitarsi a garantire il libero svolgimento della vita economica e sociale, ma ne deve essere parte attiva, al fine di rimuovere gli ostacoli di ordine economico e sociale che, limitando di fatto la libertà e l’uguaglianza dei cittadini impediscono il pieno sviluppo della persona umana (art. 3). La politica tributaria è uno degli strumenti fondamentali dell’azione pubblica rivolta al perseguimento di quel fine.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La disposizione costituzionale, nel suo significato letterale può apparire assai poco significativa; può sembrare cioè in quanto mera enunciazione del dovere di pagare i tributi, priva di significato pratico, perché il dovere di pagare i tributi, in concreto, sorge solo per effetto di quanto stabiliscono le leggi.</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B) Si cogli la funzione normativa dell’art. 53, solo se in esso si scorge una delimitazione di quel potere (dello Stato) e di quel dovere (dei consociati). L’art. 53 infatti delimita il potere legislativo in quanto in esso è stabilito che è costituzionalmente legittimo imporre tributi solo in ragione di un fatto che sia indicativo di capacità contributiva. </w:t>
      </w:r>
      <w:r w:rsidRPr="00413BE2">
        <w:rPr>
          <w:rFonts w:ascii="Arial" w:hAnsi="Arial" w:cs="Arial"/>
          <w:color w:val="FF0000"/>
        </w:rPr>
        <w:t>Correlativamente, l’art. 53, delimita il dovere contributivo</w:t>
      </w:r>
      <w:r w:rsidRPr="00413BE2">
        <w:rPr>
          <w:rFonts w:ascii="Arial" w:hAnsi="Arial" w:cs="Arial"/>
          <w:color w:val="5F5F5F"/>
        </w:rPr>
        <w:t>, in quanto garantisce ai consociati di non poter essere obbligati a contribuire alle spese pubbliche in relazione a fatti che non siano espressivi di capacità contributiva.</w:t>
      </w:r>
    </w:p>
    <w:p w:rsidR="00502BAC" w:rsidRPr="00413BE2" w:rsidRDefault="00502BAC"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w:t>
      </w:r>
      <w:r w:rsidR="00BD4CB9" w:rsidRPr="00413BE2">
        <w:rPr>
          <w:rFonts w:ascii="Arial" w:hAnsi="Arial" w:cs="Arial"/>
          <w:color w:val="5F5F5F"/>
        </w:rPr>
        <w:t xml:space="preserve">e risorse pubbliche possono essere reperite o secondo </w:t>
      </w:r>
      <w:r w:rsidR="00BD4CB9" w:rsidRPr="00413BE2">
        <w:rPr>
          <w:rFonts w:ascii="Arial" w:hAnsi="Arial" w:cs="Arial"/>
          <w:color w:val="5F5F5F"/>
          <w:u w:val="single"/>
        </w:rPr>
        <w:t>il principio del beneficio o secondo il principio del sacrificio.</w:t>
      </w:r>
    </w:p>
    <w:p w:rsidR="00502BAC"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 Il primo principio importa che la spese pubbliche sono finanziate da chi ne fruisce; </w:t>
      </w:r>
    </w:p>
    <w:p w:rsidR="00502BAC"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secondo il principio del sacrificio le spese pubbliche sono finanziate non da chi ne fruisce, ma da chi è dotato di capacità contributiva. </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Mentre le spese pubbliche cosiddette divisibili possono essere finanziate in base al principio del beneficio, le spese pubbliche cosiddette indivisibili possono essere finanziate solo col criterio della capacità contributiva. Dalla scienza delle finanze non ci è però fornita una definizione rigorosa di capacità contributiva; perciò alcuni autori ritennero che il precetto costituzionale fosse privo di significato. Su di un punto, comunque, il consenso è unanime; e cioè nell’attribuire alla </w:t>
      </w:r>
      <w:r w:rsidRPr="00413BE2">
        <w:rPr>
          <w:rFonts w:ascii="Arial" w:hAnsi="Arial" w:cs="Arial"/>
          <w:color w:val="FF0000"/>
        </w:rPr>
        <w:t xml:space="preserve">capacità contributiva il significato di capacità economica, </w:t>
      </w:r>
      <w:r w:rsidRPr="00413BE2">
        <w:rPr>
          <w:rFonts w:ascii="Arial" w:hAnsi="Arial" w:cs="Arial"/>
          <w:color w:val="5F5F5F"/>
        </w:rPr>
        <w:lastRenderedPageBreak/>
        <w:t>e quindi nel dire che fatto espressivo di capacità contributiva è un fatto di natura economica</w:t>
      </w:r>
    </w:p>
    <w:p w:rsidR="00502BAC"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u w:val="single"/>
        </w:rPr>
        <w:t>Per dare concretezza al concetto di capacità contributiva, non basta dire che esprimono capacità contributiva i fatti economici (e non basta escludere i fatti non economici). Occorre anche indicare quali fatti economici esprimono capacità contributiva</w:t>
      </w:r>
      <w:r w:rsidRPr="00413BE2">
        <w:rPr>
          <w:rFonts w:ascii="Arial" w:hAnsi="Arial" w:cs="Arial"/>
          <w:color w:val="5F5F5F"/>
        </w:rPr>
        <w:t xml:space="preserve">. Dal punto di vista qualitativo il sacrificio patrimoniale che viene imposto ai consociati deve essere rapportato alla idoneità che il singolo mostra di potersi privare di una parte dei propri averi per metterla a disposizione della collettività. Non è perciò indice di capacità contributiva un reddito minimo. Il fatto espressivo di capacità contributiva per eccellenza è il reddito. </w:t>
      </w:r>
    </w:p>
    <w:p w:rsidR="00502BAC" w:rsidRPr="00413BE2" w:rsidRDefault="00502BAC"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INDICE DIRETTO</w:t>
      </w:r>
      <w:r w:rsidRPr="00413BE2">
        <w:rPr>
          <w:rFonts w:ascii="Arial" w:hAnsi="Arial" w:cs="Arial"/>
          <w:color w:val="5F5F5F"/>
        </w:rPr>
        <w:sym w:font="Wingdings" w:char="F0E0"/>
      </w:r>
      <w:r w:rsidR="00BD4CB9" w:rsidRPr="00413BE2">
        <w:rPr>
          <w:rFonts w:ascii="Arial" w:hAnsi="Arial" w:cs="Arial"/>
          <w:color w:val="5F5F5F"/>
        </w:rPr>
        <w:t xml:space="preserve"> il reddito complessivo delle persone fisiche, al netto, non solo delle spese di produzione, ma anche di particolari oneri (personali e familiari), si presta, più di ogni altra forma di ricchezza, a rispecchiare la capacità contributiva, non solo specifica, ma anche globale delle persone, ed a fungere da base di commisurazione dell’imposta progressiva del reddito globale. Insieme con il reddito, sono considerati indici diretti di capacità contributiva il patrimonio e gli incrementi di valore del patrimonio.</w:t>
      </w:r>
    </w:p>
    <w:p w:rsidR="00BD4CB9" w:rsidRPr="00413BE2" w:rsidRDefault="00502BAC"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INDICI INIDRETTI </w:t>
      </w:r>
      <w:r w:rsidR="00BD4CB9" w:rsidRPr="00413BE2">
        <w:rPr>
          <w:rFonts w:ascii="Arial" w:hAnsi="Arial" w:cs="Arial"/>
          <w:color w:val="5F5F5F"/>
        </w:rPr>
        <w:t xml:space="preserve"> Sono, invece, indici indiretti il consumo e gli affari. Se, in generale, il consumo di beni o servizi è indice di capacità contributiva perché implica disponibilità economica, ciò non vale per ogni consumo. Altro indice indiretto è il trasferimento di un bene.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Capacità contributiva, uguaglianza e ragionevolezza</w:t>
      </w:r>
    </w:p>
    <w:p w:rsidR="00BD4CB9" w:rsidRPr="00413BE2" w:rsidRDefault="00BD4CB9" w:rsidP="00502BAC">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FF0000"/>
        </w:rPr>
        <w:t>La legge tributaria deve trattare in modo uguale i fatti economici che esprimono pari capacità contributiva</w:t>
      </w:r>
      <w:r w:rsidRPr="00413BE2">
        <w:rPr>
          <w:rFonts w:ascii="Arial" w:hAnsi="Arial" w:cs="Arial"/>
          <w:color w:val="5F5F5F"/>
        </w:rPr>
        <w:t xml:space="preserve">, e deve trattare in modo differenziato i fatti che esprimono capacità contributiva in modo differenziato. In tal modo, il principio di capacità contributiva integra il principio di uguaglianza. </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La ragionevolezza come coerenza della legge</w:t>
      </w:r>
    </w:p>
    <w:p w:rsidR="00BD4CB9" w:rsidRPr="00413BE2" w:rsidRDefault="00BD4CB9" w:rsidP="00BD4CB9">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Il principio di uguaglianza esige che la legge non detti discipline contraddittorie; esige, cioè, coerenza interna alla legge. Si parla di coerenza interna perché ci si riferisce ai casi nei quali la contraddizione emerge rispetto a situazioni che lo stesso legislatore mostra di considerare eguali.</w:t>
      </w:r>
    </w:p>
    <w:p w:rsidR="00BD4CB9" w:rsidRPr="00413BE2" w:rsidRDefault="00C45CD4">
      <w:pPr>
        <w:rPr>
          <w:rFonts w:ascii="Arial" w:hAnsi="Arial" w:cs="Arial"/>
          <w:sz w:val="24"/>
          <w:szCs w:val="24"/>
        </w:rPr>
      </w:pPr>
      <w:r w:rsidRPr="00413BE2">
        <w:rPr>
          <w:rFonts w:ascii="Arial" w:hAnsi="Arial" w:cs="Arial"/>
          <w:sz w:val="24"/>
          <w:szCs w:val="24"/>
        </w:rPr>
        <w:t>PRINCIPIO DI PROGRESSIVITA’</w:t>
      </w:r>
    </w:p>
    <w:p w:rsidR="00C45CD4" w:rsidRPr="00413BE2" w:rsidRDefault="00C45CD4" w:rsidP="00C45CD4">
      <w:pPr>
        <w:pStyle w:val="NormaleWeb"/>
        <w:shd w:val="clear" w:color="auto" w:fill="FFFFFF"/>
        <w:spacing w:before="272" w:beforeAutospacing="0" w:after="136" w:afterAutospacing="0"/>
        <w:jc w:val="both"/>
        <w:rPr>
          <w:rFonts w:ascii="Arial" w:hAnsi="Arial" w:cs="Arial"/>
          <w:color w:val="555555"/>
        </w:rPr>
      </w:pPr>
      <w:r w:rsidRPr="00413BE2">
        <w:rPr>
          <w:rFonts w:ascii="Arial" w:hAnsi="Arial" w:cs="Arial"/>
          <w:color w:val="555555"/>
        </w:rPr>
        <w:t>L’</w:t>
      </w:r>
      <w:r w:rsidRPr="00413BE2">
        <w:rPr>
          <w:rStyle w:val="Enfasigrassetto"/>
          <w:rFonts w:ascii="Arial" w:hAnsi="Arial" w:cs="Arial"/>
          <w:color w:val="555555"/>
        </w:rPr>
        <w:t>articolo 53 della Costituzione</w:t>
      </w:r>
      <w:r w:rsidRPr="00413BE2">
        <w:rPr>
          <w:rFonts w:ascii="Arial" w:hAnsi="Arial" w:cs="Arial"/>
          <w:color w:val="555555"/>
        </w:rPr>
        <w:t> sostiene che l’</w:t>
      </w:r>
      <w:r w:rsidRPr="00413BE2">
        <w:rPr>
          <w:rStyle w:val="Enfasigrassetto"/>
          <w:rFonts w:ascii="Arial" w:hAnsi="Arial" w:cs="Arial"/>
          <w:color w:val="555555"/>
        </w:rPr>
        <w:t>imposta</w:t>
      </w:r>
      <w:r w:rsidRPr="00413BE2">
        <w:rPr>
          <w:rFonts w:ascii="Arial" w:hAnsi="Arial" w:cs="Arial"/>
          <w:color w:val="555555"/>
        </w:rPr>
        <w:t> che i </w:t>
      </w:r>
      <w:r w:rsidRPr="00413BE2">
        <w:rPr>
          <w:rStyle w:val="Enfasigrassetto"/>
          <w:rFonts w:ascii="Arial" w:hAnsi="Arial" w:cs="Arial"/>
          <w:color w:val="555555"/>
        </w:rPr>
        <w:t>cittadini</w:t>
      </w:r>
      <w:r w:rsidRPr="00413BE2">
        <w:rPr>
          <w:rFonts w:ascii="Arial" w:hAnsi="Arial" w:cs="Arial"/>
          <w:color w:val="555555"/>
        </w:rPr>
        <w:t>, anche apolidi e stranieri, sono tenuti a versare è proporzionale all’aumentare della loro possibilità economica.</w:t>
      </w:r>
    </w:p>
    <w:p w:rsidR="00C45CD4" w:rsidRPr="00413BE2" w:rsidRDefault="00C45CD4" w:rsidP="00C45CD4">
      <w:pPr>
        <w:pStyle w:val="NormaleWeb"/>
        <w:shd w:val="clear" w:color="auto" w:fill="FFFFFF"/>
        <w:spacing w:before="272" w:beforeAutospacing="0" w:after="136" w:afterAutospacing="0"/>
        <w:jc w:val="both"/>
        <w:rPr>
          <w:rFonts w:ascii="Arial" w:hAnsi="Arial" w:cs="Arial"/>
          <w:color w:val="555555"/>
        </w:rPr>
      </w:pPr>
      <w:r w:rsidRPr="00413BE2">
        <w:rPr>
          <w:rFonts w:ascii="Arial" w:hAnsi="Arial" w:cs="Arial"/>
          <w:color w:val="555555"/>
        </w:rPr>
        <w:lastRenderedPageBreak/>
        <w:t>In altre parole, l’</w:t>
      </w:r>
      <w:r w:rsidRPr="00413BE2">
        <w:rPr>
          <w:rStyle w:val="Enfasigrassetto"/>
          <w:rFonts w:ascii="Arial" w:hAnsi="Arial" w:cs="Arial"/>
          <w:color w:val="555555"/>
        </w:rPr>
        <w:t>imposta</w:t>
      </w:r>
      <w:r w:rsidRPr="00413BE2">
        <w:rPr>
          <w:rFonts w:ascii="Arial" w:hAnsi="Arial" w:cs="Arial"/>
          <w:color w:val="555555"/>
        </w:rPr>
        <w:t> cresce con il crescere del </w:t>
      </w:r>
      <w:r w:rsidRPr="00413BE2">
        <w:rPr>
          <w:rStyle w:val="Enfasigrassetto"/>
          <w:rFonts w:ascii="Arial" w:hAnsi="Arial" w:cs="Arial"/>
          <w:color w:val="555555"/>
        </w:rPr>
        <w:t>reddito</w:t>
      </w:r>
      <w:r w:rsidRPr="00413BE2">
        <w:rPr>
          <w:rFonts w:ascii="Arial" w:hAnsi="Arial" w:cs="Arial"/>
          <w:color w:val="555555"/>
        </w:rPr>
        <w:t>.</w:t>
      </w:r>
    </w:p>
    <w:p w:rsidR="00C45CD4" w:rsidRPr="00413BE2" w:rsidRDefault="00C45CD4" w:rsidP="00C45CD4">
      <w:pPr>
        <w:pStyle w:val="NormaleWeb"/>
        <w:shd w:val="clear" w:color="auto" w:fill="FFFFFF"/>
        <w:spacing w:before="272" w:beforeAutospacing="0" w:after="136" w:afterAutospacing="0"/>
        <w:jc w:val="both"/>
        <w:rPr>
          <w:rFonts w:ascii="Arial" w:hAnsi="Arial" w:cs="Arial"/>
          <w:color w:val="555555"/>
        </w:rPr>
      </w:pPr>
      <w:r w:rsidRPr="00413BE2">
        <w:rPr>
          <w:rFonts w:ascii="Arial" w:hAnsi="Arial" w:cs="Arial"/>
          <w:color w:val="555555"/>
        </w:rPr>
        <w:t>Il rilievo del </w:t>
      </w:r>
      <w:r w:rsidRPr="00413BE2">
        <w:rPr>
          <w:rStyle w:val="Enfasigrassetto"/>
          <w:rFonts w:ascii="Arial" w:hAnsi="Arial" w:cs="Arial"/>
          <w:color w:val="555555"/>
        </w:rPr>
        <w:t>criterio di progressività</w:t>
      </w:r>
      <w:r w:rsidRPr="00413BE2">
        <w:rPr>
          <w:rFonts w:ascii="Arial" w:hAnsi="Arial" w:cs="Arial"/>
          <w:color w:val="555555"/>
        </w:rPr>
        <w:t> risiede nel gravare sulle classi sociali più abbienti così da poter soccorrere e sostenere le classi sociali in difficoltà, garantendo i </w:t>
      </w:r>
      <w:r w:rsidRPr="00413BE2">
        <w:rPr>
          <w:rStyle w:val="Enfasigrassetto"/>
          <w:rFonts w:ascii="Arial" w:hAnsi="Arial" w:cs="Arial"/>
          <w:color w:val="555555"/>
        </w:rPr>
        <w:t>diritti e i servizi sociali fondamentali</w:t>
      </w:r>
      <w:r w:rsidRPr="00413BE2">
        <w:rPr>
          <w:rFonts w:ascii="Arial" w:hAnsi="Arial" w:cs="Arial"/>
          <w:color w:val="555555"/>
        </w:rPr>
        <w:t> quali la pubblica istruzione, l’assistenza sanitaria, la previdenza sociale e l’indennità di disoccupazione, criteri sui quali si basa lo Stato Sociale Italiano.</w:t>
      </w:r>
    </w:p>
    <w:p w:rsidR="00C45CD4" w:rsidRPr="00413BE2" w:rsidRDefault="00C45CD4" w:rsidP="00C45CD4">
      <w:pPr>
        <w:pStyle w:val="NormaleWeb"/>
        <w:shd w:val="clear" w:color="auto" w:fill="FFFFFF"/>
        <w:spacing w:before="272" w:beforeAutospacing="0" w:after="136" w:afterAutospacing="0"/>
        <w:jc w:val="both"/>
        <w:rPr>
          <w:rFonts w:ascii="Arial" w:hAnsi="Arial" w:cs="Arial"/>
          <w:color w:val="555555"/>
        </w:rPr>
      </w:pPr>
      <w:r w:rsidRPr="00413BE2">
        <w:rPr>
          <w:rFonts w:ascii="Arial" w:hAnsi="Arial" w:cs="Arial"/>
          <w:color w:val="555555"/>
        </w:rPr>
        <w:t>Tuttavia, è doveroso precisare che i </w:t>
      </w:r>
      <w:r w:rsidRPr="00413BE2">
        <w:rPr>
          <w:rStyle w:val="Enfasigrassetto"/>
          <w:rFonts w:ascii="Arial" w:hAnsi="Arial" w:cs="Arial"/>
          <w:color w:val="555555"/>
        </w:rPr>
        <w:t>criteri di capacità contributiva e di progressività </w:t>
      </w:r>
      <w:r w:rsidRPr="00413BE2">
        <w:rPr>
          <w:rFonts w:ascii="Arial" w:hAnsi="Arial" w:cs="Arial"/>
          <w:color w:val="555555"/>
        </w:rPr>
        <w:t>non esonerano i cittadini in difficoltà dalle imposte indirette, il cui massimo esempio risiede nell’IVA, l’imposta sul valore aggiunto.</w:t>
      </w:r>
    </w:p>
    <w:p w:rsidR="00C45CD4" w:rsidRPr="00413BE2" w:rsidRDefault="00C45CD4">
      <w:pPr>
        <w:rPr>
          <w:rFonts w:ascii="Arial" w:hAnsi="Arial" w:cs="Arial"/>
          <w:sz w:val="24"/>
          <w:szCs w:val="24"/>
        </w:rPr>
      </w:pPr>
      <w:r w:rsidRPr="00413BE2">
        <w:rPr>
          <w:rFonts w:ascii="Arial" w:hAnsi="Arial" w:cs="Arial"/>
          <w:sz w:val="24"/>
          <w:szCs w:val="24"/>
        </w:rPr>
        <w:t>LO RIPETIAMO:</w:t>
      </w:r>
    </w:p>
    <w:p w:rsidR="00C45CD4" w:rsidRPr="00413BE2" w:rsidRDefault="00C45CD4" w:rsidP="00C45CD4">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La progressività è una caratteristica dell'</w:t>
      </w:r>
      <w:r w:rsidR="00413BE2" w:rsidRPr="00413BE2">
        <w:rPr>
          <w:rFonts w:ascii="Arial" w:eastAsia="Times New Roman" w:hAnsi="Arial" w:cs="Arial"/>
          <w:color w:val="202122"/>
          <w:sz w:val="24"/>
          <w:szCs w:val="24"/>
          <w:lang w:eastAsia="it-IT"/>
        </w:rPr>
        <w:t>ordinamento</w:t>
      </w:r>
      <w:r w:rsidRPr="00413BE2">
        <w:rPr>
          <w:rFonts w:ascii="Arial" w:eastAsia="Times New Roman" w:hAnsi="Arial" w:cs="Arial"/>
          <w:color w:val="202122"/>
          <w:sz w:val="24"/>
          <w:szCs w:val="24"/>
          <w:lang w:eastAsia="it-IT"/>
        </w:rPr>
        <w:t> tributario italiano; l'art. 53 della </w:t>
      </w:r>
      <w:r w:rsidR="00413BE2" w:rsidRPr="00413BE2">
        <w:rPr>
          <w:rFonts w:ascii="Arial" w:eastAsia="Times New Roman" w:hAnsi="Arial" w:cs="Arial"/>
          <w:color w:val="202122"/>
          <w:sz w:val="24"/>
          <w:szCs w:val="24"/>
          <w:lang w:eastAsia="it-IT"/>
        </w:rPr>
        <w:t>Cost</w:t>
      </w:r>
      <w:r w:rsidRPr="00413BE2">
        <w:rPr>
          <w:rFonts w:ascii="Arial" w:eastAsia="Times New Roman" w:hAnsi="Arial" w:cs="Arial"/>
          <w:color w:val="202122"/>
          <w:sz w:val="24"/>
          <w:szCs w:val="24"/>
          <w:lang w:eastAsia="it-IT"/>
        </w:rPr>
        <w:t> dispone in tal senso: "Tutti sono tenuti a concorrere alle </w:t>
      </w:r>
      <w:r w:rsidR="00413BE2" w:rsidRPr="00413BE2">
        <w:rPr>
          <w:rFonts w:ascii="Arial" w:eastAsia="Times New Roman" w:hAnsi="Arial" w:cs="Arial"/>
          <w:color w:val="202122"/>
          <w:sz w:val="24"/>
          <w:szCs w:val="24"/>
          <w:lang w:eastAsia="it-IT"/>
        </w:rPr>
        <w:t>spese pubbliche</w:t>
      </w:r>
      <w:r w:rsidRPr="00413BE2">
        <w:rPr>
          <w:rFonts w:ascii="Arial" w:eastAsia="Times New Roman" w:hAnsi="Arial" w:cs="Arial"/>
          <w:color w:val="202122"/>
          <w:sz w:val="24"/>
          <w:szCs w:val="24"/>
          <w:lang w:eastAsia="it-IT"/>
        </w:rPr>
        <w:t> in ragione della loro </w:t>
      </w:r>
      <w:r w:rsidR="00413BE2" w:rsidRPr="00413BE2">
        <w:rPr>
          <w:rFonts w:ascii="Arial" w:eastAsia="Times New Roman" w:hAnsi="Arial" w:cs="Arial"/>
          <w:color w:val="202122"/>
          <w:sz w:val="24"/>
          <w:szCs w:val="24"/>
          <w:lang w:eastAsia="it-IT"/>
        </w:rPr>
        <w:t>capacità contributiva</w:t>
      </w:r>
      <w:r w:rsidRPr="00413BE2">
        <w:rPr>
          <w:rFonts w:ascii="Arial" w:eastAsia="Times New Roman" w:hAnsi="Arial" w:cs="Arial"/>
          <w:color w:val="202122"/>
          <w:sz w:val="24"/>
          <w:szCs w:val="24"/>
          <w:lang w:eastAsia="it-IT"/>
        </w:rPr>
        <w:t>. Il sistema tributario è informato a criteri di progressività". Da un punto di vista teorico-politico, l'utilità della progressività dell'imposta è dibattuta:</w:t>
      </w:r>
    </w:p>
    <w:p w:rsidR="00C45CD4" w:rsidRPr="00413BE2" w:rsidRDefault="00C45CD4" w:rsidP="00C45CD4">
      <w:pPr>
        <w:numPr>
          <w:ilvl w:val="0"/>
          <w:numId w:val="5"/>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i fautori di essa sostengono che, in tal modo, il prelievo tributario ha funzione di redistribuzione della </w:t>
      </w:r>
      <w:r w:rsidR="00413BE2" w:rsidRPr="00413BE2">
        <w:rPr>
          <w:rFonts w:ascii="Arial" w:eastAsia="Times New Roman" w:hAnsi="Arial" w:cs="Arial"/>
          <w:color w:val="202122"/>
          <w:sz w:val="24"/>
          <w:szCs w:val="24"/>
          <w:lang w:eastAsia="it-IT"/>
        </w:rPr>
        <w:t>ricchezza</w:t>
      </w:r>
      <w:r w:rsidRPr="00413BE2">
        <w:rPr>
          <w:rFonts w:ascii="Arial" w:eastAsia="Times New Roman" w:hAnsi="Arial" w:cs="Arial"/>
          <w:color w:val="202122"/>
          <w:sz w:val="24"/>
          <w:szCs w:val="24"/>
          <w:lang w:eastAsia="it-IT"/>
        </w:rPr>
        <w:t> prodotta, contribuendo, con spirito solidaristico, al benessere della collettività.</w:t>
      </w:r>
    </w:p>
    <w:p w:rsidR="00C45CD4" w:rsidRPr="00413BE2" w:rsidRDefault="00C45CD4" w:rsidP="00C45CD4">
      <w:pPr>
        <w:numPr>
          <w:ilvl w:val="0"/>
          <w:numId w:val="5"/>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i suoi detrattori evidenziano che il </w:t>
      </w:r>
      <w:r w:rsidR="00413BE2" w:rsidRPr="00413BE2">
        <w:rPr>
          <w:rFonts w:ascii="Arial" w:eastAsia="Times New Roman" w:hAnsi="Arial" w:cs="Arial"/>
          <w:color w:val="202122"/>
          <w:sz w:val="24"/>
          <w:szCs w:val="24"/>
          <w:lang w:eastAsia="it-IT"/>
        </w:rPr>
        <w:t>drenaggio di ricchezza</w:t>
      </w:r>
      <w:r w:rsidRPr="00413BE2">
        <w:rPr>
          <w:rFonts w:ascii="Arial" w:eastAsia="Times New Roman" w:hAnsi="Arial" w:cs="Arial"/>
          <w:color w:val="202122"/>
          <w:sz w:val="24"/>
          <w:szCs w:val="24"/>
          <w:lang w:eastAsia="it-IT"/>
        </w:rPr>
        <w:t> dal produttore del reddito allo </w:t>
      </w:r>
      <w:r w:rsidR="00413BE2" w:rsidRPr="00413BE2">
        <w:rPr>
          <w:rFonts w:ascii="Arial" w:eastAsia="Times New Roman" w:hAnsi="Arial" w:cs="Arial"/>
          <w:color w:val="202122"/>
          <w:sz w:val="24"/>
          <w:szCs w:val="24"/>
          <w:lang w:eastAsia="it-IT"/>
        </w:rPr>
        <w:t>Stato</w:t>
      </w:r>
      <w:r w:rsidRPr="00413BE2">
        <w:rPr>
          <w:rFonts w:ascii="Arial" w:eastAsia="Times New Roman" w:hAnsi="Arial" w:cs="Arial"/>
          <w:color w:val="202122"/>
          <w:sz w:val="24"/>
          <w:szCs w:val="24"/>
          <w:lang w:eastAsia="it-IT"/>
        </w:rPr>
        <w:t>, quando si supera la soglia sostenibile, deprime gli </w:t>
      </w:r>
      <w:r w:rsidR="00413BE2" w:rsidRPr="00413BE2">
        <w:rPr>
          <w:rFonts w:ascii="Arial" w:eastAsia="Times New Roman" w:hAnsi="Arial" w:cs="Arial"/>
          <w:color w:val="202122"/>
          <w:sz w:val="24"/>
          <w:szCs w:val="24"/>
          <w:lang w:eastAsia="it-IT"/>
        </w:rPr>
        <w:t>investimenti</w:t>
      </w:r>
      <w:r w:rsidRPr="00413BE2">
        <w:rPr>
          <w:rFonts w:ascii="Arial" w:eastAsia="Times New Roman" w:hAnsi="Arial" w:cs="Arial"/>
          <w:color w:val="202122"/>
          <w:sz w:val="24"/>
          <w:szCs w:val="24"/>
          <w:lang w:eastAsia="it-IT"/>
        </w:rPr>
        <w:t> ed i </w:t>
      </w:r>
      <w:r w:rsidR="00413BE2" w:rsidRPr="00413BE2">
        <w:rPr>
          <w:rFonts w:ascii="Arial" w:eastAsia="Times New Roman" w:hAnsi="Arial" w:cs="Arial"/>
          <w:color w:val="202122"/>
          <w:sz w:val="24"/>
          <w:szCs w:val="24"/>
          <w:lang w:eastAsia="it-IT"/>
        </w:rPr>
        <w:t>consumi</w:t>
      </w:r>
      <w:r w:rsidRPr="00413BE2">
        <w:rPr>
          <w:rFonts w:ascii="Arial" w:eastAsia="Times New Roman" w:hAnsi="Arial" w:cs="Arial"/>
          <w:color w:val="202122"/>
          <w:sz w:val="24"/>
          <w:szCs w:val="24"/>
          <w:lang w:eastAsia="it-IT"/>
        </w:rPr>
        <w:t> privati, con chiare influenze negative su tutto il sistema economico</w:t>
      </w:r>
    </w:p>
    <w:p w:rsidR="00C45CD4" w:rsidRPr="00413BE2" w:rsidRDefault="00C45CD4" w:rsidP="00C45CD4">
      <w:pPr>
        <w:shd w:val="clear" w:color="auto" w:fill="FFFFFF"/>
        <w:spacing w:before="72" w:after="0" w:line="240" w:lineRule="auto"/>
        <w:outlineLvl w:val="3"/>
        <w:rPr>
          <w:rFonts w:ascii="Arial" w:eastAsia="Times New Roman" w:hAnsi="Arial" w:cs="Arial"/>
          <w:b/>
          <w:bCs/>
          <w:color w:val="000000"/>
          <w:sz w:val="24"/>
          <w:szCs w:val="24"/>
          <w:lang w:eastAsia="it-IT"/>
        </w:rPr>
      </w:pPr>
      <w:r w:rsidRPr="00413BE2">
        <w:rPr>
          <w:rFonts w:ascii="Arial" w:eastAsia="Times New Roman" w:hAnsi="Arial" w:cs="Arial"/>
          <w:b/>
          <w:bCs/>
          <w:color w:val="000000"/>
          <w:sz w:val="24"/>
          <w:szCs w:val="24"/>
          <w:lang w:eastAsia="it-IT"/>
        </w:rPr>
        <w:t>Tecniche per l'attuazione della progressività</w:t>
      </w:r>
    </w:p>
    <w:p w:rsidR="00C45CD4" w:rsidRPr="00413BE2" w:rsidRDefault="00C45CD4" w:rsidP="00C45CD4">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Esistono quattro tipi di </w:t>
      </w:r>
      <w:r w:rsidR="00413BE2" w:rsidRPr="00413BE2">
        <w:rPr>
          <w:rFonts w:ascii="Arial" w:eastAsia="Times New Roman" w:hAnsi="Arial" w:cs="Arial"/>
          <w:color w:val="202122"/>
          <w:sz w:val="24"/>
          <w:szCs w:val="24"/>
          <w:lang w:eastAsia="it-IT"/>
        </w:rPr>
        <w:t>progressività</w:t>
      </w:r>
      <w:r w:rsidRPr="00413BE2">
        <w:rPr>
          <w:rFonts w:ascii="Arial" w:eastAsia="Times New Roman" w:hAnsi="Arial" w:cs="Arial"/>
          <w:color w:val="202122"/>
          <w:sz w:val="24"/>
          <w:szCs w:val="24"/>
          <w:lang w:eastAsia="it-IT"/>
        </w:rPr>
        <w:t>: continua, per classi, per scaglioni, per deduzione e detrazione.</w:t>
      </w:r>
    </w:p>
    <w:p w:rsidR="00C45CD4" w:rsidRPr="00413BE2" w:rsidRDefault="00C45CD4" w:rsidP="00C45CD4">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w:t>
      </w:r>
      <w:r w:rsidRPr="00413BE2">
        <w:rPr>
          <w:rFonts w:ascii="Arial" w:eastAsia="Times New Roman" w:hAnsi="Arial" w:cs="Arial"/>
          <w:b/>
          <w:bCs/>
          <w:color w:val="202122"/>
          <w:sz w:val="24"/>
          <w:szCs w:val="24"/>
          <w:lang w:eastAsia="it-IT"/>
        </w:rPr>
        <w:t>continua</w:t>
      </w:r>
      <w:r w:rsidRPr="00413BE2">
        <w:rPr>
          <w:rFonts w:ascii="Arial" w:eastAsia="Times New Roman" w:hAnsi="Arial" w:cs="Arial"/>
          <w:color w:val="202122"/>
          <w:sz w:val="24"/>
          <w:szCs w:val="24"/>
          <w:lang w:eastAsia="it-IT"/>
        </w:rPr>
        <w:t>: si ha quando l'aliquota varia in maniera continua al variare della base imponibile (ovvero l'aliquota è una funzione matematica). Un esempio è rappresentato dalla ormai soppressa imposta complementare progressiva sul reddito, che fino al </w:t>
      </w:r>
      <w:r w:rsidR="00413BE2" w:rsidRPr="00413BE2">
        <w:rPr>
          <w:rFonts w:ascii="Arial" w:eastAsia="Times New Roman" w:hAnsi="Arial" w:cs="Arial"/>
          <w:color w:val="202122"/>
          <w:sz w:val="24"/>
          <w:szCs w:val="24"/>
          <w:lang w:eastAsia="it-IT"/>
        </w:rPr>
        <w:t>1973</w:t>
      </w:r>
      <w:r w:rsidRPr="00413BE2">
        <w:rPr>
          <w:rFonts w:ascii="Arial" w:eastAsia="Times New Roman" w:hAnsi="Arial" w:cs="Arial"/>
          <w:color w:val="202122"/>
          <w:sz w:val="24"/>
          <w:szCs w:val="24"/>
          <w:lang w:eastAsia="it-IT"/>
        </w:rPr>
        <w:t> era calcolata con la formula y = 0,023025Vx - 0,0000472x + 0,00874 per i redditi fino a cinque milioni di lire;</w:t>
      </w:r>
    </w:p>
    <w:p w:rsidR="00C45CD4" w:rsidRPr="00413BE2" w:rsidRDefault="00C45CD4" w:rsidP="00C45CD4">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per </w:t>
      </w:r>
      <w:r w:rsidRPr="00413BE2">
        <w:rPr>
          <w:rFonts w:ascii="Arial" w:eastAsia="Times New Roman" w:hAnsi="Arial" w:cs="Arial"/>
          <w:b/>
          <w:bCs/>
          <w:color w:val="202122"/>
          <w:sz w:val="24"/>
          <w:szCs w:val="24"/>
          <w:lang w:eastAsia="it-IT"/>
        </w:rPr>
        <w:t>classi</w:t>
      </w:r>
      <w:r w:rsidRPr="00413BE2">
        <w:rPr>
          <w:rFonts w:ascii="Arial" w:eastAsia="Times New Roman" w:hAnsi="Arial" w:cs="Arial"/>
          <w:color w:val="202122"/>
          <w:sz w:val="24"/>
          <w:szCs w:val="24"/>
          <w:lang w:eastAsia="it-IT"/>
        </w:rPr>
        <w:t>: si ha quando la base imponibile viene suddivisa in "fasce", dette classi. In base alla fascia di imponibile viene applicata una diversa aliquota, a tutto l'importo;</w:t>
      </w:r>
    </w:p>
    <w:p w:rsidR="00C45CD4" w:rsidRPr="00413BE2" w:rsidRDefault="00C45CD4" w:rsidP="00C45CD4">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per </w:t>
      </w:r>
      <w:r w:rsidRPr="00413BE2">
        <w:rPr>
          <w:rFonts w:ascii="Arial" w:eastAsia="Times New Roman" w:hAnsi="Arial" w:cs="Arial"/>
          <w:b/>
          <w:bCs/>
          <w:color w:val="202122"/>
          <w:sz w:val="24"/>
          <w:szCs w:val="24"/>
          <w:lang w:eastAsia="it-IT"/>
        </w:rPr>
        <w:t>scaglioni</w:t>
      </w:r>
      <w:r w:rsidRPr="00413BE2">
        <w:rPr>
          <w:rFonts w:ascii="Arial" w:eastAsia="Times New Roman" w:hAnsi="Arial" w:cs="Arial"/>
          <w:color w:val="202122"/>
          <w:sz w:val="24"/>
          <w:szCs w:val="24"/>
          <w:lang w:eastAsia="it-IT"/>
        </w:rPr>
        <w:t>: si ha quando la base imponibile viene suddivisa in "fasce", dette scaglioni, ad ognuno dei quali è associata una aliquota. L'aliquota superiore si applica solo alla parte che eccede lo scaglione inferiore;</w:t>
      </w:r>
    </w:p>
    <w:p w:rsidR="00C45CD4" w:rsidRPr="00413BE2" w:rsidRDefault="00C45CD4" w:rsidP="00C45CD4">
      <w:pPr>
        <w:numPr>
          <w:ilvl w:val="0"/>
          <w:numId w:val="6"/>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progressività per </w:t>
      </w:r>
      <w:r w:rsidRPr="00413BE2">
        <w:rPr>
          <w:rFonts w:ascii="Arial" w:eastAsia="Times New Roman" w:hAnsi="Arial" w:cs="Arial"/>
          <w:b/>
          <w:bCs/>
          <w:color w:val="202122"/>
          <w:sz w:val="24"/>
          <w:szCs w:val="24"/>
          <w:lang w:eastAsia="it-IT"/>
        </w:rPr>
        <w:t>deduzione o detrazione</w:t>
      </w:r>
      <w:r w:rsidRPr="00413BE2">
        <w:rPr>
          <w:rFonts w:ascii="Arial" w:eastAsia="Times New Roman" w:hAnsi="Arial" w:cs="Arial"/>
          <w:color w:val="202122"/>
          <w:sz w:val="24"/>
          <w:szCs w:val="24"/>
          <w:lang w:eastAsia="it-IT"/>
        </w:rPr>
        <w:t>: si ha quando è possibile ridurre la base imponibile prima di calcolare l'imposta (deduzione) oppure diminuire l'imposta una volta calcolata (detrazione).</w:t>
      </w:r>
    </w:p>
    <w:p w:rsidR="00C45CD4" w:rsidRPr="00413BE2" w:rsidRDefault="00C45CD4" w:rsidP="00C45CD4">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u w:val="single"/>
          <w:lang w:eastAsia="it-IT"/>
        </w:rPr>
        <w:t>Differenza tra progressività per classi o per scaglioni</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tblPr>
      <w:tblGrid>
        <w:gridCol w:w="3059"/>
        <w:gridCol w:w="1152"/>
      </w:tblGrid>
      <w:tr w:rsidR="00C45CD4" w:rsidRPr="00413BE2" w:rsidTr="00E31322">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C45CD4" w:rsidRPr="00413BE2" w:rsidRDefault="00C45CD4" w:rsidP="00E31322">
            <w:pPr>
              <w:spacing w:before="240" w:after="240" w:line="240" w:lineRule="auto"/>
              <w:jc w:val="center"/>
              <w:rPr>
                <w:rFonts w:ascii="Arial" w:eastAsia="Times New Roman" w:hAnsi="Arial" w:cs="Arial"/>
                <w:b/>
                <w:bCs/>
                <w:color w:val="202122"/>
                <w:sz w:val="24"/>
                <w:szCs w:val="24"/>
                <w:lang w:eastAsia="it-IT"/>
              </w:rPr>
            </w:pPr>
            <w:r w:rsidRPr="00413BE2">
              <w:rPr>
                <w:rFonts w:ascii="Arial" w:eastAsia="Times New Roman" w:hAnsi="Arial" w:cs="Arial"/>
                <w:b/>
                <w:bCs/>
                <w:color w:val="202122"/>
                <w:sz w:val="24"/>
                <w:szCs w:val="24"/>
                <w:lang w:eastAsia="it-IT"/>
              </w:rPr>
              <w:t>Fasce di reddito (in euro)</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C45CD4" w:rsidRPr="00413BE2" w:rsidRDefault="00C45CD4" w:rsidP="00E31322">
            <w:pPr>
              <w:spacing w:before="240" w:after="240" w:line="240" w:lineRule="auto"/>
              <w:jc w:val="center"/>
              <w:rPr>
                <w:rFonts w:ascii="Arial" w:eastAsia="Times New Roman" w:hAnsi="Arial" w:cs="Arial"/>
                <w:b/>
                <w:bCs/>
                <w:color w:val="202122"/>
                <w:sz w:val="24"/>
                <w:szCs w:val="24"/>
                <w:lang w:eastAsia="it-IT"/>
              </w:rPr>
            </w:pPr>
            <w:r w:rsidRPr="00413BE2">
              <w:rPr>
                <w:rFonts w:ascii="Arial" w:eastAsia="Times New Roman" w:hAnsi="Arial" w:cs="Arial"/>
                <w:b/>
                <w:bCs/>
                <w:color w:val="202122"/>
                <w:sz w:val="24"/>
                <w:szCs w:val="24"/>
                <w:lang w:eastAsia="it-IT"/>
              </w:rPr>
              <w:t>Aliquote</w:t>
            </w:r>
          </w:p>
        </w:tc>
      </w:tr>
      <w:tr w:rsidR="00C45CD4" w:rsidRPr="00413BE2" w:rsidTr="00E31322">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C45CD4" w:rsidRPr="00413BE2" w:rsidRDefault="00C45CD4" w:rsidP="00E31322">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lastRenderedPageBreak/>
              <w:t>da 0 fino a 10.000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C45CD4" w:rsidRPr="00413BE2" w:rsidRDefault="00C45CD4" w:rsidP="00E31322">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10%</w:t>
            </w:r>
          </w:p>
        </w:tc>
      </w:tr>
      <w:tr w:rsidR="00C45CD4" w:rsidRPr="00413BE2" w:rsidTr="00E31322">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C45CD4" w:rsidRPr="00413BE2" w:rsidRDefault="00C45CD4" w:rsidP="00E31322">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da 10.001 fino a 20.000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C45CD4" w:rsidRPr="00413BE2" w:rsidRDefault="00C45CD4" w:rsidP="00E31322">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20%</w:t>
            </w:r>
          </w:p>
        </w:tc>
      </w:tr>
      <w:tr w:rsidR="00C45CD4" w:rsidRPr="00413BE2" w:rsidTr="00E31322">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C45CD4" w:rsidRPr="00413BE2" w:rsidRDefault="00C45CD4" w:rsidP="00E31322">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ecc.</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C45CD4" w:rsidRPr="00413BE2" w:rsidRDefault="00C45CD4" w:rsidP="00E31322">
            <w:pPr>
              <w:spacing w:before="240" w:after="24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ecc.</w:t>
            </w:r>
          </w:p>
        </w:tc>
      </w:tr>
    </w:tbl>
    <w:p w:rsidR="00C45CD4" w:rsidRPr="00413BE2" w:rsidRDefault="00C45CD4" w:rsidP="00C45CD4">
      <w:pPr>
        <w:shd w:val="clear" w:color="auto" w:fill="FFFFFF"/>
        <w:spacing w:before="120" w:after="120" w:line="240" w:lineRule="auto"/>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Un reddito pari a 15.000 euro sarà così assoggettato ad imposta:</w:t>
      </w:r>
    </w:p>
    <w:p w:rsidR="00C45CD4" w:rsidRPr="00413BE2" w:rsidRDefault="00C45CD4" w:rsidP="00C45CD4">
      <w:pPr>
        <w:numPr>
          <w:ilvl w:val="0"/>
          <w:numId w:val="7"/>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Nella progressione per classi appartiene alla seconda fascia e dunque è interamente colpito dall'aliquota 20%. 15.000 x 20 / 100 = 3.000 euro</w:t>
      </w:r>
    </w:p>
    <w:p w:rsidR="00C45CD4" w:rsidRPr="00413BE2" w:rsidRDefault="00C45CD4" w:rsidP="00C45CD4">
      <w:pPr>
        <w:numPr>
          <w:ilvl w:val="0"/>
          <w:numId w:val="7"/>
        </w:numPr>
        <w:shd w:val="clear" w:color="auto" w:fill="FFFFFF"/>
        <w:spacing w:before="100" w:beforeAutospacing="1" w:after="24" w:line="240" w:lineRule="auto"/>
        <w:ind w:left="384"/>
        <w:rPr>
          <w:rFonts w:ascii="Arial" w:eastAsia="Times New Roman" w:hAnsi="Arial" w:cs="Arial"/>
          <w:color w:val="202122"/>
          <w:sz w:val="24"/>
          <w:szCs w:val="24"/>
          <w:lang w:eastAsia="it-IT"/>
        </w:rPr>
      </w:pPr>
      <w:r w:rsidRPr="00413BE2">
        <w:rPr>
          <w:rFonts w:ascii="Arial" w:eastAsia="Times New Roman" w:hAnsi="Arial" w:cs="Arial"/>
          <w:color w:val="202122"/>
          <w:sz w:val="24"/>
          <w:szCs w:val="24"/>
          <w:lang w:eastAsia="it-IT"/>
        </w:rPr>
        <w:t>Nella progressione per scaglioni invece i primi diecimila euro saranno tassati al 10% e l'eccedenza di cinquemila con l'aliquota della seconda fascia. 10.000 x 10 / 100 + 5.000 x 20 / 100 = 2.000 euro.</w:t>
      </w:r>
    </w:p>
    <w:p w:rsidR="00502BAC" w:rsidRPr="00413BE2" w:rsidRDefault="00E31322">
      <w:pPr>
        <w:rPr>
          <w:rFonts w:ascii="Arial" w:hAnsi="Arial" w:cs="Arial"/>
          <w:sz w:val="24"/>
          <w:szCs w:val="24"/>
        </w:rPr>
      </w:pPr>
      <w:r w:rsidRPr="00413BE2">
        <w:rPr>
          <w:rFonts w:ascii="Arial" w:hAnsi="Arial" w:cs="Arial"/>
          <w:sz w:val="24"/>
          <w:szCs w:val="24"/>
        </w:rPr>
        <w:t>IRRETROATTIVITA’ NORME TRIBUTARIE</w:t>
      </w:r>
    </w:p>
    <w:p w:rsidR="00E31322" w:rsidRPr="00413BE2" w:rsidRDefault="00E31322" w:rsidP="00E31322">
      <w:pPr>
        <w:pStyle w:val="NormaleWeb"/>
        <w:shd w:val="clear" w:color="auto" w:fill="FFFFFF"/>
        <w:spacing w:before="0" w:beforeAutospacing="0" w:after="136" w:afterAutospacing="0" w:line="272" w:lineRule="atLeast"/>
        <w:rPr>
          <w:rFonts w:ascii="Arial" w:hAnsi="Arial" w:cs="Arial"/>
          <w:color w:val="58585A"/>
        </w:rPr>
      </w:pPr>
      <w:r w:rsidRPr="00413BE2">
        <w:rPr>
          <w:rFonts w:ascii="Arial" w:hAnsi="Arial" w:cs="Arial"/>
          <w:color w:val="58585A"/>
        </w:rPr>
        <w:t>L’art. 3 dello Statuto del Contribuente (L. n. 212/2000) consacra il principio dell’irretroattività della norma tributaria, mutuandolo dall’art. 11 delle Preleggi al Codice Civile.</w:t>
      </w:r>
    </w:p>
    <w:p w:rsidR="00E31322" w:rsidRPr="00413BE2" w:rsidRDefault="00E31322" w:rsidP="00E31322">
      <w:pPr>
        <w:pStyle w:val="NormaleWeb"/>
        <w:shd w:val="clear" w:color="auto" w:fill="FFFFFF"/>
        <w:spacing w:before="0" w:beforeAutospacing="0" w:after="0" w:afterAutospacing="0" w:line="272" w:lineRule="atLeast"/>
        <w:rPr>
          <w:rFonts w:ascii="Arial" w:hAnsi="Arial" w:cs="Arial"/>
          <w:color w:val="58585A"/>
        </w:rPr>
      </w:pPr>
      <w:r w:rsidRPr="00413BE2">
        <w:rPr>
          <w:rFonts w:ascii="Arial" w:hAnsi="Arial" w:cs="Arial"/>
          <w:color w:val="58585A"/>
        </w:rPr>
        <w:t>Non si tratta di norma imperativa, bensì di una disposizione di rango ordinario - e come tale derogabile - avente come unico fine l’individuazione della legge applicabile nel tempo. Non esistono, infatti, nel nostro ordinamento norme costituzionali che sanciscono un divieto di retroattività in materia tributaria, così come invece avviene per il diritto penale.</w:t>
      </w:r>
    </w:p>
    <w:p w:rsidR="00E31322" w:rsidRPr="00413BE2" w:rsidRDefault="00E31322" w:rsidP="00E31322">
      <w:pPr>
        <w:pStyle w:val="NormaleWeb"/>
        <w:shd w:val="clear" w:color="auto" w:fill="FFFFFF"/>
        <w:spacing w:before="0" w:beforeAutospacing="0" w:after="136" w:afterAutospacing="0" w:line="272" w:lineRule="atLeast"/>
        <w:rPr>
          <w:rFonts w:ascii="Arial" w:hAnsi="Arial" w:cs="Arial"/>
          <w:color w:val="58585A"/>
        </w:rPr>
      </w:pPr>
      <w:r w:rsidRPr="00413BE2">
        <w:rPr>
          <w:rFonts w:ascii="Arial" w:hAnsi="Arial" w:cs="Arial"/>
          <w:color w:val="58585A"/>
        </w:rPr>
        <w:t>Invero, secondo il combinato disposto degli articoli 1 e 3 dello Statuto del Contribuente, le disposizioni tributarie non hanno effetto retroattivo salvo che, in casi eccezionali, vengano adottate con legge ordinaria norme di interpretazione autentica, da parte dello stesso legislatore.</w:t>
      </w:r>
    </w:p>
    <w:p w:rsidR="00E31322" w:rsidRPr="00413BE2" w:rsidRDefault="00E31322" w:rsidP="00E31322">
      <w:pPr>
        <w:pStyle w:val="NormaleWeb"/>
        <w:shd w:val="clear" w:color="auto" w:fill="FFFFFF"/>
        <w:spacing w:before="0" w:beforeAutospacing="0" w:after="0" w:afterAutospacing="0" w:line="272" w:lineRule="atLeast"/>
        <w:rPr>
          <w:rFonts w:ascii="Arial" w:hAnsi="Arial" w:cs="Arial"/>
          <w:color w:val="58585A"/>
        </w:rPr>
      </w:pPr>
      <w:r w:rsidRPr="00413BE2">
        <w:rPr>
          <w:rFonts w:ascii="Arial" w:hAnsi="Arial" w:cs="Arial"/>
          <w:color w:val="58585A"/>
        </w:rPr>
        <w:t>È questo il caso del disegno di legge di stabilità 2015, il quale parrebbe prevedere, tra gli altri interventi, un innalzamento dell’aliquota dell’imposta sostituiva sui rendimenti dei fondi pensione. Si tratta di una disposizione normativa formalmente legittima - a livello costituzionale esiste solamente un divieto di introdurre nuove tributi con la legge che approva il bilancio (art. 81, co. 3, Cost.) - che tuttavia di fatto forse viola alcuni principi fondamentali dell’ordinamento giuridico.</w:t>
      </w:r>
    </w:p>
    <w:p w:rsidR="00E31322" w:rsidRPr="00413BE2" w:rsidRDefault="00E31322" w:rsidP="00E31322">
      <w:pPr>
        <w:pStyle w:val="NormaleWeb"/>
        <w:shd w:val="clear" w:color="auto" w:fill="FFFFFF"/>
        <w:spacing w:before="0" w:beforeAutospacing="0" w:after="0" w:afterAutospacing="0" w:line="272" w:lineRule="atLeast"/>
        <w:rPr>
          <w:rFonts w:ascii="Arial" w:hAnsi="Arial" w:cs="Arial"/>
          <w:color w:val="58585A"/>
        </w:rPr>
      </w:pPr>
      <w:r w:rsidRPr="00413BE2">
        <w:rPr>
          <w:rFonts w:ascii="Arial" w:hAnsi="Arial" w:cs="Arial"/>
          <w:color w:val="58585A"/>
        </w:rPr>
        <w:t>Quando il legislatore introduce una nuova o maggiore imposizione riferibile a fatti sorti prima dell’entrata in vigore della relativa previsione normativa, incidendo negativamente e alterando situazioni consolidate o garantite, compromette la sicurezza giuridica, la certezza del diritto e la tutela del legittimo affidamento del contribuente, tutti principi riconosciuti anche a livello comunitario.</w:t>
      </w:r>
    </w:p>
    <w:p w:rsidR="00E31322" w:rsidRPr="00413BE2" w:rsidRDefault="00E31322">
      <w:pPr>
        <w:rPr>
          <w:rFonts w:ascii="Arial" w:hAnsi="Arial" w:cs="Arial"/>
          <w:sz w:val="24"/>
          <w:szCs w:val="24"/>
        </w:rPr>
      </w:pPr>
    </w:p>
    <w:p w:rsidR="00E31322" w:rsidRPr="00413BE2" w:rsidRDefault="00E31322">
      <w:pPr>
        <w:rPr>
          <w:rFonts w:ascii="Arial" w:hAnsi="Arial" w:cs="Arial"/>
          <w:sz w:val="24"/>
          <w:szCs w:val="24"/>
        </w:rPr>
      </w:pPr>
      <w:r w:rsidRPr="00413BE2">
        <w:rPr>
          <w:rFonts w:ascii="Arial" w:hAnsi="Arial" w:cs="Arial"/>
          <w:sz w:val="24"/>
          <w:szCs w:val="24"/>
        </w:rPr>
        <w:t>STATUTO DEL CONTRIBUENTE</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La legge 27 luglio 2000, n. 212 è una legge ordinaria che ha l'obiettivo di porsi come guida ai fini dell'interpretazione della normativa tributaria: eventuali deroghe o modifiche possono avvenire solo in maniera espressa - quindi non tacita - e tramite leggi aventi carattere generale e mai speciale, al fine di garantire l'omogeneità e la coerenza della normativa in essa disposta.</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lastRenderedPageBreak/>
        <w:t>All'art. 1, comma 1 viene disposto che </w:t>
      </w:r>
      <w:r w:rsidRPr="00413BE2">
        <w:rPr>
          <w:rFonts w:ascii="Arial" w:hAnsi="Arial" w:cs="Arial"/>
          <w:i/>
          <w:iCs/>
          <w:color w:val="202122"/>
        </w:rPr>
        <w:t>le disposizioni della presente legge, in attuazione degli artt. 3, 23, 53 e 97 della Costituzione, costituiscono principi generali dell'ordinamento tributario e possono essere derogate o modificate solo espressamente e mai da leggi speciali</w:t>
      </w:r>
      <w:r w:rsidRPr="00413BE2">
        <w:rPr>
          <w:rFonts w:ascii="Arial" w:hAnsi="Arial" w:cs="Arial"/>
          <w:color w:val="202122"/>
        </w:rPr>
        <w:t>. È inoltre contemplata la chiarezza e trasparenza delle disposizioni tributarie nell'art. 2.</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Lo statuto prevede la </w:t>
      </w:r>
      <w:r w:rsidRPr="00413BE2">
        <w:rPr>
          <w:rFonts w:ascii="Arial" w:hAnsi="Arial" w:cs="Arial"/>
          <w:i/>
          <w:iCs/>
          <w:color w:val="202122"/>
        </w:rPr>
        <w:t>non retroattività della norma</w:t>
      </w:r>
      <w:r w:rsidRPr="00413BE2">
        <w:rPr>
          <w:rFonts w:ascii="Arial" w:hAnsi="Arial" w:cs="Arial"/>
          <w:color w:val="202122"/>
        </w:rPr>
        <w:t>. Viene affermato un principio fondamentale che attiene la prescrizione dei termini. L'ultimo comma dell'art. 3 avverte che </w:t>
      </w:r>
      <w:r w:rsidRPr="00413BE2">
        <w:rPr>
          <w:rFonts w:ascii="Arial" w:hAnsi="Arial" w:cs="Arial"/>
          <w:i/>
          <w:iCs/>
          <w:color w:val="202122"/>
        </w:rPr>
        <w:t>i termini di prescrizione e di decadenza per gli accertamenti di imposta non possono essere prorogati</w:t>
      </w:r>
      <w:r w:rsidRPr="00413BE2">
        <w:rPr>
          <w:rFonts w:ascii="Arial" w:hAnsi="Arial" w:cs="Arial"/>
          <w:color w:val="202122"/>
        </w:rPr>
        <w:t>. Non si possono disporre con decreto-legge l'istituzione di nuovi tributi né prevedere l'applicazione di tributi esistenti ad altre categorie di soggetti (art.4).</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L'amministrazione finanziaria deve informare il contribuente assumendo idonee iniziative volte a consentire la completa e agevole conoscenza delle disposizioni legislative e amministrative vigenti in materia tributaria (art. 5).</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La conoscenza degli atti e della semplificazione normativa è contemplata dal successivo art. 6, ai sensi del quale sono poste a carico dell'amministrazione finanziaria diversi obblighi quali la chiarezza degli atti redatti nei confronti del contribuente. A quest'ultimo non possono, in ogni caso, essere richiesti documenti ed informazioni già in possesso dell'amministrazione finanziaria o di altre amministrazioni pubbliche indicate dal contribuente. Tali documenti ed informazioni sono acquisiti ai sensi dell'art. 18, commi 2 e 3, della legge 7 agosto 1990, n. 241, relativi ai casi di accertamento d'ufficio di fatti, stati e qualità del soggetto interessato dalla azione amministrativa.</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Fondamentale risulta essere l'art. 7 che prevede la chiarezza e la motivazione degli atti di accertamento pena la nullità dell'atto stesso. È confermato il principio che se un atto ne richiama un altro, quest'ultimo deve essere allegato all'atto che lo richiama; in alternativa, è possibile riprodurre il contenuto essenziale dell'atto richiamato all'interno dell'atto che effettua il richiamo.</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È disciplinata la tutela dell'integrità patrimoniale all'art. 9 e l'affidamento della buona fede all'art. 10. Il comma 1 recita che </w:t>
      </w:r>
      <w:r w:rsidRPr="00413BE2">
        <w:rPr>
          <w:rFonts w:ascii="Arial" w:hAnsi="Arial" w:cs="Arial"/>
          <w:i/>
          <w:iCs/>
          <w:color w:val="202122"/>
        </w:rPr>
        <w:t>i rapporti tra contribuente e amministrazione finanziaria sono improntati al principio della collaborazione e della buona fede</w:t>
      </w:r>
      <w:r w:rsidRPr="00413BE2">
        <w:rPr>
          <w:rFonts w:ascii="Arial" w:hAnsi="Arial" w:cs="Arial"/>
          <w:color w:val="202122"/>
        </w:rPr>
        <w:t>.</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Con l'art. 11 viene introdotta una nuova disciplina dell'interpello È data la possibilità a ciascun contribuente di inoltrare per iscritto all'amministrazione finanziaria, che deve rispondere entro centoventi giorni, circostanziate e specifiche istanze di interpello concernenti l'applicazione delle disposizioni tributarie a casi concreti e personali, qualora vi siano obiettive condizioni di incertezza sulla corretta interpretazione delle disposizioni stesse. La presentazione dell'istanza non ha effetto sulle scadenze previste dalla disciplina tributaria. Qualora la risposta non pervenga al contribuente entro 120 giorni dall'inoltro della domanda - s'intende che l'amministrazione concorda con l'interpretazione o il comportamento prospettato dal richiedente.</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 xml:space="preserve">L'art. 12 disciplina minuziosamente i diritti e le garanzie del contribuente sottoposto a verifiche fiscali. Dal tempo massimo di permanenza degli operatori civili o militari dell'amministrazione finanziaria, dovuta a verifiche presso la sede del contribuente, che non può superare i trenta giorni lavorativi, prorogabili per ulteriori trenta giorni nei casi di particolare complessità dell'indagine individuati e motivati dal dirigente dell'ufficio, ai tempi e modo di accesso, che devono avvenire durante l'orario ordinario di esercizio delle attività e con modalità tali da arrecare la minore turbativa possibile allo svolgimento delle attività stesse nonché alle relazioni commerciali o professionali del contribuente. È concessa la possibilità che su richiesta del contribuente, l'esame dei documenti amministrativi e </w:t>
      </w:r>
      <w:r w:rsidRPr="00413BE2">
        <w:rPr>
          <w:rFonts w:ascii="Arial" w:hAnsi="Arial" w:cs="Arial"/>
          <w:color w:val="202122"/>
        </w:rPr>
        <w:lastRenderedPageBreak/>
        <w:t>contabili possa essere effettuato nell'ufficio dei verificatori o presso il professionista che lo assiste o rappresenta.</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L'art. 13 istituisce la figura del GARANTE DEL CONTRIBUENTE. che provvede su richiesta del contribuente ad accertare se effettivamente vi siano state violazioni perpetrate dai Funzionari civili o militari dell'amministrazione finanziaria. Sono enunciati tutti i poteri che tale figura ha per poter espletare il compito affidatogli.</w:t>
      </w:r>
    </w:p>
    <w:p w:rsidR="00E31322" w:rsidRPr="00413BE2" w:rsidRDefault="00E31322" w:rsidP="00E31322">
      <w:pPr>
        <w:pStyle w:val="NormaleWeb"/>
        <w:shd w:val="clear" w:color="auto" w:fill="FFFFFF"/>
        <w:spacing w:before="120" w:beforeAutospacing="0" w:after="120" w:afterAutospacing="0"/>
        <w:rPr>
          <w:rFonts w:ascii="Arial" w:hAnsi="Arial" w:cs="Arial"/>
          <w:color w:val="202122"/>
        </w:rPr>
      </w:pPr>
      <w:r w:rsidRPr="00413BE2">
        <w:rPr>
          <w:rFonts w:ascii="Arial" w:hAnsi="Arial" w:cs="Arial"/>
          <w:color w:val="202122"/>
        </w:rPr>
        <w:t>I restanti articoli (artt. 14-21) trattano delle garanzie ai contribuenti all'estero al codice di comportamento per il personale addetto alle verifiche tributarie.</w:t>
      </w:r>
    </w:p>
    <w:p w:rsidR="00E31322" w:rsidRPr="00413BE2" w:rsidRDefault="00E31322">
      <w:pPr>
        <w:rPr>
          <w:rFonts w:ascii="Arial" w:hAnsi="Arial" w:cs="Arial"/>
          <w:sz w:val="24"/>
          <w:szCs w:val="24"/>
        </w:rPr>
      </w:pPr>
    </w:p>
    <w:p w:rsidR="00BD4CB9" w:rsidRPr="00413BE2" w:rsidRDefault="00FD7CF4">
      <w:pPr>
        <w:rPr>
          <w:rFonts w:ascii="Arial" w:hAnsi="Arial" w:cs="Arial"/>
          <w:sz w:val="24"/>
          <w:szCs w:val="24"/>
        </w:rPr>
      </w:pPr>
      <w:r w:rsidRPr="00413BE2">
        <w:rPr>
          <w:rFonts w:ascii="Arial" w:hAnsi="Arial" w:cs="Arial"/>
          <w:sz w:val="24"/>
          <w:szCs w:val="24"/>
        </w:rPr>
        <w:t>I SOGGETTI</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Il creditore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Creditore d’imposta è, nella maggior parte dei casi, lo Stato che agisce per tramite dell’amministrazione delle finanze ed, in particolare, di una molteplicità di uffici preposti alla gestione delle diverse imposte. Creditore d’imposta è lo Stato anche per talune imposte denominate locali o comunali, in quanto gestite da organi statali ed in quanto il rapporto d’imposta s’instaura tra Stato e soggetto passivo. Creditori d’imposta possono essere anche enti diversi dallo Stato (regioni, provincie, comuni) o addirittura dei privati, investiti di pubbliche funzioni (appaltatori delle imposte).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Il contribuente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Il contribuente viene usato in due accezioni: una assai lata, per cui esso designa ogni soggetto, che sia o possa diventare termine passivo di riferimento di obbligazioni verso il fisco; in un significato più ristretto indica quello che, nella varietà dei soggetti passivi è da denominare obbligato principale. Nel primo significato il termine ricorre nel decreto istitutivo dell’anagrafe tributaria; l’iscrizione all’anagrafe implica attribuzione di un n° di codice fiscale; contribuente è dunque ogni soggetto iscritto o iscrivibile all’anagrafe ovvero ogni soggetto la cui esistenza è fiscalmente rilevante.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L’obbligato principale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Normalmente, soggetto di un’imposta è colui che ne realizza il presupposto. La normale identità tra autore del presupposto e soggetto passivo dell’imposta risponde ad un requisito di costituzionalità del tributo; sarebbe violato l’art. 53 Costituzione se il gravame fiscale ricadesse su un soggetto che, non avendo realizzato il presupposto, non ha posto in essere il fatto espressivo di capacità contributiva che il legislatore ha avuto di mira. Vi sono infatti dei casi in cui il tributo è posto a carico di soggetti diversi da colui che ne realizza il presupposto di fatto (in aggiunta o in sostituzione di colui che realizza il presupposto), ma in tali casi occorre che il soggetto obbligato sia posto in condizione di </w:t>
      </w:r>
      <w:r w:rsidRPr="00413BE2">
        <w:rPr>
          <w:rFonts w:ascii="Arial" w:hAnsi="Arial" w:cs="Arial"/>
          <w:color w:val="5F5F5F"/>
        </w:rPr>
        <w:lastRenderedPageBreak/>
        <w:t>riversare l’onere economico del tributo stesso su colui che realizza il fatto espressivo di capacità contributiva. Chi realizza il presupposto di fatto di un tributo può essere definito obbligato principale, per distinguerlo dagli altri obbligati. Ma è d’uso definirlo contribuente.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La solidarietà: le fattispecie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Le diverse situazioni passive che scaturiscono dalle fattispecie tributarie, possono far capo a più soggetti in solido.</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Parte della dottrina ritiene applicabile, in materia tributaria, l’art. 1294 c.c., a norma del quale </w:t>
      </w:r>
      <w:r w:rsidRPr="00413BE2">
        <w:rPr>
          <w:rFonts w:ascii="Arial" w:hAnsi="Arial" w:cs="Arial"/>
          <w:color w:val="FF0000"/>
        </w:rPr>
        <w:t>i debitori sono tenuti in solido se dalla legge o dal titolo non risulta diversamente</w:t>
      </w:r>
      <w:r w:rsidRPr="00413BE2">
        <w:rPr>
          <w:rFonts w:ascii="Arial" w:hAnsi="Arial" w:cs="Arial"/>
          <w:color w:val="5F5F5F"/>
        </w:rPr>
        <w:t>. Non solo non esiste una legge tributaria che escluda la solidarietà, ma molte ve ne sono che espressamente la sanciscono. Perciò tutte le volte che più persone si trovano rispetto ad un medesimo presupposto, nella situazione di soggetti passivi del tributo, essi sarebbero solidamente obbligati verso il fisco. La legge tributaria si preoccupa sempre, nel disciplinare le varie imposte, di indicare i soggetti passivi e di stabilire quando sono tenuti in solido, sicché, in definitiva, il problema dell’applicabilità dell’art. 1294 c.c. sembra privo di rilevanza pratica.</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I casi nei quali si ha solidarietà tributaria sono caratterizzati dal fatto che </w:t>
      </w:r>
      <w:r w:rsidRPr="00413BE2">
        <w:rPr>
          <w:rFonts w:ascii="Arial" w:hAnsi="Arial" w:cs="Arial"/>
          <w:color w:val="FF0000"/>
        </w:rPr>
        <w:t>il presupposto del tributo è riferibile a più soggetti.</w:t>
      </w:r>
      <w:r w:rsidRPr="00413BE2">
        <w:rPr>
          <w:rFonts w:ascii="Arial" w:hAnsi="Arial" w:cs="Arial"/>
          <w:color w:val="5F5F5F"/>
        </w:rPr>
        <w:t xml:space="preserve"> Il reddito, quale arricchimento di un soggetto, è per sua natura riferibile ad un soggetto soltanto, e quindi debbono considerarsi eccezionali le norme delle imposte sui redditi che stabiliscono la solidarietà. Ricorderemo: la solidarietà tra cedente e cessionario di un immobile per l’ILOR relativa al periodo di tempo successivo al titolo che serve da base per la voltura catastale; </w:t>
      </w:r>
      <w:r w:rsidRPr="00413BE2">
        <w:rPr>
          <w:rFonts w:ascii="Arial" w:hAnsi="Arial" w:cs="Arial"/>
          <w:color w:val="FF0000"/>
        </w:rPr>
        <w:t>La solidarietà tra coniugi può scaturire dalla circostanza che essi presentino una dichiarazione congiunta</w:t>
      </w:r>
      <w:r w:rsidRPr="00413BE2">
        <w:rPr>
          <w:rFonts w:ascii="Arial" w:hAnsi="Arial" w:cs="Arial"/>
          <w:color w:val="5F5F5F"/>
        </w:rPr>
        <w:t>; è questa una singolare ipotesi di solidarietà voluta dagli obbligati. La sostituzione d’imposta si trasforma in solidarietà nel caso in cui il sostituto a titolo d’imposta viene iscritto a ruolo per imposte, soprattasse, e interessi relativi a redditi per i quali non ha effettuato ne le ritenute ne i versamenti. Più frequentemente s’incontra la solidarietà nel campo delle imposte indirette: obbligati al pagamento dell’imposta di registro sono, di solito, pluralità di soggetti; le imposte ipotecarie sono dovute, oltre che da coloro nel cui interesse è stata fatta la richiesta di trascrizione, anche dai debitori contro cui è stata iscritta o rinnovata l’ipoteca; l’imposta sulle successioni è dovuta agli eredi in solido. La solidarietà ricorre anche per il pagamento di sanzioni amministrative. Di particolare rilievo è la norma, di portata generale, secondo cui, quando la violazione sia imputabile a più persone, queste sono tenute in solido al pagamento della pena pecuniaria o soprattassa.</w:t>
      </w:r>
    </w:p>
    <w:p w:rsidR="00465BDE"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lastRenderedPageBreak/>
        <w:t xml:space="preserve">innanzitutto va notato che il soggetto passivo del tributo non è soltanto obbligato all’adempimento di una prestazione pecuniaria, ma è tenuto all’adempimento </w:t>
      </w:r>
      <w:r w:rsidRPr="00413BE2">
        <w:rPr>
          <w:rFonts w:ascii="Arial" w:hAnsi="Arial" w:cs="Arial"/>
          <w:color w:val="FF0000"/>
        </w:rPr>
        <w:t>di obblighi formali</w:t>
      </w:r>
      <w:r w:rsidRPr="00413BE2">
        <w:rPr>
          <w:rFonts w:ascii="Arial" w:hAnsi="Arial" w:cs="Arial"/>
          <w:color w:val="5F5F5F"/>
        </w:rPr>
        <w:t>, come la presentazione della dichiarazione.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 Ora, anche nei riguardi di tali obblighi, vale il concetto per cui l’adempimento di un soggetto libera tutti gli altri. Se la dichiarazione è presentata e sottoscritta da uno solo, anche gli altri sono liberati, ma se la dichiarazione comporta sanzioni, queste sono applicabili nei confronti di tutti.</w:t>
      </w:r>
    </w:p>
    <w:p w:rsidR="00465BDE" w:rsidRPr="00413BE2" w:rsidRDefault="00FD7CF4" w:rsidP="00465BDE">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Rispetto al potere impositivo, vi sono più soggetti nei confronti dei quali può essere esercitato il potere; solidarietà equivale quindi a cosoggezione. </w:t>
      </w:r>
      <w:r w:rsidRPr="00413BE2">
        <w:rPr>
          <w:rFonts w:ascii="Arial" w:hAnsi="Arial" w:cs="Arial"/>
          <w:color w:val="5F5F5F"/>
          <w:u w:val="single"/>
        </w:rPr>
        <w:t>Così l’amministrazione finanziaria può a sua scelta emettere l’avviso di accertamento nei confronti di uno solo o di tutti i coobbligati.</w:t>
      </w:r>
      <w:r w:rsidRPr="00413BE2">
        <w:rPr>
          <w:rFonts w:ascii="Arial" w:hAnsi="Arial" w:cs="Arial"/>
          <w:color w:val="5F5F5F"/>
        </w:rPr>
        <w:t xml:space="preserve"> </w:t>
      </w:r>
      <w:r w:rsidRPr="00413BE2">
        <w:rPr>
          <w:rFonts w:ascii="Arial" w:hAnsi="Arial" w:cs="Arial"/>
          <w:color w:val="5F5F5F"/>
          <w:u w:val="single"/>
        </w:rPr>
        <w:t>Con la conseguenza, però, che l’avviso se non è notificato a tutti, vale solo nei confronti dei soggetti cui è notificato</w:t>
      </w:r>
      <w:r w:rsidRPr="00413BE2">
        <w:rPr>
          <w:rFonts w:ascii="Arial" w:hAnsi="Arial" w:cs="Arial"/>
          <w:color w:val="5F5F5F"/>
        </w:rPr>
        <w:t xml:space="preserve">. </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La giurisprudenza ha ritenuto che, se uno dei condebitori nova, il debito d’imposta mediante presentazione di istanza di condono e lo estingue pagando l’imposta ex condono, di questi effetti beneficiano anche gli altri condebitori.</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 sono poi ritenuti applicabili, in materia tributaria, alcuni principi posti dall’art. 1306 c.c., secondo il quale “la sentenza pronunciata tra il creditore ed uno dei debitori in solido, non ha effetto contro gli altri debitori..” perciò la sentenza che abbia respinto il ricorso proposto da un coobbligato non esplica effetti nei processi promossi da altri coobbligati. L’estensione degli effetti della sentenza favorevole ad un coobbligato è pacificamente ammessa quando gli altri coobbligati abbiano impugnato l’accertamento, mentre è discussa nel caso in cui un coobbligato abbia impugnato l’accertamento e l’altro non lo abbia impugnato.</w:t>
      </w:r>
    </w:p>
    <w:p w:rsidR="00FD7CF4" w:rsidRPr="00413BE2" w:rsidRDefault="00465BDE"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w:t>
      </w:r>
      <w:r w:rsidR="00FD7CF4" w:rsidRPr="00413BE2">
        <w:rPr>
          <w:rFonts w:ascii="Arial" w:hAnsi="Arial" w:cs="Arial"/>
          <w:color w:val="5F5F5F"/>
        </w:rPr>
        <w:t>a giurisprudenza ritiene applicabile in materia tributaria l’art. 1310, secondo cui gli atti con i quali il creditore interrompe la prescrizione contro uno dei debitori in solido hanno effetto anche nei riguardi degli altri debitori.</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Il responsabile d’imposta</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Viene denominato responsabile d’imposta una particolare figura di debitore del tributo, al quale le legge addossa l’obbligazione tributaria in solido con l’obbligato principale; ciò che distingue il responsabile d’imposta, dall’ordinaria figura di coobbligato in solido, è la circostanza che la fattispecie della sua responsabilità non è la sua partecipazione al presupposto dell’imposta, ma la realizzazione di una fattispecie ulteriore e diversa. L’obbligazione del responsabile, in tanto esiste, in quanto esiste quella principale; si dice, </w:t>
      </w:r>
      <w:r w:rsidRPr="00413BE2">
        <w:rPr>
          <w:rFonts w:ascii="Arial" w:hAnsi="Arial" w:cs="Arial"/>
          <w:color w:val="5F5F5F"/>
        </w:rPr>
        <w:lastRenderedPageBreak/>
        <w:t>perciò, che il responsabile è un coobbligato dipendente in contrapposizione all’istituto della solidarietà ordinaria o paritaria.</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Ecco due esempi di questa particolare figura:</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a) i nuovi possessori di immobili, divenuti proprietari o titolari di altri diritti reali, sono responsabili d’imposta; rispondono cioè in solido con i precedenti possessori dell’ILOR;</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le aziende di credito che rilascino fideiussione ai soggetti passivi dell’imposta sul valore aggiunto che conseguono rimborsi d’imposta, rispondono insieme con il garantito, dell’obbligo di restituire al fisco le somme indebitamente rimborsate.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Il responsabile limitato ed i terzi</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Vi sono casi, nei quali risponde del debito d’imposta un soggetto diverso da colui che ne realizza il presupposto e ne risponde non con tutto il suo patrimonio, ma soltanto con un determinato bene; lo si è denominato perciò responsabile limitato.</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A) in un primo gruppo di casi la posizione del terzo è un riflesso della disciplina dei privilegi speciali. Quando il credito d’imposta è garantito da privilegio speciale sui beni ai quali il tributo si riferisce, il privilegio importa il diritto di seguito; il bene continua ad essere gravato dal privilegio anche se viene trasferito a terzi; i terzi assumono così la veste di responsabile (limitatamente a quel bene che può essere espropriato per soddisfare il credito d’imposta). Secondo la giurisprudenza l’azione del fisco nei confronti del terzo può essere esercitata solo dopo che è stata infruttuosamente esperita l’azione esecutiva nei confronti dell’obbligato principale; la responsabilità del terzo quindi viene detta sussidiaria.</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in un altro gruppo di ipotesi, la responsabilità del terzo è un riflesso di norme in materia di pignoramento; una prima ipotesi si ha in caso di cessione d’azienda; avviata l’esecuzione nei confronti di chi sia stato titolare di azienda, e l’abbia ceduta, l’esattore può sottoporre a pignoramento i beni mobili e le merci dell’azienda ceduta. Un’altra concerne i beni mobili rinvenuti nella casa di abitazione del contribuente; contro il pignoramento di tali beni non possono proporre opposizione di terzo il coniuge, i parenti e gli affini entro il terzo grado del contribuente e dei coobbligati. Infine, i frutti degli immobili del debitore, soggetti a privilegio, possono essere espropriati, nelle forme dell’espropriazione presso il debitore, anche se l’immobile è affittato (quindi anche se i frutti appartengono all’affittuario). In questo secondo gruppo di ipotesi, l’esecuzione si svolge sulla base dell’atto di imposizione e dell’iscrizione a ruolo del debitore d’imposta, il terzo, quindi, subisce l’esecuzione forzata per l’attuazione d’un debito altrui senza essere soggetto passivo del processo esecutivo.</w:t>
      </w:r>
    </w:p>
    <w:p w:rsidR="00FD7CF4" w:rsidRPr="00413BE2" w:rsidRDefault="00FD7CF4">
      <w:pPr>
        <w:rPr>
          <w:rFonts w:ascii="Arial" w:hAnsi="Arial" w:cs="Arial"/>
          <w:color w:val="5F5F5F"/>
          <w:sz w:val="24"/>
          <w:szCs w:val="24"/>
          <w:shd w:val="clear" w:color="auto" w:fill="FFFFFF"/>
        </w:rPr>
      </w:pPr>
    </w:p>
    <w:p w:rsidR="00FD7CF4" w:rsidRPr="00413BE2" w:rsidRDefault="00FD7CF4">
      <w:pPr>
        <w:rPr>
          <w:rFonts w:ascii="Arial" w:hAnsi="Arial" w:cs="Arial"/>
          <w:b/>
          <w:color w:val="5F5F5F"/>
          <w:sz w:val="24"/>
          <w:szCs w:val="24"/>
          <w:shd w:val="clear" w:color="auto" w:fill="FFFFFF"/>
        </w:rPr>
      </w:pPr>
      <w:r w:rsidRPr="00413BE2">
        <w:rPr>
          <w:rFonts w:ascii="Arial" w:hAnsi="Arial" w:cs="Arial"/>
          <w:b/>
          <w:color w:val="5F5F5F"/>
          <w:sz w:val="24"/>
          <w:szCs w:val="24"/>
          <w:shd w:val="clear" w:color="auto" w:fill="FFFFFF"/>
        </w:rPr>
        <w:lastRenderedPageBreak/>
        <w:t>Il sostituto a titolo d’imposta</w:t>
      </w:r>
    </w:p>
    <w:p w:rsidR="00846F3E" w:rsidRPr="00413BE2" w:rsidRDefault="00FD7CF4">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La figura del responsabile d’imposta è contraddistinta da ciò che l’obbligazione tributaria ricade, non solo su chi realizza il presupposto, ma anche solidalmente, su di un altro soggetto, detto appunto responsabile.</w:t>
      </w:r>
    </w:p>
    <w:p w:rsidR="00846F3E" w:rsidRPr="00413BE2" w:rsidRDefault="00FD7CF4">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 Nella cosiddetta sostituzione invece il soggetto che realizza il presupposto non è soggetto passivo; soggetto passivo è un altro soggetto denominato sostituto (mentre sostituito è colui che pur realizzando il presupposto non è debitore). La ragione di questa deviazione rispetto al normale congegno della norma tributaria, che imputa l’obbligazione a chi realizza la fattispecie imponibile, non ad un terzo, sta in ciò, che questo terzo è debitore verso il sostituto di somme, la cui corresponsione realizza, presso il creditore, un fatto fiscalmente rilevante; si tratta nella quasi generalità dei casi, di redditi o di componenti reddituali; il coinvolgimento del terzo, nell’attuazione di un tributo, mediante imputazione ad esso di particolari doveri, è per il fisco notevole garanzia che non vi sarà evasione, essendo il terzo non interessato a violare la norma. </w:t>
      </w:r>
    </w:p>
    <w:p w:rsidR="00846F3E" w:rsidRPr="00413BE2" w:rsidRDefault="00FD7CF4">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Esso infatti è si obbligato in proprio verso il fisco, ma ha il diritto che è anche un dovere di trattenere dalla somma che corrisponde al reddituario, un importo pari a quello di cui è debitore verso il fisco. Il sostituto d’imposta è unico debitore, verso il fisco, dell’imposta dovuta sul presupposto che altri realizza (il sostituito).</w:t>
      </w:r>
    </w:p>
    <w:p w:rsidR="00846F3E" w:rsidRPr="00413BE2" w:rsidRDefault="00FD7CF4">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 Il rapporto tra fisco e sostituto è dunque un rapporto d’imposta; tra fisco e sostituito non v’è alcun rapporto a titolo d’imposta. Tra sostituto e sostituito v’è un rapporto privatistico v’è il rapporto di base che vede il sostituto in posizione debitrice verso il sostituito (es: debito di lavoro del datore di lavoro verso il dipendente).</w:t>
      </w:r>
    </w:p>
    <w:p w:rsidR="00FD7CF4" w:rsidRPr="00413BE2" w:rsidRDefault="00FD7CF4">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 La norma tributaria influisce su questo rapporto, in quanto il sostituto estingue il suo debito verso il sostituito versandogli, non quanto dovuto secondo il rapporto che corre tra di essi, ma una minor somma; ciò è una conseguenza del diritto di rivalsa ossia del diritto del sostituto di operare una ritenuta sulle somme che corrisponde al sostituito (es. di sostituzione a titolo d’imposta: le ritenute sui dividendi percepiti per le azioni di risparmio e sui dividendi spettanti alle persone residenti all’estero; le ritenute sulle vincite).</w:t>
      </w:r>
    </w:p>
    <w:p w:rsidR="00846F3E" w:rsidRPr="00413BE2" w:rsidRDefault="00846F3E">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Quindi si parla di sostituzione tributaria nei casi in cui un’obbligazione sino posti a carico di un soggetto diverso (sostituto)rispetto a colui che realizza il presupposto del tributo (sostituito)</w:t>
      </w:r>
    </w:p>
    <w:p w:rsidR="00846F3E" w:rsidRPr="00413BE2" w:rsidRDefault="00846F3E">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Il sotituto è colui che in forza di una disposizione di legge è obbligato al pagamento di imposte in luogo di altri, per fatti osituazioni a questi riferibili anche a titolo di acconto.</w:t>
      </w:r>
    </w:p>
    <w:p w:rsidR="00846F3E" w:rsidRPr="00413BE2" w:rsidRDefault="00846F3E">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La sostituzione va tenuta distinta dalla solidarietà. Qui il sostituito rimane il soggetto passivo dell’imposta , mentre è relativa obbligazione tributarie cheè posta a carico del sostituto(la ritenuta d’acconto è un’obbligazione autonoma)</w:t>
      </w:r>
    </w:p>
    <w:p w:rsidR="00846F3E" w:rsidRPr="00413BE2" w:rsidRDefault="00846F3E">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Se il sostituto non effettua la ritenuta e nonla versa scatta il principio di solidarietà dell’imposta</w:t>
      </w:r>
    </w:p>
    <w:p w:rsidR="00846F3E" w:rsidRPr="00413BE2" w:rsidRDefault="00846F3E">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lastRenderedPageBreak/>
        <w:t>Esistono due tipi di sostituzione:</w:t>
      </w:r>
    </w:p>
    <w:p w:rsidR="00846F3E" w:rsidRPr="00413BE2" w:rsidRDefault="00FF668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1 </w:t>
      </w:r>
      <w:r w:rsidR="00846F3E" w:rsidRPr="00413BE2">
        <w:rPr>
          <w:rFonts w:ascii="Arial" w:hAnsi="Arial" w:cs="Arial"/>
          <w:color w:val="5F5F5F"/>
          <w:sz w:val="24"/>
          <w:szCs w:val="24"/>
          <w:shd w:val="clear" w:color="auto" w:fill="FFFFFF"/>
        </w:rPr>
        <w:t>a titolo d’imposta (anche detta a titol definitivo)</w:t>
      </w:r>
    </w:p>
    <w:p w:rsidR="00846F3E" w:rsidRPr="00413BE2" w:rsidRDefault="00FF668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 xml:space="preserve">2 </w:t>
      </w:r>
      <w:r w:rsidR="00846F3E" w:rsidRPr="00413BE2">
        <w:rPr>
          <w:rFonts w:ascii="Arial" w:hAnsi="Arial" w:cs="Arial"/>
          <w:color w:val="5F5F5F"/>
          <w:sz w:val="24"/>
          <w:szCs w:val="24"/>
          <w:shd w:val="clear" w:color="auto" w:fill="FFFFFF"/>
        </w:rPr>
        <w:t>a titolo d’acconto  (anche detta impropria)</w:t>
      </w:r>
    </w:p>
    <w:p w:rsidR="00442976" w:rsidRPr="00413BE2" w:rsidRDefault="00FF668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1</w:t>
      </w:r>
      <w:r w:rsidR="00442976" w:rsidRPr="00413BE2">
        <w:rPr>
          <w:rFonts w:ascii="Arial" w:hAnsi="Arial" w:cs="Arial"/>
          <w:color w:val="5F5F5F"/>
          <w:sz w:val="24"/>
          <w:szCs w:val="24"/>
          <w:shd w:val="clear" w:color="auto" w:fill="FFFFFF"/>
        </w:rPr>
        <w:t xml:space="preserve">il rapporto interno tra sostituto e sostuito viene chiamato rapporto di rivalsa attraverso un meccanismo per cui il sostituto coivolto nel pagamento di una somma al sostituito, deve recuperare l’importo dell’imposta effettuando una ritenuta alla fonte al sostituito per poi versare all’Erario. </w:t>
      </w:r>
    </w:p>
    <w:p w:rsidR="00442976" w:rsidRPr="00413BE2" w:rsidRDefault="0044297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La rivalsa è obbligatoria per il sostituto, e si applica un’aliquota fissa predeterminata su un provento chiamata ritenuta</w:t>
      </w:r>
    </w:p>
    <w:p w:rsidR="00442976" w:rsidRPr="00413BE2" w:rsidRDefault="0044297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Nel caso del responsabile d’imposta l’obbligazione tributaria ricade oltre che su colui che realizza il preuspposto, anc esu un altro soggetto chiamato responsabile , configurando un’ipotesi di solidarietà dipendente da più soggetti passivi; nel caso della  sotituzione a titolo di imposta il soggetto passivo è uno solo (sostituto)che attraverso la ritenuta libera l’obbligato passivo principale (sostituito)</w:t>
      </w:r>
    </w:p>
    <w:p w:rsidR="00442976" w:rsidRPr="00413BE2" w:rsidRDefault="0044297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Riveste la qualifica di responsabile il notaio in sede di rogito di compravendita immobiliare . i clienti sono tenuti a controllare che la somma versata a titolo d’imposta sia effettivamente versata all’Erario</w:t>
      </w:r>
      <w:r w:rsidR="00FF6686" w:rsidRPr="00413BE2">
        <w:rPr>
          <w:rFonts w:ascii="Arial" w:hAnsi="Arial" w:cs="Arial"/>
          <w:color w:val="5F5F5F"/>
          <w:sz w:val="24"/>
          <w:szCs w:val="24"/>
          <w:shd w:val="clear" w:color="auto" w:fill="FFFFFF"/>
        </w:rPr>
        <w:t>, soggetto obbligato resta comunque il privato</w:t>
      </w:r>
      <w:r w:rsidRPr="00413BE2">
        <w:rPr>
          <w:rFonts w:ascii="Arial" w:hAnsi="Arial" w:cs="Arial"/>
          <w:color w:val="5F5F5F"/>
          <w:sz w:val="24"/>
          <w:szCs w:val="24"/>
          <w:shd w:val="clear" w:color="auto" w:fill="FFFFFF"/>
        </w:rPr>
        <w:t xml:space="preserve"> </w:t>
      </w:r>
      <w:r w:rsidR="00FF6686" w:rsidRPr="00413BE2">
        <w:rPr>
          <w:rFonts w:ascii="Arial" w:hAnsi="Arial" w:cs="Arial"/>
          <w:color w:val="5F5F5F"/>
          <w:sz w:val="24"/>
          <w:szCs w:val="24"/>
          <w:shd w:val="clear" w:color="auto" w:fill="FFFFFF"/>
        </w:rPr>
        <w:t>.</w:t>
      </w:r>
    </w:p>
    <w:p w:rsidR="00FF6686" w:rsidRPr="00413BE2" w:rsidRDefault="00FF668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Esempio di sostituzione a titolo d’imposta sono :</w:t>
      </w:r>
      <w:r w:rsidRPr="00413BE2">
        <w:rPr>
          <w:rFonts w:ascii="Arial" w:hAnsi="Arial" w:cs="Arial"/>
          <w:color w:val="5F5F5F"/>
          <w:sz w:val="24"/>
          <w:szCs w:val="24"/>
          <w:shd w:val="clear" w:color="auto" w:fill="FFFFFF"/>
        </w:rPr>
        <w:br/>
        <w:t>dividensi su premie alcune vincite</w:t>
      </w:r>
    </w:p>
    <w:p w:rsidR="00FF6686" w:rsidRPr="00413BE2" w:rsidRDefault="00FF668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Redditi da capitale erogati alle pf al di fuori dell’eercizio di attività di impresa.</w:t>
      </w:r>
    </w:p>
    <w:p w:rsidR="00FF6686" w:rsidRPr="00413BE2" w:rsidRDefault="00FF6686">
      <w:p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Cosa deve fare il sostituto:</w:t>
      </w:r>
    </w:p>
    <w:p w:rsidR="00FF6686" w:rsidRPr="00413BE2" w:rsidRDefault="00FF6686" w:rsidP="00FF6686">
      <w:pPr>
        <w:pStyle w:val="Paragrafoelenco"/>
        <w:numPr>
          <w:ilvl w:val="0"/>
          <w:numId w:val="10"/>
        </w:num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Operare le ritenute e versarle al fisco</w:t>
      </w:r>
    </w:p>
    <w:p w:rsidR="00FF6686" w:rsidRPr="00413BE2" w:rsidRDefault="00FF6686" w:rsidP="00FF6686">
      <w:pPr>
        <w:pStyle w:val="Paragrafoelenco"/>
        <w:numPr>
          <w:ilvl w:val="0"/>
          <w:numId w:val="10"/>
        </w:num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Trasmettere AE il CU ( certificazione relativa ai redditi da lavoro dipendente, autonomo e redditi diversi)</w:t>
      </w:r>
    </w:p>
    <w:p w:rsidR="00FF6686" w:rsidRPr="00413BE2" w:rsidRDefault="00FF6686" w:rsidP="00FF6686">
      <w:pPr>
        <w:pStyle w:val="Paragrafoelenco"/>
        <w:numPr>
          <w:ilvl w:val="0"/>
          <w:numId w:val="10"/>
        </w:num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Rilasciare al sostituito certificazione delle somme erogate e relativa ritenute</w:t>
      </w:r>
    </w:p>
    <w:p w:rsidR="00FF6686" w:rsidRPr="00413BE2" w:rsidRDefault="00FF6686" w:rsidP="00FF6686">
      <w:pPr>
        <w:pStyle w:val="Paragrafoelenco"/>
        <w:numPr>
          <w:ilvl w:val="0"/>
          <w:numId w:val="10"/>
        </w:numPr>
        <w:rPr>
          <w:rFonts w:ascii="Arial" w:hAnsi="Arial" w:cs="Arial"/>
          <w:color w:val="5F5F5F"/>
          <w:sz w:val="24"/>
          <w:szCs w:val="24"/>
          <w:shd w:val="clear" w:color="auto" w:fill="FFFFFF"/>
        </w:rPr>
      </w:pPr>
      <w:r w:rsidRPr="00413BE2">
        <w:rPr>
          <w:rFonts w:ascii="Arial" w:hAnsi="Arial" w:cs="Arial"/>
          <w:color w:val="5F5F5F"/>
          <w:sz w:val="24"/>
          <w:szCs w:val="24"/>
          <w:shd w:val="clear" w:color="auto" w:fill="FFFFFF"/>
        </w:rPr>
        <w:t>Presentazione annuale dichiarazione telematica di riepilogo delle operazioni effettuate</w:t>
      </w:r>
    </w:p>
    <w:p w:rsidR="00FD7CF4" w:rsidRPr="00413BE2" w:rsidRDefault="00FD7CF4">
      <w:pPr>
        <w:rPr>
          <w:rFonts w:ascii="Arial" w:hAnsi="Arial" w:cs="Arial"/>
          <w:b/>
          <w:color w:val="5F5F5F"/>
          <w:sz w:val="24"/>
          <w:szCs w:val="24"/>
          <w:shd w:val="clear" w:color="auto" w:fill="FFFFFF"/>
        </w:rPr>
      </w:pPr>
      <w:r w:rsidRPr="00413BE2">
        <w:rPr>
          <w:rFonts w:ascii="Arial" w:hAnsi="Arial" w:cs="Arial"/>
          <w:b/>
          <w:color w:val="5F5F5F"/>
          <w:sz w:val="24"/>
          <w:szCs w:val="24"/>
          <w:shd w:val="clear" w:color="auto" w:fill="FFFFFF"/>
        </w:rPr>
        <w:t xml:space="preserve">Il sostituto a titolo d’acconto </w:t>
      </w:r>
    </w:p>
    <w:p w:rsidR="00FD7CF4" w:rsidRPr="00413BE2" w:rsidRDefault="00FD7CF4" w:rsidP="00FF6686">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Va tenuta distinta dalla sostituzione d’imposta o sostituzione in senso proprio, la sostituzione a titolo di acconto o sostituzione impropria. </w:t>
      </w:r>
    </w:p>
    <w:p w:rsidR="00FF6686" w:rsidRPr="00413BE2" w:rsidRDefault="00FF6686" w:rsidP="00FF6686">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 xml:space="preserve">Consiste nella imposizione nei confronti del debitore di una somma , dell’obbligo di operare una ritenuta e di versarla all’erario a titolo d’acconto dell’imposta dovuta dal creditore. Qui non c’è un avera e propria sostituzione , il sostituto non è obbligato nei confronti del fiscoin sostituzione del sostiutito, ma è soggetto passivo di un auonomo </w:t>
      </w:r>
      <w:r w:rsidRPr="00413BE2">
        <w:rPr>
          <w:rFonts w:ascii="Arial" w:hAnsi="Arial" w:cs="Arial"/>
          <w:color w:val="5F5F5F"/>
        </w:rPr>
        <w:lastRenderedPageBreak/>
        <w:t>obbligo di versamento una volta che è operata la ritenuta in parole povere non ha ancora smesso di pagare .</w:t>
      </w:r>
    </w:p>
    <w:p w:rsidR="002B537F" w:rsidRPr="00413BE2" w:rsidRDefault="00FF6686" w:rsidP="00FF6686">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La ritenuta d’acconto realizza un prelievo anticipato rispetto alla nascita dell’obbligazione  tributaria, in quanto il prelievo avviene prima come acconto a quanto dovuto.</w:t>
      </w:r>
    </w:p>
    <w:p w:rsidR="002B537F" w:rsidRPr="00413BE2" w:rsidRDefault="002B537F" w:rsidP="00FF6686">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Il sostiuito , quale unico soggetto passivo, deve inidcare la somma percepita al lordo della ritenuta subita nella propria dichiarazione annuale, fatto il salvo il diritto di dedurre l’importo delle ritenute subite dal sostituto (funzione di acconto!!!!), questo fa in modo che il sostiuito che la subusce abbia un credito nei confronti dell’erario</w:t>
      </w:r>
    </w:p>
    <w:p w:rsidR="002B537F" w:rsidRPr="00413BE2" w:rsidRDefault="002B537F" w:rsidP="00FF6686">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TRASLAZIONE ECONOMICA</w:t>
      </w:r>
    </w:p>
    <w:p w:rsidR="002B537F" w:rsidRPr="00413BE2" w:rsidRDefault="002B537F" w:rsidP="00FF6686">
      <w:pPr>
        <w:pStyle w:val="NormaleWeb"/>
        <w:shd w:val="clear" w:color="auto" w:fill="FFFFFF"/>
        <w:spacing w:before="0" w:beforeAutospacing="0" w:after="204" w:afterAutospacing="0" w:line="380" w:lineRule="atLeast"/>
        <w:jc w:val="both"/>
        <w:rPr>
          <w:rFonts w:ascii="Arial" w:hAnsi="Arial" w:cs="Arial"/>
          <w:color w:val="202124"/>
          <w:shd w:val="clear" w:color="auto" w:fill="FFFFFF"/>
        </w:rPr>
      </w:pPr>
      <w:r w:rsidRPr="00413BE2">
        <w:rPr>
          <w:rFonts w:ascii="Arial" w:hAnsi="Arial" w:cs="Arial"/>
          <w:color w:val="5F5F5F"/>
        </w:rPr>
        <w:t xml:space="preserve"> </w:t>
      </w:r>
      <w:r w:rsidRPr="00413BE2">
        <w:rPr>
          <w:rFonts w:ascii="Arial" w:hAnsi="Arial" w:cs="Arial"/>
          <w:color w:val="202124"/>
          <w:shd w:val="clear" w:color="auto" w:fill="FFFFFF"/>
        </w:rPr>
        <w:t>Effetto </w:t>
      </w:r>
      <w:r w:rsidRPr="00413BE2">
        <w:rPr>
          <w:rFonts w:ascii="Arial" w:hAnsi="Arial" w:cs="Arial"/>
          <w:b/>
          <w:bCs/>
          <w:color w:val="202124"/>
          <w:shd w:val="clear" w:color="auto" w:fill="FFFFFF"/>
        </w:rPr>
        <w:t>economico</w:t>
      </w:r>
      <w:r w:rsidRPr="00413BE2">
        <w:rPr>
          <w:rFonts w:ascii="Arial" w:hAnsi="Arial" w:cs="Arial"/>
          <w:color w:val="202124"/>
          <w:shd w:val="clear" w:color="auto" w:fill="FFFFFF"/>
        </w:rPr>
        <w:t> dovuto al comportamento degli operatori che reagiscono all'applicazione di un'imposta; attraverso processi di t., il contribuente tenuto giuridicamente al pagamento dell'imposta (</w:t>
      </w:r>
      <w:r w:rsidRPr="00413BE2">
        <w:rPr>
          <w:rFonts w:ascii="Arial" w:eastAsia="MS Gothic" w:hAnsi="MS Gothic" w:cs="Arial"/>
          <w:color w:val="202124"/>
          <w:shd w:val="clear" w:color="auto" w:fill="FFFFFF"/>
        </w:rPr>
        <w:t>➔</w:t>
      </w:r>
      <w:r w:rsidRPr="00413BE2">
        <w:rPr>
          <w:rFonts w:ascii="Arial" w:hAnsi="Arial" w:cs="Arial"/>
          <w:color w:val="202124"/>
          <w:shd w:val="clear" w:color="auto" w:fill="FFFFFF"/>
        </w:rPr>
        <w:t xml:space="preserve"> percussione) trasferisce su altri soggetti, in tutto o in parte, l'onere dell'imposta stessa (</w:t>
      </w:r>
      <w:r w:rsidRPr="00413BE2">
        <w:rPr>
          <w:rFonts w:ascii="Arial" w:eastAsia="MS Gothic" w:hAnsi="MS Gothic" w:cs="Arial"/>
          <w:color w:val="202124"/>
          <w:shd w:val="clear" w:color="auto" w:fill="FFFFFF"/>
        </w:rPr>
        <w:t>➔</w:t>
      </w:r>
      <w:r w:rsidRPr="00413BE2">
        <w:rPr>
          <w:rFonts w:ascii="Arial" w:hAnsi="Arial" w:cs="Arial"/>
          <w:color w:val="202124"/>
          <w:shd w:val="clear" w:color="auto" w:fill="FFFFFF"/>
        </w:rPr>
        <w:t xml:space="preserve"> incidenza). (percosso  e inciso)</w:t>
      </w:r>
    </w:p>
    <w:p w:rsidR="002B537F" w:rsidRPr="00413BE2" w:rsidRDefault="002B537F" w:rsidP="00FF6686">
      <w:pPr>
        <w:pStyle w:val="NormaleWeb"/>
        <w:shd w:val="clear" w:color="auto" w:fill="FFFFFF"/>
        <w:spacing w:before="0" w:beforeAutospacing="0" w:after="204" w:afterAutospacing="0" w:line="380" w:lineRule="atLeast"/>
        <w:jc w:val="both"/>
        <w:rPr>
          <w:rFonts w:ascii="Arial" w:hAnsi="Arial" w:cs="Arial"/>
          <w:color w:val="202124"/>
          <w:shd w:val="clear" w:color="auto" w:fill="FFFFFF"/>
        </w:rPr>
      </w:pPr>
      <w:r w:rsidRPr="00413BE2">
        <w:rPr>
          <w:rFonts w:ascii="Arial" w:hAnsi="Arial" w:cs="Arial"/>
          <w:color w:val="202124"/>
          <w:shd w:val="clear" w:color="auto" w:fill="FFFFFF"/>
        </w:rPr>
        <w:t>Ad esempio l’imposta sui consumi , di cui è debitore l’operatore economico  ma economicamente grava sul consumatore</w:t>
      </w:r>
    </w:p>
    <w:p w:rsidR="00FF6686" w:rsidRPr="00413BE2" w:rsidRDefault="002B537F" w:rsidP="00FF6686">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202124"/>
          <w:shd w:val="clear" w:color="auto" w:fill="FFFFFF"/>
        </w:rPr>
        <w:t xml:space="preserve"> </w:t>
      </w:r>
      <w:r w:rsidRPr="00413BE2">
        <w:rPr>
          <w:rFonts w:ascii="Arial" w:hAnsi="Arial" w:cs="Arial"/>
          <w:color w:val="202122"/>
          <w:shd w:val="clear" w:color="auto" w:fill="FFFFFF"/>
        </w:rPr>
        <w:t>Per effetto della traslazione, un'imposta originariamente gravante sulla produzione, può di fatto comportarsi come un'imposta sul consumo. Si pensi, ad esempio, alle imposte sui carburanti, che necessariamente vengono imputate al prezzo. </w:t>
      </w:r>
      <w:r w:rsidRPr="00413BE2">
        <w:rPr>
          <w:rFonts w:ascii="Arial" w:hAnsi="Arial" w:cs="Arial"/>
          <w:color w:val="202124"/>
          <w:shd w:val="clear" w:color="auto" w:fill="FFFFFF"/>
        </w:rPr>
        <w:t xml:space="preserve"> </w:t>
      </w:r>
      <w:r w:rsidR="00FF6686" w:rsidRPr="00413BE2">
        <w:rPr>
          <w:rFonts w:ascii="Arial" w:hAnsi="Arial" w:cs="Arial"/>
          <w:color w:val="5F5F5F"/>
        </w:rPr>
        <w:t xml:space="preserve"> </w:t>
      </w:r>
    </w:p>
    <w:p w:rsidR="00AE77E4" w:rsidRPr="00413BE2" w:rsidRDefault="00AE77E4" w:rsidP="00FF6686">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202124"/>
          <w:shd w:val="clear" w:color="auto" w:fill="FFFFFF"/>
        </w:rPr>
        <w:t>Ip</w:t>
      </w:r>
      <w:r w:rsidRPr="00413BE2">
        <w:rPr>
          <w:rFonts w:ascii="Arial" w:hAnsi="Arial" w:cs="Arial"/>
          <w:b/>
          <w:bCs/>
          <w:color w:val="202124"/>
          <w:shd w:val="clear" w:color="auto" w:fill="FFFFFF"/>
        </w:rPr>
        <w:t xml:space="preserve">atti traslativi </w:t>
      </w:r>
      <w:r w:rsidRPr="00413BE2">
        <w:rPr>
          <w:rFonts w:ascii="Arial" w:hAnsi="Arial" w:cs="Arial"/>
          <w:color w:val="202124"/>
          <w:shd w:val="clear" w:color="auto" w:fill="FFFFFF"/>
        </w:rPr>
        <w:t> sull'</w:t>
      </w:r>
      <w:r w:rsidRPr="00413BE2">
        <w:rPr>
          <w:rFonts w:ascii="Arial" w:hAnsi="Arial" w:cs="Arial"/>
          <w:b/>
          <w:bCs/>
          <w:color w:val="202124"/>
          <w:shd w:val="clear" w:color="auto" w:fill="FFFFFF"/>
        </w:rPr>
        <w:t>imposta</w:t>
      </w:r>
      <w:r w:rsidRPr="00413BE2">
        <w:rPr>
          <w:rFonts w:ascii="Arial" w:hAnsi="Arial" w:cs="Arial"/>
          <w:color w:val="202124"/>
          <w:shd w:val="clear" w:color="auto" w:fill="FFFFFF"/>
        </w:rPr>
        <w:t> sono “accordi mediante i quali il titolare </w:t>
      </w:r>
      <w:r w:rsidRPr="00413BE2">
        <w:rPr>
          <w:rFonts w:ascii="Arial" w:hAnsi="Arial" w:cs="Arial"/>
          <w:b/>
          <w:bCs/>
          <w:color w:val="202124"/>
          <w:shd w:val="clear" w:color="auto" w:fill="FFFFFF"/>
        </w:rPr>
        <w:t>di</w:t>
      </w:r>
      <w:r w:rsidRPr="00413BE2">
        <w:rPr>
          <w:rFonts w:ascii="Arial" w:hAnsi="Arial" w:cs="Arial"/>
          <w:color w:val="202124"/>
          <w:shd w:val="clear" w:color="auto" w:fill="FFFFFF"/>
        </w:rPr>
        <w:t> una determinata manifestazione </w:t>
      </w:r>
      <w:r w:rsidRPr="00413BE2">
        <w:rPr>
          <w:rFonts w:ascii="Arial" w:hAnsi="Arial" w:cs="Arial"/>
          <w:b/>
          <w:bCs/>
          <w:color w:val="202124"/>
          <w:shd w:val="clear" w:color="auto" w:fill="FFFFFF"/>
        </w:rPr>
        <w:t>di</w:t>
      </w:r>
      <w:r w:rsidRPr="00413BE2">
        <w:rPr>
          <w:rFonts w:ascii="Arial" w:hAnsi="Arial" w:cs="Arial"/>
          <w:color w:val="202124"/>
          <w:shd w:val="clear" w:color="auto" w:fill="FFFFFF"/>
        </w:rPr>
        <w:t> capacità contributiva trasferisce l'onere economico dell'</w:t>
      </w:r>
      <w:r w:rsidRPr="00413BE2">
        <w:rPr>
          <w:rFonts w:ascii="Arial" w:hAnsi="Arial" w:cs="Arial"/>
          <w:b/>
          <w:bCs/>
          <w:color w:val="202124"/>
          <w:shd w:val="clear" w:color="auto" w:fill="FFFFFF"/>
        </w:rPr>
        <w:t>imposta</w:t>
      </w:r>
      <w:r w:rsidRPr="00413BE2">
        <w:rPr>
          <w:rFonts w:ascii="Arial" w:hAnsi="Arial" w:cs="Arial"/>
          <w:color w:val="202124"/>
          <w:shd w:val="clear" w:color="auto" w:fill="FFFFFF"/>
        </w:rPr>
        <w:t xml:space="preserve"> correlativamente dovuta ad altro soggetto, il quale volontariamente se ne accolla il peso”. (es </w:t>
      </w:r>
      <w:r w:rsidRPr="00413BE2">
        <w:rPr>
          <w:rFonts w:ascii="Arial" w:hAnsi="Arial" w:cs="Arial"/>
          <w:color w:val="333333"/>
          <w:shd w:val="clear" w:color="auto" w:fill="E3E3E3"/>
        </w:rPr>
        <w:t> la clausola di un contratto di locazione volta ad attribuire al conduttore l’obbligo di farsi carico, tenendo manlevato il locatore, di ogni tassa, imposta ed onere relativo ai beni locati ed al contratto, qualora essa sia stata prevista dalle parti come componente integrante la misura del canone locatizio complessivamente dovuto dal conduttore e non implichi che il tributo venga pagato da un soggetto diverso dal contribuente.)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Il successore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La successine ereditaria, comportando il subentro degli eredi in tutte le situazioni giuridiche (trasmissibili) che facevano capo al defunto, implica anche il subentro degli eredi nelle situazioni giuridiche di natura tributaria.</w:t>
      </w:r>
    </w:p>
    <w:p w:rsidR="00FD7CF4" w:rsidRPr="00413BE2" w:rsidRDefault="00FD7CF4" w:rsidP="00AE77E4">
      <w:pPr>
        <w:pStyle w:val="NormaleWeb"/>
        <w:numPr>
          <w:ilvl w:val="1"/>
          <w:numId w:val="4"/>
        </w:numPr>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lastRenderedPageBreak/>
        <w:t>per le imposte sui redditi gli eredi rispondono in solido delle obbligazioni tributarie il cui presupposto si è verificato anteriormente alla morte del dante causa. L’importanza della norma non sta nel fatto che sancisce la successione nelle obbligazioni, ma in quanto sancisce la solidarietà degli eredi. Gli eredi sono tenuti verso i creditori al pagamento dei debiti e pesi ereditari personalmente in proporzione della loro quota ereditaria. Gli eredi subentrano nella stessa posizione del dante causa anche per quel che riguarda gli obblighi formali e le situazioni procedimentali. Per le imposte sui redditi, la legge dispone che tutti i termini pendenti alla data della morte del dante causa o scadenti entro 4 mesi da essa sono prorogati di 6 mesi a favore degli eredi. Gli eredi devono comunicare all’ufficio delle imposte dell’ultimo domicilio fiscale del de cuius le proprie generalità e il proprio domicilio fiscale.</w:t>
      </w:r>
    </w:p>
    <w:p w:rsidR="00AE77E4" w:rsidRPr="00413BE2" w:rsidRDefault="00AE77E4" w:rsidP="00AE77E4">
      <w:pPr>
        <w:pStyle w:val="NormaleWeb"/>
        <w:numPr>
          <w:ilvl w:val="1"/>
          <w:numId w:val="4"/>
        </w:numPr>
        <w:shd w:val="clear" w:color="auto" w:fill="FFFFFF"/>
        <w:spacing w:before="0" w:beforeAutospacing="0" w:after="204" w:afterAutospacing="0" w:line="380" w:lineRule="atLeast"/>
        <w:jc w:val="both"/>
        <w:rPr>
          <w:rFonts w:ascii="Arial" w:hAnsi="Arial" w:cs="Arial"/>
          <w:color w:val="5F5F5F"/>
        </w:rPr>
      </w:pP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B) In materia di Iva è previsto che gli obblighi fiscali derivanti da operazioni effettuate dal contribuente deceduto possono essere adempiuti dagli eredi entro tre mesi dalla morte.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C) Per quel che riguarda le altre imposte, non vi sono disposizioni specifiche, per cui si applicano i principi civilistici.</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D) Discusso è il problema se gli eredi subentrino al de cuius anche per quel che riguarda le sanzioni pecuniarie. La giurisprudenza è orientata in senso affermativo.</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E) Se vi è processo pendente, questo non si interrompe, ma i termini pendenti sono prorogati di 6 mesi a decorrere dalla morte.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Style w:val="Enfasigrassetto"/>
          <w:rFonts w:ascii="Arial" w:hAnsi="Arial" w:cs="Arial"/>
          <w:color w:val="5F5F5F"/>
        </w:rPr>
        <w:t>Il rappresentante fiscale</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Per le imposte sui redditi è previsto che le società e gli enti che non hanno la sede legale o amministrativa nel territorio dello Stato, devono indicare (al fisco) le generalità e l’indirizzo in Italia di un rappresentante per i rapporti tributari. Per l’Iva i non residenti che effettuino operazioni rilevanti ai fini del tributo nell’ambito del territorio dello Stato, possono nominare un rappresentante che provveda ad adempiere gli obblighi e ad esercitare i diritti derivanti dall’applicazione dell’imposta.</w:t>
      </w:r>
    </w:p>
    <w:p w:rsidR="00FD7CF4" w:rsidRPr="00413BE2" w:rsidRDefault="00FD7CF4" w:rsidP="00FD7CF4">
      <w:pPr>
        <w:pStyle w:val="NormaleWeb"/>
        <w:shd w:val="clear" w:color="auto" w:fill="FFFFFF"/>
        <w:spacing w:before="0" w:beforeAutospacing="0" w:after="204" w:afterAutospacing="0" w:line="380" w:lineRule="atLeast"/>
        <w:jc w:val="both"/>
        <w:rPr>
          <w:rFonts w:ascii="Arial" w:hAnsi="Arial" w:cs="Arial"/>
          <w:color w:val="5F5F5F"/>
        </w:rPr>
      </w:pPr>
      <w:r w:rsidRPr="00413BE2">
        <w:rPr>
          <w:rFonts w:ascii="Arial" w:hAnsi="Arial" w:cs="Arial"/>
          <w:color w:val="5F5F5F"/>
        </w:rPr>
        <w:t>Se non è nominato un rappresentante, i soggetti residenti che acquistino beni o servizi da non residenti debbono provvedere essi stessi agli adempimenti IVA (cosiddetta autofatturazione).</w:t>
      </w:r>
    </w:p>
    <w:p w:rsidR="00BB0B95" w:rsidRPr="00413BE2" w:rsidRDefault="00D05B94" w:rsidP="00BB0B95">
      <w:pPr>
        <w:pStyle w:val="NormaleWeb"/>
        <w:shd w:val="clear" w:color="auto" w:fill="FFFFFF"/>
        <w:spacing w:before="0" w:beforeAutospacing="0" w:after="136" w:afterAutospacing="0"/>
        <w:rPr>
          <w:rFonts w:ascii="Arial" w:hAnsi="Arial" w:cs="Arial"/>
          <w:color w:val="444444"/>
        </w:rPr>
      </w:pPr>
      <w:r w:rsidRPr="00413BE2">
        <w:rPr>
          <w:rFonts w:ascii="Arial" w:eastAsia="Arial Unicode MS" w:hAnsi="Arial" w:cs="Arial"/>
          <w:b/>
          <w:bCs/>
          <w:color w:val="0000FF"/>
        </w:rPr>
        <w:t> </w:t>
      </w:r>
      <w:r w:rsidR="00BB0B95" w:rsidRPr="00413BE2">
        <w:rPr>
          <w:rFonts w:ascii="Arial" w:hAnsi="Arial" w:cs="Arial"/>
          <w:color w:val="444444"/>
        </w:rPr>
        <w:t>L'obbligazione tributaria:</w:t>
      </w:r>
    </w:p>
    <w:p w:rsidR="00BB0B95" w:rsidRPr="00413BE2" w:rsidRDefault="00BB0B95" w:rsidP="00BB0B95">
      <w:pPr>
        <w:numPr>
          <w:ilvl w:val="0"/>
          <w:numId w:val="11"/>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lastRenderedPageBreak/>
        <w:t>è introdotta da una norma impositrice di diritto tributario sostanziale. L'applicazione del tributo, poi, è disciplinata con norme procedurali di diritto tributario formale;</w:t>
      </w:r>
    </w:p>
    <w:p w:rsidR="00BB0B95" w:rsidRPr="00413BE2" w:rsidRDefault="00BB0B95" w:rsidP="00BB0B95">
      <w:pPr>
        <w:numPr>
          <w:ilvl w:val="0"/>
          <w:numId w:val="11"/>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ha una disciplina propria nel diritto tributario, ma, in caso di lacune tecniche la disciplina del diritto tributario può essere integrata per analogia con le norme del codice civile. L'analogia, però, si ravvisa, può essere applicata solo alle norme procedurali, e non a quelle impositrici;</w:t>
      </w:r>
    </w:p>
    <w:p w:rsidR="00BB0B95" w:rsidRPr="00413BE2" w:rsidRDefault="00BB0B95" w:rsidP="00BB0B95">
      <w:pPr>
        <w:numPr>
          <w:ilvl w:val="0"/>
          <w:numId w:val="11"/>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è indisponibile. L'amministrazione finanziaria non può disporre come vuole dei crediti tributari e del potere impositivo. Pertanto, ad esempio, è nulla la clausola contrattuale con la quale il Comune rinuncia all'applicazione di un tributo;</w:t>
      </w:r>
    </w:p>
    <w:p w:rsidR="00BB0B95" w:rsidRPr="00413BE2" w:rsidRDefault="00BB0B95" w:rsidP="00BB0B95">
      <w:pPr>
        <w:numPr>
          <w:ilvl w:val="0"/>
          <w:numId w:val="11"/>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è una obbligazione di diritto pubblico. Pertanto non trae origine da un contratto ma da una legge o da un provvedimento dello Stato;</w:t>
      </w:r>
    </w:p>
    <w:p w:rsidR="00BB0B95" w:rsidRPr="00413BE2" w:rsidRDefault="00BB0B95" w:rsidP="00BB0B95">
      <w:pPr>
        <w:numPr>
          <w:ilvl w:val="0"/>
          <w:numId w:val="11"/>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è una obbligazione legale. Pertanto tutta la disciplina dell'obbligazione è stabilita dalla legge. A differenza delle obbligazioni di diritto privato, nulla della disciplina dell'obbligazione tributaria può essere determinato dalla volontà delle parti.</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BB0B95" w:rsidRPr="00413BE2" w:rsidRDefault="00BB0B95" w:rsidP="00BB0B95">
      <w:pPr>
        <w:shd w:val="clear" w:color="auto" w:fill="FFFFFF"/>
        <w:spacing w:after="136" w:line="240" w:lineRule="auto"/>
        <w:outlineLvl w:val="2"/>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Elementi dell’obbligazione tributaria</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L’obbligazione tributaria si compone di tre elementi essenziali:</w:t>
      </w:r>
    </w:p>
    <w:p w:rsidR="00BB0B95" w:rsidRPr="00413BE2" w:rsidRDefault="00BB0B95" w:rsidP="00BB0B95">
      <w:pPr>
        <w:numPr>
          <w:ilvl w:val="0"/>
          <w:numId w:val="12"/>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il presupposto impositivo;</w:t>
      </w:r>
    </w:p>
    <w:p w:rsidR="00BB0B95" w:rsidRPr="00413BE2" w:rsidRDefault="00BB0B95" w:rsidP="00BB0B95">
      <w:pPr>
        <w:numPr>
          <w:ilvl w:val="0"/>
          <w:numId w:val="12"/>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la base imponibile;</w:t>
      </w:r>
    </w:p>
    <w:p w:rsidR="00BB0B95" w:rsidRPr="00413BE2" w:rsidRDefault="00BB0B95" w:rsidP="00BB0B95">
      <w:pPr>
        <w:numPr>
          <w:ilvl w:val="0"/>
          <w:numId w:val="12"/>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 soggetti passivi d’imposta.</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BB0B95" w:rsidRPr="00413BE2" w:rsidRDefault="00BB0B95" w:rsidP="00BB0B95">
      <w:pPr>
        <w:shd w:val="clear" w:color="auto" w:fill="FFFFFF"/>
        <w:spacing w:before="136" w:after="136" w:line="272" w:lineRule="atLeast"/>
        <w:outlineLvl w:val="3"/>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Il presupposto impositivo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 presupposto impositivo (o più semplicemente presupposto d’imposta) si intende il fatto, o il complesso di fatti, al verificarsi dei quali si rende dovuto il tributo, ovvero sorge l’obbligazione tributaria.</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Ad esempio, nell’IRPEF il presupposto d’imposta è il possesso di un reddito.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Occorre tenere ben distinto il presupposto d'imposta (il fatto al verificarsi dei quale si rende dovuto il tributo) dall' oggetto dell'imposta, ossia il tipo di ricchezza colpita dal tributo (ad esempio il reddito, il patrimonio, il consumo ecc.).</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Così, ad esempio, si può affermare che l'oggetto dell'IRPEF è il reddito, mentre il suo presupposto è quell'insieme di fatti descritti nelle singole norme del TUIR, come la percezione di un interesse.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Allo stesso modo, l’oggetto dell’imposta di registro e dell’imposta sulle successioni è il patrimonio, il presupposto è il trasferimento di un bene.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Ed ancora, nel caso dell’IVA l’oggetto è il consumo di ricchezza, mentre il presupposto è la cessione di beni e/o servizi a titolo oneroso.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Tale distinzione non è così marcata in dottrina, tant’è che spesso i due termini vengono usati come sinonimi.</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BB0B95" w:rsidRPr="00413BE2" w:rsidRDefault="00BB0B95" w:rsidP="00BB0B95">
      <w:pPr>
        <w:shd w:val="clear" w:color="auto" w:fill="FFFFFF"/>
        <w:spacing w:before="136" w:after="136" w:line="272" w:lineRule="atLeast"/>
        <w:outlineLvl w:val="3"/>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Tassonomia dei tributi sulla base del presupposto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Sulla base del presupposto è possibile distinguere i tributi in:</w:t>
      </w:r>
    </w:p>
    <w:p w:rsidR="00BB0B95" w:rsidRPr="00413BE2" w:rsidRDefault="00BB0B95" w:rsidP="00BB0B95">
      <w:pPr>
        <w:numPr>
          <w:ilvl w:val="0"/>
          <w:numId w:val="13"/>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lastRenderedPageBreak/>
        <w:t>imposte dirette. Colpiscono una manifestazione diretta di capacità contributiva, come il reddito o il patrimonio;</w:t>
      </w:r>
    </w:p>
    <w:p w:rsidR="00BB0B95" w:rsidRPr="00413BE2" w:rsidRDefault="00BB0B95" w:rsidP="00BB0B95">
      <w:pPr>
        <w:numPr>
          <w:ilvl w:val="0"/>
          <w:numId w:val="13"/>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imposte indirette. Colpiscono una manifestazione indiretta di capacità contributiva, come il consumo, il trasferimento di un patrimonio e il compimento di un affare.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 imposte dirette possono essere altresì distinte in:</w:t>
      </w:r>
    </w:p>
    <w:p w:rsidR="00BB0B95" w:rsidRPr="00413BE2" w:rsidRDefault="00BB0B95" w:rsidP="00BB0B95">
      <w:pPr>
        <w:numPr>
          <w:ilvl w:val="0"/>
          <w:numId w:val="14"/>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personali. Nel calcolo dell'imposta assume rilievo qualche elemento che attiene alla persona del soggetto passivo;</w:t>
      </w:r>
    </w:p>
    <w:p w:rsidR="00BB0B95" w:rsidRPr="00413BE2" w:rsidRDefault="00BB0B95" w:rsidP="00BB0B95">
      <w:pPr>
        <w:numPr>
          <w:ilvl w:val="0"/>
          <w:numId w:val="14"/>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reali. Nel calcolo dell'imposta non assume rilievo qualche elemento che attiene alla persona del soggetto passivo.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Ad esempio, l’IRPEF è una imposta diretta personale, in quanto prevede deduzioni dal reddito e detrazioni d’imposta per fatti legati alla situazione personale del contribuente, come il sostenimento di spese mediche sostenute nel periodo d’imposta, o l’aver acceso un mutuo per l’acquisto di una abitazione.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Sempre sulla base del presupposto è possibile distinguere i tributi in:</w:t>
      </w:r>
    </w:p>
    <w:p w:rsidR="00BB0B95" w:rsidRPr="00413BE2" w:rsidRDefault="00BB0B95" w:rsidP="00BB0B95">
      <w:pPr>
        <w:numPr>
          <w:ilvl w:val="0"/>
          <w:numId w:val="15"/>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imposte istantanee. Hanno come presupposto fatti istantanei.  In particolare, per ogni singolo avvenimento, che ne forma il presupposto sorge una distinta ed unica obbligazione tributaria, cosicché la ripetizione del medesimo fatto dà origine ad una  nuova obbligazione;</w:t>
      </w:r>
    </w:p>
    <w:p w:rsidR="00BB0B95" w:rsidRPr="00413BE2" w:rsidRDefault="00BB0B95" w:rsidP="00BB0B95">
      <w:pPr>
        <w:numPr>
          <w:ilvl w:val="0"/>
          <w:numId w:val="15"/>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imposte periodiche. Hanno come presupposto un insieme di fatti che si verificano in un certo arco temporale, detto periodo d'imposta.</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ESEMPIO: Sono imposte istantanee l’imposta di registro che colpisce gli atti giuridici, o l’imposta sulle successioni che colpisce l’asse ereditario al momento della morte del de cuius. Diversamente, sono imposte periodiche l’IRPEF e l’IRES per le quali, nel calcolo dell’imposta dovuta, vengono considerati tutti i fatti descritti nel TUIR (come la percezione di un interesse) verificatesi nell’anno solare.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Con specifico riguardo alle imposte periodiche, due sono gli aspetti che meritano attenzione:</w:t>
      </w:r>
    </w:p>
    <w:p w:rsidR="00BB0B95" w:rsidRPr="00413BE2" w:rsidRDefault="00BB0B95" w:rsidP="00BB0B95">
      <w:pPr>
        <w:numPr>
          <w:ilvl w:val="0"/>
          <w:numId w:val="16"/>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 fatti che assumono rilievo in più periodi d’imposta;</w:t>
      </w:r>
    </w:p>
    <w:p w:rsidR="00BB0B95" w:rsidRPr="00413BE2" w:rsidRDefault="00BB0B95" w:rsidP="00BB0B95">
      <w:pPr>
        <w:numPr>
          <w:ilvl w:val="0"/>
          <w:numId w:val="16"/>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l’efficacia della modifica della disciplina.</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u w:val="single"/>
          <w:lang w:eastAsia="it-IT"/>
        </w:rPr>
        <w:t>Con riguardo al punto sub a</w:t>
      </w:r>
      <w:r w:rsidRPr="00413BE2">
        <w:rPr>
          <w:rFonts w:ascii="Arial" w:eastAsia="Times New Roman" w:hAnsi="Arial" w:cs="Arial"/>
          <w:color w:val="444444"/>
          <w:sz w:val="24"/>
          <w:szCs w:val="24"/>
          <w:lang w:eastAsia="it-IT"/>
        </w:rPr>
        <w:t>, occorre considerare che nel calcolo dell’imposta di un certo periodo possono assumere rilievo anche fatti avvenuti in altri periodi d’imposta se questi sono fatti ad efficacia pluriennale (in tema di reddito d’impresa, si pensi ai beni ammortizzabili) o fatti connessi con il periodo d’imposta in questione (in tema di reddito d’impresa, si pensi alle rimanenze finali di un periodo che sono anche le rimanenze iniziali di quello successivo).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u w:val="single"/>
          <w:lang w:eastAsia="it-IT"/>
        </w:rPr>
        <w:t>Con riguardo al punto sub b</w:t>
      </w:r>
      <w:r w:rsidRPr="00413BE2">
        <w:rPr>
          <w:rFonts w:ascii="Arial" w:eastAsia="Times New Roman" w:hAnsi="Arial" w:cs="Arial"/>
          <w:color w:val="444444"/>
          <w:sz w:val="24"/>
          <w:szCs w:val="24"/>
          <w:lang w:eastAsia="it-IT"/>
        </w:rPr>
        <w:t>, considerato che le norme tributarie, di regola, entrano in vigore e divengono efficaci a partire dal quindicesimo giorno successivo alla loro pubblicazione, allora nel caso delle imposte periodiche potrebbe esservi un cambio della disciplina tributaria proprio nel corso del periodo d’imposta, e ciò potrebbe causare problemi e difficoltà nel calcolo del tributo.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 evitare problemi nell’applicazione della nuova disciplina, lo statuto dei diritti del contribuente stabilisce che le modifiche della disciplina delle imposte periodiche “</w:t>
      </w:r>
      <w:r w:rsidRPr="00413BE2">
        <w:rPr>
          <w:rFonts w:ascii="Arial" w:eastAsia="Times New Roman" w:hAnsi="Arial" w:cs="Arial"/>
          <w:i/>
          <w:iCs/>
          <w:color w:val="444444"/>
          <w:sz w:val="24"/>
          <w:szCs w:val="24"/>
          <w:lang w:eastAsia="it-IT"/>
        </w:rPr>
        <w:t xml:space="preserve">si </w:t>
      </w:r>
      <w:r w:rsidRPr="00413BE2">
        <w:rPr>
          <w:rFonts w:ascii="Arial" w:eastAsia="Times New Roman" w:hAnsi="Arial" w:cs="Arial"/>
          <w:i/>
          <w:iCs/>
          <w:color w:val="444444"/>
          <w:sz w:val="24"/>
          <w:szCs w:val="24"/>
          <w:lang w:eastAsia="it-IT"/>
        </w:rPr>
        <w:lastRenderedPageBreak/>
        <w:t>applicano solo a partire dal periodo d’imposta successivo a quello in corso alla data di entrata in vigore delle disposizioni che le prevedono</w:t>
      </w:r>
      <w:r w:rsidRPr="00413BE2">
        <w:rPr>
          <w:rFonts w:ascii="Arial" w:eastAsia="Times New Roman" w:hAnsi="Arial" w:cs="Arial"/>
          <w:color w:val="444444"/>
          <w:sz w:val="24"/>
          <w:szCs w:val="24"/>
          <w:lang w:eastAsia="it-IT"/>
        </w:rPr>
        <w:t>”.</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 quanto visto in precedenza, nella disciplina di un tributo vi sono, da un lato, gli enunciati legislativi che definiscono la fattispecie tipica (il presupposto) e, dall’altro, vi sono (o possono esservi) disposizioni che ne ampliano o restringono l’area di applicabilità. In tal modo vengono a configurarsi delle fattispecie sostitutive, equiparate, supplementari, alternative e condizionali. Gli strumenti tecnici attraverso i quali vengono create queste nuove fattispecie sono tre:</w:t>
      </w:r>
    </w:p>
    <w:p w:rsidR="00BB0B95" w:rsidRPr="00413BE2" w:rsidRDefault="00BB0B95" w:rsidP="00BB0B95">
      <w:pPr>
        <w:numPr>
          <w:ilvl w:val="0"/>
          <w:numId w:val="17"/>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 agevolazioni;</w:t>
      </w:r>
    </w:p>
    <w:p w:rsidR="00BB0B95" w:rsidRPr="00413BE2" w:rsidRDefault="00BB0B95" w:rsidP="00BB0B95">
      <w:pPr>
        <w:numPr>
          <w:ilvl w:val="0"/>
          <w:numId w:val="17"/>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 esenzioni;</w:t>
      </w:r>
    </w:p>
    <w:p w:rsidR="00BB0B95" w:rsidRPr="00413BE2" w:rsidRDefault="00BB0B95" w:rsidP="00BB0B95">
      <w:pPr>
        <w:numPr>
          <w:ilvl w:val="0"/>
          <w:numId w:val="17"/>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 esclusioni.</w:t>
      </w:r>
    </w:p>
    <w:p w:rsidR="00BB0B95" w:rsidRPr="00413BE2" w:rsidRDefault="00BB0B95" w:rsidP="00BB0B95">
      <w:pPr>
        <w:shd w:val="clear" w:color="auto" w:fill="FFFFFF"/>
        <w:spacing w:before="136" w:after="136" w:line="272" w:lineRule="atLeast"/>
        <w:outlineLvl w:val="3"/>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BB0B95" w:rsidRPr="00413BE2" w:rsidRDefault="00BB0B95" w:rsidP="00BB0B95">
      <w:pPr>
        <w:shd w:val="clear" w:color="auto" w:fill="FFFFFF"/>
        <w:spacing w:before="136" w:after="136" w:line="272" w:lineRule="atLeast"/>
        <w:outlineLvl w:val="3"/>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a. agevolazioni o aiuti fiscali</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 agevolazioni sono norme che, in deroga a quanto previsto dalla disciplina ordinaria, riducono il peso dell’imposta. Le agevolazioni possono assumere la forma di:</w:t>
      </w:r>
    </w:p>
    <w:p w:rsidR="00BB0B95" w:rsidRPr="00413BE2" w:rsidRDefault="00BB0B95" w:rsidP="00BB0B95">
      <w:pPr>
        <w:numPr>
          <w:ilvl w:val="0"/>
          <w:numId w:val="18"/>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esenzioni;</w:t>
      </w:r>
    </w:p>
    <w:p w:rsidR="00BB0B95" w:rsidRPr="00413BE2" w:rsidRDefault="00BB0B95" w:rsidP="00BB0B95">
      <w:pPr>
        <w:numPr>
          <w:ilvl w:val="0"/>
          <w:numId w:val="18"/>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deduzioni dalla base imponibile;</w:t>
      </w:r>
      <w:r w:rsidRPr="00413BE2">
        <w:rPr>
          <w:rFonts w:ascii="Arial" w:eastAsia="Times New Roman" w:hAnsi="Arial" w:cs="Arial"/>
          <w:color w:val="444444"/>
          <w:sz w:val="24"/>
          <w:szCs w:val="24"/>
          <w:lang w:eastAsia="it-IT"/>
        </w:rPr>
        <w:sym w:font="Wingdings" w:char="F0E0"/>
      </w:r>
      <w:r w:rsidRPr="00413BE2">
        <w:rPr>
          <w:rFonts w:ascii="Arial" w:eastAsia="Times New Roman" w:hAnsi="Arial" w:cs="Arial"/>
          <w:color w:val="444444"/>
          <w:sz w:val="24"/>
          <w:szCs w:val="24"/>
          <w:lang w:eastAsia="it-IT"/>
        </w:rPr>
        <w:t xml:space="preserve">deduzioni: </w:t>
      </w:r>
      <w:r w:rsidRPr="00413BE2">
        <w:rPr>
          <w:rFonts w:ascii="Arial" w:hAnsi="Arial" w:cs="Arial"/>
          <w:color w:val="555555"/>
          <w:sz w:val="24"/>
          <w:szCs w:val="24"/>
          <w:shd w:val="clear" w:color="auto" w:fill="FFFFFF"/>
        </w:rPr>
        <w:t>la </w:t>
      </w:r>
      <w:r w:rsidRPr="00413BE2">
        <w:rPr>
          <w:rStyle w:val="Enfasigrassetto"/>
          <w:rFonts w:ascii="Arial" w:hAnsi="Arial" w:cs="Arial"/>
          <w:color w:val="555555"/>
          <w:sz w:val="24"/>
          <w:szCs w:val="24"/>
          <w:shd w:val="clear" w:color="auto" w:fill="FFFFFF"/>
        </w:rPr>
        <w:t>deduzione fiscale è un’agevolazione fiscale</w:t>
      </w:r>
      <w:r w:rsidRPr="00413BE2">
        <w:rPr>
          <w:rFonts w:ascii="Arial" w:hAnsi="Arial" w:cs="Arial"/>
          <w:color w:val="555555"/>
          <w:sz w:val="24"/>
          <w:szCs w:val="24"/>
          <w:shd w:val="clear" w:color="auto" w:fill="FFFFFF"/>
        </w:rPr>
        <w:t>. Le deduzioni svolgono un ruolo fondamentale: abbattono il reddito imponibile su cui viene calcolata l’aliquota IRPEF per il pagamento dei tributi. Gli oneri deducibili, quindi, operano direttamente sul reddito complessivo e servono per diminuire l’aliquota fiscale. Il </w:t>
      </w:r>
      <w:r w:rsidRPr="00413BE2">
        <w:rPr>
          <w:rStyle w:val="Enfasigrassetto"/>
          <w:rFonts w:ascii="Arial" w:hAnsi="Arial" w:cs="Arial"/>
          <w:color w:val="555555"/>
          <w:sz w:val="24"/>
          <w:szCs w:val="24"/>
          <w:shd w:val="clear" w:color="auto" w:fill="FFFFFF"/>
        </w:rPr>
        <w:t>reddito imponibile</w:t>
      </w:r>
      <w:r w:rsidRPr="00413BE2">
        <w:rPr>
          <w:rFonts w:ascii="Arial" w:hAnsi="Arial" w:cs="Arial"/>
          <w:color w:val="555555"/>
          <w:sz w:val="24"/>
          <w:szCs w:val="24"/>
          <w:shd w:val="clear" w:color="auto" w:fill="FFFFFF"/>
        </w:rPr>
        <w:t>, quindi, si compone di due fattori: il reddito complessivo (quanto si è guadagnato in un anno fiscale) meno gli oneri deducibili.</w:t>
      </w:r>
    </w:p>
    <w:p w:rsidR="00BB0B95" w:rsidRPr="00413BE2" w:rsidRDefault="00BB0B95" w:rsidP="00BB0B95">
      <w:pPr>
        <w:numPr>
          <w:ilvl w:val="0"/>
          <w:numId w:val="18"/>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detrazioni d’imposta;</w:t>
      </w:r>
      <w:r w:rsidRPr="00413BE2">
        <w:rPr>
          <w:rFonts w:ascii="Arial" w:eastAsia="Times New Roman" w:hAnsi="Arial" w:cs="Arial"/>
          <w:color w:val="444444"/>
          <w:sz w:val="24"/>
          <w:szCs w:val="24"/>
          <w:lang w:eastAsia="it-IT"/>
        </w:rPr>
        <w:sym w:font="Wingdings" w:char="F0E0"/>
      </w:r>
      <w:r w:rsidRPr="00413BE2">
        <w:rPr>
          <w:rFonts w:ascii="Arial" w:hAnsi="Arial" w:cs="Arial"/>
          <w:color w:val="555555"/>
          <w:sz w:val="24"/>
          <w:szCs w:val="24"/>
          <w:shd w:val="clear" w:color="auto" w:fill="FFFFFF"/>
        </w:rPr>
        <w:t xml:space="preserve"> La</w:t>
      </w:r>
      <w:r w:rsidRPr="00413BE2">
        <w:rPr>
          <w:rStyle w:val="Enfasigrassetto"/>
          <w:rFonts w:ascii="Arial" w:hAnsi="Arial" w:cs="Arial"/>
          <w:color w:val="555555"/>
          <w:sz w:val="24"/>
          <w:szCs w:val="24"/>
          <w:shd w:val="clear" w:color="auto" w:fill="FFFFFF"/>
        </w:rPr>
        <w:t> detrazione fiscale è una diminuzione dell’Irpef lorda</w:t>
      </w:r>
      <w:r w:rsidRPr="00413BE2">
        <w:rPr>
          <w:rFonts w:ascii="Arial" w:hAnsi="Arial" w:cs="Arial"/>
          <w:color w:val="555555"/>
          <w:sz w:val="24"/>
          <w:szCs w:val="24"/>
          <w:shd w:val="clear" w:color="auto" w:fill="FFFFFF"/>
        </w:rPr>
        <w:t> ottenuta dopo aver applicato l’aliquota al reddito imponibile. Come la deduzione fiscale si tratta di un’agevolazione fiscale, ma entra in gioco in un secondo momento, dopo che il reddito è stato già calcolato. In questo modo non è possibile diminuire l’aliquota su cui calcolare i tributi da pagare.</w:t>
      </w:r>
    </w:p>
    <w:p w:rsidR="0085217A" w:rsidRPr="00413BE2" w:rsidRDefault="0085217A" w:rsidP="0085217A">
      <w:pPr>
        <w:pStyle w:val="NormaleWeb"/>
        <w:shd w:val="clear" w:color="auto" w:fill="FFFFFF"/>
        <w:spacing w:before="0" w:after="0"/>
        <w:rPr>
          <w:rFonts w:ascii="Arial" w:hAnsi="Arial" w:cs="Arial"/>
          <w:color w:val="555555"/>
        </w:rPr>
      </w:pPr>
      <w:r w:rsidRPr="00413BE2">
        <w:rPr>
          <w:rFonts w:ascii="Arial" w:hAnsi="Arial" w:cs="Arial"/>
          <w:color w:val="555555"/>
          <w:shd w:val="clear" w:color="auto" w:fill="FFFFFF"/>
        </w:rPr>
        <w:t>Esempio</w:t>
      </w:r>
      <w:r w:rsidRPr="00413BE2">
        <w:rPr>
          <w:rFonts w:ascii="Arial" w:hAnsi="Arial" w:cs="Arial"/>
          <w:color w:val="555555"/>
          <w:shd w:val="clear" w:color="auto" w:fill="FFFFFF"/>
        </w:rPr>
        <w:sym w:font="Wingdings" w:char="F0E0"/>
      </w:r>
      <w:r w:rsidRPr="00413BE2">
        <w:rPr>
          <w:rFonts w:ascii="Arial" w:hAnsi="Arial" w:cs="Arial"/>
          <w:color w:val="555555"/>
          <w:shd w:val="clear" w:color="auto" w:fill="FFFFFF"/>
        </w:rPr>
        <w:t>Anna</w:t>
      </w:r>
      <w:r w:rsidRPr="00413BE2">
        <w:rPr>
          <w:rFonts w:ascii="Arial" w:hAnsi="Arial" w:cs="Arial"/>
          <w:color w:val="555555"/>
        </w:rPr>
        <w:t xml:space="preserve"> ha un </w:t>
      </w:r>
      <w:r w:rsidRPr="00413BE2">
        <w:rPr>
          <w:rStyle w:val="Enfasigrassetto"/>
          <w:rFonts w:ascii="Arial" w:hAnsi="Arial" w:cs="Arial"/>
          <w:color w:val="555555"/>
        </w:rPr>
        <w:t>reddito complessivo per il 2020 di 30.000 euro</w:t>
      </w:r>
      <w:r w:rsidRPr="00413BE2">
        <w:rPr>
          <w:rFonts w:ascii="Arial" w:hAnsi="Arial" w:cs="Arial"/>
          <w:color w:val="555555"/>
        </w:rPr>
        <w:t>. Senza nessuna deduzione o detrazione fiscale, rientrerebbe nel III scaglione dell’IRPEF con un’aliquota pari al 38% per un totale di 7.720 euro di tributi da pagare. Se ha oneri deducibili per 2.000 euro (ad esempio una pensione integrativa), il reddito imponibile si abbassa a 28.000 euro (30.000 – 2.000 euro), rientrando nei limiti del secondo scaglione dell’aliquota IRPEF pari al 27%. In questo modo i </w:t>
      </w:r>
      <w:r w:rsidRPr="00413BE2">
        <w:rPr>
          <w:rStyle w:val="Enfasigrassetto"/>
          <w:rFonts w:ascii="Arial" w:hAnsi="Arial" w:cs="Arial"/>
          <w:color w:val="555555"/>
        </w:rPr>
        <w:t>tributi da pagare scendono a 6.960 euro</w:t>
      </w:r>
      <w:r w:rsidRPr="00413BE2">
        <w:rPr>
          <w:rFonts w:ascii="Arial" w:hAnsi="Arial" w:cs="Arial"/>
          <w:color w:val="555555"/>
        </w:rPr>
        <w:t>.</w:t>
      </w:r>
    </w:p>
    <w:p w:rsidR="0085217A" w:rsidRPr="00413BE2" w:rsidRDefault="0085217A" w:rsidP="0085217A">
      <w:pPr>
        <w:pStyle w:val="NormaleWeb"/>
        <w:shd w:val="clear" w:color="auto" w:fill="FFFFFF"/>
        <w:spacing w:before="0" w:after="0"/>
        <w:rPr>
          <w:rFonts w:ascii="Arial" w:hAnsi="Arial" w:cs="Arial"/>
          <w:color w:val="555555"/>
        </w:rPr>
      </w:pPr>
      <w:r w:rsidRPr="00413BE2">
        <w:rPr>
          <w:rFonts w:ascii="Arial" w:hAnsi="Arial" w:cs="Arial"/>
          <w:color w:val="555555"/>
        </w:rPr>
        <w:t>Se oltre agli oneri deducibili, il signor Mario ha sostenuto nel corso del 2019 delle spese che gli permettono di ottenere detrazioni per 400 euro, </w:t>
      </w:r>
      <w:r w:rsidRPr="00413BE2">
        <w:rPr>
          <w:rStyle w:val="Enfasigrassetto"/>
          <w:rFonts w:ascii="Arial" w:hAnsi="Arial" w:cs="Arial"/>
          <w:color w:val="555555"/>
        </w:rPr>
        <w:t>l’IRPEF statale a suo carico è di 6.560 euro</w:t>
      </w:r>
      <w:r w:rsidRPr="00413BE2">
        <w:rPr>
          <w:rFonts w:ascii="Arial" w:hAnsi="Arial" w:cs="Arial"/>
          <w:color w:val="555555"/>
        </w:rPr>
        <w:t>, ossia 6960 – 400 euro.</w:t>
      </w:r>
    </w:p>
    <w:p w:rsidR="00BB0B95" w:rsidRPr="00413BE2" w:rsidRDefault="00BB0B95" w:rsidP="00BB0B95">
      <w:pPr>
        <w:numPr>
          <w:ilvl w:val="0"/>
          <w:numId w:val="18"/>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riduzione delle aliquote;</w:t>
      </w:r>
    </w:p>
    <w:p w:rsidR="00BB0B95" w:rsidRPr="00413BE2" w:rsidRDefault="00BB0B95" w:rsidP="00BB0B95">
      <w:pPr>
        <w:numPr>
          <w:ilvl w:val="0"/>
          <w:numId w:val="18"/>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regimi di differimento o sospensione dell’imposta;</w:t>
      </w:r>
    </w:p>
    <w:p w:rsidR="00BB0B95" w:rsidRPr="00413BE2" w:rsidRDefault="00BB0B95" w:rsidP="00BB0B95">
      <w:pPr>
        <w:numPr>
          <w:ilvl w:val="0"/>
          <w:numId w:val="18"/>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regimi sostitutivi;</w:t>
      </w:r>
    </w:p>
    <w:p w:rsidR="00BB0B95" w:rsidRPr="00413BE2" w:rsidRDefault="00BB0B95" w:rsidP="00BB0B95">
      <w:pPr>
        <w:numPr>
          <w:ilvl w:val="0"/>
          <w:numId w:val="18"/>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crediti d’imposta.</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p>
    <w:p w:rsidR="00BB0B95" w:rsidRPr="00413BE2" w:rsidRDefault="00BB0B95" w:rsidP="00BB0B95">
      <w:pPr>
        <w:shd w:val="clear" w:color="auto" w:fill="FFFFFF"/>
        <w:spacing w:before="136" w:after="136" w:line="272" w:lineRule="atLeast"/>
        <w:outlineLvl w:val="3"/>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b. Le esenzioni</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 esenzioni sono quelle norme tributarie che stabiliscono che una determinata fattispecie, di regola incisa da un tributo, non sia invece colpita dal suddetto tributo. </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Si osserva che ciò non implica automaticamente che la fattispecie non sia soggetta ad imposizione, ovvero che sia soggetta ad una imposizione inferiore. In seguito all’introduzione dell’esenzione può accadere che:</w:t>
      </w:r>
    </w:p>
    <w:p w:rsidR="00BB0B95" w:rsidRPr="00413BE2" w:rsidRDefault="00BB0B95" w:rsidP="00BB0B95">
      <w:pPr>
        <w:numPr>
          <w:ilvl w:val="0"/>
          <w:numId w:val="19"/>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la fattispecie non sia soggetta ad alcuna agevolazione;</w:t>
      </w:r>
    </w:p>
    <w:p w:rsidR="00BB0B95" w:rsidRPr="00413BE2" w:rsidRDefault="00BB0B95" w:rsidP="00BB0B95">
      <w:pPr>
        <w:numPr>
          <w:ilvl w:val="0"/>
          <w:numId w:val="19"/>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la fattispecie non sia soggetta al tributo per il quale è stata introdotta l’esenzione, ma sia soggetta ad altro tributo, magari più gravoso.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E' possibile distinguere le esenzioni in:</w:t>
      </w:r>
    </w:p>
    <w:p w:rsidR="00BB0B95" w:rsidRPr="00413BE2" w:rsidRDefault="00BB0B95" w:rsidP="00BB0B95">
      <w:pPr>
        <w:numPr>
          <w:ilvl w:val="0"/>
          <w:numId w:val="20"/>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temporanee;</w:t>
      </w:r>
    </w:p>
    <w:p w:rsidR="00BB0B95" w:rsidRPr="00413BE2" w:rsidRDefault="00BB0B95" w:rsidP="00BB0B95">
      <w:pPr>
        <w:numPr>
          <w:ilvl w:val="0"/>
          <w:numId w:val="20"/>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permanenti. Ad esempio le esenzioni concesse alle nuove imprese per un periodo di 10 anni.</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Altra distinzione è quella tra esenzioni:</w:t>
      </w:r>
    </w:p>
    <w:p w:rsidR="00BB0B95" w:rsidRPr="00413BE2" w:rsidRDefault="00BB0B95" w:rsidP="00BB0B95">
      <w:pPr>
        <w:numPr>
          <w:ilvl w:val="0"/>
          <w:numId w:val="21"/>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soggettive. Ad esempio l'esenzione dalla vecchia ICI per gli immobili posseduti dallo Stato;</w:t>
      </w:r>
    </w:p>
    <w:p w:rsidR="00BB0B95" w:rsidRPr="00413BE2" w:rsidRDefault="00BB0B95" w:rsidP="00BB0B95">
      <w:pPr>
        <w:numPr>
          <w:ilvl w:val="0"/>
          <w:numId w:val="21"/>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oggettive. Ad esempio l'esenzione dalla vecchia ICI di tutti i fabbricati classificati nelle categorie catastali da E1 a E9.</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Infine, si rileva che l’esenzione comporta l’esonero dell’obbligazione d’imposta, ma non da altri adempimenti: ad esempio, le esenzioni sull’IVA esonerano il soggetto passivo dal pagamento dell’imposta, ma non da altri adempimenti. Ed infatti, anche le operazioni esenti devono essere fatturate e contabilizzate.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BB0B95" w:rsidRPr="00413BE2" w:rsidRDefault="00BB0B95" w:rsidP="00BB0B95">
      <w:pPr>
        <w:shd w:val="clear" w:color="auto" w:fill="FFFFFF"/>
        <w:spacing w:before="136" w:after="136" w:line="272" w:lineRule="atLeast"/>
        <w:outlineLvl w:val="3"/>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 Le esclusioni</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L’esclusione è una norma che precisa il presupposto riducendone il confine di applicazione.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ESEMPIO: a fronte di una norma che prevede la imponibilità dei corrispettivi dei contratti di vendita, costituisce esclusione quella che prevede la non imponibilità dei corrispettivi per contratti di leasing.</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Quale è la differenza tra esenzione e esclusione?</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Le esclusioni costituiscono una deroga alla disciplina generale, mentre le esclusioni sono degli enunciati attraverso i quali il Legislatore chiarisce i limiti di applicabilità del tributo.</w:t>
      </w:r>
    </w:p>
    <w:p w:rsidR="00BB0B95" w:rsidRPr="00413BE2" w:rsidRDefault="00BB0B95" w:rsidP="00BB0B95">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La distinzione tra esenzione e esclusione assume rilievo prativo soprattutto nel calcolo delle imposte sui redditi. Ed infatti, nella disciplina del reddito d’impresa alcune plusvalenze sono, a certe condizioni, esenti da imposta. Il Legislatore precisa che le plusvalenze delle partecipazioni non sono tassate “in quanto esenti”, mentre gli utili da partecipazione (dividendi) non sono tassati “in quanto esclusi”. La distinzione non è priva di rilievo, perché i costi inerenti i proventi esclusi sono deducibili, ed all’opposto, i costi inerenti i proventi esenti non sono deducibili. Per cui:</w:t>
      </w:r>
    </w:p>
    <w:p w:rsidR="00BB0B95" w:rsidRPr="00413BE2" w:rsidRDefault="00BB0B95" w:rsidP="00BB0B95">
      <w:pPr>
        <w:numPr>
          <w:ilvl w:val="0"/>
          <w:numId w:val="22"/>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lastRenderedPageBreak/>
        <w:t>i costi connessi alla gestione delle partecipazioni sono pienamente deducibili in quanto afferenti a proventi esclusi dalla base imponibile;</w:t>
      </w:r>
    </w:p>
    <w:p w:rsidR="00BB0B95" w:rsidRPr="00413BE2" w:rsidRDefault="00BB0B95" w:rsidP="00BB0B95">
      <w:pPr>
        <w:numPr>
          <w:ilvl w:val="0"/>
          <w:numId w:val="22"/>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 costi connessi alla cessione della partecipazione non sono deducibili in quanto relativi a proventi esenti.</w:t>
      </w:r>
    </w:p>
    <w:p w:rsidR="00D05B94" w:rsidRPr="00413BE2" w:rsidRDefault="0085217A" w:rsidP="00385002">
      <w:pPr>
        <w:pStyle w:val="NormaleWeb"/>
        <w:rPr>
          <w:rFonts w:ascii="Arial" w:eastAsia="Arial Unicode MS" w:hAnsi="Arial" w:cs="Arial"/>
          <w:color w:val="000080"/>
        </w:rPr>
      </w:pPr>
      <w:r w:rsidRPr="00413BE2">
        <w:rPr>
          <w:rFonts w:ascii="Arial" w:eastAsia="Arial Unicode MS" w:hAnsi="Arial" w:cs="Arial"/>
          <w:color w:val="000080"/>
        </w:rPr>
        <w:t>BASE IMPONIBILE</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La base imponibile è la grandezza su cui viene calcolato il tributo. La base imponibile può essere una grandezza:</w:t>
      </w:r>
    </w:p>
    <w:p w:rsidR="0085217A" w:rsidRPr="00413BE2" w:rsidRDefault="0085217A" w:rsidP="0085217A">
      <w:pPr>
        <w:numPr>
          <w:ilvl w:val="0"/>
          <w:numId w:val="23"/>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monetaria. Nel caso delle imposte sul reddito la base imponibile è ciò che residua dopo aver applicato al reddito lordo tutte le deduzioni e riduzioni previste; nel caso della Tasi (tassa sugli immobili) la base imponibile è un multiplo della rendita catastale rivalutata;</w:t>
      </w:r>
    </w:p>
    <w:p w:rsidR="0085217A" w:rsidRPr="00413BE2" w:rsidRDefault="0085217A" w:rsidP="0085217A">
      <w:pPr>
        <w:numPr>
          <w:ilvl w:val="0"/>
          <w:numId w:val="23"/>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non monetaria. Nel caso delle imposte di fabbricazione o accise la base imponibile è costituita dalle unità di prodotto; l’imposta sulla pubblicità ha come base imponibile il mezzo pubblicitario (ad esempio il cartellone stradale), misurato in base alle sue dimensioni o caratteristiche.</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85217A" w:rsidRPr="00413BE2" w:rsidRDefault="0085217A" w:rsidP="0085217A">
      <w:pPr>
        <w:shd w:val="clear" w:color="auto" w:fill="FFFFFF"/>
        <w:spacing w:after="136" w:line="240" w:lineRule="auto"/>
        <w:outlineLvl w:val="2"/>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Il tasso</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Il tributo può essere dovuto in misura:</w:t>
      </w:r>
    </w:p>
    <w:p w:rsidR="0085217A" w:rsidRPr="00413BE2" w:rsidRDefault="0085217A" w:rsidP="0085217A">
      <w:pPr>
        <w:numPr>
          <w:ilvl w:val="0"/>
          <w:numId w:val="24"/>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fissa. È il caso:</w:t>
      </w:r>
    </w:p>
    <w:p w:rsidR="0085217A" w:rsidRPr="00413BE2" w:rsidRDefault="0085217A" w:rsidP="0085217A">
      <w:pPr>
        <w:numPr>
          <w:ilvl w:val="1"/>
          <w:numId w:val="24"/>
        </w:numPr>
        <w:shd w:val="clear" w:color="auto" w:fill="FFFFFF"/>
        <w:spacing w:before="100" w:beforeAutospacing="1" w:after="100" w:afterAutospacing="1" w:line="272" w:lineRule="atLeast"/>
        <w:ind w:left="68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dell’imposta fissa di registro, dovuta in una certa misura per ogni atto che si intende registrare;</w:t>
      </w:r>
    </w:p>
    <w:p w:rsidR="0085217A" w:rsidRPr="00413BE2" w:rsidRDefault="0085217A" w:rsidP="0085217A">
      <w:pPr>
        <w:numPr>
          <w:ilvl w:val="1"/>
          <w:numId w:val="24"/>
        </w:numPr>
        <w:shd w:val="clear" w:color="auto" w:fill="FFFFFF"/>
        <w:spacing w:before="100" w:beforeAutospacing="1" w:after="100" w:afterAutospacing="1" w:line="272" w:lineRule="atLeast"/>
        <w:ind w:left="68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imposta di bollo;</w:t>
      </w:r>
    </w:p>
    <w:p w:rsidR="0085217A" w:rsidRPr="00413BE2" w:rsidRDefault="0085217A" w:rsidP="0085217A">
      <w:pPr>
        <w:numPr>
          <w:ilvl w:val="1"/>
          <w:numId w:val="24"/>
        </w:numPr>
        <w:shd w:val="clear" w:color="auto" w:fill="FFFFFF"/>
        <w:spacing w:before="100" w:beforeAutospacing="1" w:after="100" w:afterAutospacing="1" w:line="272" w:lineRule="atLeast"/>
        <w:ind w:left="68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tasse su concessione governativa, come la tassa sul passaporto, la tassa di caccia e pesca, la tassa sul porto d’armi.</w:t>
      </w:r>
    </w:p>
    <w:p w:rsidR="0085217A" w:rsidRPr="00413BE2" w:rsidRDefault="0085217A" w:rsidP="0085217A">
      <w:pPr>
        <w:numPr>
          <w:ilvl w:val="0"/>
          <w:numId w:val="24"/>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variabile. In tal caso per ottenere il tributo sarà applicato un tasso alla base imponibile. Nel caso in cui la base imponibile è monetaria il tasso sarà costituito da una aliquota che potrà essere:</w:t>
      </w:r>
    </w:p>
    <w:p w:rsidR="0085217A" w:rsidRPr="00413BE2" w:rsidRDefault="0085217A" w:rsidP="0085217A">
      <w:pPr>
        <w:numPr>
          <w:ilvl w:val="1"/>
          <w:numId w:val="24"/>
        </w:numPr>
        <w:shd w:val="clear" w:color="auto" w:fill="FFFFFF"/>
        <w:spacing w:before="100" w:beforeAutospacing="1" w:after="100" w:afterAutospacing="1" w:line="272" w:lineRule="atLeast"/>
        <w:ind w:left="68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fissa. In tal caso l’aliquota non varia al variare della base imponibile. È il caso dell’imposta di registro nel caso della compravendita di immobili;</w:t>
      </w:r>
    </w:p>
    <w:p w:rsidR="0085217A" w:rsidRPr="00413BE2" w:rsidRDefault="0085217A" w:rsidP="0085217A">
      <w:pPr>
        <w:numPr>
          <w:ilvl w:val="1"/>
          <w:numId w:val="24"/>
        </w:numPr>
        <w:shd w:val="clear" w:color="auto" w:fill="FFFFFF"/>
        <w:spacing w:before="100" w:beforeAutospacing="1" w:after="100" w:afterAutospacing="1" w:line="272" w:lineRule="atLeast"/>
        <w:ind w:left="68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progressiva. In tal caso l’aliquota aumenta al crescere della base imponibile. È possibile distinguere una progressività:</w:t>
      </w:r>
    </w:p>
    <w:p w:rsidR="0085217A" w:rsidRPr="00413BE2" w:rsidRDefault="0085217A" w:rsidP="0085217A">
      <w:pPr>
        <w:numPr>
          <w:ilvl w:val="2"/>
          <w:numId w:val="24"/>
        </w:numPr>
        <w:shd w:val="clear" w:color="auto" w:fill="FFFFFF"/>
        <w:spacing w:before="100" w:beforeAutospacing="1" w:after="100" w:afterAutospacing="1" w:line="272" w:lineRule="atLeast"/>
        <w:ind w:left="102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 classi;</w:t>
      </w:r>
    </w:p>
    <w:p w:rsidR="0085217A" w:rsidRPr="00413BE2" w:rsidRDefault="0085217A" w:rsidP="0085217A">
      <w:pPr>
        <w:numPr>
          <w:ilvl w:val="2"/>
          <w:numId w:val="24"/>
        </w:numPr>
        <w:shd w:val="clear" w:color="auto" w:fill="FFFFFF"/>
        <w:spacing w:before="100" w:beforeAutospacing="1" w:after="100" w:afterAutospacing="1" w:line="272" w:lineRule="atLeast"/>
        <w:ind w:left="102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xml:space="preserve">per scaglioni. Ad esempio, nell’IRPEF è adottata una progressività per scaglioni, ad ogni scaglione di reddito corrisponde una aliquota via </w:t>
      </w:r>
      <w:proofErr w:type="spellStart"/>
      <w:r w:rsidRPr="00413BE2">
        <w:rPr>
          <w:rFonts w:ascii="Arial" w:eastAsia="Times New Roman" w:hAnsi="Arial" w:cs="Arial"/>
          <w:color w:val="444444"/>
          <w:sz w:val="24"/>
          <w:szCs w:val="24"/>
          <w:lang w:eastAsia="it-IT"/>
        </w:rPr>
        <w:t>via</w:t>
      </w:r>
      <w:proofErr w:type="spellEnd"/>
      <w:r w:rsidRPr="00413BE2">
        <w:rPr>
          <w:rFonts w:ascii="Arial" w:eastAsia="Times New Roman" w:hAnsi="Arial" w:cs="Arial"/>
          <w:color w:val="444444"/>
          <w:sz w:val="24"/>
          <w:szCs w:val="24"/>
          <w:lang w:eastAsia="it-IT"/>
        </w:rPr>
        <w:t xml:space="preserve"> crescente;</w:t>
      </w:r>
    </w:p>
    <w:p w:rsidR="0085217A" w:rsidRPr="00413BE2" w:rsidRDefault="0085217A" w:rsidP="0085217A">
      <w:pPr>
        <w:numPr>
          <w:ilvl w:val="2"/>
          <w:numId w:val="24"/>
        </w:numPr>
        <w:shd w:val="clear" w:color="auto" w:fill="FFFFFF"/>
        <w:spacing w:before="100" w:beforeAutospacing="1" w:after="100" w:afterAutospacing="1" w:line="272" w:lineRule="atLeast"/>
        <w:ind w:left="102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continua;</w:t>
      </w:r>
    </w:p>
    <w:p w:rsidR="0085217A" w:rsidRPr="00413BE2" w:rsidRDefault="0085217A" w:rsidP="0085217A">
      <w:pPr>
        <w:numPr>
          <w:ilvl w:val="2"/>
          <w:numId w:val="24"/>
        </w:numPr>
        <w:shd w:val="clear" w:color="auto" w:fill="FFFFFF"/>
        <w:spacing w:before="100" w:beforeAutospacing="1" w:after="100" w:afterAutospacing="1" w:line="272" w:lineRule="atLeast"/>
        <w:ind w:left="102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 detrazione.</w:t>
      </w:r>
    </w:p>
    <w:p w:rsidR="0085217A" w:rsidRPr="00413BE2" w:rsidRDefault="0085217A" w:rsidP="0085217A">
      <w:pPr>
        <w:numPr>
          <w:ilvl w:val="1"/>
          <w:numId w:val="24"/>
        </w:numPr>
        <w:shd w:val="clear" w:color="auto" w:fill="FFFFFF"/>
        <w:spacing w:before="100" w:beforeAutospacing="1" w:after="100" w:afterAutospacing="1" w:line="272" w:lineRule="atLeast"/>
        <w:ind w:left="68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regressiva. In tal l’aliquota diminuisce al crescere della base imponibile;</w:t>
      </w:r>
    </w:p>
    <w:p w:rsidR="0085217A" w:rsidRPr="00413BE2" w:rsidRDefault="0085217A" w:rsidP="0085217A">
      <w:pPr>
        <w:numPr>
          <w:ilvl w:val="1"/>
          <w:numId w:val="24"/>
        </w:numPr>
        <w:shd w:val="clear" w:color="auto" w:fill="FFFFFF"/>
        <w:spacing w:before="100" w:beforeAutospacing="1" w:after="100" w:afterAutospacing="1" w:line="272" w:lineRule="atLeast"/>
        <w:ind w:left="68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graduale. In tal caso la base imponibile è divisa in più “gradi”, ad ognuno dei quali è applicata una diversa aliquota.</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 </w:t>
      </w:r>
    </w:p>
    <w:p w:rsidR="0085217A" w:rsidRPr="00413BE2" w:rsidRDefault="0085217A" w:rsidP="0085217A">
      <w:pPr>
        <w:shd w:val="clear" w:color="auto" w:fill="FFFFFF"/>
        <w:spacing w:after="136" w:line="240" w:lineRule="auto"/>
        <w:outlineLvl w:val="2"/>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Credito d’imposta</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Dall’applicazione dell’aliquota alla base imponibile ne deriverà la misura del tributo, e cioè un debito di natura tributaria da parte del contribuente.</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lastRenderedPageBreak/>
        <w:t>In realtà potrebbe anche accadere che il contribuente vanti un credito nei confronti dell’Amministrazione finanziaria.  È possibile distinguere diverse ipotesi generatrici crediti d’imposta:</w:t>
      </w:r>
    </w:p>
    <w:p w:rsidR="0085217A" w:rsidRPr="00413BE2" w:rsidRDefault="0085217A" w:rsidP="0085217A">
      <w:pPr>
        <w:numPr>
          <w:ilvl w:val="0"/>
          <w:numId w:val="25"/>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crediti d'imposta accordati per motivi di tecnica tributaria, ossia per porre rimedio a fenomeni di doppia imposizione. È il caso del credito d’imposta riconosciuto a coloro che percepiscono un credito di fonte estera. In tal caso il credito d’imposta serve ad evitare che al soggetto venga applicata sia l’imposta nazionale che quella estera;</w:t>
      </w:r>
    </w:p>
    <w:p w:rsidR="0085217A" w:rsidRPr="00413BE2" w:rsidRDefault="0085217A" w:rsidP="0085217A">
      <w:pPr>
        <w:numPr>
          <w:ilvl w:val="0"/>
          <w:numId w:val="25"/>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crediti accordati per ragioni extra-fiscali. Si tratta in pratica di finanziamenti, di cui i beneficiari fruiscono sotto forma di crediti d’imposta e con cui vanno a compensare i debiti d’imposta. Negli ultimi anni sono stati riconosciuti crediti d’imposta a chi effettua investimenti nelle aree svantaggiate, ed anche alle piccole e medie imprese che assumono dipendenti;</w:t>
      </w:r>
    </w:p>
    <w:p w:rsidR="0085217A" w:rsidRPr="00413BE2" w:rsidRDefault="0085217A" w:rsidP="0085217A">
      <w:pPr>
        <w:numPr>
          <w:ilvl w:val="0"/>
          <w:numId w:val="25"/>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crediti accordati nei casi in cui il contribuente</w:t>
      </w:r>
      <w:r w:rsidR="00C042BF" w:rsidRPr="00413BE2">
        <w:rPr>
          <w:rFonts w:ascii="Arial" w:eastAsia="Times New Roman" w:hAnsi="Arial" w:cs="Arial"/>
          <w:color w:val="444444"/>
          <w:sz w:val="24"/>
          <w:szCs w:val="24"/>
          <w:lang w:eastAsia="it-IT"/>
        </w:rPr>
        <w:t xml:space="preserve"> h</w:t>
      </w:r>
      <w:r w:rsidRPr="00413BE2">
        <w:rPr>
          <w:rFonts w:ascii="Arial" w:eastAsia="Times New Roman" w:hAnsi="Arial" w:cs="Arial"/>
          <w:color w:val="444444"/>
          <w:sz w:val="24"/>
          <w:szCs w:val="24"/>
          <w:lang w:eastAsia="it-IT"/>
        </w:rPr>
        <w:t>a pagato più tributi del dovuto;</w:t>
      </w:r>
    </w:p>
    <w:p w:rsidR="0085217A" w:rsidRPr="00413BE2" w:rsidRDefault="0085217A" w:rsidP="00C042BF">
      <w:pPr>
        <w:pStyle w:val="Titolo3"/>
        <w:rPr>
          <w:rFonts w:ascii="Arial" w:hAnsi="Arial" w:cs="Arial"/>
          <w:sz w:val="24"/>
          <w:szCs w:val="24"/>
        </w:rPr>
      </w:pPr>
      <w:r w:rsidRPr="00413BE2">
        <w:rPr>
          <w:rFonts w:ascii="Arial" w:hAnsi="Arial" w:cs="Arial"/>
          <w:sz w:val="24"/>
          <w:szCs w:val="24"/>
        </w:rPr>
        <w:t>crediti riconosciuti in seguito all’applicazione delle norme tributarie. È il caso dell’impresa nella quale l’IVA sugli acquisti supera quella sulle vendite.</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Nell'ambito dei crediti d'imposta occorre distinguere i crediti :</w:t>
      </w:r>
    </w:p>
    <w:p w:rsidR="0085217A" w:rsidRPr="00413BE2" w:rsidRDefault="0085217A" w:rsidP="0085217A">
      <w:pPr>
        <w:numPr>
          <w:ilvl w:val="0"/>
          <w:numId w:val="26"/>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rimborsabili;</w:t>
      </w:r>
    </w:p>
    <w:p w:rsidR="0085217A" w:rsidRPr="00413BE2" w:rsidRDefault="0085217A" w:rsidP="0085217A">
      <w:pPr>
        <w:numPr>
          <w:ilvl w:val="0"/>
          <w:numId w:val="26"/>
        </w:numPr>
        <w:shd w:val="clear" w:color="auto" w:fill="FFFFFF"/>
        <w:spacing w:before="100" w:beforeAutospacing="1" w:after="100" w:afterAutospacing="1" w:line="272" w:lineRule="atLeast"/>
        <w:ind w:left="340"/>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non rimborsabili. In tal caso al contribuente è riconosciuta la possibilità di utilizzare il credito per compensare eventuali debiti d'imposta presenti o futuri.</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Per vedersi riconosciuto il credito d’imposta, di regola, questo dovrà essere indicato nella dichiarazione dei redditi, altrimenti il contribuente decade dal diritto di far valere il credito;</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vi sono però anche crediti d’imposta per i quali deve essere presentata apposita istanza.</w:t>
      </w:r>
    </w:p>
    <w:p w:rsidR="0085217A" w:rsidRPr="00413BE2" w:rsidRDefault="0085217A" w:rsidP="0085217A">
      <w:pPr>
        <w:shd w:val="clear" w:color="auto" w:fill="FFFFFF"/>
        <w:spacing w:after="136" w:line="240" w:lineRule="auto"/>
        <w:rPr>
          <w:rFonts w:ascii="Arial" w:eastAsia="Times New Roman" w:hAnsi="Arial" w:cs="Arial"/>
          <w:color w:val="444444"/>
          <w:sz w:val="24"/>
          <w:szCs w:val="24"/>
          <w:lang w:eastAsia="it-IT"/>
        </w:rPr>
      </w:pPr>
      <w:r w:rsidRPr="00413BE2">
        <w:rPr>
          <w:rFonts w:ascii="Arial" w:eastAsia="Times New Roman" w:hAnsi="Arial" w:cs="Arial"/>
          <w:color w:val="444444"/>
          <w:sz w:val="24"/>
          <w:szCs w:val="24"/>
          <w:lang w:eastAsia="it-IT"/>
        </w:rPr>
        <w:t>I crediti d’imposta possono essere oggetto di cessione, ma la cessione dev’essere stipulata con atto pubblico o scrittura privata autenticata, e dev’essere notificata all’ente pubblico cui spetta ordinare il pagamento.</w:t>
      </w:r>
    </w:p>
    <w:p w:rsidR="0085217A" w:rsidRPr="00413BE2" w:rsidRDefault="0085217A" w:rsidP="00385002">
      <w:pPr>
        <w:pStyle w:val="NormaleWeb"/>
        <w:rPr>
          <w:rFonts w:ascii="Arial" w:eastAsia="Arial Unicode MS" w:hAnsi="Arial" w:cs="Arial"/>
          <w:color w:val="000080"/>
        </w:rPr>
      </w:pPr>
      <w:r w:rsidRPr="00413BE2">
        <w:rPr>
          <w:rFonts w:ascii="Arial" w:eastAsia="Arial Unicode MS" w:hAnsi="Arial" w:cs="Arial"/>
          <w:color w:val="000080"/>
        </w:rPr>
        <w:t>ALIQUOTA</w:t>
      </w:r>
    </w:p>
    <w:p w:rsidR="0085217A" w:rsidRPr="00413BE2" w:rsidRDefault="0085217A" w:rsidP="00385002">
      <w:pPr>
        <w:pStyle w:val="NormaleWeb"/>
        <w:rPr>
          <w:rFonts w:ascii="Arial" w:hAnsi="Arial" w:cs="Arial"/>
          <w:color w:val="202124"/>
          <w:shd w:val="clear" w:color="auto" w:fill="FFFFFF"/>
        </w:rPr>
      </w:pPr>
      <w:r w:rsidRPr="00413BE2">
        <w:rPr>
          <w:rFonts w:ascii="Arial" w:hAnsi="Arial" w:cs="Arial"/>
          <w:b/>
          <w:bCs/>
          <w:color w:val="202124"/>
          <w:shd w:val="clear" w:color="auto" w:fill="FFFFFF"/>
        </w:rPr>
        <w:t>aliquota</w:t>
      </w:r>
      <w:r w:rsidRPr="00413BE2">
        <w:rPr>
          <w:rFonts w:ascii="Arial" w:hAnsi="Arial" w:cs="Arial"/>
          <w:color w:val="202124"/>
          <w:shd w:val="clear" w:color="auto" w:fill="FFFFFF"/>
        </w:rPr>
        <w:t> (o quota parte) Tasso che deve essere applicato alla base imponibile ai fini del calcolo dell'imposta., cioè rappresenta il rapporto tra l’importo dell’imposta e la abse imponibile</w:t>
      </w:r>
    </w:p>
    <w:p w:rsidR="0085217A" w:rsidRPr="00413BE2" w:rsidRDefault="0085217A" w:rsidP="00385002">
      <w:pPr>
        <w:pStyle w:val="NormaleWeb"/>
        <w:rPr>
          <w:rFonts w:ascii="Arial" w:hAnsi="Arial" w:cs="Arial"/>
          <w:color w:val="212529"/>
          <w:shd w:val="clear" w:color="auto" w:fill="FFFFFF"/>
        </w:rPr>
      </w:pPr>
      <w:r w:rsidRPr="00413BE2">
        <w:rPr>
          <w:rFonts w:ascii="Arial" w:hAnsi="Arial" w:cs="Arial"/>
          <w:color w:val="202124"/>
          <w:shd w:val="clear" w:color="auto" w:fill="FFFFFF"/>
        </w:rPr>
        <w:t xml:space="preserve"> </w:t>
      </w:r>
      <w:r w:rsidRPr="00413BE2">
        <w:rPr>
          <w:rFonts w:ascii="Arial" w:hAnsi="Arial" w:cs="Arial"/>
          <w:color w:val="212529"/>
          <w:shd w:val="clear" w:color="auto" w:fill="FFFFFF"/>
        </w:rPr>
        <w:t>la sovrimposta è l’imposta che ha come base imponibile la base imponibile di un’altra</w:t>
      </w:r>
    </w:p>
    <w:p w:rsidR="0085217A" w:rsidRPr="00413BE2" w:rsidRDefault="0085217A" w:rsidP="002D6262">
      <w:pPr>
        <w:pStyle w:val="NormaleWeb"/>
        <w:rPr>
          <w:rFonts w:ascii="Arial" w:hAnsi="Arial" w:cs="Arial"/>
          <w:color w:val="212529"/>
          <w:shd w:val="clear" w:color="auto" w:fill="FFFFFF"/>
        </w:rPr>
      </w:pPr>
      <w:r w:rsidRPr="00413BE2">
        <w:rPr>
          <w:rFonts w:ascii="Arial" w:hAnsi="Arial" w:cs="Arial"/>
          <w:color w:val="212529"/>
          <w:shd w:val="clear" w:color="auto" w:fill="FFFFFF"/>
        </w:rPr>
        <w:t xml:space="preserve"> l’addizionale è invece un’imposta calcolata non sulla base imponibile di un’altra imposta, ma direttamente su quest’ultima.</w:t>
      </w: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t xml:space="preserve">La sovraimposta </w:t>
      </w:r>
      <w:r w:rsidRPr="00413BE2">
        <w:rPr>
          <w:rFonts w:ascii="Arial" w:eastAsia="Times New Roman" w:hAnsi="Arial" w:cs="Arial"/>
          <w:color w:val="1F497D"/>
          <w:spacing w:val="1"/>
          <w:sz w:val="24"/>
          <w:szCs w:val="24"/>
          <w:lang w:eastAsia="it-IT"/>
        </w:rPr>
        <w:t xml:space="preserve">è </w:t>
      </w:r>
      <w:r w:rsidRPr="00413BE2">
        <w:rPr>
          <w:rFonts w:ascii="Arial" w:eastAsia="Times New Roman" w:hAnsi="Arial" w:cs="Arial"/>
          <w:color w:val="1F497D"/>
          <w:sz w:val="24"/>
          <w:szCs w:val="24"/>
          <w:lang w:eastAsia="it-IT"/>
        </w:rPr>
        <w:t xml:space="preserve">il prelievo aggiuntivo, ed è commisurato alla stessa </w:t>
      </w:r>
      <w:r w:rsidRPr="00413BE2">
        <w:rPr>
          <w:rFonts w:ascii="Arial" w:eastAsia="Times New Roman" w:hAnsi="Arial" w:cs="Arial"/>
          <w:color w:val="FF0000"/>
          <w:sz w:val="24"/>
          <w:szCs w:val="24"/>
          <w:lang w:eastAsia="it-IT"/>
        </w:rPr>
        <w:t>base imponibile</w:t>
      </w:r>
      <w:r w:rsidRPr="00413BE2">
        <w:rPr>
          <w:rFonts w:ascii="Arial" w:eastAsia="Times New Roman" w:hAnsi="Arial" w:cs="Arial"/>
          <w:color w:val="1F497D"/>
          <w:sz w:val="24"/>
          <w:szCs w:val="24"/>
          <w:lang w:eastAsia="it-IT"/>
        </w:rPr>
        <w:t xml:space="preserve"> </w:t>
      </w: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t xml:space="preserve">dell'imposta. </w:t>
      </w: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t xml:space="preserve">esempio :se l'imposta è di 30 e l'aliquota è del 10% ,pagherà 30 ma si aggiunge a questa </w:t>
      </w: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t>un'imposta del 2% ,il soggetto paga 30 di imposta e 6 di sovraimposta</w:t>
      </w: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t xml:space="preserve">L'addizionale si ha quando il prelievo aggiuntivo è commisurato </w:t>
      </w:r>
      <w:r w:rsidRPr="00413BE2">
        <w:rPr>
          <w:rFonts w:ascii="Arial" w:eastAsia="Times New Roman" w:hAnsi="Arial" w:cs="Arial"/>
          <w:color w:val="FF0000"/>
          <w:sz w:val="24"/>
          <w:szCs w:val="24"/>
          <w:lang w:eastAsia="it-IT"/>
        </w:rPr>
        <w:t>all'imposta stessa</w:t>
      </w:r>
      <w:r w:rsidRPr="00413BE2">
        <w:rPr>
          <w:rFonts w:ascii="Arial" w:eastAsia="Times New Roman" w:hAnsi="Arial" w:cs="Arial"/>
          <w:color w:val="1F497D"/>
          <w:sz w:val="24"/>
          <w:szCs w:val="24"/>
          <w:lang w:eastAsia="it-IT"/>
        </w:rPr>
        <w:t xml:space="preserve">, non alla base </w:t>
      </w: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t xml:space="preserve">imponibile . </w:t>
      </w:r>
    </w:p>
    <w:p w:rsidR="002D6262" w:rsidRPr="00413BE2" w:rsidRDefault="002D6262" w:rsidP="002D6262">
      <w:pPr>
        <w:shd w:val="clear" w:color="auto" w:fill="FFFFFF"/>
        <w:spacing w:after="0" w:line="24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lastRenderedPageBreak/>
        <w:t xml:space="preserve">Esempio: la base imponibile è di 200, l'imposta del 10%, l'addizionale del 10% .il soggetto paga 20 </w:t>
      </w:r>
    </w:p>
    <w:p w:rsidR="002D6262" w:rsidRPr="00413BE2" w:rsidRDefault="002D6262" w:rsidP="002D6262">
      <w:pPr>
        <w:shd w:val="clear" w:color="auto" w:fill="FFFFFF"/>
        <w:spacing w:after="0" w:line="0" w:lineRule="auto"/>
        <w:rPr>
          <w:rFonts w:ascii="Arial" w:eastAsia="Times New Roman" w:hAnsi="Arial" w:cs="Arial"/>
          <w:color w:val="1F497D"/>
          <w:sz w:val="24"/>
          <w:szCs w:val="24"/>
          <w:lang w:eastAsia="it-IT"/>
        </w:rPr>
      </w:pPr>
      <w:r w:rsidRPr="00413BE2">
        <w:rPr>
          <w:rFonts w:ascii="Arial" w:eastAsia="Times New Roman" w:hAnsi="Arial" w:cs="Arial"/>
          <w:color w:val="1F497D"/>
          <w:sz w:val="24"/>
          <w:szCs w:val="24"/>
          <w:lang w:eastAsia="it-IT"/>
        </w:rPr>
        <w:t xml:space="preserve">d’imposta,2 di addizionale. </w:t>
      </w:r>
    </w:p>
    <w:p w:rsidR="0085217A" w:rsidRDefault="0085217A" w:rsidP="00385002">
      <w:pPr>
        <w:pStyle w:val="NormaleWeb"/>
        <w:rPr>
          <w:rFonts w:ascii="Arial" w:hAnsi="Arial" w:cs="Arial"/>
          <w:color w:val="212529"/>
          <w:shd w:val="clear" w:color="auto" w:fill="FFFFFF"/>
        </w:rPr>
      </w:pPr>
      <w:r w:rsidRPr="00413BE2">
        <w:rPr>
          <w:rFonts w:ascii="Arial" w:hAnsi="Arial" w:cs="Arial"/>
          <w:color w:val="212529"/>
          <w:shd w:val="clear" w:color="auto" w:fill="FFFFFF"/>
        </w:rPr>
        <w:t>Esempio: la sovrimposta regionale IRPEF viene calcolata sui redditi dichiarati ai fini IRPEF (base imponibile), mentre l’addizionale viene ricavata dall’IRPEF stesso.</w:t>
      </w:r>
    </w:p>
    <w:p w:rsidR="004B4DFB" w:rsidRDefault="004B4DFB" w:rsidP="00385002">
      <w:pPr>
        <w:pStyle w:val="NormaleWeb"/>
        <w:rPr>
          <w:rFonts w:ascii="Arial" w:hAnsi="Arial" w:cs="Arial"/>
          <w:color w:val="212529"/>
          <w:shd w:val="clear" w:color="auto" w:fill="FFFFFF"/>
        </w:rPr>
      </w:pPr>
    </w:p>
    <w:p w:rsidR="004B4DFB" w:rsidRDefault="004B4DFB" w:rsidP="00385002">
      <w:pPr>
        <w:pStyle w:val="NormaleWeb"/>
        <w:rPr>
          <w:rFonts w:ascii="Arial" w:hAnsi="Arial" w:cs="Arial"/>
          <w:color w:val="212529"/>
          <w:shd w:val="clear" w:color="auto" w:fill="FFFFFF"/>
        </w:rPr>
      </w:pPr>
      <w:r>
        <w:rPr>
          <w:rFonts w:ascii="Arial" w:hAnsi="Arial" w:cs="Arial"/>
          <w:color w:val="212529"/>
          <w:shd w:val="clear" w:color="auto" w:fill="FFFFFF"/>
        </w:rPr>
        <w:t>CONTENZIOSO TRIBUTARIO E STRUMETNI DEFLATTIVI DEL CONTENZIOSO</w:t>
      </w:r>
    </w:p>
    <w:p w:rsidR="004B4DFB" w:rsidRDefault="004B4DFB" w:rsidP="004B4DFB">
      <w:pPr>
        <w:rPr>
          <w:rFonts w:ascii="Arial" w:hAnsi="Arial" w:cs="Arial"/>
          <w:sz w:val="24"/>
          <w:szCs w:val="24"/>
        </w:rPr>
      </w:pPr>
      <w:r>
        <w:rPr>
          <w:rFonts w:ascii="Arial" w:hAnsi="Arial" w:cs="Arial"/>
          <w:sz w:val="24"/>
          <w:szCs w:val="24"/>
        </w:rPr>
        <w:t>Nel sistema tributario italiano l’attuazione dei tributi è affidata agli stessi contribuenti in virtu’ di una regola generale dell’autoliquidazione dei tributi che coniste nell’affidare l’attuazione delle imposte direttamente ai contribuenti tramite gli obblighi di dichiarazione e di versamento. I poteri della pa sono esercitati successivamente .</w:t>
      </w:r>
    </w:p>
    <w:p w:rsidR="004B4DFB" w:rsidRDefault="004B4DFB" w:rsidP="004B4DFB">
      <w:pPr>
        <w:rPr>
          <w:rFonts w:ascii="Arial" w:hAnsi="Arial" w:cs="Arial"/>
          <w:color w:val="FF0000"/>
          <w:sz w:val="24"/>
          <w:szCs w:val="24"/>
        </w:rPr>
      </w:pPr>
      <w:r>
        <w:rPr>
          <w:rFonts w:ascii="Arial" w:hAnsi="Arial" w:cs="Arial"/>
          <w:sz w:val="24"/>
          <w:szCs w:val="24"/>
        </w:rPr>
        <w:t>E’ infatti il cittadino che versa i tributi in base al principio di autotassazione  e in questo quadro il controllo fiscale è una forma deterrenti di comportamenti non consoni; la pa ha l’obbligo di controllare che i contribuenti adempiano correttamente l’obbligo di denuncia e se risultano errori o omissioni  DEVE ESERCITARE IL POTERE DI RETTIFICA con cui procede a determinare il tributo effettivamente dovuto dal contribuente. La rettifca è la sintesi dei poteri esercitati dalla pa nella sua attività di accertamento cioè la fase in cui la pa raccolgie elementi utili ad effettuare un atto impositivo, cioè un atto con cui la pa costituisce un’obbligazione tributaria</w:t>
      </w:r>
      <w:r>
        <w:rPr>
          <w:rFonts w:ascii="Arial" w:hAnsi="Arial" w:cs="Arial"/>
          <w:color w:val="FF0000"/>
          <w:sz w:val="24"/>
          <w:szCs w:val="24"/>
        </w:rPr>
        <w:t xml:space="preserve">. E’ inoltre l’atto con cui si origina l’eventuale e successiva fase della riscossione </w:t>
      </w:r>
    </w:p>
    <w:p w:rsidR="004B4DFB" w:rsidRDefault="004B4DFB" w:rsidP="004B4DFB">
      <w:pPr>
        <w:rPr>
          <w:rFonts w:ascii="Arial" w:hAnsi="Arial" w:cs="Arial"/>
          <w:color w:val="FF0000"/>
          <w:sz w:val="24"/>
          <w:szCs w:val="24"/>
        </w:rPr>
      </w:pPr>
      <w:r>
        <w:rPr>
          <w:rFonts w:ascii="Arial" w:hAnsi="Arial" w:cs="Arial"/>
          <w:color w:val="FF0000"/>
          <w:sz w:val="24"/>
          <w:szCs w:val="24"/>
        </w:rPr>
        <w:t>IL NOSTRO SISTEMA TRIBUTARIO BASANDOSI SULL’AUTOACCERTAMENTO DEI TRIBUTI CONSENTE LA CONTRIBUENTE IL DIRITTO DI INTERPELLARE LA PA PER INTERPRETARE UNA NOMRA TRIBUTARIA</w:t>
      </w:r>
    </w:p>
    <w:p w:rsidR="004B4DFB" w:rsidRDefault="004B4DFB" w:rsidP="004B4DFB">
      <w:pPr>
        <w:rPr>
          <w:rFonts w:ascii="Arial" w:hAnsi="Arial" w:cs="Arial"/>
          <w:sz w:val="24"/>
          <w:szCs w:val="24"/>
        </w:rPr>
      </w:pPr>
      <w:r>
        <w:rPr>
          <w:rFonts w:ascii="Arial" w:hAnsi="Arial" w:cs="Arial"/>
          <w:sz w:val="24"/>
          <w:szCs w:val="24"/>
        </w:rPr>
        <w:t>DLGS 156/15 sono previste 5 tipolgie di interpello:</w:t>
      </w:r>
    </w:p>
    <w:p w:rsidR="004B4DFB" w:rsidRDefault="004B4DFB" w:rsidP="004B4DFB">
      <w:pPr>
        <w:numPr>
          <w:ilvl w:val="0"/>
          <w:numId w:val="27"/>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b/>
          <w:bCs/>
          <w:color w:val="1C2024"/>
          <w:sz w:val="24"/>
          <w:szCs w:val="24"/>
          <w:lang w:eastAsia="it-IT"/>
        </w:rPr>
        <w:t>l'interpello ordinario</w:t>
      </w:r>
      <w:r>
        <w:rPr>
          <w:rFonts w:ascii="Arial" w:eastAsia="Times New Roman" w:hAnsi="Arial" w:cs="Arial"/>
          <w:color w:val="1C2024"/>
          <w:sz w:val="24"/>
          <w:szCs w:val="24"/>
          <w:lang w:eastAsia="it-IT"/>
        </w:rPr>
        <w:t> consente a ogni contribuente di chiedere un parere in ordine alla applicazione delle disposizioni tributarie di incerta interpretazione riguardo un caso concreto e personale, nonché di chiedere chiarimenti in ordine alla corretta qualificazione di fattispecie, sempre che ricorra obiettiva incertezza</w:t>
      </w:r>
    </w:p>
    <w:p w:rsidR="004B4DFB" w:rsidRDefault="004B4DFB" w:rsidP="004B4DFB">
      <w:pPr>
        <w:numPr>
          <w:ilvl w:val="0"/>
          <w:numId w:val="27"/>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b/>
          <w:bCs/>
          <w:color w:val="1C2024"/>
          <w:sz w:val="24"/>
          <w:szCs w:val="24"/>
          <w:lang w:eastAsia="it-IT"/>
        </w:rPr>
        <w:t>l'interpello probatorio</w:t>
      </w:r>
      <w:r>
        <w:rPr>
          <w:rFonts w:ascii="Arial" w:eastAsia="Times New Roman" w:hAnsi="Arial" w:cs="Arial"/>
          <w:color w:val="1C2024"/>
          <w:sz w:val="24"/>
          <w:szCs w:val="24"/>
          <w:lang w:eastAsia="it-IT"/>
        </w:rPr>
        <w:t> consente al contribuente di chiedere un parere in ordine alla sussistenza delle condizioni o alla idoneità degli elementi di prova chiesti dalla legge per accedere a determinati regimi fiscali nei casi espressamente previsti, quali l’interpello relativo a partecipazioni acquisite per il recupero di crediti bancari (113 TUIR), le istanze presentate dalle società “non operative” (articolo 30 della legge 724 del 1994) e le istanze previste ai fini della spettanza del beneficio ACE (articolo 1, comma 8, DL 201 del 2011)</w:t>
      </w:r>
    </w:p>
    <w:p w:rsidR="004B4DFB" w:rsidRDefault="004B4DFB" w:rsidP="004B4DFB">
      <w:pPr>
        <w:numPr>
          <w:ilvl w:val="0"/>
          <w:numId w:val="27"/>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b/>
          <w:bCs/>
          <w:color w:val="1C2024"/>
          <w:sz w:val="24"/>
          <w:szCs w:val="24"/>
          <w:lang w:eastAsia="it-IT"/>
        </w:rPr>
        <w:t>l'interpello anti-abuso</w:t>
      </w:r>
      <w:r>
        <w:rPr>
          <w:rFonts w:ascii="Arial" w:eastAsia="Times New Roman" w:hAnsi="Arial" w:cs="Arial"/>
          <w:color w:val="1C2024"/>
          <w:sz w:val="24"/>
          <w:szCs w:val="24"/>
          <w:lang w:eastAsia="it-IT"/>
        </w:rPr>
        <w:t> consente di acquisire un parere relativo alla abusività di un’operazione non più solo ai fini delle imposte sui redditi, ma per qualsiasi settore impositivo</w:t>
      </w:r>
    </w:p>
    <w:p w:rsidR="004B4DFB" w:rsidRDefault="004B4DFB" w:rsidP="004B4DFB">
      <w:pPr>
        <w:numPr>
          <w:ilvl w:val="0"/>
          <w:numId w:val="27"/>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b/>
          <w:bCs/>
          <w:color w:val="1C2024"/>
          <w:sz w:val="24"/>
          <w:szCs w:val="24"/>
          <w:lang w:eastAsia="it-IT"/>
        </w:rPr>
        <w:t>l’interpello disapplicativo </w:t>
      </w:r>
      <w:r>
        <w:rPr>
          <w:rFonts w:ascii="Arial" w:eastAsia="Times New Roman" w:hAnsi="Arial" w:cs="Arial"/>
          <w:color w:val="1C2024"/>
          <w:sz w:val="24"/>
          <w:szCs w:val="24"/>
          <w:lang w:eastAsia="it-IT"/>
        </w:rPr>
        <w:t>consente di ottenere la disapplicazione di norme che, allo scopo di contrastare comportamenti elusivi, limitano deduzioni, detrazioni, crediti di imposta, se viene fornita la dimostrazione che detti effetti elusivi non potevano verificarsi; è l’unica tipologia di interpello obbligatorio</w:t>
      </w:r>
    </w:p>
    <w:p w:rsidR="004B4DFB" w:rsidRDefault="004B4DFB" w:rsidP="004B4DFB">
      <w:pPr>
        <w:numPr>
          <w:ilvl w:val="0"/>
          <w:numId w:val="27"/>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b/>
          <w:bCs/>
          <w:color w:val="1C2024"/>
          <w:sz w:val="24"/>
          <w:szCs w:val="24"/>
          <w:lang w:eastAsia="it-IT"/>
        </w:rPr>
        <w:lastRenderedPageBreak/>
        <w:t>l’interpello sui nuovi investimenti</w:t>
      </w:r>
      <w:r>
        <w:rPr>
          <w:rFonts w:ascii="Arial" w:eastAsia="Times New Roman" w:hAnsi="Arial" w:cs="Arial"/>
          <w:color w:val="1C2024"/>
          <w:sz w:val="24"/>
          <w:szCs w:val="24"/>
          <w:lang w:eastAsia="it-IT"/>
        </w:rPr>
        <w:t> consente agli investitori, italiani o stranieri, di chiedere un parere circa il trattamento tributario applicabile a importanti investimenti (di valore non inferiore a trenta milioni di euro e con rilevanti e durature ricadute occupazionali) effettuati nel territorio dello Stato. Per le istanze presentate dal 1 ° gennaio 2019 il valore degli investimenti scende a venti milioni di euro (legge 17 dicembre 2018, n. 136).</w:t>
      </w:r>
    </w:p>
    <w:p w:rsidR="004B4DFB" w:rsidRDefault="004B4DFB" w:rsidP="004B4DFB">
      <w:pPr>
        <w:rPr>
          <w:rFonts w:ascii="Arial" w:hAnsi="Arial" w:cs="Arial"/>
          <w:color w:val="1C2024"/>
          <w:sz w:val="24"/>
          <w:szCs w:val="24"/>
          <w:shd w:val="clear" w:color="auto" w:fill="FFFFFF"/>
        </w:rPr>
      </w:pPr>
      <w:r>
        <w:rPr>
          <w:rFonts w:ascii="Arial" w:hAnsi="Arial" w:cs="Arial"/>
          <w:color w:val="1C2024"/>
          <w:sz w:val="24"/>
          <w:szCs w:val="24"/>
          <w:shd w:val="clear" w:color="auto" w:fill="FFFFFF"/>
        </w:rPr>
        <w:t>L'interpello è un'istanza che il contribuente rivolge all'Agenzia delle Entrate prima di attuare un comportamento fiscalmente rilevante, per ottenere chiarimenti in relazione a un caso concreto e personale in merito all'interpretazione, all’applicazione o alla disapplicazione di norme di legge di varia natura relative a tributi erariali.</w:t>
      </w:r>
    </w:p>
    <w:p w:rsidR="004B4DFB" w:rsidRDefault="004B4DFB" w:rsidP="004B4DFB">
      <w:pPr>
        <w:shd w:val="clear" w:color="auto" w:fill="FFFFFF"/>
        <w:spacing w:after="136"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L'istanza d'interpello deve contenere:</w:t>
      </w:r>
    </w:p>
    <w:p w:rsidR="004B4DFB" w:rsidRDefault="004B4DFB" w:rsidP="004B4DFB">
      <w:pPr>
        <w:numPr>
          <w:ilvl w:val="0"/>
          <w:numId w:val="28"/>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i dati identificativi (compreso il codice fiscale) del contribuente o del suo eventuale rappresentante al quale si riferisce la questione interpretativa posta e nei cui riguardi dovrebbero prodursi gli effetti del parere reso dall'Amministrazione finanziaria. Ad esempio, nel caso di dubbi riguardanti detrazioni e deduzioni di un costo/di una spesa, l'istanza deve contenere espressamente i dati del contribuente che intende beneficiare, nella propria dichiarazione dei redditi, della relativa detrazione/deduzione</w:t>
      </w:r>
    </w:p>
    <w:p w:rsidR="004B4DFB" w:rsidRDefault="004B4DFB" w:rsidP="004B4DFB">
      <w:pPr>
        <w:numPr>
          <w:ilvl w:val="0"/>
          <w:numId w:val="28"/>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l'indicazione della specifica tipologia di interpello, la descrizione puntuale della fattispecie e, quindi, l'esposizione analitica della situazione concreta che ha generato il dubbio interpretativo (il contribuente non può limitarsi a una rappresentazione sommaria e approssimativa del caso)</w:t>
      </w:r>
    </w:p>
    <w:p w:rsidR="004B4DFB" w:rsidRDefault="004B4DFB" w:rsidP="004B4DFB">
      <w:pPr>
        <w:numPr>
          <w:ilvl w:val="0"/>
          <w:numId w:val="28"/>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le disposizioni di legge di cui si chiede l'interpretazione, l'applicazione o la disapplicazione</w:t>
      </w:r>
    </w:p>
    <w:p w:rsidR="004B4DFB" w:rsidRDefault="004B4DFB" w:rsidP="004B4DFB">
      <w:pPr>
        <w:numPr>
          <w:ilvl w:val="0"/>
          <w:numId w:val="28"/>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l'indicazione dei recapiti per comunicare la risposta, compresi quelli telematici</w:t>
      </w:r>
    </w:p>
    <w:p w:rsidR="004B4DFB" w:rsidRDefault="004B4DFB" w:rsidP="004B4DFB">
      <w:pPr>
        <w:numPr>
          <w:ilvl w:val="0"/>
          <w:numId w:val="28"/>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la soluzione interpretativa proposta dal contribuente</w:t>
      </w:r>
    </w:p>
    <w:p w:rsidR="004B4DFB" w:rsidRDefault="004B4DFB" w:rsidP="004B4DFB">
      <w:pPr>
        <w:numPr>
          <w:ilvl w:val="0"/>
          <w:numId w:val="28"/>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la sottoscrizione dell' istante o del suo legale rappresentante ovvero del procuratore generale o speciale incaricato ai sensi dell' articolo 63 del D.P.R. 600 del 1973; in tal caso la procura, se non contenuta in calce o a margine dell'atto, deve essere allegata all'istanza. Nel caso in cui le istanze siano carenti dei dati sopra indicati, diversi da quelli relativi alla identificazione dell'istante e alla descrizione puntuale della fattispecie, l'ufficio invita alla regolarizzazione il contribuente, che deve provvedere entro 30 giorni a fornire le informazioni mancanti.</w:t>
      </w:r>
    </w:p>
    <w:p w:rsidR="004B4DFB" w:rsidRDefault="004B4DFB" w:rsidP="004B4DFB">
      <w:pPr>
        <w:rPr>
          <w:rFonts w:ascii="Arial" w:hAnsi="Arial" w:cs="Arial"/>
          <w:sz w:val="24"/>
          <w:szCs w:val="24"/>
        </w:rPr>
      </w:pPr>
      <w:r>
        <w:rPr>
          <w:rFonts w:ascii="Arial" w:hAnsi="Arial" w:cs="Arial"/>
          <w:sz w:val="24"/>
          <w:szCs w:val="24"/>
        </w:rPr>
        <w:t>L’ufficio competente è tenuto a rispondere per iscritto e motivato entro 90 g per gli interpelli ordinari e 120 g per le altre tipologie (vige il silenzio assenso ma il contribuente nella domanda deve indicare la sua interpretazioni)</w:t>
      </w:r>
    </w:p>
    <w:p w:rsidR="004B4DFB" w:rsidRDefault="004B4DFB" w:rsidP="004B4DFB">
      <w:pPr>
        <w:rPr>
          <w:rFonts w:ascii="Arial" w:hAnsi="Arial" w:cs="Arial"/>
          <w:sz w:val="24"/>
          <w:szCs w:val="24"/>
        </w:rPr>
      </w:pPr>
      <w:r>
        <w:rPr>
          <w:rFonts w:ascii="Arial" w:hAnsi="Arial" w:cs="Arial"/>
          <w:sz w:val="24"/>
          <w:szCs w:val="24"/>
        </w:rPr>
        <w:t>Il parere espresso dell’AE non vincola il contrbuente che può decidere di non uniformarsi, mntre la pa non potrà emettere atti impositivi contrari all’interpretazione che si e’ formata</w:t>
      </w:r>
    </w:p>
    <w:p w:rsidR="004B4DFB" w:rsidRDefault="004B4DFB" w:rsidP="004B4DFB">
      <w:pPr>
        <w:rPr>
          <w:rFonts w:ascii="Arial" w:hAnsi="Arial" w:cs="Arial"/>
          <w:sz w:val="24"/>
          <w:szCs w:val="24"/>
        </w:rPr>
      </w:pPr>
      <w:r>
        <w:rPr>
          <w:rFonts w:ascii="Arial" w:hAnsi="Arial" w:cs="Arial"/>
          <w:sz w:val="24"/>
          <w:szCs w:val="24"/>
        </w:rPr>
        <w:t>La AE ha inoltre il potere di rettificare la propria interpretazione.</w:t>
      </w:r>
    </w:p>
    <w:p w:rsidR="004B4DFB" w:rsidRDefault="004B4DFB" w:rsidP="004B4DFB">
      <w:pPr>
        <w:rPr>
          <w:rFonts w:ascii="Arial" w:hAnsi="Arial" w:cs="Arial"/>
          <w:sz w:val="24"/>
          <w:szCs w:val="24"/>
        </w:rPr>
      </w:pPr>
      <w:r>
        <w:rPr>
          <w:rFonts w:ascii="Arial" w:hAnsi="Arial" w:cs="Arial"/>
          <w:sz w:val="24"/>
          <w:szCs w:val="24"/>
        </w:rPr>
        <w:t>AUTOTUTELA</w:t>
      </w:r>
    </w:p>
    <w:p w:rsidR="004B4DFB" w:rsidRDefault="004B4DFB" w:rsidP="004B4DFB">
      <w:pPr>
        <w:rPr>
          <w:rFonts w:ascii="Arial" w:hAnsi="Arial" w:cs="Arial"/>
          <w:sz w:val="24"/>
          <w:szCs w:val="24"/>
        </w:rPr>
      </w:pPr>
      <w:r>
        <w:rPr>
          <w:rFonts w:ascii="Arial" w:hAnsi="Arial" w:cs="Arial"/>
          <w:sz w:val="24"/>
          <w:szCs w:val="24"/>
        </w:rPr>
        <w:t xml:space="preserve"> IN materia tributaria l’autotutela della pa si configura essenzialmente come annullamento d’ufficio, in quanto gli atti impositivi sono atti tipicamente vincolati.</w:t>
      </w:r>
    </w:p>
    <w:p w:rsidR="004B4DFB" w:rsidRDefault="004B4DFB" w:rsidP="004B4DFB">
      <w:pPr>
        <w:rPr>
          <w:rFonts w:ascii="Arial" w:hAnsi="Arial" w:cs="Arial"/>
          <w:sz w:val="24"/>
          <w:szCs w:val="24"/>
        </w:rPr>
      </w:pPr>
      <w:r>
        <w:rPr>
          <w:rFonts w:ascii="Arial" w:hAnsi="Arial" w:cs="Arial"/>
          <w:sz w:val="24"/>
          <w:szCs w:val="24"/>
        </w:rPr>
        <w:lastRenderedPageBreak/>
        <w:t>Puo’ esser esercitata a seguito di richiesta presentata dal contribuente ovvero d’ufficio, sia in pendenza di giudizio, sia dopo che l’atto è divenuto definitivo, purchè il ritiro dell’atto non contrasti con il contenuto della sentenza passata in giudicato. La presentazione dell’istanza non sospende i termini per la presentazione del ricorso al giudice tributario.</w:t>
      </w:r>
    </w:p>
    <w:p w:rsidR="004B4DFB" w:rsidRDefault="004B4DFB" w:rsidP="004B4DFB">
      <w:pPr>
        <w:rPr>
          <w:rFonts w:ascii="Arial" w:hAnsi="Arial" w:cs="Arial"/>
          <w:sz w:val="24"/>
          <w:szCs w:val="24"/>
        </w:rPr>
      </w:pPr>
      <w:r>
        <w:rPr>
          <w:rFonts w:ascii="Arial" w:hAnsi="Arial" w:cs="Arial"/>
          <w:sz w:val="24"/>
          <w:szCs w:val="24"/>
        </w:rPr>
        <w:t>CONTROLLI DELL’AMMINISTRAZIONE FINANZIARIA</w:t>
      </w:r>
    </w:p>
    <w:p w:rsidR="004B4DFB" w:rsidRDefault="004B4DFB" w:rsidP="004B4DFB">
      <w:pPr>
        <w:rPr>
          <w:rFonts w:ascii="Arial" w:hAnsi="Arial" w:cs="Arial"/>
          <w:sz w:val="24"/>
          <w:szCs w:val="24"/>
        </w:rPr>
      </w:pPr>
      <w:r>
        <w:rPr>
          <w:rFonts w:ascii="Arial" w:hAnsi="Arial" w:cs="Arial"/>
          <w:sz w:val="24"/>
          <w:szCs w:val="24"/>
        </w:rPr>
        <w:t>Il compito dell’amministrazione finanziaria è quello di controllare la gestione dei tributi che si traduce in un’attività impositiva, sanzionatoria e di riscossione</w:t>
      </w:r>
    </w:p>
    <w:p w:rsidR="004B4DFB" w:rsidRDefault="004B4DFB" w:rsidP="004B4DFB">
      <w:pPr>
        <w:rPr>
          <w:rFonts w:ascii="Arial" w:hAnsi="Arial" w:cs="Arial"/>
          <w:sz w:val="24"/>
          <w:szCs w:val="24"/>
        </w:rPr>
      </w:pPr>
      <w:r>
        <w:rPr>
          <w:rFonts w:ascii="Arial" w:hAnsi="Arial" w:cs="Arial"/>
          <w:sz w:val="24"/>
          <w:szCs w:val="24"/>
        </w:rPr>
        <w:t>La PA  è quindi tenuta ad accertare il corretto adempimento delle obbligazioni tributarie da parte dei contribuenti.</w:t>
      </w:r>
    </w:p>
    <w:p w:rsidR="004B4DFB" w:rsidRDefault="004B4DFB" w:rsidP="004B4DFB">
      <w:pPr>
        <w:rPr>
          <w:rFonts w:ascii="Arial" w:hAnsi="Arial" w:cs="Arial"/>
          <w:sz w:val="24"/>
          <w:szCs w:val="24"/>
        </w:rPr>
      </w:pPr>
      <w:r>
        <w:rPr>
          <w:rFonts w:ascii="Arial" w:hAnsi="Arial" w:cs="Arial"/>
          <w:sz w:val="24"/>
          <w:szCs w:val="24"/>
        </w:rPr>
        <w:t>Oggetto dell’attività di controllo</w:t>
      </w:r>
      <w:r>
        <w:rPr>
          <w:rFonts w:ascii="Arial" w:hAnsi="Arial" w:cs="Arial"/>
          <w:sz w:val="24"/>
          <w:szCs w:val="24"/>
        </w:rPr>
        <w:sym w:font="Wingdings" w:char="00E0"/>
      </w:r>
      <w:r>
        <w:rPr>
          <w:rFonts w:ascii="Arial" w:hAnsi="Arial" w:cs="Arial"/>
          <w:sz w:val="24"/>
          <w:szCs w:val="24"/>
        </w:rPr>
        <w:t>dichiarazioni fiscali e attività contabili ad esse funzionali</w:t>
      </w:r>
    </w:p>
    <w:p w:rsidR="004B4DFB" w:rsidRDefault="004B4DFB" w:rsidP="004B4DFB">
      <w:pPr>
        <w:rPr>
          <w:rFonts w:ascii="Arial" w:hAnsi="Arial" w:cs="Arial"/>
          <w:sz w:val="24"/>
          <w:szCs w:val="24"/>
        </w:rPr>
      </w:pPr>
      <w:r>
        <w:rPr>
          <w:rFonts w:ascii="Arial" w:hAnsi="Arial" w:cs="Arial"/>
          <w:sz w:val="24"/>
          <w:szCs w:val="24"/>
        </w:rPr>
        <w:t>Tipologie di controlli:</w:t>
      </w:r>
    </w:p>
    <w:p w:rsidR="004B4DFB" w:rsidRDefault="004B4DFB" w:rsidP="004B4DFB">
      <w:pPr>
        <w:pStyle w:val="NormaleWeb"/>
        <w:shd w:val="clear" w:color="auto" w:fill="FFFFFF"/>
        <w:spacing w:before="0" w:beforeAutospacing="0" w:after="204" w:afterAutospacing="0"/>
        <w:jc w:val="both"/>
        <w:rPr>
          <w:rFonts w:ascii="Arial" w:hAnsi="Arial" w:cs="Arial"/>
          <w:color w:val="454545"/>
        </w:rPr>
      </w:pPr>
      <w:r>
        <w:rPr>
          <w:rFonts w:ascii="Arial" w:hAnsi="Arial" w:cs="Arial"/>
        </w:rPr>
        <w:t xml:space="preserve">  </w:t>
      </w:r>
      <w:r>
        <w:rPr>
          <w:rFonts w:ascii="Arial" w:hAnsi="Arial" w:cs="Arial"/>
          <w:color w:val="454545"/>
        </w:rPr>
        <w:t>Possiamo distinguere in primo luogo:</w:t>
      </w:r>
    </w:p>
    <w:p w:rsidR="004B4DFB" w:rsidRDefault="004B4DFB" w:rsidP="004B4DFB">
      <w:pPr>
        <w:numPr>
          <w:ilvl w:val="0"/>
          <w:numId w:val="29"/>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Pr>
          <w:rFonts w:ascii="Arial" w:eastAsia="Times New Roman" w:hAnsi="Arial" w:cs="Arial"/>
          <w:b/>
          <w:bCs/>
          <w:color w:val="454545"/>
          <w:sz w:val="24"/>
          <w:szCs w:val="24"/>
          <w:lang w:eastAsia="it-IT"/>
        </w:rPr>
        <w:t>controlli automatici</w:t>
      </w:r>
      <w:r>
        <w:rPr>
          <w:rFonts w:ascii="Arial" w:eastAsia="Times New Roman" w:hAnsi="Arial" w:cs="Arial"/>
          <w:color w:val="454545"/>
          <w:sz w:val="24"/>
          <w:szCs w:val="24"/>
          <w:lang w:eastAsia="it-IT"/>
        </w:rPr>
        <w:t> – </w:t>
      </w:r>
      <w:r>
        <w:rPr>
          <w:rFonts w:ascii="Arial" w:eastAsia="Times New Roman" w:hAnsi="Arial" w:cs="Arial"/>
          <w:b/>
          <w:bCs/>
          <w:color w:val="454545"/>
          <w:sz w:val="24"/>
          <w:szCs w:val="24"/>
          <w:lang w:eastAsia="it-IT"/>
        </w:rPr>
        <w:t>procedura automatizzata</w:t>
      </w:r>
      <w:r>
        <w:rPr>
          <w:rFonts w:ascii="Arial" w:eastAsia="Times New Roman" w:hAnsi="Arial" w:cs="Arial"/>
          <w:color w:val="454545"/>
          <w:sz w:val="24"/>
          <w:szCs w:val="24"/>
          <w:lang w:eastAsia="it-IT"/>
        </w:rPr>
        <w:t> di liquidazione di imposte, contributi, premi e rimborsi, </w:t>
      </w:r>
      <w:r>
        <w:rPr>
          <w:rFonts w:ascii="Arial" w:eastAsia="Times New Roman" w:hAnsi="Arial" w:cs="Arial"/>
          <w:b/>
          <w:bCs/>
          <w:color w:val="454545"/>
          <w:sz w:val="24"/>
          <w:szCs w:val="24"/>
          <w:lang w:eastAsia="it-IT"/>
        </w:rPr>
        <w:t>sulla base dei dati e degli elementi direttamente desumibili dalle dichiarazioni </w:t>
      </w:r>
      <w:r>
        <w:rPr>
          <w:rFonts w:ascii="Arial" w:eastAsia="Times New Roman" w:hAnsi="Arial" w:cs="Arial"/>
          <w:color w:val="454545"/>
          <w:sz w:val="24"/>
          <w:szCs w:val="24"/>
          <w:lang w:eastAsia="it-IT"/>
        </w:rPr>
        <w:t>e di quelli risultanti nell’Anagrafe tributaria – effettuati </w:t>
      </w:r>
      <w:r>
        <w:rPr>
          <w:rFonts w:ascii="Arial" w:eastAsia="Times New Roman" w:hAnsi="Arial" w:cs="Arial"/>
          <w:b/>
          <w:bCs/>
          <w:color w:val="454545"/>
          <w:sz w:val="24"/>
          <w:szCs w:val="24"/>
          <w:lang w:eastAsia="it-IT"/>
        </w:rPr>
        <w:t>su</w:t>
      </w:r>
      <w:r>
        <w:rPr>
          <w:rFonts w:ascii="Arial" w:eastAsia="Times New Roman" w:hAnsi="Arial" w:cs="Arial"/>
          <w:color w:val="454545"/>
          <w:sz w:val="24"/>
          <w:szCs w:val="24"/>
          <w:lang w:eastAsia="it-IT"/>
        </w:rPr>
        <w:t> </w:t>
      </w:r>
      <w:r>
        <w:rPr>
          <w:rFonts w:ascii="Arial" w:eastAsia="Times New Roman" w:hAnsi="Arial" w:cs="Arial"/>
          <w:b/>
          <w:bCs/>
          <w:color w:val="454545"/>
          <w:sz w:val="24"/>
          <w:szCs w:val="24"/>
          <w:lang w:eastAsia="it-IT"/>
        </w:rPr>
        <w:t>tutte le dichiarazioni</w:t>
      </w:r>
      <w:r>
        <w:rPr>
          <w:rFonts w:ascii="Arial" w:eastAsia="Times New Roman" w:hAnsi="Arial" w:cs="Arial"/>
          <w:color w:val="454545"/>
          <w:sz w:val="24"/>
          <w:szCs w:val="24"/>
          <w:lang w:eastAsia="it-IT"/>
        </w:rPr>
        <w:t> trasmesse;</w:t>
      </w:r>
    </w:p>
    <w:p w:rsidR="004B4DFB" w:rsidRDefault="004B4DFB" w:rsidP="004B4DFB">
      <w:pPr>
        <w:numPr>
          <w:ilvl w:val="0"/>
          <w:numId w:val="29"/>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Pr>
          <w:rFonts w:ascii="Arial" w:eastAsia="Times New Roman" w:hAnsi="Arial" w:cs="Arial"/>
          <w:b/>
          <w:bCs/>
          <w:color w:val="454545"/>
          <w:sz w:val="24"/>
          <w:szCs w:val="24"/>
          <w:lang w:eastAsia="it-IT"/>
        </w:rPr>
        <w:t>controlli formali</w:t>
      </w:r>
      <w:r>
        <w:rPr>
          <w:rFonts w:ascii="Arial" w:eastAsia="Times New Roman" w:hAnsi="Arial" w:cs="Arial"/>
          <w:color w:val="454545"/>
          <w:sz w:val="24"/>
          <w:szCs w:val="24"/>
          <w:lang w:eastAsia="it-IT"/>
        </w:rPr>
        <w:t> – </w:t>
      </w:r>
      <w:r>
        <w:rPr>
          <w:rFonts w:ascii="Arial" w:eastAsia="Times New Roman" w:hAnsi="Arial" w:cs="Arial"/>
          <w:b/>
          <w:bCs/>
          <w:color w:val="454545"/>
          <w:sz w:val="24"/>
          <w:szCs w:val="24"/>
          <w:lang w:eastAsia="it-IT"/>
        </w:rPr>
        <w:t>riscontro dei dati indicati nella dichiarazione con i documenti</w:t>
      </w:r>
      <w:r>
        <w:rPr>
          <w:rFonts w:ascii="Arial" w:eastAsia="Times New Roman" w:hAnsi="Arial" w:cs="Arial"/>
          <w:color w:val="454545"/>
          <w:sz w:val="24"/>
          <w:szCs w:val="24"/>
          <w:lang w:eastAsia="it-IT"/>
        </w:rPr>
        <w:t> che attestano la correttezza dei dati dichiarati – effettuati su determinate dichiarazioni dei redditi, selezionate a livello centrale in base a </w:t>
      </w:r>
      <w:r>
        <w:rPr>
          <w:rFonts w:ascii="Arial" w:eastAsia="Times New Roman" w:hAnsi="Arial" w:cs="Arial"/>
          <w:b/>
          <w:bCs/>
          <w:color w:val="454545"/>
          <w:sz w:val="24"/>
          <w:szCs w:val="24"/>
          <w:lang w:eastAsia="it-IT"/>
        </w:rPr>
        <w:t>criteri fondati sull’analisi del rischio</w:t>
      </w:r>
      <w:r>
        <w:rPr>
          <w:rFonts w:ascii="Arial" w:eastAsia="Times New Roman" w:hAnsi="Arial" w:cs="Arial"/>
          <w:color w:val="454545"/>
          <w:sz w:val="24"/>
          <w:szCs w:val="24"/>
          <w:lang w:eastAsia="it-IT"/>
        </w:rPr>
        <w:t>.</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Il </w:t>
      </w:r>
      <w:r>
        <w:rPr>
          <w:rFonts w:ascii="Arial" w:eastAsia="Times New Roman" w:hAnsi="Arial" w:cs="Arial"/>
          <w:b/>
          <w:bCs/>
          <w:color w:val="454545"/>
          <w:sz w:val="24"/>
          <w:szCs w:val="24"/>
          <w:lang w:eastAsia="it-IT"/>
        </w:rPr>
        <w:t>controllo automatico</w:t>
      </w:r>
      <w:r>
        <w:rPr>
          <w:rFonts w:ascii="Arial" w:eastAsia="Times New Roman" w:hAnsi="Arial" w:cs="Arial"/>
          <w:color w:val="454545"/>
          <w:sz w:val="24"/>
          <w:szCs w:val="24"/>
          <w:lang w:eastAsia="it-IT"/>
        </w:rPr>
        <w:t> è effettuato sulla base delle disposizioni degli art 36 bis dpr 633/72 per le imposte sui redditi e 54 bus dpr 633/72 per quanto riguarda l’Iva.</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Le conseguenti </w:t>
      </w:r>
      <w:r>
        <w:rPr>
          <w:rFonts w:ascii="Arial" w:eastAsia="Times New Roman" w:hAnsi="Arial" w:cs="Arial"/>
          <w:b/>
          <w:bCs/>
          <w:color w:val="454545"/>
          <w:sz w:val="24"/>
          <w:szCs w:val="24"/>
          <w:lang w:eastAsia="it-IT"/>
        </w:rPr>
        <w:t>comunicazioni di irregolarità</w:t>
      </w:r>
      <w:r>
        <w:rPr>
          <w:rFonts w:ascii="Arial" w:eastAsia="Times New Roman" w:hAnsi="Arial" w:cs="Arial"/>
          <w:color w:val="454545"/>
          <w:sz w:val="24"/>
          <w:szCs w:val="24"/>
          <w:lang w:eastAsia="it-IT"/>
        </w:rPr>
        <w:t> evidenziano l’eventuale presenza di errori e permettono al contribuente di pagare le somme indicate, con una </w:t>
      </w:r>
      <w:r>
        <w:rPr>
          <w:rFonts w:ascii="Arial" w:eastAsia="Times New Roman" w:hAnsi="Arial" w:cs="Arial"/>
          <w:b/>
          <w:bCs/>
          <w:color w:val="454545"/>
          <w:sz w:val="24"/>
          <w:szCs w:val="24"/>
          <w:lang w:eastAsia="it-IT"/>
        </w:rPr>
        <w:t>riduzione delle sanzioni</w:t>
      </w:r>
      <w:r>
        <w:rPr>
          <w:rFonts w:ascii="Arial" w:eastAsia="Times New Roman" w:hAnsi="Arial" w:cs="Arial"/>
          <w:color w:val="454545"/>
          <w:sz w:val="24"/>
          <w:szCs w:val="24"/>
          <w:lang w:eastAsia="it-IT"/>
        </w:rPr>
        <w:t>, oppure di precisare all’Amministrazione finanziaria le ragioni per cui si ritengono infondati gli addebiti.</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Il </w:t>
      </w:r>
      <w:r>
        <w:rPr>
          <w:rFonts w:ascii="Arial" w:eastAsia="Times New Roman" w:hAnsi="Arial" w:cs="Arial"/>
          <w:b/>
          <w:bCs/>
          <w:color w:val="454545"/>
          <w:sz w:val="24"/>
          <w:szCs w:val="24"/>
          <w:lang w:eastAsia="it-IT"/>
        </w:rPr>
        <w:t>controllo automatico consente</w:t>
      </w:r>
      <w:r>
        <w:rPr>
          <w:rFonts w:ascii="Arial" w:eastAsia="Times New Roman" w:hAnsi="Arial" w:cs="Arial"/>
          <w:color w:val="454545"/>
          <w:sz w:val="24"/>
          <w:szCs w:val="24"/>
          <w:lang w:eastAsia="it-IT"/>
        </w:rPr>
        <w:t> di:</w:t>
      </w:r>
    </w:p>
    <w:p w:rsidR="004B4DFB" w:rsidRDefault="004B4DFB" w:rsidP="004B4DFB">
      <w:pPr>
        <w:numPr>
          <w:ilvl w:val="0"/>
          <w:numId w:val="30"/>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Pr>
          <w:rFonts w:ascii="Arial" w:eastAsia="Times New Roman" w:hAnsi="Arial" w:cs="Arial"/>
          <w:b/>
          <w:bCs/>
          <w:color w:val="454545"/>
          <w:sz w:val="24"/>
          <w:szCs w:val="24"/>
          <w:lang w:eastAsia="it-IT"/>
        </w:rPr>
        <w:t>correggere gli errori materiali e di calcolo</w:t>
      </w:r>
      <w:r>
        <w:rPr>
          <w:rFonts w:ascii="Arial" w:eastAsia="Times New Roman" w:hAnsi="Arial" w:cs="Arial"/>
          <w:color w:val="454545"/>
          <w:sz w:val="24"/>
          <w:szCs w:val="24"/>
          <w:lang w:eastAsia="it-IT"/>
        </w:rPr>
        <w:t> commessi nella determinazione degli imponibili, delle imposte, dei contributi e dei premi;</w:t>
      </w:r>
    </w:p>
    <w:p w:rsidR="004B4DFB" w:rsidRDefault="004B4DFB" w:rsidP="004B4DFB">
      <w:pPr>
        <w:numPr>
          <w:ilvl w:val="0"/>
          <w:numId w:val="30"/>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correggere gli </w:t>
      </w:r>
      <w:r>
        <w:rPr>
          <w:rFonts w:ascii="Arial" w:eastAsia="Times New Roman" w:hAnsi="Arial" w:cs="Arial"/>
          <w:b/>
          <w:bCs/>
          <w:color w:val="454545"/>
          <w:sz w:val="24"/>
          <w:szCs w:val="24"/>
          <w:lang w:eastAsia="it-IT"/>
        </w:rPr>
        <w:t>errori materiali commessi nel riporto delle eccedenze</w:t>
      </w:r>
      <w:r>
        <w:rPr>
          <w:rFonts w:ascii="Arial" w:eastAsia="Times New Roman" w:hAnsi="Arial" w:cs="Arial"/>
          <w:color w:val="454545"/>
          <w:sz w:val="24"/>
          <w:szCs w:val="24"/>
          <w:lang w:eastAsia="it-IT"/>
        </w:rPr>
        <w:t> delle imposte, dei contributi e dei premi risultanti dalle precedenti dichiarazioni;</w:t>
      </w:r>
    </w:p>
    <w:p w:rsidR="004B4DFB" w:rsidRDefault="004B4DFB" w:rsidP="004B4DFB">
      <w:pPr>
        <w:numPr>
          <w:ilvl w:val="0"/>
          <w:numId w:val="30"/>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ridurre le </w:t>
      </w:r>
      <w:r>
        <w:rPr>
          <w:rFonts w:ascii="Arial" w:eastAsia="Times New Roman" w:hAnsi="Arial" w:cs="Arial"/>
          <w:b/>
          <w:bCs/>
          <w:color w:val="454545"/>
          <w:sz w:val="24"/>
          <w:szCs w:val="24"/>
          <w:lang w:eastAsia="it-IT"/>
        </w:rPr>
        <w:t>detrazioni d’imposta e/o le deduzioni dal reddito</w:t>
      </w:r>
      <w:r>
        <w:rPr>
          <w:rFonts w:ascii="Arial" w:eastAsia="Times New Roman" w:hAnsi="Arial" w:cs="Arial"/>
          <w:color w:val="454545"/>
          <w:sz w:val="24"/>
          <w:szCs w:val="24"/>
          <w:lang w:eastAsia="it-IT"/>
        </w:rPr>
        <w:t> indicate in misura superiore a quella prevista dalla legge ovvero non spettanti sulla base dei dati risultanti dalle dichiarazioni;</w:t>
      </w:r>
    </w:p>
    <w:p w:rsidR="004B4DFB" w:rsidRDefault="004B4DFB" w:rsidP="004B4DFB">
      <w:pPr>
        <w:numPr>
          <w:ilvl w:val="0"/>
          <w:numId w:val="30"/>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ridurre i </w:t>
      </w:r>
      <w:r>
        <w:rPr>
          <w:rFonts w:ascii="Arial" w:eastAsia="Times New Roman" w:hAnsi="Arial" w:cs="Arial"/>
          <w:b/>
          <w:bCs/>
          <w:color w:val="454545"/>
          <w:sz w:val="24"/>
          <w:szCs w:val="24"/>
          <w:lang w:eastAsia="it-IT"/>
        </w:rPr>
        <w:t>crediti d’imposta esposti in misura superiore</w:t>
      </w:r>
      <w:r>
        <w:rPr>
          <w:rFonts w:ascii="Arial" w:eastAsia="Times New Roman" w:hAnsi="Arial" w:cs="Arial"/>
          <w:color w:val="454545"/>
          <w:sz w:val="24"/>
          <w:szCs w:val="24"/>
          <w:lang w:eastAsia="it-IT"/>
        </w:rPr>
        <w:t> a quella prevista dalla legge, </w:t>
      </w:r>
      <w:r>
        <w:rPr>
          <w:rFonts w:ascii="Arial" w:eastAsia="Times New Roman" w:hAnsi="Arial" w:cs="Arial"/>
          <w:b/>
          <w:bCs/>
          <w:color w:val="454545"/>
          <w:sz w:val="24"/>
          <w:szCs w:val="24"/>
          <w:lang w:eastAsia="it-IT"/>
        </w:rPr>
        <w:t>ovvero non spettanti</w:t>
      </w:r>
      <w:r>
        <w:rPr>
          <w:rFonts w:ascii="Arial" w:eastAsia="Times New Roman" w:hAnsi="Arial" w:cs="Arial"/>
          <w:color w:val="454545"/>
          <w:sz w:val="24"/>
          <w:szCs w:val="24"/>
          <w:lang w:eastAsia="it-IT"/>
        </w:rPr>
        <w:t> sulla base dei dati risultanti dalle dichiarazioni;</w:t>
      </w:r>
    </w:p>
    <w:p w:rsidR="004B4DFB" w:rsidRDefault="004B4DFB" w:rsidP="004B4DFB">
      <w:pPr>
        <w:numPr>
          <w:ilvl w:val="0"/>
          <w:numId w:val="30"/>
        </w:numPr>
        <w:shd w:val="clear" w:color="auto" w:fill="FFFFFF"/>
        <w:spacing w:before="100" w:beforeAutospacing="1" w:after="100" w:afterAutospacing="1"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controllare la corrispondenza con la dichiarazione e la </w:t>
      </w:r>
      <w:r>
        <w:rPr>
          <w:rFonts w:ascii="Arial" w:eastAsia="Times New Roman" w:hAnsi="Arial" w:cs="Arial"/>
          <w:b/>
          <w:bCs/>
          <w:color w:val="454545"/>
          <w:sz w:val="24"/>
          <w:szCs w:val="24"/>
          <w:lang w:eastAsia="it-IT"/>
        </w:rPr>
        <w:t>tempestività dei versamenti delle imposte</w:t>
      </w:r>
      <w:r>
        <w:rPr>
          <w:rFonts w:ascii="Arial" w:eastAsia="Times New Roman" w:hAnsi="Arial" w:cs="Arial"/>
          <w:color w:val="454545"/>
          <w:sz w:val="24"/>
          <w:szCs w:val="24"/>
          <w:lang w:eastAsia="it-IT"/>
        </w:rPr>
        <w:t>, dei contributi e dei premi dovuti a titolo di acconto e di saldo e delle ritenute alla </w:t>
      </w:r>
      <w:r>
        <w:rPr>
          <w:rFonts w:ascii="Arial" w:eastAsia="Times New Roman" w:hAnsi="Arial" w:cs="Arial"/>
          <w:b/>
          <w:bCs/>
          <w:color w:val="454545"/>
          <w:sz w:val="24"/>
          <w:szCs w:val="24"/>
          <w:lang w:eastAsia="it-IT"/>
        </w:rPr>
        <w:t>fonte operate in qualità di sostituto d’imposta</w:t>
      </w:r>
      <w:r>
        <w:rPr>
          <w:rFonts w:ascii="Arial" w:eastAsia="Times New Roman" w:hAnsi="Arial" w:cs="Arial"/>
          <w:color w:val="454545"/>
          <w:sz w:val="24"/>
          <w:szCs w:val="24"/>
          <w:lang w:eastAsia="it-IT"/>
        </w:rPr>
        <w:t>.</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lastRenderedPageBreak/>
        <w:t>Il controllo automatico è effettuato </w:t>
      </w:r>
      <w:r>
        <w:rPr>
          <w:rFonts w:ascii="Arial" w:eastAsia="Times New Roman" w:hAnsi="Arial" w:cs="Arial"/>
          <w:b/>
          <w:bCs/>
          <w:color w:val="454545"/>
          <w:sz w:val="24"/>
          <w:szCs w:val="24"/>
          <w:lang w:eastAsia="it-IT"/>
        </w:rPr>
        <w:t>anche sulle comunicazioni dei dati delle liquidazioni periodiche Iva</w:t>
      </w:r>
      <w:r>
        <w:rPr>
          <w:rFonts w:ascii="Arial" w:eastAsia="Times New Roman" w:hAnsi="Arial" w:cs="Arial"/>
          <w:color w:val="454545"/>
          <w:sz w:val="24"/>
          <w:szCs w:val="24"/>
          <w:lang w:eastAsia="it-IT"/>
        </w:rPr>
        <w:t>: in questo caso, </w:t>
      </w:r>
      <w:r>
        <w:rPr>
          <w:rFonts w:ascii="Arial" w:eastAsia="Times New Roman" w:hAnsi="Arial" w:cs="Arial"/>
          <w:b/>
          <w:bCs/>
          <w:color w:val="454545"/>
          <w:sz w:val="24"/>
          <w:szCs w:val="24"/>
          <w:lang w:eastAsia="it-IT"/>
        </w:rPr>
        <w:t>prima dell’emissione della comunicazione di irregolarità</w:t>
      </w:r>
      <w:r>
        <w:rPr>
          <w:rFonts w:ascii="Arial" w:eastAsia="Times New Roman" w:hAnsi="Arial" w:cs="Arial"/>
          <w:color w:val="454545"/>
          <w:sz w:val="24"/>
          <w:szCs w:val="24"/>
          <w:lang w:eastAsia="it-IT"/>
        </w:rPr>
        <w:t>, le eventuali incoerenze riscontrate a seguito del controllo sono rese disponibili al contribuente attraverso </w:t>
      </w:r>
      <w:r>
        <w:rPr>
          <w:rFonts w:ascii="Arial" w:eastAsia="Times New Roman" w:hAnsi="Arial" w:cs="Arial"/>
          <w:b/>
          <w:bCs/>
          <w:color w:val="454545"/>
          <w:sz w:val="24"/>
          <w:szCs w:val="24"/>
          <w:lang w:eastAsia="it-IT"/>
        </w:rPr>
        <w:t>un’apposita lettera di invito alla </w:t>
      </w:r>
      <w:r>
        <w:rPr>
          <w:rFonts w:ascii="Arial" w:eastAsia="Times New Roman" w:hAnsi="Arial" w:cs="Arial"/>
          <w:b/>
          <w:bCs/>
          <w:i/>
          <w:iCs/>
          <w:color w:val="454545"/>
          <w:sz w:val="24"/>
          <w:szCs w:val="24"/>
          <w:lang w:eastAsia="it-IT"/>
        </w:rPr>
        <w:t>compliance</w:t>
      </w:r>
      <w:r>
        <w:rPr>
          <w:rFonts w:ascii="Arial" w:eastAsia="Times New Roman" w:hAnsi="Arial" w:cs="Arial"/>
          <w:color w:val="454545"/>
          <w:sz w:val="24"/>
          <w:szCs w:val="24"/>
          <w:lang w:eastAsia="it-IT"/>
        </w:rPr>
        <w:t>, che viene pubblicata sia nel “</w:t>
      </w:r>
      <w:r>
        <w:rPr>
          <w:rFonts w:ascii="Arial" w:eastAsia="Times New Roman" w:hAnsi="Arial" w:cs="Arial"/>
          <w:b/>
          <w:bCs/>
          <w:color w:val="454545"/>
          <w:sz w:val="24"/>
          <w:szCs w:val="24"/>
          <w:lang w:eastAsia="it-IT"/>
        </w:rPr>
        <w:t>Cassetto fiscale</w:t>
      </w:r>
      <w:r>
        <w:rPr>
          <w:rFonts w:ascii="Arial" w:eastAsia="Times New Roman" w:hAnsi="Arial" w:cs="Arial"/>
          <w:color w:val="454545"/>
          <w:sz w:val="24"/>
          <w:szCs w:val="24"/>
          <w:lang w:eastAsia="it-IT"/>
        </w:rPr>
        <w:t>” – sezione “L’Agenzia scrive” – sia all’interno del servizio “</w:t>
      </w:r>
      <w:r>
        <w:rPr>
          <w:rFonts w:ascii="Arial" w:eastAsia="Times New Roman" w:hAnsi="Arial" w:cs="Arial"/>
          <w:b/>
          <w:bCs/>
          <w:color w:val="454545"/>
          <w:sz w:val="24"/>
          <w:szCs w:val="24"/>
          <w:lang w:eastAsia="it-IT"/>
        </w:rPr>
        <w:t>Fatture e Corrispettivi</w:t>
      </w:r>
      <w:r>
        <w:rPr>
          <w:rFonts w:ascii="Arial" w:eastAsia="Times New Roman" w:hAnsi="Arial" w:cs="Arial"/>
          <w:color w:val="454545"/>
          <w:sz w:val="24"/>
          <w:szCs w:val="24"/>
          <w:lang w:eastAsia="it-IT"/>
        </w:rPr>
        <w:t>” – sezione “Consultazione” – L’Agenzia scrive.</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Il </w:t>
      </w:r>
      <w:r>
        <w:rPr>
          <w:rFonts w:ascii="Arial" w:eastAsia="Times New Roman" w:hAnsi="Arial" w:cs="Arial"/>
          <w:b/>
          <w:bCs/>
          <w:color w:val="454545"/>
          <w:sz w:val="24"/>
          <w:szCs w:val="24"/>
          <w:lang w:eastAsia="it-IT"/>
        </w:rPr>
        <w:t>controllo formale delle dichiarazioni</w:t>
      </w:r>
      <w:r>
        <w:rPr>
          <w:rFonts w:ascii="Arial" w:eastAsia="Times New Roman" w:hAnsi="Arial" w:cs="Arial"/>
          <w:color w:val="454545"/>
          <w:sz w:val="24"/>
          <w:szCs w:val="24"/>
          <w:lang w:eastAsia="it-IT"/>
        </w:rPr>
        <w:t> </w:t>
      </w:r>
      <w:r>
        <w:rPr>
          <w:rFonts w:ascii="Arial" w:eastAsia="Times New Roman" w:hAnsi="Arial" w:cs="Arial"/>
          <w:b/>
          <w:bCs/>
          <w:color w:val="454545"/>
          <w:sz w:val="24"/>
          <w:szCs w:val="24"/>
          <w:lang w:eastAsia="it-IT"/>
        </w:rPr>
        <w:t>dei redditi</w:t>
      </w:r>
      <w:r>
        <w:rPr>
          <w:rFonts w:ascii="Arial" w:eastAsia="Times New Roman" w:hAnsi="Arial" w:cs="Arial"/>
          <w:color w:val="454545"/>
          <w:sz w:val="24"/>
          <w:szCs w:val="24"/>
          <w:lang w:eastAsia="it-IT"/>
        </w:rPr>
        <w:t> è quello effettuato in base a quanto prevede l’art 36 ter. Con questo controllo l’Agenzia verifica che i dati esposti in dichiarazione </w:t>
      </w:r>
      <w:r>
        <w:rPr>
          <w:rFonts w:ascii="Arial" w:eastAsia="Times New Roman" w:hAnsi="Arial" w:cs="Arial"/>
          <w:b/>
          <w:bCs/>
          <w:color w:val="454545"/>
          <w:sz w:val="24"/>
          <w:szCs w:val="24"/>
          <w:lang w:eastAsia="it-IT"/>
        </w:rPr>
        <w:t>siano conformi alla documentazione conservata dal contribuente</w:t>
      </w:r>
      <w:r>
        <w:rPr>
          <w:rFonts w:ascii="Arial" w:eastAsia="Times New Roman" w:hAnsi="Arial" w:cs="Arial"/>
          <w:color w:val="454545"/>
          <w:sz w:val="24"/>
          <w:szCs w:val="24"/>
          <w:lang w:eastAsia="it-IT"/>
        </w:rPr>
        <w:t> e ai dati rilevabili nelle dichiarazioni presentate da altri soggetti o a quelli forniti da enti esterni come, ad esempio, enti previdenziali e assistenziali.</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Il contribuente può essere invitato dall’Ufficio a </w:t>
      </w:r>
      <w:r>
        <w:rPr>
          <w:rFonts w:ascii="Arial" w:eastAsia="Times New Roman" w:hAnsi="Arial" w:cs="Arial"/>
          <w:b/>
          <w:bCs/>
          <w:color w:val="454545"/>
          <w:sz w:val="24"/>
          <w:szCs w:val="24"/>
          <w:lang w:eastAsia="it-IT"/>
        </w:rPr>
        <w:t>esibire o trasmettere la documentazione</w:t>
      </w:r>
      <w:r>
        <w:rPr>
          <w:rFonts w:ascii="Arial" w:eastAsia="Times New Roman" w:hAnsi="Arial" w:cs="Arial"/>
          <w:color w:val="454545"/>
          <w:sz w:val="24"/>
          <w:szCs w:val="24"/>
          <w:lang w:eastAsia="it-IT"/>
        </w:rPr>
        <w:t> attestante la correttezza dei dati dichiarati e a fornire chiarimenti, qualora emergano difformità tra i dati in possesso dell’Agenzia delle Entrate e quanto esposto in dichiarazione.</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b/>
          <w:bCs/>
          <w:color w:val="454545"/>
          <w:sz w:val="24"/>
          <w:szCs w:val="24"/>
          <w:lang w:eastAsia="it-IT"/>
        </w:rPr>
        <w:t>Se la documentazione prodotta non risulta idonea</w:t>
      </w:r>
      <w:r>
        <w:rPr>
          <w:rFonts w:ascii="Arial" w:eastAsia="Times New Roman" w:hAnsi="Arial" w:cs="Arial"/>
          <w:color w:val="454545"/>
          <w:sz w:val="24"/>
          <w:szCs w:val="24"/>
          <w:lang w:eastAsia="it-IT"/>
        </w:rPr>
        <w:t> a comprovare la correttezza dei dati dichiarati, o nelle ipotesi di mancata risposta al predetto invito, il contribuente riceve una </w:t>
      </w:r>
      <w:r>
        <w:rPr>
          <w:rFonts w:ascii="Arial" w:eastAsia="Times New Roman" w:hAnsi="Arial" w:cs="Arial"/>
          <w:b/>
          <w:bCs/>
          <w:color w:val="454545"/>
          <w:sz w:val="24"/>
          <w:szCs w:val="24"/>
          <w:lang w:eastAsia="it-IT"/>
        </w:rPr>
        <w:t>comunicazione degli esiti del controllo formale contenente la richiesta delle somme dovute</w:t>
      </w:r>
      <w:r>
        <w:rPr>
          <w:rFonts w:ascii="Arial" w:eastAsia="Times New Roman" w:hAnsi="Arial" w:cs="Arial"/>
          <w:color w:val="454545"/>
          <w:sz w:val="24"/>
          <w:szCs w:val="24"/>
          <w:lang w:eastAsia="it-IT"/>
        </w:rPr>
        <w:t>. La comunicazione degli esiti del controllo formale è inviata </w:t>
      </w:r>
      <w:r>
        <w:rPr>
          <w:rFonts w:ascii="Arial" w:eastAsia="Times New Roman" w:hAnsi="Arial" w:cs="Arial"/>
          <w:b/>
          <w:bCs/>
          <w:color w:val="454545"/>
          <w:sz w:val="24"/>
          <w:szCs w:val="24"/>
          <w:lang w:eastAsia="it-IT"/>
        </w:rPr>
        <w:t>con raccomandata A/R</w:t>
      </w:r>
      <w:r>
        <w:rPr>
          <w:rFonts w:ascii="Arial" w:eastAsia="Times New Roman" w:hAnsi="Arial" w:cs="Arial"/>
          <w:color w:val="454545"/>
          <w:sz w:val="24"/>
          <w:szCs w:val="24"/>
          <w:lang w:eastAsia="it-IT"/>
        </w:rPr>
        <w:t> al domicilio fiscale del contribuente che ha presentato la dichiarazione.</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In entrambe le ipotesi (controllo automatico o controllo formale), le comunicazioni </w:t>
      </w:r>
      <w:r>
        <w:rPr>
          <w:rFonts w:ascii="Arial" w:eastAsia="Times New Roman" w:hAnsi="Arial" w:cs="Arial"/>
          <w:b/>
          <w:bCs/>
          <w:color w:val="454545"/>
          <w:sz w:val="24"/>
          <w:szCs w:val="24"/>
          <w:lang w:eastAsia="it-IT"/>
        </w:rPr>
        <w:t>non sono veri e propri atti impositivi</w:t>
      </w:r>
      <w:r>
        <w:rPr>
          <w:rFonts w:ascii="Arial" w:eastAsia="Times New Roman" w:hAnsi="Arial" w:cs="Arial"/>
          <w:color w:val="454545"/>
          <w:sz w:val="24"/>
          <w:szCs w:val="24"/>
          <w:lang w:eastAsia="it-IT"/>
        </w:rPr>
        <w:t>, piuttosto assolvono la funzione di </w:t>
      </w:r>
      <w:r>
        <w:rPr>
          <w:rFonts w:ascii="Arial" w:eastAsia="Times New Roman" w:hAnsi="Arial" w:cs="Arial"/>
          <w:b/>
          <w:bCs/>
          <w:color w:val="454545"/>
          <w:sz w:val="24"/>
          <w:szCs w:val="24"/>
          <w:lang w:eastAsia="it-IT"/>
        </w:rPr>
        <w:t>render noti i risultati dei controlli</w:t>
      </w:r>
      <w:r>
        <w:rPr>
          <w:rFonts w:ascii="Arial" w:eastAsia="Times New Roman" w:hAnsi="Arial" w:cs="Arial"/>
          <w:color w:val="454545"/>
          <w:sz w:val="24"/>
          <w:szCs w:val="24"/>
          <w:lang w:eastAsia="it-IT"/>
        </w:rPr>
        <w:t> e consentire al contribuente di </w:t>
      </w:r>
      <w:r>
        <w:rPr>
          <w:rFonts w:ascii="Arial" w:eastAsia="Times New Roman" w:hAnsi="Arial" w:cs="Arial"/>
          <w:b/>
          <w:bCs/>
          <w:color w:val="454545"/>
          <w:sz w:val="24"/>
          <w:szCs w:val="24"/>
          <w:lang w:eastAsia="it-IT"/>
        </w:rPr>
        <w:t>regolarizzare la propria posizione</w:t>
      </w:r>
      <w:r>
        <w:rPr>
          <w:rFonts w:ascii="Arial" w:eastAsia="Times New Roman" w:hAnsi="Arial" w:cs="Arial"/>
          <w:color w:val="454545"/>
          <w:sz w:val="24"/>
          <w:szCs w:val="24"/>
          <w:lang w:eastAsia="it-IT"/>
        </w:rPr>
        <w:t>, usufruendo della riduzione delle sanzioni ed </w:t>
      </w:r>
      <w:r>
        <w:rPr>
          <w:rFonts w:ascii="Arial" w:eastAsia="Times New Roman" w:hAnsi="Arial" w:cs="Arial"/>
          <w:b/>
          <w:bCs/>
          <w:color w:val="454545"/>
          <w:sz w:val="24"/>
          <w:szCs w:val="24"/>
          <w:lang w:eastAsia="it-IT"/>
        </w:rPr>
        <w:t>evitando l’iscrizione a ruolo e l’emissione della cartella</w:t>
      </w:r>
      <w:r>
        <w:rPr>
          <w:rFonts w:ascii="Arial" w:eastAsia="Times New Roman" w:hAnsi="Arial" w:cs="Arial"/>
          <w:color w:val="454545"/>
          <w:sz w:val="24"/>
          <w:szCs w:val="24"/>
          <w:lang w:eastAsia="it-IT"/>
        </w:rPr>
        <w:t>. Per questo motivo, non sono impugnabili autonomamente dinanzi alle Commissioni tributarie.</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L’Amministrazione finanziaria svolge, infine, dei </w:t>
      </w:r>
      <w:r>
        <w:rPr>
          <w:rFonts w:ascii="Arial" w:eastAsia="Times New Roman" w:hAnsi="Arial" w:cs="Arial"/>
          <w:b/>
          <w:bCs/>
          <w:color w:val="454545"/>
          <w:sz w:val="24"/>
          <w:szCs w:val="24"/>
          <w:lang w:eastAsia="it-IT"/>
        </w:rPr>
        <w:t>controlli di merito</w:t>
      </w:r>
      <w:r>
        <w:rPr>
          <w:rFonts w:ascii="Arial" w:eastAsia="Times New Roman" w:hAnsi="Arial" w:cs="Arial"/>
          <w:color w:val="454545"/>
          <w:sz w:val="24"/>
          <w:szCs w:val="24"/>
          <w:lang w:eastAsia="it-IT"/>
        </w:rPr>
        <w:t>: trattasi di un’ulteriore attività finalizzata a contrastare l’evasione totale (o parziale) di base imponibile. A tal fine, l’Agenzia delle entrate </w:t>
      </w:r>
      <w:r>
        <w:rPr>
          <w:rFonts w:ascii="Arial" w:eastAsia="Times New Roman" w:hAnsi="Arial" w:cs="Arial"/>
          <w:b/>
          <w:bCs/>
          <w:color w:val="454545"/>
          <w:sz w:val="24"/>
          <w:szCs w:val="24"/>
          <w:lang w:eastAsia="it-IT"/>
        </w:rPr>
        <w:t>pianifica annualmente i controlli sostanziali sulle imposte sul reddito, sull’Iva, sull’Irap, sulle altre imposte indirette</w:t>
      </w:r>
      <w:r>
        <w:rPr>
          <w:rFonts w:ascii="Arial" w:eastAsia="Times New Roman" w:hAnsi="Arial" w:cs="Arial"/>
          <w:color w:val="454545"/>
          <w:sz w:val="24"/>
          <w:szCs w:val="24"/>
          <w:lang w:eastAsia="it-IT"/>
        </w:rPr>
        <w:t>.</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I controlli sostanziali sono realizzati </w:t>
      </w:r>
      <w:r>
        <w:rPr>
          <w:rFonts w:ascii="Arial" w:eastAsia="Times New Roman" w:hAnsi="Arial" w:cs="Arial"/>
          <w:b/>
          <w:bCs/>
          <w:color w:val="454545"/>
          <w:sz w:val="24"/>
          <w:szCs w:val="24"/>
          <w:lang w:eastAsia="it-IT"/>
        </w:rPr>
        <w:t>mediante accessi, ispezioni o verifiche</w:t>
      </w:r>
      <w:r>
        <w:rPr>
          <w:rFonts w:ascii="Arial" w:eastAsia="Times New Roman" w:hAnsi="Arial" w:cs="Arial"/>
          <w:color w:val="454545"/>
          <w:sz w:val="24"/>
          <w:szCs w:val="24"/>
          <w:lang w:eastAsia="it-IT"/>
        </w:rPr>
        <w:t> presso i contribuenti, o ancora tramite questionari, con la convocazione del contribuente presso l’Ufficio, per acquisire ulteriori elementi istruttori o per instaurare il contraddittorio. Sulla base degli elementi istruttori acquisiti, la pretesa erariale – maggiore base imponibile e maggiore imposta – è portata </w:t>
      </w:r>
      <w:r>
        <w:rPr>
          <w:rFonts w:ascii="Arial" w:eastAsia="Times New Roman" w:hAnsi="Arial" w:cs="Arial"/>
          <w:b/>
          <w:bCs/>
          <w:color w:val="454545"/>
          <w:sz w:val="24"/>
          <w:szCs w:val="24"/>
          <w:lang w:eastAsia="it-IT"/>
        </w:rPr>
        <w:t>formalmente a conoscenza del contribuente con l’avviso di accertamento</w:t>
      </w:r>
      <w:r>
        <w:rPr>
          <w:rFonts w:ascii="Arial" w:eastAsia="Times New Roman" w:hAnsi="Arial" w:cs="Arial"/>
          <w:color w:val="454545"/>
          <w:sz w:val="24"/>
          <w:szCs w:val="24"/>
          <w:lang w:eastAsia="it-IT"/>
        </w:rPr>
        <w:t>.</w:t>
      </w:r>
    </w:p>
    <w:p w:rsidR="004B4DFB" w:rsidRDefault="004B4DFB" w:rsidP="004B4DFB">
      <w:pPr>
        <w:shd w:val="clear" w:color="auto" w:fill="FFFFFF"/>
        <w:spacing w:after="204" w:line="240" w:lineRule="auto"/>
        <w:jc w:val="both"/>
        <w:rPr>
          <w:rFonts w:ascii="Arial" w:eastAsia="Times New Roman" w:hAnsi="Arial" w:cs="Arial"/>
          <w:color w:val="454545"/>
          <w:sz w:val="24"/>
          <w:szCs w:val="24"/>
          <w:lang w:eastAsia="it-IT"/>
        </w:rPr>
      </w:pPr>
      <w:r>
        <w:rPr>
          <w:rFonts w:ascii="Arial" w:eastAsia="Times New Roman" w:hAnsi="Arial" w:cs="Arial"/>
          <w:color w:val="454545"/>
          <w:sz w:val="24"/>
          <w:szCs w:val="24"/>
          <w:lang w:eastAsia="it-IT"/>
        </w:rPr>
        <w:t>Questa tipologia di acontrollo si traduce nell’accertamento in rettifica delle dichiarazioni presentate  e negli accertamenti d’ufficio nei confronti delle omesse dichiarazioni.il legislatore ha previsto diverse tipolgie di accertamento che si distinguono in:</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L’attività di controllo dell’Agenzia delle Entrate si differenzia a seconda del tipo di contribuente oggetto di verifica.</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Le </w:t>
      </w:r>
      <w:r>
        <w:rPr>
          <w:rFonts w:ascii="Arial" w:eastAsia="Times New Roman" w:hAnsi="Arial" w:cs="Arial"/>
          <w:b/>
          <w:bCs/>
          <w:color w:val="555555"/>
          <w:sz w:val="24"/>
          <w:szCs w:val="24"/>
          <w:lang w:eastAsia="it-IT"/>
        </w:rPr>
        <w:t>persone fisiche</w:t>
      </w:r>
      <w:r>
        <w:rPr>
          <w:rFonts w:ascii="Arial" w:eastAsia="Times New Roman" w:hAnsi="Arial" w:cs="Arial"/>
          <w:color w:val="555555"/>
          <w:sz w:val="24"/>
          <w:szCs w:val="24"/>
          <w:lang w:eastAsia="it-IT"/>
        </w:rPr>
        <w:t>, cioè soggetti privi di p.iva, possono essere sottoposti in via </w:t>
      </w:r>
      <w:r>
        <w:rPr>
          <w:rFonts w:ascii="Arial" w:eastAsia="Times New Roman" w:hAnsi="Arial" w:cs="Arial"/>
          <w:b/>
          <w:bCs/>
          <w:color w:val="555555"/>
          <w:sz w:val="24"/>
          <w:szCs w:val="24"/>
          <w:lang w:eastAsia="it-IT"/>
        </w:rPr>
        <w:t>esclusiva</w:t>
      </w:r>
      <w:r>
        <w:rPr>
          <w:rFonts w:ascii="Arial" w:eastAsia="Times New Roman" w:hAnsi="Arial" w:cs="Arial"/>
          <w:color w:val="555555"/>
          <w:sz w:val="24"/>
          <w:szCs w:val="24"/>
          <w:lang w:eastAsia="it-IT"/>
        </w:rPr>
        <w:t> alle seguenti tipologie di accertamento:</w:t>
      </w:r>
    </w:p>
    <w:p w:rsidR="004B4DFB" w:rsidRDefault="004B4DFB" w:rsidP="004B4DFB">
      <w:pPr>
        <w:numPr>
          <w:ilvl w:val="0"/>
          <w:numId w:val="31"/>
        </w:numPr>
        <w:shd w:val="clear" w:color="auto" w:fill="FFFFFF"/>
        <w:spacing w:before="68" w:after="136" w:line="240" w:lineRule="auto"/>
        <w:jc w:val="both"/>
        <w:rPr>
          <w:rFonts w:ascii="Arial" w:eastAsia="Times New Roman" w:hAnsi="Arial" w:cs="Arial"/>
          <w:color w:val="555555"/>
          <w:sz w:val="24"/>
          <w:szCs w:val="24"/>
          <w:lang w:eastAsia="it-IT"/>
        </w:rPr>
      </w:pPr>
      <w:r>
        <w:rPr>
          <w:rFonts w:ascii="Arial" w:eastAsia="Times New Roman" w:hAnsi="Arial" w:cs="Arial"/>
          <w:b/>
          <w:bCs/>
          <w:color w:val="555555"/>
          <w:sz w:val="24"/>
          <w:szCs w:val="24"/>
          <w:lang w:eastAsia="it-IT"/>
        </w:rPr>
        <w:lastRenderedPageBreak/>
        <w:t>analitico</w:t>
      </w:r>
      <w:r>
        <w:rPr>
          <w:rFonts w:ascii="Arial" w:eastAsia="Times New Roman" w:hAnsi="Arial" w:cs="Arial"/>
          <w:color w:val="555555"/>
          <w:sz w:val="24"/>
          <w:szCs w:val="24"/>
          <w:lang w:eastAsia="it-IT"/>
        </w:rPr>
        <w:t> (art 38 e 40);</w:t>
      </w:r>
    </w:p>
    <w:p w:rsidR="004B4DFB" w:rsidRDefault="004B4DFB" w:rsidP="004B4DFB">
      <w:pPr>
        <w:numPr>
          <w:ilvl w:val="0"/>
          <w:numId w:val="31"/>
        </w:numPr>
        <w:shd w:val="clear" w:color="auto" w:fill="FFFFFF"/>
        <w:spacing w:before="68" w:after="136" w:line="240" w:lineRule="auto"/>
        <w:jc w:val="both"/>
        <w:rPr>
          <w:rFonts w:ascii="Arial" w:eastAsia="Times New Roman" w:hAnsi="Arial" w:cs="Arial"/>
          <w:color w:val="555555"/>
          <w:sz w:val="24"/>
          <w:szCs w:val="24"/>
          <w:lang w:eastAsia="it-IT"/>
        </w:rPr>
      </w:pPr>
      <w:r>
        <w:rPr>
          <w:rFonts w:ascii="Arial" w:eastAsia="Times New Roman" w:hAnsi="Arial" w:cs="Arial"/>
          <w:b/>
          <w:bCs/>
          <w:color w:val="555555"/>
          <w:sz w:val="24"/>
          <w:szCs w:val="24"/>
          <w:lang w:eastAsia="it-IT"/>
        </w:rPr>
        <w:t>sintetico</w:t>
      </w:r>
      <w:r>
        <w:rPr>
          <w:rFonts w:ascii="Arial" w:eastAsia="Times New Roman" w:hAnsi="Arial" w:cs="Arial"/>
          <w:color w:val="555555"/>
          <w:sz w:val="24"/>
          <w:szCs w:val="24"/>
          <w:lang w:eastAsia="it-IT"/>
        </w:rPr>
        <w:t> (art. 38 comma 3-5 Dpr 600/73).</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L’</w:t>
      </w:r>
      <w:r>
        <w:rPr>
          <w:rFonts w:ascii="Arial" w:eastAsia="Times New Roman" w:hAnsi="Arial" w:cs="Arial"/>
          <w:b/>
          <w:bCs/>
          <w:color w:val="555555"/>
          <w:sz w:val="24"/>
          <w:szCs w:val="24"/>
          <w:lang w:eastAsia="it-IT"/>
        </w:rPr>
        <w:t>accertamento analitico</w:t>
      </w:r>
      <w:r>
        <w:rPr>
          <w:rFonts w:ascii="Arial" w:eastAsia="Times New Roman" w:hAnsi="Arial" w:cs="Arial"/>
          <w:color w:val="555555"/>
          <w:sz w:val="24"/>
          <w:szCs w:val="24"/>
          <w:lang w:eastAsia="it-IT"/>
        </w:rPr>
        <w:t> può essere condotto in maniera trasversale sia verso persone fisiche che aziende, è un metodo di controllo con cui l’Amministrazione Finanziaria si limita a verificare se i conti fatti dal contribuente in sede di dichiarazione sono corretti e se sono stati effettuati i versamenti dovuti.</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L’Ufficio quindi determinerà analiticamente cioè, voce per voce, la dichiarazione presentata dal contribuente, evidenziano un maggior reddito o indebite detrazioni effettuate dai contribuenti.</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L’</w:t>
      </w:r>
      <w:r>
        <w:rPr>
          <w:rFonts w:ascii="Arial" w:eastAsia="Times New Roman" w:hAnsi="Arial" w:cs="Arial"/>
          <w:b/>
          <w:bCs/>
          <w:color w:val="555555"/>
          <w:sz w:val="24"/>
          <w:szCs w:val="24"/>
          <w:lang w:eastAsia="it-IT"/>
        </w:rPr>
        <w:t>accertamento sintetico</w:t>
      </w:r>
      <w:r>
        <w:rPr>
          <w:rFonts w:ascii="Arial" w:eastAsia="Times New Roman" w:hAnsi="Arial" w:cs="Arial"/>
          <w:color w:val="555555"/>
          <w:sz w:val="24"/>
          <w:szCs w:val="24"/>
          <w:lang w:eastAsia="it-IT"/>
        </w:rPr>
        <w:t> è esperibile nei confronti di </w:t>
      </w:r>
      <w:r>
        <w:rPr>
          <w:rFonts w:ascii="Arial" w:eastAsia="Times New Roman" w:hAnsi="Arial" w:cs="Arial"/>
          <w:b/>
          <w:bCs/>
          <w:color w:val="555555"/>
          <w:sz w:val="24"/>
          <w:szCs w:val="24"/>
          <w:lang w:eastAsia="it-IT"/>
        </w:rPr>
        <w:t>persone fisiche</w:t>
      </w:r>
      <w:r>
        <w:rPr>
          <w:rFonts w:ascii="Arial" w:eastAsia="Times New Roman" w:hAnsi="Arial" w:cs="Arial"/>
          <w:color w:val="555555"/>
          <w:sz w:val="24"/>
          <w:szCs w:val="24"/>
          <w:lang w:eastAsia="it-IT"/>
        </w:rPr>
        <w:t>, ma anche ditte individuali e professionisti, e si basa sulla considerazione che il reddito dichiarato non è adeguato al tenore di vita del contribuente e della sua famiglia. Sono escluse da questo tipo di controllo le imprese, che invece vengono sottoposte a controlli diretti.</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Secondo l’art. 38 del Dpr 600/73 infatti l’amministrazione finanziaria può sempre </w:t>
      </w:r>
      <w:r>
        <w:rPr>
          <w:rFonts w:ascii="Arial" w:eastAsia="Times New Roman" w:hAnsi="Arial" w:cs="Arial"/>
          <w:b/>
          <w:bCs/>
          <w:color w:val="555555"/>
          <w:sz w:val="24"/>
          <w:szCs w:val="24"/>
          <w:lang w:eastAsia="it-IT"/>
        </w:rPr>
        <w:t>determinare sinteticamente</w:t>
      </w:r>
      <w:r>
        <w:rPr>
          <w:rFonts w:ascii="Arial" w:eastAsia="Times New Roman" w:hAnsi="Arial" w:cs="Arial"/>
          <w:color w:val="555555"/>
          <w:sz w:val="24"/>
          <w:szCs w:val="24"/>
          <w:lang w:eastAsia="it-IT"/>
        </w:rPr>
        <w:t> il reddito complessivo del contribuente sulla base delle spese di qualsiasi genere sostenute nel corso del periodo d’imposta.</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Gli uffici quindi analizzeranno con questo metodo, definito anche </w:t>
      </w:r>
      <w:r>
        <w:rPr>
          <w:rFonts w:ascii="Arial" w:eastAsia="Times New Roman" w:hAnsi="Arial" w:cs="Arial"/>
          <w:b/>
          <w:bCs/>
          <w:color w:val="555555"/>
          <w:sz w:val="24"/>
          <w:szCs w:val="24"/>
          <w:lang w:eastAsia="it-IT"/>
        </w:rPr>
        <w:t>“redditometro”</w:t>
      </w:r>
      <w:r>
        <w:rPr>
          <w:rFonts w:ascii="Arial" w:eastAsia="Times New Roman" w:hAnsi="Arial" w:cs="Arial"/>
          <w:color w:val="555555"/>
          <w:sz w:val="24"/>
          <w:szCs w:val="24"/>
          <w:lang w:eastAsia="it-IT"/>
        </w:rPr>
        <w:t>, campioni significativi di contribuenti, differenziati per nucleo familiare o area territoriale, fondando l’accertamento su </w:t>
      </w:r>
      <w:r>
        <w:rPr>
          <w:rFonts w:ascii="Arial" w:eastAsia="Times New Roman" w:hAnsi="Arial" w:cs="Arial"/>
          <w:b/>
          <w:bCs/>
          <w:color w:val="555555"/>
          <w:sz w:val="24"/>
          <w:szCs w:val="24"/>
          <w:lang w:eastAsia="it-IT"/>
        </w:rPr>
        <w:t>elementi induttivi</w:t>
      </w:r>
      <w:r>
        <w:rPr>
          <w:rFonts w:ascii="Arial" w:eastAsia="Times New Roman" w:hAnsi="Arial" w:cs="Arial"/>
          <w:color w:val="555555"/>
          <w:sz w:val="24"/>
          <w:szCs w:val="24"/>
          <w:lang w:eastAsia="it-IT"/>
        </w:rPr>
        <w:t> indicatori di </w:t>
      </w:r>
      <w:r>
        <w:rPr>
          <w:rFonts w:ascii="Arial" w:eastAsia="Times New Roman" w:hAnsi="Arial" w:cs="Arial"/>
          <w:b/>
          <w:bCs/>
          <w:color w:val="555555"/>
          <w:sz w:val="24"/>
          <w:szCs w:val="24"/>
          <w:lang w:eastAsia="it-IT"/>
        </w:rPr>
        <w:t>capacità contributiva</w:t>
      </w:r>
      <w:r>
        <w:rPr>
          <w:rFonts w:ascii="Arial" w:eastAsia="Times New Roman" w:hAnsi="Arial" w:cs="Arial"/>
          <w:color w:val="555555"/>
          <w:sz w:val="24"/>
          <w:szCs w:val="24"/>
          <w:lang w:eastAsia="it-IT"/>
        </w:rPr>
        <w:t> .</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Spetta la contribuente l’</w:t>
      </w:r>
      <w:r>
        <w:rPr>
          <w:rFonts w:ascii="Arial" w:eastAsia="Times New Roman" w:hAnsi="Arial" w:cs="Arial"/>
          <w:b/>
          <w:bCs/>
          <w:color w:val="555555"/>
          <w:sz w:val="24"/>
          <w:szCs w:val="24"/>
          <w:lang w:eastAsia="it-IT"/>
        </w:rPr>
        <w:t>onore della prova</w:t>
      </w:r>
      <w:r>
        <w:rPr>
          <w:rFonts w:ascii="Arial" w:eastAsia="Times New Roman" w:hAnsi="Arial" w:cs="Arial"/>
          <w:color w:val="555555"/>
          <w:sz w:val="24"/>
          <w:szCs w:val="24"/>
          <w:lang w:eastAsia="it-IT"/>
        </w:rPr>
        <w:t> che il relativo finanziamento sia avvenuto con redditi:</w:t>
      </w:r>
    </w:p>
    <w:p w:rsidR="004B4DFB" w:rsidRDefault="004B4DFB" w:rsidP="004B4DFB">
      <w:pPr>
        <w:numPr>
          <w:ilvl w:val="0"/>
          <w:numId w:val="32"/>
        </w:numPr>
        <w:shd w:val="clear" w:color="auto" w:fill="FFFFFF"/>
        <w:spacing w:before="68"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diversi da quelli posseduti nello stesso periodo d’imposta;</w:t>
      </w:r>
    </w:p>
    <w:p w:rsidR="004B4DFB" w:rsidRDefault="004B4DFB" w:rsidP="004B4DFB">
      <w:pPr>
        <w:numPr>
          <w:ilvl w:val="0"/>
          <w:numId w:val="32"/>
        </w:numPr>
        <w:shd w:val="clear" w:color="auto" w:fill="FFFFFF"/>
        <w:spacing w:before="68"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esenti o soggetti a ritenuta alla fonte a titolo di imposta;</w:t>
      </w:r>
    </w:p>
    <w:p w:rsidR="004B4DFB" w:rsidRDefault="004B4DFB" w:rsidP="004B4DFB">
      <w:pPr>
        <w:numPr>
          <w:ilvl w:val="0"/>
          <w:numId w:val="32"/>
        </w:numPr>
        <w:shd w:val="clear" w:color="auto" w:fill="FFFFFF"/>
        <w:spacing w:before="68"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esclusi legalmente dalla formazione della base imponibile.</w:t>
      </w:r>
    </w:p>
    <w:p w:rsidR="004B4DFB" w:rsidRDefault="004B4DFB" w:rsidP="004B4DFB">
      <w:pPr>
        <w:shd w:val="clear" w:color="auto" w:fill="FFFFFF"/>
        <w:spacing w:before="272" w:after="136" w:line="240" w:lineRule="auto"/>
        <w:jc w:val="both"/>
        <w:rPr>
          <w:rFonts w:ascii="Arial" w:eastAsia="Times New Roman" w:hAnsi="Arial" w:cs="Arial"/>
          <w:color w:val="555555"/>
          <w:sz w:val="24"/>
          <w:szCs w:val="24"/>
          <w:lang w:eastAsia="it-IT"/>
        </w:rPr>
      </w:pPr>
      <w:r>
        <w:rPr>
          <w:rFonts w:ascii="Arial" w:eastAsia="Times New Roman" w:hAnsi="Arial" w:cs="Arial"/>
          <w:color w:val="555555"/>
          <w:sz w:val="24"/>
          <w:szCs w:val="24"/>
          <w:lang w:eastAsia="it-IT"/>
        </w:rPr>
        <w:t>Questo tipo di accertamento rivolto esclusivamente alle persone fisiche nasce a condizione che il reddito complessivo accertabile ecceda rispetto a quello dichiarato di </w:t>
      </w:r>
      <w:r>
        <w:rPr>
          <w:rFonts w:ascii="Arial" w:eastAsia="Times New Roman" w:hAnsi="Arial" w:cs="Arial"/>
          <w:b/>
          <w:bCs/>
          <w:color w:val="555555"/>
          <w:sz w:val="24"/>
          <w:szCs w:val="24"/>
          <w:lang w:eastAsia="it-IT"/>
        </w:rPr>
        <w:t>almeno un quinto</w:t>
      </w:r>
      <w:r>
        <w:rPr>
          <w:rFonts w:ascii="Arial" w:eastAsia="Times New Roman" w:hAnsi="Arial" w:cs="Arial"/>
          <w:color w:val="555555"/>
          <w:sz w:val="24"/>
          <w:szCs w:val="24"/>
          <w:lang w:eastAsia="it-IT"/>
        </w:rPr>
        <w:t> ed è sufficiente che tale scostamento avvenga </w:t>
      </w:r>
      <w:r>
        <w:rPr>
          <w:rFonts w:ascii="Arial" w:eastAsia="Times New Roman" w:hAnsi="Arial" w:cs="Arial"/>
          <w:b/>
          <w:bCs/>
          <w:color w:val="555555"/>
          <w:sz w:val="24"/>
          <w:szCs w:val="24"/>
          <w:lang w:eastAsia="it-IT"/>
        </w:rPr>
        <w:t>per un solo periodo di imposta.</w:t>
      </w:r>
    </w:p>
    <w:p w:rsidR="004B4DFB" w:rsidRDefault="004B4DFB" w:rsidP="004B4DFB">
      <w:pPr>
        <w:spacing w:before="475" w:after="204" w:line="240" w:lineRule="auto"/>
        <w:ind w:right="679"/>
        <w:outlineLvl w:val="2"/>
        <w:rPr>
          <w:rFonts w:ascii="Arial" w:eastAsia="Times New Roman" w:hAnsi="Arial" w:cs="Arial"/>
          <w:b/>
          <w:bCs/>
          <w:color w:val="555555"/>
          <w:sz w:val="24"/>
          <w:szCs w:val="24"/>
          <w:shd w:val="clear" w:color="auto" w:fill="FFFFFF"/>
          <w:lang w:eastAsia="it-IT"/>
        </w:rPr>
      </w:pPr>
      <w:r>
        <w:rPr>
          <w:rFonts w:ascii="Arial" w:eastAsia="Times New Roman" w:hAnsi="Arial" w:cs="Arial"/>
          <w:b/>
          <w:bCs/>
          <w:color w:val="555555"/>
          <w:sz w:val="24"/>
          <w:szCs w:val="24"/>
          <w:shd w:val="clear" w:color="auto" w:fill="FFFFFF"/>
          <w:lang w:eastAsia="it-IT"/>
        </w:rPr>
        <w:t>Accertamento tributario per le imprese</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Le imprese possono essere sottoposte, secondo il D.p.r. 600/73, a tre tipologie di accertamento:</w:t>
      </w:r>
    </w:p>
    <w:p w:rsidR="004B4DFB" w:rsidRDefault="004B4DFB" w:rsidP="004B4DFB">
      <w:pPr>
        <w:numPr>
          <w:ilvl w:val="0"/>
          <w:numId w:val="33"/>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b/>
          <w:bCs/>
          <w:color w:val="555555"/>
          <w:sz w:val="24"/>
          <w:szCs w:val="24"/>
          <w:lang w:eastAsia="it-IT"/>
        </w:rPr>
        <w:t>Analitico-contabile</w:t>
      </w:r>
      <w:r>
        <w:rPr>
          <w:rFonts w:ascii="Arial" w:eastAsia="Times New Roman" w:hAnsi="Arial" w:cs="Arial"/>
          <w:color w:val="555555"/>
          <w:sz w:val="24"/>
          <w:szCs w:val="24"/>
          <w:shd w:val="clear" w:color="auto" w:fill="FFFFFF"/>
          <w:lang w:eastAsia="it-IT"/>
        </w:rPr>
        <w:t>: per le imposte sui redditi art 39, per l’Iva il riferimento è all’art. 54 comma 1 e 2 del Dpr 633/72;</w:t>
      </w:r>
    </w:p>
    <w:p w:rsidR="004B4DFB" w:rsidRDefault="004B4DFB" w:rsidP="004B4DFB">
      <w:pPr>
        <w:numPr>
          <w:ilvl w:val="0"/>
          <w:numId w:val="33"/>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b/>
          <w:bCs/>
          <w:color w:val="555555"/>
          <w:sz w:val="24"/>
          <w:szCs w:val="24"/>
          <w:lang w:eastAsia="it-IT"/>
        </w:rPr>
        <w:t>Analitico-induttivo</w:t>
      </w:r>
      <w:r>
        <w:rPr>
          <w:rFonts w:ascii="Arial" w:eastAsia="Times New Roman" w:hAnsi="Arial" w:cs="Arial"/>
          <w:color w:val="555555"/>
          <w:sz w:val="24"/>
          <w:szCs w:val="24"/>
          <w:shd w:val="clear" w:color="auto" w:fill="FFFFFF"/>
          <w:lang w:eastAsia="it-IT"/>
        </w:rPr>
        <w:t>: per le imposte sui redditi art. 39, comma 1, lett. d), per l’Iva il riferimento è all’art 54;</w:t>
      </w:r>
    </w:p>
    <w:p w:rsidR="004B4DFB" w:rsidRDefault="004B4DFB" w:rsidP="004B4DFB">
      <w:pPr>
        <w:numPr>
          <w:ilvl w:val="0"/>
          <w:numId w:val="33"/>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b/>
          <w:bCs/>
          <w:color w:val="555555"/>
          <w:sz w:val="24"/>
          <w:szCs w:val="24"/>
          <w:lang w:eastAsia="it-IT"/>
        </w:rPr>
        <w:t>Induttivo-extracontabile</w:t>
      </w:r>
      <w:r>
        <w:rPr>
          <w:rFonts w:ascii="Arial" w:eastAsia="Times New Roman" w:hAnsi="Arial" w:cs="Arial"/>
          <w:color w:val="555555"/>
          <w:sz w:val="24"/>
          <w:szCs w:val="24"/>
          <w:shd w:val="clear" w:color="auto" w:fill="FFFFFF"/>
          <w:lang w:eastAsia="it-IT"/>
        </w:rPr>
        <w:t>: art. 39, comma 2 e in riferimento all’Iva art. 55.</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lastRenderedPageBreak/>
        <w:t>La metodologia di </w:t>
      </w:r>
      <w:r>
        <w:rPr>
          <w:rFonts w:ascii="Arial" w:eastAsia="Times New Roman" w:hAnsi="Arial" w:cs="Arial"/>
          <w:b/>
          <w:bCs/>
          <w:color w:val="555555"/>
          <w:sz w:val="24"/>
          <w:szCs w:val="24"/>
          <w:lang w:eastAsia="it-IT"/>
        </w:rPr>
        <w:t>accertamento analitico contabile</w:t>
      </w:r>
      <w:r>
        <w:rPr>
          <w:rFonts w:ascii="Arial" w:eastAsia="Times New Roman" w:hAnsi="Arial" w:cs="Arial"/>
          <w:color w:val="555555"/>
          <w:sz w:val="24"/>
          <w:szCs w:val="24"/>
          <w:shd w:val="clear" w:color="auto" w:fill="FFFFFF"/>
          <w:lang w:eastAsia="it-IT"/>
        </w:rPr>
        <w:t> nasce per il contribuente nel caso in cui sorgono delle discrepanze tra le </w:t>
      </w:r>
      <w:r>
        <w:rPr>
          <w:rFonts w:ascii="Arial" w:eastAsia="Times New Roman" w:hAnsi="Arial" w:cs="Arial"/>
          <w:b/>
          <w:bCs/>
          <w:color w:val="555555"/>
          <w:sz w:val="24"/>
          <w:szCs w:val="24"/>
          <w:lang w:eastAsia="it-IT"/>
        </w:rPr>
        <w:t>scritture contabili</w:t>
      </w:r>
      <w:r>
        <w:rPr>
          <w:rFonts w:ascii="Arial" w:eastAsia="Times New Roman" w:hAnsi="Arial" w:cs="Arial"/>
          <w:color w:val="555555"/>
          <w:sz w:val="24"/>
          <w:szCs w:val="24"/>
          <w:shd w:val="clear" w:color="auto" w:fill="FFFFFF"/>
          <w:lang w:eastAsia="it-IT"/>
        </w:rPr>
        <w:t> e la </w:t>
      </w:r>
      <w:r>
        <w:rPr>
          <w:rFonts w:ascii="Arial" w:eastAsia="Times New Roman" w:hAnsi="Arial" w:cs="Arial"/>
          <w:b/>
          <w:bCs/>
          <w:color w:val="555555"/>
          <w:sz w:val="24"/>
          <w:szCs w:val="24"/>
          <w:lang w:eastAsia="it-IT"/>
        </w:rPr>
        <w:t>dichiarazione dei redditi</w:t>
      </w:r>
      <w:r>
        <w:rPr>
          <w:rFonts w:ascii="Arial" w:eastAsia="Times New Roman" w:hAnsi="Arial" w:cs="Arial"/>
          <w:color w:val="555555"/>
          <w:sz w:val="24"/>
          <w:szCs w:val="24"/>
          <w:shd w:val="clear" w:color="auto" w:fill="FFFFFF"/>
          <w:lang w:eastAsia="it-IT"/>
        </w:rPr>
        <w:t>, perché non sono state rispettate le regole della determinazione del reddito secondo il Tuir o la corretta tenuta della contabilità. L’amministrazione finanziaria in questo caso procede con la rettifica delle dichiarazione basandosi su </w:t>
      </w:r>
      <w:r>
        <w:rPr>
          <w:rFonts w:ascii="Arial" w:eastAsia="Times New Roman" w:hAnsi="Arial" w:cs="Arial"/>
          <w:b/>
          <w:bCs/>
          <w:color w:val="555555"/>
          <w:sz w:val="24"/>
          <w:szCs w:val="24"/>
          <w:lang w:eastAsia="it-IT"/>
        </w:rPr>
        <w:t>elementi certi</w:t>
      </w:r>
      <w:r>
        <w:rPr>
          <w:rFonts w:ascii="Arial" w:eastAsia="Times New Roman" w:hAnsi="Arial" w:cs="Arial"/>
          <w:color w:val="555555"/>
          <w:sz w:val="24"/>
          <w:szCs w:val="24"/>
          <w:shd w:val="clear" w:color="auto" w:fill="FFFFFF"/>
          <w:lang w:eastAsia="it-IT"/>
        </w:rPr>
        <w:t> (atti, documenti o verbali).</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b/>
          <w:bCs/>
          <w:color w:val="555555"/>
          <w:sz w:val="24"/>
          <w:szCs w:val="24"/>
          <w:lang w:eastAsia="it-IT"/>
        </w:rPr>
        <w:t>Il metodo analitico-induttivo</w:t>
      </w:r>
      <w:r>
        <w:rPr>
          <w:rFonts w:ascii="Arial" w:eastAsia="Times New Roman" w:hAnsi="Arial" w:cs="Arial"/>
          <w:color w:val="555555"/>
          <w:sz w:val="24"/>
          <w:szCs w:val="24"/>
          <w:shd w:val="clear" w:color="auto" w:fill="FFFFFF"/>
          <w:lang w:eastAsia="it-IT"/>
        </w:rPr>
        <w:t> di controllo si verifica quando a seguito di un’</w:t>
      </w:r>
      <w:r>
        <w:rPr>
          <w:rFonts w:ascii="Arial" w:eastAsia="Times New Roman" w:hAnsi="Arial" w:cs="Arial"/>
          <w:b/>
          <w:bCs/>
          <w:color w:val="555555"/>
          <w:sz w:val="24"/>
          <w:szCs w:val="24"/>
          <w:lang w:eastAsia="it-IT"/>
        </w:rPr>
        <w:t>ispezione contabile</w:t>
      </w:r>
      <w:r>
        <w:rPr>
          <w:rFonts w:ascii="Arial" w:eastAsia="Times New Roman" w:hAnsi="Arial" w:cs="Arial"/>
          <w:color w:val="555555"/>
          <w:sz w:val="24"/>
          <w:szCs w:val="24"/>
          <w:shd w:val="clear" w:color="auto" w:fill="FFFFFF"/>
          <w:lang w:eastAsia="it-IT"/>
        </w:rPr>
        <w:t> si evince </w:t>
      </w:r>
      <w:r>
        <w:rPr>
          <w:rFonts w:ascii="Arial" w:eastAsia="Times New Roman" w:hAnsi="Arial" w:cs="Arial"/>
          <w:b/>
          <w:bCs/>
          <w:color w:val="555555"/>
          <w:sz w:val="24"/>
          <w:szCs w:val="24"/>
          <w:lang w:eastAsia="it-IT"/>
        </w:rPr>
        <w:t>l’inesattezza e la falsità</w:t>
      </w:r>
      <w:r>
        <w:rPr>
          <w:rFonts w:ascii="Arial" w:eastAsia="Times New Roman" w:hAnsi="Arial" w:cs="Arial"/>
          <w:color w:val="555555"/>
          <w:sz w:val="24"/>
          <w:szCs w:val="24"/>
          <w:shd w:val="clear" w:color="auto" w:fill="FFFFFF"/>
          <w:lang w:eastAsia="it-IT"/>
        </w:rPr>
        <w:t> degli elementi indicati in dichiarazione; con questo metodo il controllo avviene analizzando il bilancio o la dichiarazione </w:t>
      </w:r>
      <w:r>
        <w:rPr>
          <w:rFonts w:ascii="Arial" w:eastAsia="Times New Roman" w:hAnsi="Arial" w:cs="Arial"/>
          <w:b/>
          <w:bCs/>
          <w:color w:val="555555"/>
          <w:sz w:val="24"/>
          <w:szCs w:val="24"/>
          <w:lang w:eastAsia="it-IT"/>
        </w:rPr>
        <w:t>posta per posta</w:t>
      </w:r>
      <w:r>
        <w:rPr>
          <w:rFonts w:ascii="Arial" w:eastAsia="Times New Roman" w:hAnsi="Arial" w:cs="Arial"/>
          <w:color w:val="555555"/>
          <w:sz w:val="24"/>
          <w:szCs w:val="24"/>
          <w:shd w:val="clear" w:color="auto" w:fill="FFFFFF"/>
          <w:lang w:eastAsia="it-IT"/>
        </w:rPr>
        <w:t> e si potrà basare su </w:t>
      </w:r>
      <w:r>
        <w:rPr>
          <w:rFonts w:ascii="Arial" w:eastAsia="Times New Roman" w:hAnsi="Arial" w:cs="Arial"/>
          <w:b/>
          <w:bCs/>
          <w:color w:val="555555"/>
          <w:sz w:val="24"/>
          <w:szCs w:val="24"/>
          <w:lang w:eastAsia="it-IT"/>
        </w:rPr>
        <w:t>presunzioni </w:t>
      </w:r>
      <w:r>
        <w:rPr>
          <w:rFonts w:ascii="Arial" w:eastAsia="Times New Roman" w:hAnsi="Arial" w:cs="Arial"/>
          <w:color w:val="555555"/>
          <w:sz w:val="24"/>
          <w:szCs w:val="24"/>
          <w:shd w:val="clear" w:color="auto" w:fill="FFFFFF"/>
          <w:lang w:eastAsia="it-IT"/>
        </w:rPr>
        <w:t>purché siano </w:t>
      </w:r>
      <w:r>
        <w:rPr>
          <w:rFonts w:ascii="Arial" w:eastAsia="Times New Roman" w:hAnsi="Arial" w:cs="Arial"/>
          <w:b/>
          <w:bCs/>
          <w:color w:val="555555"/>
          <w:sz w:val="24"/>
          <w:szCs w:val="24"/>
          <w:lang w:eastAsia="it-IT"/>
        </w:rPr>
        <w:t>gravi precise e concordanti</w:t>
      </w:r>
      <w:r>
        <w:rPr>
          <w:rFonts w:ascii="Arial" w:eastAsia="Times New Roman" w:hAnsi="Arial" w:cs="Arial"/>
          <w:color w:val="555555"/>
          <w:sz w:val="24"/>
          <w:szCs w:val="24"/>
          <w:shd w:val="clear" w:color="auto" w:fill="FFFFFF"/>
          <w:lang w:eastAsia="it-IT"/>
        </w:rPr>
        <w:t>.</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L’accertamento </w:t>
      </w:r>
      <w:r>
        <w:rPr>
          <w:rFonts w:ascii="Arial" w:eastAsia="Times New Roman" w:hAnsi="Arial" w:cs="Arial"/>
          <w:b/>
          <w:bCs/>
          <w:color w:val="555555"/>
          <w:sz w:val="24"/>
          <w:szCs w:val="24"/>
          <w:lang w:eastAsia="it-IT"/>
        </w:rPr>
        <w:t>induttivo extracontabile</w:t>
      </w:r>
      <w:r>
        <w:rPr>
          <w:rFonts w:ascii="Arial" w:eastAsia="Times New Roman" w:hAnsi="Arial" w:cs="Arial"/>
          <w:color w:val="555555"/>
          <w:sz w:val="24"/>
          <w:szCs w:val="24"/>
          <w:shd w:val="clear" w:color="auto" w:fill="FFFFFF"/>
          <w:lang w:eastAsia="it-IT"/>
        </w:rPr>
        <w:t> si verifica nel caso in cui vengano riscontrate delle gravissime omissioni tassativamente previste dalla legge quali:</w:t>
      </w:r>
    </w:p>
    <w:p w:rsidR="004B4DFB" w:rsidRDefault="004B4DFB" w:rsidP="004B4DFB">
      <w:pPr>
        <w:numPr>
          <w:ilvl w:val="0"/>
          <w:numId w:val="34"/>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reddito di impresa non indicato in dichiarazione;</w:t>
      </w:r>
    </w:p>
    <w:p w:rsidR="004B4DFB" w:rsidRDefault="004B4DFB" w:rsidP="004B4DFB">
      <w:pPr>
        <w:numPr>
          <w:ilvl w:val="0"/>
          <w:numId w:val="34"/>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dal verbale di ispezione risulta che il contribuente ha sottratto o non tenuto le scritture contabili;</w:t>
      </w:r>
    </w:p>
    <w:p w:rsidR="004B4DFB" w:rsidRDefault="004B4DFB" w:rsidP="004B4DFB">
      <w:pPr>
        <w:numPr>
          <w:ilvl w:val="0"/>
          <w:numId w:val="34"/>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non sono inviati i modelli per gli studi di settore;</w:t>
      </w:r>
    </w:p>
    <w:p w:rsidR="004B4DFB" w:rsidRDefault="004B4DFB" w:rsidP="004B4DFB">
      <w:pPr>
        <w:numPr>
          <w:ilvl w:val="0"/>
          <w:numId w:val="34"/>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ci son gravi irregolarità, omissioni e inesattezze nella contabilità.</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Data la gravità delle situazione per il contribuente, la legge in questi casi autorizza l’Ufficio di avvalersi di </w:t>
      </w:r>
      <w:r>
        <w:rPr>
          <w:rFonts w:ascii="Arial" w:eastAsia="Times New Roman" w:hAnsi="Arial" w:cs="Arial"/>
          <w:b/>
          <w:bCs/>
          <w:color w:val="555555"/>
          <w:sz w:val="24"/>
          <w:szCs w:val="24"/>
          <w:lang w:eastAsia="it-IT"/>
        </w:rPr>
        <w:t>presunzioni non qualificate</w:t>
      </w:r>
      <w:r>
        <w:rPr>
          <w:rFonts w:ascii="Arial" w:eastAsia="Times New Roman" w:hAnsi="Arial" w:cs="Arial"/>
          <w:color w:val="555555"/>
          <w:sz w:val="24"/>
          <w:szCs w:val="24"/>
          <w:shd w:val="clear" w:color="auto" w:fill="FFFFFF"/>
          <w:lang w:eastAsia="it-IT"/>
        </w:rPr>
        <w:t> cioè prive di requisiti di </w:t>
      </w:r>
      <w:r>
        <w:rPr>
          <w:rFonts w:ascii="Arial" w:eastAsia="Times New Roman" w:hAnsi="Arial" w:cs="Arial"/>
          <w:b/>
          <w:bCs/>
          <w:color w:val="555555"/>
          <w:sz w:val="24"/>
          <w:szCs w:val="24"/>
          <w:lang w:eastAsia="it-IT"/>
        </w:rPr>
        <w:t>gravità, precisione e concordanza.</w:t>
      </w:r>
      <w:r>
        <w:rPr>
          <w:rFonts w:ascii="Arial" w:eastAsia="Times New Roman" w:hAnsi="Arial" w:cs="Arial"/>
          <w:color w:val="555555"/>
          <w:sz w:val="24"/>
          <w:szCs w:val="24"/>
          <w:shd w:val="clear" w:color="auto" w:fill="FFFFFF"/>
          <w:lang w:eastAsia="it-IT"/>
        </w:rPr>
        <w:t> per poter effettuare la verifica.</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Quindi il reddito del contribuente, in questo caso, potrà essere ricostruito a prescindere in tutto o in parte la contabilità o la dichiarazione.</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b/>
          <w:bCs/>
          <w:color w:val="555555"/>
          <w:sz w:val="24"/>
          <w:szCs w:val="24"/>
          <w:lang w:eastAsia="it-IT"/>
        </w:rPr>
        <w:t>Accertamento mediante gli studi di settore</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Gli studi di settore sono un metodo di </w:t>
      </w:r>
      <w:r>
        <w:rPr>
          <w:rFonts w:ascii="Arial" w:eastAsia="Times New Roman" w:hAnsi="Arial" w:cs="Arial"/>
          <w:b/>
          <w:bCs/>
          <w:color w:val="555555"/>
          <w:sz w:val="24"/>
          <w:szCs w:val="24"/>
          <w:lang w:eastAsia="it-IT"/>
        </w:rPr>
        <w:t>accertamento extra-contabile</w:t>
      </w:r>
      <w:r>
        <w:rPr>
          <w:rFonts w:ascii="Arial" w:eastAsia="Times New Roman" w:hAnsi="Arial" w:cs="Arial"/>
          <w:color w:val="555555"/>
          <w:sz w:val="24"/>
          <w:szCs w:val="24"/>
          <w:shd w:val="clear" w:color="auto" w:fill="FFFFFF"/>
          <w:lang w:eastAsia="it-IT"/>
        </w:rPr>
        <w:t> che si basa su calcolo dei ricavi presunti dall’impresa basandosi su un metodo statistico e informatizzato.</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Gli studi di settore nascono con la legge 427/93 ma la normativa nel tempo ha subito notevoli interventi, l’Agenzia delle Entrate ha introdotto gli ISA GLI INDICI SINTETICI DI AFFIDABILITA’ FISCALE,   , una nuova metodologia statistico-economica che stabilisce il grado di affidabilità/compliance fiscale di imprese e professionisti.</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L’analisi degli studi di settore prevedeva che per determinare i </w:t>
      </w:r>
      <w:r>
        <w:rPr>
          <w:rFonts w:ascii="Arial" w:eastAsia="Times New Roman" w:hAnsi="Arial" w:cs="Arial"/>
          <w:b/>
          <w:bCs/>
          <w:color w:val="555555"/>
          <w:sz w:val="24"/>
          <w:szCs w:val="24"/>
          <w:lang w:eastAsia="it-IT"/>
        </w:rPr>
        <w:t>ricavi presunti dell’impresa</w:t>
      </w:r>
      <w:r>
        <w:rPr>
          <w:rFonts w:ascii="Arial" w:eastAsia="Times New Roman" w:hAnsi="Arial" w:cs="Arial"/>
          <w:color w:val="555555"/>
          <w:sz w:val="24"/>
          <w:szCs w:val="24"/>
          <w:shd w:val="clear" w:color="auto" w:fill="FFFFFF"/>
          <w:lang w:eastAsia="it-IT"/>
        </w:rPr>
        <w:t> venissero considerati una serie di parametri </w:t>
      </w:r>
      <w:r>
        <w:rPr>
          <w:rFonts w:ascii="Arial" w:eastAsia="Times New Roman" w:hAnsi="Arial" w:cs="Arial"/>
          <w:b/>
          <w:bCs/>
          <w:color w:val="555555"/>
          <w:sz w:val="24"/>
          <w:szCs w:val="24"/>
          <w:lang w:eastAsia="it-IT"/>
        </w:rPr>
        <w:t>qualitativo, quantitativo e territoriali</w:t>
      </w:r>
      <w:r>
        <w:rPr>
          <w:rFonts w:ascii="Arial" w:eastAsia="Times New Roman" w:hAnsi="Arial" w:cs="Arial"/>
          <w:color w:val="555555"/>
          <w:sz w:val="24"/>
          <w:szCs w:val="24"/>
          <w:shd w:val="clear" w:color="auto" w:fill="FFFFFF"/>
          <w:lang w:eastAsia="it-IT"/>
        </w:rPr>
        <w:t>, come ad esempio il settore economico di appartenenza, i processi produttivi utilizzati, l’organizzazione, ai prodotti e servizi oggetto dell’attività, la localizzazione geografica ed altri elementi significativi (ad esempio area di vendita, andamento della domanda, livello dei prezzi, concorrenza, ecc.).</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Quindi questo sistema permetteva di capire la </w:t>
      </w:r>
      <w:r>
        <w:rPr>
          <w:rFonts w:ascii="Arial" w:eastAsia="Times New Roman" w:hAnsi="Arial" w:cs="Arial"/>
          <w:b/>
          <w:bCs/>
          <w:color w:val="555555"/>
          <w:sz w:val="24"/>
          <w:szCs w:val="24"/>
          <w:lang w:eastAsia="it-IT"/>
        </w:rPr>
        <w:t>capacità potenziale di produrre reddito</w:t>
      </w:r>
      <w:r>
        <w:rPr>
          <w:rFonts w:ascii="Arial" w:eastAsia="Times New Roman" w:hAnsi="Arial" w:cs="Arial"/>
          <w:color w:val="555555"/>
          <w:sz w:val="24"/>
          <w:szCs w:val="24"/>
          <w:shd w:val="clear" w:color="auto" w:fill="FFFFFF"/>
          <w:lang w:eastAsia="it-IT"/>
        </w:rPr>
        <w:t> da parte di un contribuente medio di ogni categoria economica tramite l’analisi dei dati dichiarati e di altri elementi extracontabili.</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lastRenderedPageBreak/>
        <w:t>Se il contribuente dichiarava meno di quanto indicato dagli studi, veniva sottoposto ad un’azione di accertamento, che doveva essere notificato entro il 31 dicembre del terzo anno successivo a quello di presentazione della dichiarazione.</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In fase dichiarativa quindi il contribuente verificava il suo posizionamento rispetto alla:</w:t>
      </w:r>
    </w:p>
    <w:p w:rsidR="004B4DFB" w:rsidRDefault="004B4DFB" w:rsidP="004B4DFB">
      <w:pPr>
        <w:numPr>
          <w:ilvl w:val="0"/>
          <w:numId w:val="35"/>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b/>
          <w:bCs/>
          <w:color w:val="555555"/>
          <w:sz w:val="24"/>
          <w:szCs w:val="24"/>
          <w:lang w:eastAsia="it-IT"/>
        </w:rPr>
        <w:t>congruità</w:t>
      </w:r>
      <w:r>
        <w:rPr>
          <w:rFonts w:ascii="Arial" w:eastAsia="Times New Roman" w:hAnsi="Arial" w:cs="Arial"/>
          <w:color w:val="555555"/>
          <w:sz w:val="24"/>
          <w:szCs w:val="24"/>
          <w:shd w:val="clear" w:color="auto" w:fill="FFFFFF"/>
          <w:lang w:eastAsia="it-IT"/>
        </w:rPr>
        <w:t>: i ricavi o i compensi dichiarati uguali o superiori a quelli stimati dallo studio tenuto conto anche degli opportuni </w:t>
      </w:r>
      <w:r>
        <w:rPr>
          <w:rFonts w:ascii="Arial" w:eastAsia="Times New Roman" w:hAnsi="Arial" w:cs="Arial"/>
          <w:b/>
          <w:bCs/>
          <w:color w:val="555555"/>
          <w:sz w:val="24"/>
          <w:szCs w:val="24"/>
          <w:lang w:eastAsia="it-IT"/>
        </w:rPr>
        <w:t>indici di normalità economica</w:t>
      </w:r>
      <w:r>
        <w:rPr>
          <w:rFonts w:ascii="Arial" w:eastAsia="Times New Roman" w:hAnsi="Arial" w:cs="Arial"/>
          <w:color w:val="555555"/>
          <w:sz w:val="24"/>
          <w:szCs w:val="24"/>
          <w:shd w:val="clear" w:color="auto" w:fill="FFFFFF"/>
          <w:lang w:eastAsia="it-IT"/>
        </w:rPr>
        <w:t> idonei ad individuarli;</w:t>
      </w:r>
    </w:p>
    <w:p w:rsidR="004B4DFB" w:rsidRDefault="004B4DFB" w:rsidP="004B4DFB">
      <w:pPr>
        <w:numPr>
          <w:ilvl w:val="0"/>
          <w:numId w:val="35"/>
        </w:numPr>
        <w:spacing w:before="68"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b/>
          <w:bCs/>
          <w:color w:val="555555"/>
          <w:sz w:val="24"/>
          <w:szCs w:val="24"/>
          <w:lang w:eastAsia="it-IT"/>
        </w:rPr>
        <w:t>coerenza</w:t>
      </w:r>
      <w:r>
        <w:rPr>
          <w:rFonts w:ascii="Arial" w:eastAsia="Times New Roman" w:hAnsi="Arial" w:cs="Arial"/>
          <w:color w:val="555555"/>
          <w:sz w:val="24"/>
          <w:szCs w:val="24"/>
          <w:shd w:val="clear" w:color="auto" w:fill="FFFFFF"/>
          <w:lang w:eastAsia="it-IT"/>
        </w:rPr>
        <w:t> rispetto a specifici indicatori economici.</w:t>
      </w:r>
    </w:p>
    <w:p w:rsidR="004B4DFB" w:rsidRDefault="004B4DFB" w:rsidP="004B4DFB">
      <w:pPr>
        <w:spacing w:before="272" w:after="136" w:line="240" w:lineRule="auto"/>
        <w:jc w:val="both"/>
        <w:rPr>
          <w:rFonts w:ascii="Arial" w:eastAsia="Times New Roman" w:hAnsi="Arial" w:cs="Arial"/>
          <w:color w:val="555555"/>
          <w:sz w:val="24"/>
          <w:szCs w:val="24"/>
          <w:shd w:val="clear" w:color="auto" w:fill="FFFFFF"/>
          <w:lang w:eastAsia="it-IT"/>
        </w:rPr>
      </w:pPr>
      <w:r>
        <w:rPr>
          <w:rFonts w:ascii="Arial" w:eastAsia="Times New Roman" w:hAnsi="Arial" w:cs="Arial"/>
          <w:color w:val="555555"/>
          <w:sz w:val="24"/>
          <w:szCs w:val="24"/>
          <w:shd w:val="clear" w:color="auto" w:fill="FFFFFF"/>
          <w:lang w:eastAsia="it-IT"/>
        </w:rPr>
        <w:t>Il meccanismo degli studi di settore, dal 2019 è stato sostituito a tutti gli effetti dagli ISA, che per imprenditori e professionisti prevede </w:t>
      </w:r>
      <w:r>
        <w:rPr>
          <w:rFonts w:ascii="Arial" w:eastAsia="Times New Roman" w:hAnsi="Arial" w:cs="Arial"/>
          <w:b/>
          <w:bCs/>
          <w:color w:val="555555"/>
          <w:sz w:val="24"/>
          <w:szCs w:val="24"/>
          <w:lang w:eastAsia="it-IT"/>
        </w:rPr>
        <w:t>una sorta di </w:t>
      </w:r>
      <w:r>
        <w:rPr>
          <w:rFonts w:ascii="Arial" w:eastAsia="Times New Roman" w:hAnsi="Arial" w:cs="Arial"/>
          <w:b/>
          <w:bCs/>
          <w:i/>
          <w:iCs/>
          <w:color w:val="555555"/>
          <w:sz w:val="24"/>
          <w:szCs w:val="24"/>
          <w:lang w:eastAsia="it-IT"/>
        </w:rPr>
        <w:t>pagella</w:t>
      </w:r>
      <w:r>
        <w:rPr>
          <w:rFonts w:ascii="Arial" w:eastAsia="Times New Roman" w:hAnsi="Arial" w:cs="Arial"/>
          <w:b/>
          <w:bCs/>
          <w:color w:val="555555"/>
          <w:sz w:val="24"/>
          <w:szCs w:val="24"/>
          <w:lang w:eastAsia="it-IT"/>
        </w:rPr>
        <w:t> </w:t>
      </w:r>
      <w:r>
        <w:rPr>
          <w:rFonts w:ascii="Arial" w:eastAsia="Times New Roman" w:hAnsi="Arial" w:cs="Arial"/>
          <w:color w:val="555555"/>
          <w:sz w:val="24"/>
          <w:szCs w:val="24"/>
          <w:shd w:val="clear" w:color="auto" w:fill="FFFFFF"/>
          <w:lang w:eastAsia="it-IT"/>
        </w:rPr>
        <w:t>sul loro grado di affidabilità: i </w:t>
      </w:r>
      <w:r>
        <w:rPr>
          <w:rFonts w:ascii="Arial" w:eastAsia="Times New Roman" w:hAnsi="Arial" w:cs="Arial"/>
          <w:i/>
          <w:iCs/>
          <w:color w:val="555555"/>
          <w:sz w:val="24"/>
          <w:szCs w:val="24"/>
          <w:shd w:val="clear" w:color="auto" w:fill="FFFFFF"/>
          <w:lang w:eastAsia="it-IT"/>
        </w:rPr>
        <w:t>voti</w:t>
      </w:r>
      <w:r>
        <w:rPr>
          <w:rFonts w:ascii="Arial" w:eastAsia="Times New Roman" w:hAnsi="Arial" w:cs="Arial"/>
          <w:color w:val="555555"/>
          <w:sz w:val="24"/>
          <w:szCs w:val="24"/>
          <w:shd w:val="clear" w:color="auto" w:fill="FFFFFF"/>
          <w:lang w:eastAsia="it-IT"/>
        </w:rPr>
        <w:t> vanno da 1 a 10. Per i contribuenti che risultano insufficienti, è previsto l’adeguamento. Chi ottiene un punteggio a partire da 8, invece, può avere accesso a una serie di benefici fiscali.</w:t>
      </w:r>
    </w:p>
    <w:p w:rsidR="004B4DFB" w:rsidRDefault="004B4DFB" w:rsidP="004B4DFB">
      <w:pPr>
        <w:rPr>
          <w:rFonts w:ascii="Arial" w:hAnsi="Arial" w:cs="Arial"/>
          <w:sz w:val="24"/>
          <w:szCs w:val="24"/>
        </w:rPr>
      </w:pPr>
      <w:r>
        <w:rPr>
          <w:rFonts w:ascii="Arial" w:hAnsi="Arial" w:cs="Arial"/>
          <w:sz w:val="24"/>
          <w:szCs w:val="24"/>
        </w:rPr>
        <w:t>ACCERTAMENTO CON ADESIONE</w:t>
      </w:r>
    </w:p>
    <w:p w:rsidR="004B4DFB" w:rsidRDefault="004B4DFB" w:rsidP="004B4DFB">
      <w:pPr>
        <w:shd w:val="clear" w:color="auto" w:fill="FFFFFF"/>
        <w:spacing w:after="136"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L’accertamento con adesione consente al contribuente di definire le imposte dovute ed evitare, in tal modo, l’insorgere di una lite tributaria.</w:t>
      </w:r>
    </w:p>
    <w:p w:rsidR="004B4DFB" w:rsidRDefault="004B4DFB" w:rsidP="004B4DFB">
      <w:pPr>
        <w:shd w:val="clear" w:color="auto" w:fill="FFFFFF"/>
        <w:spacing w:after="136"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E' un “accordo” tra contribuente e ufficio che può essere raggiunto sia prima dell’emissione di un avviso di accertamento, che dopo, sempre che il contribuente non presenti ricorso davanti al giudice tributario.</w:t>
      </w:r>
    </w:p>
    <w:p w:rsidR="004B4DFB" w:rsidRDefault="004B4DFB" w:rsidP="004B4DFB">
      <w:pPr>
        <w:shd w:val="clear" w:color="auto" w:fill="FFFFFF"/>
        <w:spacing w:after="136"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La procedura riguarda tutte le più importanti imposte dirette e indirette e può essere attivata tanto dal contribuente quanto dall’ufficio dell’Agenzia delle Entrate nella cui circoscrizione territoriale il contribuente ha il domicilio fiscale.</w:t>
      </w:r>
    </w:p>
    <w:p w:rsidR="004B4DFB" w:rsidRDefault="004B4DFB" w:rsidP="004B4DFB">
      <w:pPr>
        <w:shd w:val="clear" w:color="auto" w:fill="FFFFFF"/>
        <w:spacing w:after="136"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PER Tutti i contribuenti:</w:t>
      </w:r>
    </w:p>
    <w:p w:rsidR="004B4DFB" w:rsidRDefault="004B4DFB" w:rsidP="004B4DFB">
      <w:pPr>
        <w:numPr>
          <w:ilvl w:val="0"/>
          <w:numId w:val="36"/>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persone fisiche</w:t>
      </w:r>
    </w:p>
    <w:p w:rsidR="004B4DFB" w:rsidRDefault="004B4DFB" w:rsidP="004B4DFB">
      <w:pPr>
        <w:numPr>
          <w:ilvl w:val="0"/>
          <w:numId w:val="36"/>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società di persone</w:t>
      </w:r>
    </w:p>
    <w:p w:rsidR="004B4DFB" w:rsidRDefault="004B4DFB" w:rsidP="004B4DFB">
      <w:pPr>
        <w:numPr>
          <w:ilvl w:val="0"/>
          <w:numId w:val="36"/>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associazioni professionali</w:t>
      </w:r>
    </w:p>
    <w:p w:rsidR="004B4DFB" w:rsidRDefault="004B4DFB" w:rsidP="004B4DFB">
      <w:pPr>
        <w:numPr>
          <w:ilvl w:val="0"/>
          <w:numId w:val="36"/>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società di capitali</w:t>
      </w:r>
    </w:p>
    <w:p w:rsidR="004B4DFB" w:rsidRDefault="004B4DFB" w:rsidP="004B4DFB">
      <w:pPr>
        <w:numPr>
          <w:ilvl w:val="0"/>
          <w:numId w:val="36"/>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enti</w:t>
      </w:r>
    </w:p>
    <w:p w:rsidR="004B4DFB" w:rsidRDefault="004B4DFB" w:rsidP="004B4DFB">
      <w:pPr>
        <w:numPr>
          <w:ilvl w:val="0"/>
          <w:numId w:val="36"/>
        </w:numPr>
        <w:shd w:val="clear" w:color="auto" w:fill="FFFFFF"/>
        <w:spacing w:before="100" w:beforeAutospacing="1" w:after="100" w:afterAutospacing="1" w:line="240" w:lineRule="auto"/>
        <w:rPr>
          <w:rFonts w:ascii="Arial" w:eastAsia="Times New Roman" w:hAnsi="Arial" w:cs="Arial"/>
          <w:color w:val="1C2024"/>
          <w:sz w:val="24"/>
          <w:szCs w:val="24"/>
          <w:lang w:eastAsia="it-IT"/>
        </w:rPr>
      </w:pPr>
      <w:r>
        <w:rPr>
          <w:rFonts w:ascii="Arial" w:eastAsia="Times New Roman" w:hAnsi="Arial" w:cs="Arial"/>
          <w:color w:val="1C2024"/>
          <w:sz w:val="24"/>
          <w:szCs w:val="24"/>
          <w:lang w:eastAsia="it-IT"/>
        </w:rPr>
        <w:t>sostituti d’imposta.</w:t>
      </w:r>
    </w:p>
    <w:p w:rsidR="004B4DFB" w:rsidRDefault="004B4DFB" w:rsidP="004B4DFB">
      <w:pPr>
        <w:shd w:val="clear" w:color="auto" w:fill="FFFFFF"/>
        <w:spacing w:after="136" w:line="240" w:lineRule="auto"/>
        <w:rPr>
          <w:rFonts w:ascii="Arial" w:eastAsia="Times New Roman" w:hAnsi="Arial" w:cs="Arial"/>
          <w:color w:val="1C2024"/>
          <w:sz w:val="24"/>
          <w:szCs w:val="24"/>
          <w:lang w:eastAsia="it-IT"/>
        </w:rPr>
      </w:pPr>
      <w:r>
        <w:rPr>
          <w:rFonts w:ascii="Arial" w:eastAsia="Times New Roman" w:hAnsi="Arial" w:cs="Arial"/>
          <w:b/>
          <w:bCs/>
          <w:color w:val="1C2024"/>
          <w:sz w:val="24"/>
          <w:szCs w:val="24"/>
          <w:lang w:eastAsia="it-IT"/>
        </w:rPr>
        <w:t xml:space="preserve">SI propone O </w:t>
      </w:r>
      <w:r>
        <w:rPr>
          <w:rFonts w:ascii="Arial" w:eastAsia="Times New Roman" w:hAnsi="Arial" w:cs="Arial"/>
          <w:color w:val="1C2024"/>
          <w:sz w:val="24"/>
          <w:szCs w:val="24"/>
          <w:lang w:eastAsia="it-IT"/>
        </w:rPr>
        <w:t>Dopo aver ricevuto un avviso di accertamento O Dopo un controllo eseguito dall’ufficio o dalla Guardia di Finanza (accesso, ispezione, verifica).</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L’accertamento con adesione permette al contribuente di usufruire di una riduzione delle sanzioni amministrative, che saranno dovute nella misura di 1/3 del minimo previsto dalla legge.</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Inoltre, per i fatti accertati, perseguibili anche penalmente, costituisce una circostanza attenuante il perfezionamento dell’adesione con il pagamento delle somme dovute prima della dichiarazione di apertura del dibattimento di primo grado. L’effetto “premiale” si concretizza nell’abbattimento fino a un terzo delle sanzioni penali previste e nella non applicazione delle sanzioni accessorie.</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L’ufficio, tramite un invito a comparire, può invitare il contribuente a tentare una forma di definizione concordata del rapporto tributario prima ancora di procedere alla notifica di un avviso di accertamento.</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lastRenderedPageBreak/>
        <w:t>L’invito a comparire ha carattere unicamente informativo e in esso sono indicati i periodi d’imposta suscettibili di accertamento, il giorno e il luogo dell’appuntamento, nonché gli elementi rilevanti ai fini dell’accertamento.</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Se il contribuente non aderisce all’invito a comparire non potrà in seguito ricorrere a questo istituto per gli stessi elementi e per i periodi d’imposta indicati nell’invito.</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Il contribuente stesso può avviare la procedura presentando una domanda in carta libera in cui chiede all’ufficio di formulargli una proposta di accertamento per un’eventuale definizione.</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La domanda può essere presentata all’ufficio competente:</w:t>
      </w:r>
    </w:p>
    <w:p w:rsidR="004B4DFB" w:rsidRDefault="004B4DFB" w:rsidP="004B4DFB">
      <w:pPr>
        <w:numPr>
          <w:ilvl w:val="0"/>
          <w:numId w:val="37"/>
        </w:numPr>
        <w:shd w:val="clear" w:color="auto" w:fill="FFFFFF"/>
        <w:spacing w:before="100" w:beforeAutospacing="1" w:after="100" w:afterAutospacing="1" w:line="240" w:lineRule="auto"/>
        <w:rPr>
          <w:rFonts w:ascii="Arial" w:hAnsi="Arial" w:cs="Arial"/>
          <w:color w:val="1C2024"/>
          <w:sz w:val="24"/>
          <w:szCs w:val="24"/>
        </w:rPr>
      </w:pPr>
      <w:r>
        <w:rPr>
          <w:rFonts w:ascii="Arial" w:hAnsi="Arial" w:cs="Arial"/>
          <w:color w:val="1C2024"/>
          <w:sz w:val="24"/>
          <w:szCs w:val="24"/>
        </w:rPr>
        <w:t>prima di aver ricevuto la notifica di un atto di accertamento non preceduto da un invito a comparire;</w:t>
      </w:r>
    </w:p>
    <w:p w:rsidR="004B4DFB" w:rsidRDefault="004B4DFB" w:rsidP="004B4DFB">
      <w:pPr>
        <w:numPr>
          <w:ilvl w:val="0"/>
          <w:numId w:val="37"/>
        </w:numPr>
        <w:shd w:val="clear" w:color="auto" w:fill="FFFFFF"/>
        <w:spacing w:before="100" w:beforeAutospacing="1" w:after="100" w:afterAutospacing="1" w:line="240" w:lineRule="auto"/>
        <w:rPr>
          <w:rFonts w:ascii="Arial" w:hAnsi="Arial" w:cs="Arial"/>
          <w:color w:val="1C2024"/>
          <w:sz w:val="24"/>
          <w:szCs w:val="24"/>
        </w:rPr>
      </w:pPr>
      <w:r>
        <w:rPr>
          <w:rFonts w:ascii="Arial" w:hAnsi="Arial" w:cs="Arial"/>
          <w:color w:val="1C2024"/>
          <w:sz w:val="24"/>
          <w:szCs w:val="24"/>
        </w:rPr>
        <w:t>dopo aver ricevuto la notifica di un atto impositivo non preceduto da invito a comparire, ma solo fino al momento in cui non scadono i termini per la proposizione dell’eventuale ricorso.</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La domanda di adesione, corredata di tutte le informazioni anagrafiche e di ogni possibile recapito anche telefonico, deve essere presentata – prima dell’impugnazione dell’avviso di accertamento innanzi alla Commissione tributaria provinciale – all’ufficio che lo ha emesso entro 60 giorni dalla notifica dell’atto mediante consegna diretta o a mezzo posta.</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Nel caso di invio dell’istanza per posta ordinaria vale la data di arrivo all’ufficio, mentre vale la data di spedizione se inviata mediante plico raccomandato senza busta con avviso di ricevimento. Entro 15 giorni dal ricevimento della domanda, l’ufficio formula al contribuente, anche telefonicamente, l’invito a comparire.</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Il contribuente può avviare il procedimento anche quando nei suoi confronti siano stati effettuati accessi, ispezioni e verifiche, sia da parte dell’Amministrazione finanziaria che da parte della Guardia di Finanza, che si sono conclusi con un processo verbale di constatazione. In questo caso l’ufficio lo inviterà, però, solo se lo ritiene opportuno.</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l raggiungimento o meno dell’accordo avviene in contraddittorio e può richiedere più incontri successivi, per la partecipazione ai quali il contribuente può farsi rappresentare o assistere da un procuratore.</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Se le parti raggiungono un accordo, i contenuti dello stesso vengono riportati su un atto di adesione che va sottoscritto da entrambe le parti. L’intera procedura si perfeziona soltanto con il pagamento delle somme risultanti dall’accordo stesso. Solo così, infatti, si può ritenere definito il rapporto tributario.</w:t>
      </w:r>
    </w:p>
    <w:p w:rsidR="004B4DFB" w:rsidRDefault="004B4DFB" w:rsidP="004B4DFB">
      <w:pPr>
        <w:pStyle w:val="NormaleWeb"/>
        <w:shd w:val="clear" w:color="auto" w:fill="FFFFFF"/>
        <w:spacing w:before="0" w:beforeAutospacing="0" w:after="136" w:afterAutospacing="0"/>
        <w:rPr>
          <w:rFonts w:ascii="Arial" w:hAnsi="Arial" w:cs="Arial"/>
          <w:color w:val="1C2024"/>
        </w:rPr>
      </w:pPr>
      <w:r>
        <w:rPr>
          <w:rFonts w:ascii="Arial" w:hAnsi="Arial" w:cs="Arial"/>
          <w:color w:val="1C2024"/>
        </w:rPr>
        <w:t>Se non si raggiunge un accordo, il contribuente può sempre presentare ricorso al giudice tributario contro l’atto già emesso (o che sarà in seguito emesso) dall’ufficio.</w:t>
      </w:r>
    </w:p>
    <w:p w:rsidR="004B4DFB" w:rsidRDefault="004B4DFB" w:rsidP="004B4DFB">
      <w:pPr>
        <w:pStyle w:val="alert"/>
        <w:pBdr>
          <w:top w:val="single" w:sz="6" w:space="7" w:color="5BC0DE"/>
          <w:left w:val="single" w:sz="6" w:space="10" w:color="5BC0DE"/>
          <w:bottom w:val="single" w:sz="6" w:space="7" w:color="5BC0DE"/>
          <w:right w:val="single" w:sz="6" w:space="10" w:color="5BC0DE"/>
        </w:pBdr>
        <w:shd w:val="clear" w:color="auto" w:fill="D9EDF7"/>
        <w:spacing w:before="272" w:beforeAutospacing="0" w:after="136" w:afterAutospacing="0"/>
        <w:rPr>
          <w:rFonts w:ascii="Arial" w:hAnsi="Arial" w:cs="Arial"/>
          <w:color w:val="003D5C"/>
        </w:rPr>
      </w:pPr>
      <w:r>
        <w:rPr>
          <w:rFonts w:ascii="Arial" w:hAnsi="Arial" w:cs="Arial"/>
          <w:color w:val="003D5C"/>
        </w:rPr>
        <w:t>Dalla data di presentazione della domanda di accertamento con adesione i termini restano sospesi per un periodo di 90 giorni, sia per un eventuale ricorso, sia per il pagamento delle imposte accertate. Anche l’iscrizione a ruolo a titolo provvisorio delle imposte accertate dall’ufficio è effettuata, ricorrendone i presupposti, dopo la scadenza del termine di sospensione. Al termine di questo arco di tempo il contribuente se non ha raggiunto l’accordo con l’Amministrazione può impugnare l’atto ricevuto dinanzi alla Commissione tributaria provinciale.</w:t>
      </w:r>
    </w:p>
    <w:p w:rsidR="004B4DFB" w:rsidRDefault="004B4DFB" w:rsidP="004B4DFB">
      <w:pPr>
        <w:rPr>
          <w:rFonts w:ascii="Arial" w:hAnsi="Arial" w:cs="Arial"/>
          <w:sz w:val="24"/>
          <w:szCs w:val="24"/>
        </w:rPr>
      </w:pPr>
      <w:r>
        <w:rPr>
          <w:rFonts w:ascii="Arial" w:hAnsi="Arial" w:cs="Arial"/>
          <w:sz w:val="24"/>
          <w:szCs w:val="24"/>
        </w:rPr>
        <w:t>ISTRUTTORIA</w:t>
      </w:r>
    </w:p>
    <w:p w:rsidR="004B4DFB" w:rsidRDefault="004B4DFB" w:rsidP="004B4DFB">
      <w:pPr>
        <w:rPr>
          <w:rFonts w:ascii="Arial" w:hAnsi="Arial" w:cs="Arial"/>
          <w:sz w:val="24"/>
          <w:szCs w:val="24"/>
        </w:rPr>
      </w:pPr>
      <w:r>
        <w:rPr>
          <w:rFonts w:ascii="Arial" w:hAnsi="Arial" w:cs="Arial"/>
          <w:sz w:val="24"/>
          <w:szCs w:val="24"/>
        </w:rPr>
        <w:lastRenderedPageBreak/>
        <w:t>Esistono 3 Poteri istruttori esercitabili dall’amministrazione finanizaria:</w:t>
      </w:r>
    </w:p>
    <w:p w:rsidR="004B4DFB" w:rsidRDefault="004B4DFB" w:rsidP="004B4DFB">
      <w:pPr>
        <w:rPr>
          <w:rFonts w:ascii="Arial" w:hAnsi="Arial" w:cs="Arial"/>
          <w:sz w:val="24"/>
          <w:szCs w:val="24"/>
        </w:rPr>
      </w:pPr>
      <w:r>
        <w:rPr>
          <w:rFonts w:ascii="Arial" w:hAnsi="Arial" w:cs="Arial"/>
          <w:sz w:val="24"/>
          <w:szCs w:val="24"/>
        </w:rPr>
        <w:t>poteri istruttori esterni</w:t>
      </w:r>
    </w:p>
    <w:p w:rsidR="004B4DFB" w:rsidRDefault="004B4DFB" w:rsidP="004B4DFB">
      <w:pPr>
        <w:rPr>
          <w:rFonts w:ascii="Arial" w:hAnsi="Arial" w:cs="Arial"/>
          <w:sz w:val="24"/>
          <w:szCs w:val="24"/>
        </w:rPr>
      </w:pPr>
      <w:r>
        <w:rPr>
          <w:rFonts w:ascii="Arial" w:hAnsi="Arial" w:cs="Arial"/>
          <w:sz w:val="24"/>
          <w:szCs w:val="24"/>
        </w:rPr>
        <w:t>poteri istruttori per iscritto a distanza</w:t>
      </w:r>
    </w:p>
    <w:p w:rsidR="004B4DFB" w:rsidRDefault="004B4DFB" w:rsidP="004B4DFB">
      <w:pPr>
        <w:rPr>
          <w:rFonts w:ascii="Arial" w:hAnsi="Arial" w:cs="Arial"/>
          <w:sz w:val="24"/>
          <w:szCs w:val="24"/>
        </w:rPr>
      </w:pPr>
      <w:r>
        <w:rPr>
          <w:rFonts w:ascii="Arial" w:hAnsi="Arial" w:cs="Arial"/>
          <w:sz w:val="24"/>
          <w:szCs w:val="24"/>
        </w:rPr>
        <w:t>poteri istruttori nei confronti dei terzi.</w:t>
      </w:r>
    </w:p>
    <w:p w:rsidR="004B4DFB" w:rsidRDefault="004B4DFB" w:rsidP="004B4DFB">
      <w:pPr>
        <w:rPr>
          <w:rFonts w:ascii="Arial" w:hAnsi="Arial" w:cs="Arial"/>
          <w:sz w:val="24"/>
          <w:szCs w:val="24"/>
        </w:rPr>
      </w:pPr>
      <w:r>
        <w:rPr>
          <w:rFonts w:ascii="Arial" w:hAnsi="Arial" w:cs="Arial"/>
          <w:sz w:val="24"/>
          <w:szCs w:val="24"/>
        </w:rPr>
        <w:t>L’attività istruttoria si articola in due fasi:</w:t>
      </w:r>
    </w:p>
    <w:p w:rsidR="004B4DFB" w:rsidRDefault="004B4DFB" w:rsidP="004B4DFB">
      <w:pPr>
        <w:pStyle w:val="Paragrafoelenco"/>
        <w:numPr>
          <w:ilvl w:val="0"/>
          <w:numId w:val="38"/>
        </w:numPr>
        <w:rPr>
          <w:rFonts w:ascii="Arial" w:hAnsi="Arial" w:cs="Arial"/>
          <w:sz w:val="24"/>
          <w:szCs w:val="24"/>
        </w:rPr>
      </w:pPr>
      <w:r>
        <w:rPr>
          <w:rFonts w:ascii="Arial" w:hAnsi="Arial" w:cs="Arial"/>
          <w:sz w:val="24"/>
          <w:szCs w:val="24"/>
        </w:rPr>
        <w:t>mero riscontro documentale delle dichiarazioni rese per verificare eventuali violazioni</w:t>
      </w:r>
    </w:p>
    <w:p w:rsidR="004B4DFB" w:rsidRDefault="004B4DFB" w:rsidP="004B4DFB">
      <w:pPr>
        <w:pStyle w:val="Paragrafoelenco"/>
        <w:numPr>
          <w:ilvl w:val="0"/>
          <w:numId w:val="38"/>
        </w:numPr>
        <w:rPr>
          <w:rFonts w:ascii="Arial" w:hAnsi="Arial" w:cs="Arial"/>
          <w:sz w:val="24"/>
          <w:szCs w:val="24"/>
        </w:rPr>
      </w:pPr>
      <w:r>
        <w:rPr>
          <w:rFonts w:ascii="Arial" w:hAnsi="Arial" w:cs="Arial"/>
          <w:sz w:val="24"/>
          <w:szCs w:val="24"/>
        </w:rPr>
        <w:t>mediante specifici poteri di indagine la amministrazione verifica che i contribuenti abbiano correttamente e fedelmente rappresentato in fatto e in diritto il contenuto del proprio debito tributario</w:t>
      </w:r>
    </w:p>
    <w:p w:rsidR="004B4DFB" w:rsidRDefault="004B4DFB" w:rsidP="004B4DFB">
      <w:pPr>
        <w:rPr>
          <w:rFonts w:ascii="Arial" w:hAnsi="Arial" w:cs="Arial"/>
          <w:sz w:val="24"/>
          <w:szCs w:val="24"/>
        </w:rPr>
      </w:pPr>
      <w:r>
        <w:rPr>
          <w:rFonts w:ascii="Arial" w:hAnsi="Arial" w:cs="Arial"/>
          <w:sz w:val="24"/>
          <w:szCs w:val="24"/>
        </w:rPr>
        <w:t>L’attività di controllo csi conclude con l’avviso di accertamento quando si riscontra un debito tributario.</w:t>
      </w:r>
    </w:p>
    <w:p w:rsidR="004B4DFB" w:rsidRDefault="004B4DFB" w:rsidP="004B4DFB">
      <w:pPr>
        <w:rPr>
          <w:rFonts w:ascii="Arial" w:hAnsi="Arial" w:cs="Arial"/>
          <w:sz w:val="24"/>
          <w:szCs w:val="24"/>
        </w:rPr>
      </w:pPr>
      <w:r>
        <w:rPr>
          <w:rFonts w:ascii="Arial" w:hAnsi="Arial" w:cs="Arial"/>
          <w:sz w:val="24"/>
          <w:szCs w:val="24"/>
        </w:rPr>
        <w:t xml:space="preserve">L’art 12 dello statuto del contribuente contiene un decalogo dei diritti e doveri dei contribuenti. </w:t>
      </w:r>
    </w:p>
    <w:p w:rsidR="004B4DFB" w:rsidRDefault="004B4DFB" w:rsidP="004B4DFB">
      <w:pPr>
        <w:pStyle w:val="NormaleWeb"/>
        <w:shd w:val="clear" w:color="auto" w:fill="FFFFFF"/>
        <w:spacing w:before="0" w:beforeAutospacing="0" w:after="190" w:afterAutospacing="0" w:line="381" w:lineRule="atLeast"/>
        <w:textAlignment w:val="baseline"/>
        <w:rPr>
          <w:rFonts w:ascii="Arial" w:hAnsi="Arial" w:cs="Arial"/>
          <w:color w:val="0C0C0F"/>
        </w:rPr>
      </w:pPr>
      <w:r>
        <w:rPr>
          <w:rFonts w:ascii="Arial" w:hAnsi="Arial" w:cs="Arial"/>
          <w:color w:val="0C0C0F"/>
        </w:rPr>
        <w:t>Tutti gli accessi, ispezioni e verifiche fiscali nei locali destinati all'esercizio di attività commerciali, industriali, agricole, artistiche o professionali sono effettuati sulla base di esigenze effettive di indagine e controllo sul luogo. Essi si svolgono, salvo casi eccezionali e urgenti adeguatamente documentati, durante l'orario ordinario di esercizio delle attività e con modalità tali da arrecare la minore turbativa possibile allo svolgimento delle attività stesse nonché alle relazioni commerciali o professionali del contribuente. </w:t>
      </w:r>
    </w:p>
    <w:p w:rsidR="004B4DFB" w:rsidRDefault="004B4DFB" w:rsidP="004B4DFB">
      <w:pPr>
        <w:pStyle w:val="NormaleWeb"/>
        <w:shd w:val="clear" w:color="auto" w:fill="FFFFFF"/>
        <w:spacing w:before="0" w:beforeAutospacing="0" w:after="190" w:afterAutospacing="0" w:line="381" w:lineRule="atLeast"/>
        <w:textAlignment w:val="baseline"/>
        <w:rPr>
          <w:rFonts w:ascii="Arial" w:hAnsi="Arial" w:cs="Arial"/>
          <w:color w:val="0C0C0F"/>
        </w:rPr>
      </w:pPr>
      <w:r>
        <w:rPr>
          <w:rFonts w:ascii="Arial" w:hAnsi="Arial" w:cs="Arial"/>
          <w:color w:val="0C0C0F"/>
        </w:rPr>
        <w:t xml:space="preserve"> Quando viene iniziata la verifica, il contribuente ha diritto di essere informato delle ragioni che l'abbiano giustificata e dell'oggetto che la riguarda, della facoltà di </w:t>
      </w:r>
      <w:r>
        <w:rPr>
          <w:rFonts w:ascii="Arial" w:hAnsi="Arial" w:cs="Arial"/>
          <w:b/>
          <w:color w:val="0C0C0F"/>
        </w:rPr>
        <w:t>farsi assistere da un professionista abilitato alla difesa</w:t>
      </w:r>
      <w:r>
        <w:rPr>
          <w:rFonts w:ascii="Arial" w:hAnsi="Arial" w:cs="Arial"/>
          <w:color w:val="0C0C0F"/>
        </w:rPr>
        <w:t xml:space="preserve"> dinanzi agli organi di giustizia tributaria, nonché dei diritti e degli obblighi che vanno riconosciuti al contribuente in occasione delle verifiche. </w:t>
      </w:r>
    </w:p>
    <w:p w:rsidR="004B4DFB" w:rsidRDefault="004B4DFB" w:rsidP="004B4DFB">
      <w:pPr>
        <w:pStyle w:val="NormaleWeb"/>
        <w:shd w:val="clear" w:color="auto" w:fill="FFFFFF"/>
        <w:spacing w:before="0" w:beforeAutospacing="0" w:after="190" w:afterAutospacing="0" w:line="381" w:lineRule="atLeast"/>
        <w:textAlignment w:val="baseline"/>
        <w:rPr>
          <w:rFonts w:ascii="Arial" w:hAnsi="Arial" w:cs="Arial"/>
          <w:color w:val="0C0C0F"/>
        </w:rPr>
      </w:pPr>
      <w:r>
        <w:rPr>
          <w:rFonts w:ascii="Arial" w:hAnsi="Arial" w:cs="Arial"/>
          <w:color w:val="0C0C0F"/>
        </w:rPr>
        <w:t xml:space="preserve"> Su richiesta del contribuente, l'esame dei documenti amministrativi e contabili può essere effettuato nell'ufficio dei verificatori o presso il professionista che lo assiste o rappresenta. </w:t>
      </w:r>
    </w:p>
    <w:p w:rsidR="004B4DFB" w:rsidRDefault="004B4DFB" w:rsidP="004B4DFB">
      <w:pPr>
        <w:pStyle w:val="NormaleWeb"/>
        <w:shd w:val="clear" w:color="auto" w:fill="FFFFFF"/>
        <w:spacing w:before="0" w:beforeAutospacing="0" w:after="190" w:afterAutospacing="0" w:line="381" w:lineRule="atLeast"/>
        <w:textAlignment w:val="baseline"/>
        <w:rPr>
          <w:rFonts w:ascii="Arial" w:hAnsi="Arial" w:cs="Arial"/>
          <w:color w:val="0C0C0F"/>
        </w:rPr>
      </w:pPr>
      <w:r>
        <w:rPr>
          <w:rFonts w:ascii="Arial" w:hAnsi="Arial" w:cs="Arial"/>
          <w:color w:val="0C0C0F"/>
        </w:rPr>
        <w:t xml:space="preserve"> Delle osservazioni e dei rilievi del contribuente e del professionista, che eventualmente lo assista, deve darsi atto nel processo verbale delle operazioni di verifica. </w:t>
      </w:r>
    </w:p>
    <w:p w:rsidR="004B4DFB" w:rsidRDefault="004B4DFB" w:rsidP="004B4DFB">
      <w:pPr>
        <w:pStyle w:val="NormaleWeb"/>
        <w:shd w:val="clear" w:color="auto" w:fill="FFFFFF"/>
        <w:spacing w:before="0" w:beforeAutospacing="0" w:after="190" w:afterAutospacing="0" w:line="381" w:lineRule="atLeast"/>
        <w:textAlignment w:val="baseline"/>
        <w:rPr>
          <w:rFonts w:ascii="Arial" w:hAnsi="Arial" w:cs="Arial"/>
          <w:color w:val="0C0C0F"/>
        </w:rPr>
      </w:pPr>
      <w:r>
        <w:rPr>
          <w:rFonts w:ascii="Arial" w:hAnsi="Arial" w:cs="Arial"/>
          <w:color w:val="0C0C0F"/>
        </w:rPr>
        <w:t xml:space="preserve"> La permanenza degli operatori civili o militari dell'amministrazione finanziaria, dovuta a verifiche presso la sede del contribuente, </w:t>
      </w:r>
      <w:r>
        <w:rPr>
          <w:rFonts w:ascii="Arial" w:hAnsi="Arial" w:cs="Arial"/>
          <w:b/>
          <w:color w:val="0C0C0F"/>
        </w:rPr>
        <w:t>non può superare i trenta giorni lavorativi</w:t>
      </w:r>
      <w:r>
        <w:rPr>
          <w:rFonts w:ascii="Arial" w:hAnsi="Arial" w:cs="Arial"/>
          <w:color w:val="0C0C0F"/>
        </w:rPr>
        <w:t>, prorogabili per ulteriori trenta giorni nei casi di particolare complessità dell'indagine individuati e motivati dal dirigente dell'ufficio.</w:t>
      </w:r>
    </w:p>
    <w:p w:rsidR="004B4DFB" w:rsidRDefault="004B4DFB" w:rsidP="004B4DFB">
      <w:pPr>
        <w:pStyle w:val="NormaleWeb"/>
        <w:shd w:val="clear" w:color="auto" w:fill="FFFFFF"/>
        <w:spacing w:before="0" w:beforeAutospacing="0" w:after="190" w:afterAutospacing="0" w:line="381" w:lineRule="atLeast"/>
        <w:textAlignment w:val="baseline"/>
        <w:rPr>
          <w:rFonts w:ascii="Arial" w:hAnsi="Arial" w:cs="Arial"/>
          <w:color w:val="0C0C0F"/>
        </w:rPr>
      </w:pPr>
      <w:r>
        <w:rPr>
          <w:rFonts w:ascii="Arial" w:hAnsi="Arial" w:cs="Arial"/>
          <w:color w:val="0C0C0F"/>
        </w:rPr>
        <w:lastRenderedPageBreak/>
        <w:t xml:space="preserve"> Gli operatori possono ritornare nella sede del contribuente, decorso tale periodo, per esaminare le osservazioni e le richieste eventualmente presentate dal contribuente dopo la conclusione delle operazioni di verifica ovvero, previo assenso motivato del dirigente dell'ufficio, per specifiche ragioni. Il periodo di permanenza presso la sede del contribuente di cui al primo periodo, così come l'eventuale proroga ivi prevista, non può essere superiore a quindici giorni lavorativi contenuti nell'arco di non più di un trimestre, in tutti i casi in cui la verifica sia svolta presso la sede di imprese in contabilità semplificata e lavoratori autonomi. In entrambi i casi, ai fini del computo dei giorni lavorativi, devono essere considerati i giorni di effettiva presenza degli operatori civili o militari dell'Amministrazione finanziaria presso la sede del contribuente. </w:t>
      </w:r>
    </w:p>
    <w:p w:rsidR="004B4DFB" w:rsidRDefault="004B4DFB" w:rsidP="004B4DFB">
      <w:pPr>
        <w:pStyle w:val="NormaleWeb"/>
        <w:shd w:val="clear" w:color="auto" w:fill="FFFFFF"/>
        <w:spacing w:before="0" w:beforeAutospacing="0" w:after="190" w:afterAutospacing="0" w:line="381" w:lineRule="atLeast"/>
        <w:textAlignment w:val="baseline"/>
        <w:rPr>
          <w:rFonts w:ascii="Arial" w:hAnsi="Arial" w:cs="Arial"/>
          <w:color w:val="0C0C0F"/>
        </w:rPr>
      </w:pPr>
      <w:r>
        <w:rPr>
          <w:rFonts w:ascii="Arial" w:hAnsi="Arial" w:cs="Arial"/>
          <w:color w:val="0C0C0F"/>
        </w:rPr>
        <w:t xml:space="preserve"> Il contribuente, nel caso ritenga che i verificatori procedano con modalità non conformi alla legge, può rivolgersi anche al Garante del contribuente</w:t>
      </w:r>
    </w:p>
    <w:p w:rsidR="004B4DFB" w:rsidRDefault="004B4DFB" w:rsidP="004B4DFB">
      <w:pPr>
        <w:pStyle w:val="NormaleWeb"/>
        <w:shd w:val="clear" w:color="auto" w:fill="FFFFFF"/>
        <w:spacing w:before="0" w:beforeAutospacing="0" w:after="0" w:afterAutospacing="0" w:line="381" w:lineRule="atLeast"/>
        <w:textAlignment w:val="baseline"/>
        <w:rPr>
          <w:rFonts w:ascii="Arial" w:hAnsi="Arial" w:cs="Arial"/>
          <w:color w:val="0C0C0F"/>
        </w:rPr>
      </w:pPr>
      <w:r>
        <w:rPr>
          <w:rFonts w:ascii="Arial" w:hAnsi="Arial" w:cs="Arial"/>
          <w:color w:val="0C0C0F"/>
        </w:rPr>
        <w:t xml:space="preserve">Nel rispetto del principio di cooperazione tra amministrazione e contribuente, dopo il rilascio della copia del processo verbale di chiusura delle operazioni da parte degli organi di controllo, il contribuente può comunicare entro sessanta giorni osservazioni e richieste che sono valutate dagli uffici impositori. </w:t>
      </w:r>
    </w:p>
    <w:p w:rsidR="004B4DFB" w:rsidRDefault="004B4DFB" w:rsidP="004B4DFB">
      <w:pPr>
        <w:pStyle w:val="NormaleWeb"/>
        <w:shd w:val="clear" w:color="auto" w:fill="FFFFFF"/>
        <w:spacing w:before="0" w:beforeAutospacing="0" w:after="0" w:afterAutospacing="0" w:line="381" w:lineRule="atLeast"/>
        <w:textAlignment w:val="baseline"/>
        <w:rPr>
          <w:rFonts w:ascii="Arial" w:hAnsi="Arial" w:cs="Arial"/>
          <w:color w:val="0C0C0F"/>
        </w:rPr>
      </w:pPr>
    </w:p>
    <w:p w:rsidR="004B4DFB" w:rsidRDefault="004B4DFB" w:rsidP="004B4DFB">
      <w:pPr>
        <w:rPr>
          <w:rFonts w:ascii="Arial" w:hAnsi="Arial" w:cs="Arial"/>
          <w:sz w:val="24"/>
          <w:szCs w:val="24"/>
        </w:rPr>
      </w:pPr>
      <w:r>
        <w:rPr>
          <w:rFonts w:ascii="Arial" w:hAnsi="Arial" w:cs="Arial"/>
          <w:sz w:val="24"/>
          <w:szCs w:val="24"/>
        </w:rPr>
        <w:t>Sara’ esaminata la documentazione contabile e la pa verificherà mediante una forma specifica di controllo la completezza, la veridicità e l’esattezza sulla base dei documenti contabili; sarà poi redatto un verbale di verifica  che contiene la descrizione delle analisi effettuate, che sarà sottoscritto dal contribuente. Quindi in caso di verifica fiscale presso la sede del contribuente, sarà redatto un porcesso verbale di contestazione (PVC) in cui sono indicate le varie violazioni e relativi addebiti, ma il processo verbale di constatazione è un atto non impugnabile autonomamente perché il contribuente deve attendere la notifica dell’avviso di accertamento pe rpoter adire alla commissioen tributaria-</w:t>
      </w:r>
    </w:p>
    <w:p w:rsidR="004B4DFB" w:rsidRDefault="004B4DFB" w:rsidP="004B4DFB">
      <w:pPr>
        <w:rPr>
          <w:rFonts w:ascii="Arial" w:hAnsi="Arial" w:cs="Arial"/>
          <w:sz w:val="24"/>
          <w:szCs w:val="24"/>
        </w:rPr>
      </w:pPr>
      <w:r>
        <w:rPr>
          <w:rFonts w:ascii="Arial" w:hAnsi="Arial" w:cs="Arial"/>
          <w:sz w:val="24"/>
          <w:szCs w:val="24"/>
        </w:rPr>
        <w:t>Nel corso dell’attività istruttoria che può conisere anche in indagini bancarie senza il limite imposto dal segreto bancario, e il contribuente ha l’obbligo di ottemprare agli inviti e alle richieste dell’amministrazione finanziaria , in ragione del principio di cooperazione tra amministrazione e contrbuente.</w:t>
      </w:r>
    </w:p>
    <w:p w:rsidR="004B4DFB" w:rsidRDefault="004B4DFB" w:rsidP="004B4DFB">
      <w:pPr>
        <w:pStyle w:val="NormaleWeb"/>
        <w:jc w:val="both"/>
        <w:rPr>
          <w:rFonts w:ascii="Arial" w:hAnsi="Arial" w:cs="Arial"/>
          <w:color w:val="000000"/>
        </w:rPr>
      </w:pPr>
      <w:r>
        <w:rPr>
          <w:rFonts w:ascii="Arial" w:hAnsi="Arial" w:cs="Arial"/>
        </w:rPr>
        <w:t xml:space="preserve"> </w:t>
      </w:r>
      <w:r>
        <w:rPr>
          <w:rFonts w:ascii="Arial" w:hAnsi="Arial" w:cs="Arial"/>
          <w:color w:val="000000"/>
        </w:rPr>
        <w:t>La partecipazione del contribuente all'attività istruttoria del procedimento tributario, intesa quale potere di intervento, non osta alla attività di controllo dell'A.F. Infatti, se la funzione da questa svolta e di controllo e non anche quella di far nascere l'obbligazione tributaria, nulla impedisce, in via di principio, che al contribuente venga data la possibilità di dimostrare la correttezza del suo operato anche in via amministrativa, prima che si addivenga all'emissione dell'avviso di accertamento. Emerge dunque la necessità che il contribuente intervenga in contraddittorio al fine di fornire elementi utili a favore del proprio operato o dichiarato. Per il contribuente ciò è realizzabile solo se vi sono, concrete modalità di partecipazione; se vi sono possibilità di sapere che un controllo si sta svolgendo nei suoi confronti; se vi sono serie possibilità che le sue argomentazioni vengano prese in considerazione dall'ufficio.</w:t>
      </w:r>
    </w:p>
    <w:p w:rsidR="004B4DFB" w:rsidRDefault="004B4DFB" w:rsidP="004B4DFB">
      <w:pPr>
        <w:pStyle w:val="NormaleWeb"/>
        <w:jc w:val="both"/>
        <w:rPr>
          <w:rFonts w:ascii="Arial" w:hAnsi="Arial" w:cs="Arial"/>
          <w:color w:val="000000"/>
        </w:rPr>
      </w:pPr>
      <w:r>
        <w:rPr>
          <w:rFonts w:ascii="Arial" w:hAnsi="Arial" w:cs="Arial"/>
          <w:color w:val="000000"/>
        </w:rPr>
        <w:lastRenderedPageBreak/>
        <w:t>L'intervento del contribuente nell'ambito del procedimento tributario tende ad assicurare l'imparzialità della P.A. e contestualmente costituirebbe uno strumento di tutela preventiva dal punto di vista del controllo sia della legittimità della procedura sia della correttezza.</w:t>
      </w:r>
    </w:p>
    <w:p w:rsidR="004B4DFB" w:rsidRDefault="004B4DFB" w:rsidP="004B4DFB">
      <w:pPr>
        <w:rPr>
          <w:rFonts w:ascii="Arial" w:hAnsi="Arial" w:cs="Arial"/>
          <w:color w:val="000000"/>
          <w:sz w:val="24"/>
          <w:szCs w:val="24"/>
        </w:rPr>
      </w:pPr>
      <w:r>
        <w:rPr>
          <w:rFonts w:ascii="Arial" w:hAnsi="Arial" w:cs="Arial"/>
          <w:color w:val="000000"/>
          <w:sz w:val="24"/>
          <w:szCs w:val="24"/>
        </w:rPr>
        <w:t>lo stesso Ministero sostiene che "nel rispetto del principio di cooperazione tra Amministrazione e contribuente, dopo il rilascio della copia del processo verbale di chiusura delle operazioni da parte degli organi di controllo, il contribuente può comunicare osservazioni e richieste che sono valutate dagli Uffici impositori prima della emanazione dell avviso di accertamento".</w:t>
      </w:r>
    </w:p>
    <w:p w:rsidR="004B4DFB" w:rsidRDefault="004B4DFB" w:rsidP="004B4DFB">
      <w:pPr>
        <w:pStyle w:val="NormaleWeb"/>
        <w:jc w:val="both"/>
        <w:rPr>
          <w:rFonts w:ascii="Arial" w:hAnsi="Arial" w:cs="Arial"/>
          <w:color w:val="000000"/>
        </w:rPr>
      </w:pPr>
      <w:r>
        <w:rPr>
          <w:rFonts w:ascii="Arial" w:hAnsi="Arial" w:cs="Arial"/>
          <w:color w:val="000000"/>
        </w:rPr>
        <w:t>AVVISO DI ACCERTAMENTO</w:t>
      </w:r>
    </w:p>
    <w:p w:rsidR="004B4DFB" w:rsidRDefault="004B4DFB" w:rsidP="004B4DFB">
      <w:pPr>
        <w:pStyle w:val="NormaleWeb"/>
        <w:jc w:val="both"/>
        <w:rPr>
          <w:rFonts w:ascii="Arial" w:hAnsi="Arial" w:cs="Arial"/>
          <w:color w:val="000000"/>
        </w:rPr>
      </w:pPr>
      <w:r>
        <w:rPr>
          <w:rFonts w:ascii="Arial" w:hAnsi="Arial" w:cs="Arial"/>
          <w:color w:val="000000"/>
        </w:rPr>
        <w:t>LA PA se al termine dell’attività di controllo accerta violazioni tributarie emette d’ufficio nei confronti del contribuente un avviso di accertamento</w:t>
      </w:r>
      <w:r>
        <w:rPr>
          <w:rFonts w:ascii="Arial" w:hAnsi="Arial" w:cs="Arial"/>
          <w:color w:val="000000"/>
        </w:rPr>
        <w:sym w:font="Wingdings" w:char="00E0"/>
      </w:r>
      <w:r>
        <w:rPr>
          <w:rFonts w:ascii="Arial" w:hAnsi="Arial" w:cs="Arial"/>
          <w:color w:val="000000"/>
        </w:rPr>
        <w:t>Rappresenta il mezzo attraverso cui è si portano a conoscenza del contribuente le rettifiche e gli accertamenti d'ufficio (o induttivi).</w:t>
      </w:r>
    </w:p>
    <w:p w:rsidR="004B4DFB" w:rsidRDefault="004B4DFB" w:rsidP="004B4DFB">
      <w:pPr>
        <w:pStyle w:val="NormaleWeb"/>
        <w:jc w:val="both"/>
        <w:rPr>
          <w:rFonts w:ascii="Arial" w:hAnsi="Arial" w:cs="Arial"/>
          <w:color w:val="000000"/>
        </w:rPr>
      </w:pPr>
      <w:r>
        <w:rPr>
          <w:rFonts w:ascii="Arial" w:hAnsi="Arial" w:cs="Arial"/>
          <w:color w:val="000000"/>
        </w:rPr>
        <w:t>La sua notifica fa decorrere il termine per la presentazione del ricorso alla Commissione Tributaria e, se non preceduta dall'invito a comparire, consente al contribuente di presentare istanza di accertamento con adesione ai sensi dell'art. 6, comma 2 del D.Lgs. 218/1997.</w:t>
      </w:r>
    </w:p>
    <w:p w:rsidR="004B4DFB" w:rsidRDefault="004B4DFB" w:rsidP="004B4DFB">
      <w:pPr>
        <w:pStyle w:val="NormaleWeb"/>
        <w:jc w:val="both"/>
        <w:rPr>
          <w:rFonts w:ascii="Arial" w:hAnsi="Arial" w:cs="Arial"/>
          <w:color w:val="000000"/>
        </w:rPr>
      </w:pPr>
      <w:r>
        <w:rPr>
          <w:rFonts w:ascii="Arial" w:hAnsi="Arial" w:cs="Arial"/>
          <w:color w:val="000000"/>
        </w:rPr>
        <w:t>L’avviso di accertamento è un porvvedimento amministrtaivo, di natura vincolata, in quanto la pa non ha discrezionalità né in ordine all’an né in ordine al contenuto del provvedimento, ed è un atto autoritativo che produce effetti nei confronti del contribuente.</w:t>
      </w:r>
    </w:p>
    <w:p w:rsidR="004B4DFB" w:rsidRDefault="004B4DFB" w:rsidP="004B4DFB">
      <w:pPr>
        <w:pStyle w:val="NormaleWeb"/>
        <w:jc w:val="both"/>
        <w:rPr>
          <w:rFonts w:ascii="Arial" w:hAnsi="Arial" w:cs="Arial"/>
          <w:color w:val="000000"/>
        </w:rPr>
      </w:pPr>
      <w:r>
        <w:rPr>
          <w:rFonts w:ascii="Arial" w:hAnsi="Arial" w:cs="Arial"/>
          <w:color w:val="000000"/>
        </w:rPr>
        <w:t>La notifica può esser eseguita nelle mani proprie del contribuente medinate messi comunali ovvero messi speciali autorizzati, a mezzo del servizio postalecon raccomdata A/R</w:t>
      </w:r>
    </w:p>
    <w:p w:rsidR="004B4DFB" w:rsidRDefault="004B4DFB" w:rsidP="004B4DFB">
      <w:pPr>
        <w:pStyle w:val="NormaleWeb"/>
        <w:jc w:val="both"/>
        <w:rPr>
          <w:rFonts w:ascii="Arial" w:hAnsi="Arial" w:cs="Arial"/>
          <w:color w:val="000000"/>
        </w:rPr>
      </w:pPr>
      <w:r>
        <w:rPr>
          <w:rFonts w:ascii="Arial" w:hAnsi="Arial" w:cs="Arial"/>
          <w:b/>
          <w:color w:val="000000"/>
        </w:rPr>
        <w:t>Imposta sui redditi termini di accertamento</w:t>
      </w:r>
      <w:r>
        <w:rPr>
          <w:rFonts w:ascii="Arial" w:hAnsi="Arial" w:cs="Arial"/>
          <w:color w:val="000000"/>
        </w:rPr>
        <w:sym w:font="Wingdings" w:char="00E0"/>
      </w:r>
      <w:r>
        <w:rPr>
          <w:rFonts w:ascii="Arial" w:hAnsi="Arial" w:cs="Arial"/>
          <w:color w:val="000000"/>
        </w:rPr>
        <w:t>gli avvisi di accertamento devono esser notificati , a pena di decadenza, entro il 31 /12 del quinto anno successivo a quello in cui è stata presentata la dichiarazione. Nel caso di omessa presentazione della dichiarazione o presentazione dichiarazione nulla l’avviso di accertamento può esser notificato entro il 7 annosuccessivo a quello in cui la dichirazione doveva esser presentata.</w:t>
      </w:r>
    </w:p>
    <w:p w:rsidR="004B4DFB" w:rsidRDefault="004B4DFB" w:rsidP="004B4DFB">
      <w:pPr>
        <w:pStyle w:val="NormaleWeb"/>
        <w:jc w:val="both"/>
        <w:rPr>
          <w:rFonts w:ascii="Arial" w:hAnsi="Arial" w:cs="Arial"/>
          <w:color w:val="000000"/>
        </w:rPr>
      </w:pPr>
      <w:r>
        <w:rPr>
          <w:rFonts w:ascii="Arial" w:hAnsi="Arial" w:cs="Arial"/>
          <w:b/>
          <w:color w:val="000000"/>
        </w:rPr>
        <w:t>IVA</w:t>
      </w:r>
      <w:r>
        <w:rPr>
          <w:rFonts w:ascii="Arial" w:hAnsi="Arial" w:cs="Arial"/>
          <w:color w:val="000000"/>
        </w:rPr>
        <w:sym w:font="Wingdings" w:char="00E0"/>
      </w:r>
      <w:r>
        <w:rPr>
          <w:rFonts w:ascii="Arial" w:hAnsi="Arial" w:cs="Arial"/>
          <w:color w:val="000000"/>
        </w:rPr>
        <w:t>gli avvisirelativi alle rettifichee agli accertamenti devono esser notificati entro il 31/12 del quinto anno successivo a quello in cui è stata presentata la dichiarazione. In caso di omessa dichiarazione o dichiarazione nulla l’avviso deve esser notifcato 31/12 del 7 anno successivo a quello in cui doveva esser presentata.</w:t>
      </w:r>
    </w:p>
    <w:p w:rsidR="004B4DFB" w:rsidRDefault="004B4DFB" w:rsidP="004B4DFB">
      <w:pPr>
        <w:pStyle w:val="NormaleWeb"/>
        <w:shd w:val="clear" w:color="auto" w:fill="FFFFFF"/>
        <w:spacing w:before="0" w:beforeAutospacing="0" w:after="0" w:afterAutospacing="0"/>
        <w:rPr>
          <w:rFonts w:ascii="Arial" w:hAnsi="Arial" w:cs="Arial"/>
          <w:color w:val="333333"/>
        </w:rPr>
      </w:pPr>
      <w:r>
        <w:rPr>
          <w:rFonts w:ascii="Arial" w:hAnsi="Arial" w:cs="Arial"/>
          <w:color w:val="333333"/>
        </w:rPr>
        <w:t>In generale, l’avviso di accertamento dà al contribuente </w:t>
      </w:r>
      <w:r>
        <w:rPr>
          <w:rFonts w:ascii="Arial" w:hAnsi="Arial" w:cs="Arial"/>
          <w:b/>
          <w:bCs/>
          <w:color w:val="333333"/>
        </w:rPr>
        <w:t>60 giorni di tempo per pagare </w:t>
      </w:r>
      <w:r>
        <w:rPr>
          <w:rFonts w:ascii="Arial" w:hAnsi="Arial" w:cs="Arial"/>
          <w:color w:val="333333"/>
        </w:rPr>
        <w:t>o per </w:t>
      </w:r>
      <w:r>
        <w:rPr>
          <w:rFonts w:ascii="Arial" w:hAnsi="Arial" w:cs="Arial"/>
          <w:b/>
          <w:bCs/>
          <w:color w:val="333333"/>
        </w:rPr>
        <w:t>opporsi</w:t>
      </w:r>
      <w:r>
        <w:rPr>
          <w:rFonts w:ascii="Arial" w:hAnsi="Arial" w:cs="Arial"/>
          <w:color w:val="333333"/>
        </w:rPr>
        <w:t>. L’impugnazione va presentata al giudice competente che, per le imposte, è la Commissione Tributaria Provinciale, mentre per i contributi dovuti all’Inps o all’Inail è il tribunale ordinario.</w:t>
      </w:r>
      <w:r>
        <w:rPr>
          <w:rStyle w:val="apple-converted-space"/>
          <w:rFonts w:ascii="Arial" w:hAnsi="Arial" w:cs="Arial"/>
          <w:color w:val="333333"/>
          <w:bdr w:val="none" w:sz="0" w:space="0" w:color="auto" w:frame="1"/>
        </w:rPr>
        <w:t> </w:t>
      </w:r>
    </w:p>
    <w:p w:rsidR="004B4DFB" w:rsidRDefault="004B4DFB" w:rsidP="004B4DFB">
      <w:pPr>
        <w:pStyle w:val="NormaleWeb"/>
        <w:shd w:val="clear" w:color="auto" w:fill="FFFFFF"/>
        <w:spacing w:before="0" w:beforeAutospacing="0" w:after="0" w:afterAutospacing="0"/>
        <w:rPr>
          <w:rFonts w:ascii="Arial" w:hAnsi="Arial" w:cs="Arial"/>
          <w:color w:val="333333"/>
        </w:rPr>
      </w:pPr>
      <w:r>
        <w:rPr>
          <w:rFonts w:ascii="Arial" w:hAnsi="Arial" w:cs="Arial"/>
          <w:color w:val="333333"/>
        </w:rPr>
        <w:t>Se non opposto, l’avviso di accertamento diventa definitivo e non può più essere contestato in un momento successivo.</w:t>
      </w:r>
      <w:r>
        <w:rPr>
          <w:rStyle w:val="apple-converted-space"/>
          <w:rFonts w:ascii="Arial" w:hAnsi="Arial" w:cs="Arial"/>
          <w:color w:val="333333"/>
          <w:bdr w:val="none" w:sz="0" w:space="0" w:color="auto" w:frame="1"/>
        </w:rPr>
        <w:t> </w:t>
      </w:r>
    </w:p>
    <w:p w:rsidR="004B4DFB" w:rsidRDefault="004B4DFB" w:rsidP="004B4DFB">
      <w:pPr>
        <w:pStyle w:val="NormaleWeb"/>
        <w:shd w:val="clear" w:color="auto" w:fill="FFFFFF"/>
        <w:spacing w:before="0" w:beforeAutospacing="0" w:after="0" w:afterAutospacing="0"/>
        <w:rPr>
          <w:rFonts w:ascii="Arial" w:hAnsi="Arial" w:cs="Arial"/>
          <w:color w:val="333333"/>
        </w:rPr>
      </w:pPr>
      <w:r>
        <w:rPr>
          <w:rFonts w:ascii="Arial" w:hAnsi="Arial" w:cs="Arial"/>
          <w:color w:val="333333"/>
        </w:rPr>
        <w:t xml:space="preserve">La norma vuole che, dopo l’avviso di accertamento, venga formato il RUOLO (un atto interno che ufficializza e quantifica il credito della PA). Il ruolo viene trasmesso all’agente della riscossione. Avviene così il passaggio di consegne dall’amministrazione titolare del </w:t>
      </w:r>
      <w:r>
        <w:rPr>
          <w:rFonts w:ascii="Arial" w:hAnsi="Arial" w:cs="Arial"/>
          <w:color w:val="333333"/>
        </w:rPr>
        <w:lastRenderedPageBreak/>
        <w:t>credito (Agenzia delle Entrate, Inps, ecc.) all’esattore affinché provveda ad</w:t>
      </w:r>
      <w:r>
        <w:rPr>
          <w:rStyle w:val="Enfasigrassetto"/>
          <w:rFonts w:ascii="Arial" w:hAnsi="Arial" w:cs="Arial"/>
          <w:color w:val="333333"/>
        </w:rPr>
        <w:t> avviare la riscossione</w:t>
      </w:r>
      <w:r>
        <w:rPr>
          <w:rFonts w:ascii="Arial" w:hAnsi="Arial" w:cs="Arial"/>
          <w:color w:val="333333"/>
        </w:rPr>
        <w:t> mediante il pignoramento.</w:t>
      </w:r>
    </w:p>
    <w:p w:rsidR="004B4DFB" w:rsidRDefault="004B4DFB" w:rsidP="004B4DFB">
      <w:pPr>
        <w:pStyle w:val="NormaleWeb"/>
        <w:shd w:val="clear" w:color="auto" w:fill="FFFFFF"/>
        <w:spacing w:before="0" w:beforeAutospacing="0" w:after="0" w:afterAutospacing="0"/>
        <w:rPr>
          <w:rFonts w:ascii="Arial" w:hAnsi="Arial" w:cs="Arial"/>
          <w:color w:val="333333"/>
        </w:rPr>
      </w:pPr>
      <w:r>
        <w:rPr>
          <w:rFonts w:ascii="Arial" w:hAnsi="Arial" w:cs="Arial"/>
          <w:color w:val="333333"/>
        </w:rPr>
        <w:t>Oggi, però, la normativa ha introdotto il cosiddetto </w:t>
      </w:r>
      <w:r>
        <w:rPr>
          <w:rFonts w:ascii="Arial" w:hAnsi="Arial" w:cs="Arial"/>
          <w:b/>
          <w:bCs/>
          <w:color w:val="333333"/>
        </w:rPr>
        <w:t>accertamento immediatamente esecutivo</w:t>
      </w:r>
      <w:r>
        <w:rPr>
          <w:rFonts w:ascii="Arial" w:hAnsi="Arial" w:cs="Arial"/>
          <w:color w:val="333333"/>
        </w:rPr>
        <w:t> che non necessita della successiva cartella, ma di una semplice «</w:t>
      </w:r>
      <w:r>
        <w:rPr>
          <w:rFonts w:ascii="Arial" w:hAnsi="Arial" w:cs="Arial"/>
          <w:b/>
          <w:bCs/>
          <w:color w:val="333333"/>
        </w:rPr>
        <w:t>comunicazione di presa in carico</w:t>
      </w:r>
      <w:r>
        <w:rPr>
          <w:rFonts w:ascii="Arial" w:hAnsi="Arial" w:cs="Arial"/>
          <w:color w:val="333333"/>
        </w:rPr>
        <w:t>». In pratica, è già l’accertamento un titolo esecutivo che consente di </w:t>
      </w:r>
      <w:r>
        <w:rPr>
          <w:rStyle w:val="Enfasigrassetto"/>
          <w:rFonts w:ascii="Arial" w:hAnsi="Arial" w:cs="Arial"/>
          <w:color w:val="333333"/>
        </w:rPr>
        <w:t>avviare il pignoramento</w:t>
      </w:r>
      <w:r>
        <w:rPr>
          <w:rFonts w:ascii="Arial" w:hAnsi="Arial" w:cs="Arial"/>
          <w:color w:val="333333"/>
        </w:rPr>
        <w:t>. </w:t>
      </w:r>
      <w:r>
        <w:rPr>
          <w:rStyle w:val="apple-converted-space"/>
          <w:rFonts w:ascii="Arial" w:hAnsi="Arial" w:cs="Arial"/>
          <w:color w:val="333333"/>
          <w:bdr w:val="none" w:sz="0" w:space="0" w:color="auto" w:frame="1"/>
        </w:rPr>
        <w:t> </w:t>
      </w:r>
    </w:p>
    <w:p w:rsidR="004B4DFB" w:rsidRDefault="004B4DFB" w:rsidP="004B4DFB">
      <w:pPr>
        <w:pStyle w:val="NormaleWeb"/>
        <w:shd w:val="clear" w:color="auto" w:fill="FFFFFF"/>
        <w:spacing w:before="0" w:beforeAutospacing="0" w:after="353" w:afterAutospacing="0"/>
        <w:rPr>
          <w:rFonts w:ascii="Arial" w:hAnsi="Arial" w:cs="Arial"/>
          <w:color w:val="333333"/>
        </w:rPr>
      </w:pPr>
      <w:r>
        <w:rPr>
          <w:rFonts w:ascii="Arial" w:hAnsi="Arial" w:cs="Arial"/>
          <w:color w:val="333333"/>
        </w:rPr>
        <w:t>A seconda del tipo di avviso di accertamento ricevuto dal contribuente, ad esso segue la </w:t>
      </w:r>
      <w:r>
        <w:rPr>
          <w:rFonts w:ascii="Arial" w:hAnsi="Arial" w:cs="Arial"/>
          <w:b/>
          <w:bCs/>
          <w:color w:val="333333"/>
        </w:rPr>
        <w:t>cartella esattoriale</w:t>
      </w:r>
      <w:r>
        <w:rPr>
          <w:rFonts w:ascii="Arial" w:hAnsi="Arial" w:cs="Arial"/>
          <w:color w:val="333333"/>
        </w:rPr>
        <w:t> o la semplice comunicazione con l’avviso di</w:t>
      </w:r>
      <w:r>
        <w:rPr>
          <w:rFonts w:ascii="Arial" w:hAnsi="Arial" w:cs="Arial"/>
          <w:b/>
          <w:bCs/>
          <w:color w:val="333333"/>
        </w:rPr>
        <w:t> presa in carico</w:t>
      </w:r>
      <w:r>
        <w:rPr>
          <w:rFonts w:ascii="Arial" w:hAnsi="Arial" w:cs="Arial"/>
          <w:color w:val="333333"/>
        </w:rPr>
        <w:t> da parte dell’agente della riscossione. </w:t>
      </w:r>
    </w:p>
    <w:p w:rsidR="004B4DFB" w:rsidRDefault="004B4DFB" w:rsidP="004B4DFB">
      <w:pPr>
        <w:pStyle w:val="NormaleWeb"/>
        <w:jc w:val="both"/>
        <w:rPr>
          <w:rFonts w:ascii="Arial" w:hAnsi="Arial" w:cs="Arial"/>
          <w:color w:val="000000"/>
        </w:rPr>
      </w:pPr>
      <w:r>
        <w:rPr>
          <w:rFonts w:ascii="Arial" w:hAnsi="Arial" w:cs="Arial"/>
          <w:color w:val="000000"/>
        </w:rPr>
        <w:t>La riscossione è la fase successiva . nel nostro ordinamento la regola generale prevede la riscossione volontaria, mediante pagemento spontaneo del contribuente, salve le ipotesi di riscossione coattiva, cioè le ipotesi in cui la pa procede coattivamente contro il contribuente.questa fase normalmente viene svolta tramite un agente di riscossione che esercita le seguenti funzioni:</w:t>
      </w:r>
    </w:p>
    <w:p w:rsidR="004B4DFB" w:rsidRDefault="004B4DFB" w:rsidP="004B4DFB">
      <w:pPr>
        <w:pStyle w:val="NormaleWeb"/>
        <w:numPr>
          <w:ilvl w:val="0"/>
          <w:numId w:val="39"/>
        </w:numPr>
        <w:jc w:val="both"/>
        <w:rPr>
          <w:rFonts w:ascii="Arial" w:hAnsi="Arial" w:cs="Arial"/>
          <w:color w:val="000000"/>
        </w:rPr>
      </w:pPr>
      <w:r>
        <w:rPr>
          <w:rFonts w:ascii="Arial" w:hAnsi="Arial" w:cs="Arial"/>
          <w:color w:val="000000"/>
        </w:rPr>
        <w:t>incasso pagamenti effettuati mediante versamenti diretti o mediante ruolo</w:t>
      </w:r>
    </w:p>
    <w:p w:rsidR="004B4DFB" w:rsidRDefault="004B4DFB" w:rsidP="004B4DFB">
      <w:pPr>
        <w:pStyle w:val="NormaleWeb"/>
        <w:numPr>
          <w:ilvl w:val="0"/>
          <w:numId w:val="39"/>
        </w:numPr>
        <w:jc w:val="both"/>
        <w:rPr>
          <w:rFonts w:ascii="Arial" w:hAnsi="Arial" w:cs="Arial"/>
          <w:color w:val="000000"/>
        </w:rPr>
      </w:pPr>
      <w:r>
        <w:rPr>
          <w:rFonts w:ascii="Arial" w:hAnsi="Arial" w:cs="Arial"/>
          <w:color w:val="000000"/>
        </w:rPr>
        <w:t>nel provvedere all’esecuzione forzata</w:t>
      </w:r>
    </w:p>
    <w:p w:rsidR="004B4DFB" w:rsidRDefault="004B4DFB" w:rsidP="004B4DFB">
      <w:pPr>
        <w:pStyle w:val="NormaleWeb"/>
        <w:numPr>
          <w:ilvl w:val="0"/>
          <w:numId w:val="39"/>
        </w:numPr>
        <w:jc w:val="both"/>
        <w:rPr>
          <w:rFonts w:ascii="Arial" w:hAnsi="Arial" w:cs="Arial"/>
          <w:color w:val="000000"/>
        </w:rPr>
      </w:pPr>
      <w:r>
        <w:rPr>
          <w:rFonts w:ascii="Arial" w:hAnsi="Arial" w:cs="Arial"/>
          <w:color w:val="000000"/>
        </w:rPr>
        <w:t>effettua i rimborsi</w:t>
      </w:r>
    </w:p>
    <w:p w:rsidR="004B4DFB" w:rsidRDefault="004B4DFB" w:rsidP="004B4DFB">
      <w:pPr>
        <w:pStyle w:val="NormaleWeb"/>
        <w:ind w:left="68"/>
        <w:jc w:val="both"/>
        <w:rPr>
          <w:rFonts w:ascii="Arial" w:hAnsi="Arial" w:cs="Arial"/>
          <w:color w:val="000000"/>
        </w:rPr>
      </w:pPr>
      <w:r>
        <w:rPr>
          <w:rFonts w:ascii="Arial" w:hAnsi="Arial" w:cs="Arial"/>
          <w:color w:val="000000"/>
        </w:rPr>
        <w:t>il DL 70/11 consente ai comuni di avvalersi anche dell’ingiunzione fiscale, uno strumento che cnsente di riscuotere le entrate tributarie e patrimoniali dei comuni . l’ingiunzione è accompagnata, a seconda del tipo di entrata, da alcuni atti (esempio dall’avviso di accertamento per entrate di natura tributaria). Mediante l’ingiunzione fiscale, l’ente creditore individuail quantum dovuto e intima il pagamento. Se il contribuente non ottempera o non si oppone entro 30 g, l’ingiunzione diventa definitiva e l’ente può procedere all’esecuzione forzata mediante gli strumenti espropriativi previsti dal nostro ordinamento.</w:t>
      </w:r>
    </w:p>
    <w:p w:rsidR="004B4DFB" w:rsidRDefault="004B4DFB" w:rsidP="004B4DFB">
      <w:pPr>
        <w:pStyle w:val="NormaleWeb"/>
        <w:ind w:left="68"/>
        <w:jc w:val="both"/>
        <w:rPr>
          <w:rFonts w:ascii="Arial" w:hAnsi="Arial" w:cs="Arial"/>
          <w:color w:val="000000"/>
        </w:rPr>
      </w:pPr>
      <w:r>
        <w:rPr>
          <w:rFonts w:ascii="Arial" w:hAnsi="Arial" w:cs="Arial"/>
          <w:color w:val="000000"/>
        </w:rPr>
        <w:t xml:space="preserve">RISCOSSIONE VOLONTARIA    </w:t>
      </w:r>
    </w:p>
    <w:p w:rsidR="004B4DFB" w:rsidRDefault="004B4DFB" w:rsidP="004B4DFB">
      <w:pPr>
        <w:rPr>
          <w:rFonts w:ascii="Arial" w:hAnsi="Arial" w:cs="Arial"/>
          <w:sz w:val="24"/>
          <w:szCs w:val="24"/>
        </w:rPr>
      </w:pPr>
      <w:r>
        <w:rPr>
          <w:rFonts w:ascii="Arial" w:hAnsi="Arial" w:cs="Arial"/>
          <w:sz w:val="24"/>
          <w:szCs w:val="24"/>
        </w:rPr>
        <w:t xml:space="preserve">  COME ABBIAMO DETTO, la regola generale è la riscossione volontaria che si basa sul pagamento spontaneo mediante:</w:t>
      </w:r>
    </w:p>
    <w:p w:rsidR="004B4DFB" w:rsidRDefault="004B4DFB" w:rsidP="004B4DFB">
      <w:pPr>
        <w:rPr>
          <w:rFonts w:ascii="Arial" w:hAnsi="Arial" w:cs="Arial"/>
          <w:sz w:val="24"/>
          <w:szCs w:val="24"/>
        </w:rPr>
      </w:pPr>
      <w:r>
        <w:rPr>
          <w:rFonts w:ascii="Arial" w:hAnsi="Arial" w:cs="Arial"/>
          <w:sz w:val="24"/>
          <w:szCs w:val="24"/>
        </w:rPr>
        <w:t>ritenuta diretta per imposte sui redditi</w:t>
      </w:r>
      <w:r>
        <w:rPr>
          <w:rFonts w:ascii="Arial" w:hAnsi="Arial" w:cs="Arial"/>
          <w:sz w:val="24"/>
          <w:szCs w:val="24"/>
        </w:rPr>
        <w:sym w:font="Wingdings" w:char="00E0"/>
      </w:r>
      <w:r>
        <w:rPr>
          <w:rFonts w:ascii="Arial" w:hAnsi="Arial" w:cs="Arial"/>
          <w:sz w:val="24"/>
          <w:szCs w:val="24"/>
        </w:rPr>
        <w:t xml:space="preserve">la somma effettivamente dovuta al contribuente è decurtata a monte da una ritenuta atitolo di acconto o definitiva. </w:t>
      </w:r>
    </w:p>
    <w:p w:rsidR="004B4DFB" w:rsidRDefault="004B4DFB" w:rsidP="004B4DFB">
      <w:pPr>
        <w:rPr>
          <w:rFonts w:ascii="Arial" w:hAnsi="Arial" w:cs="Arial"/>
          <w:sz w:val="24"/>
          <w:szCs w:val="24"/>
        </w:rPr>
      </w:pPr>
      <w:r>
        <w:rPr>
          <w:rFonts w:ascii="Arial" w:hAnsi="Arial" w:cs="Arial"/>
          <w:sz w:val="24"/>
          <w:szCs w:val="24"/>
        </w:rPr>
        <w:t xml:space="preserve">versamento diretto per imposte sui redditi ,IVA,IRAP  </w:t>
      </w:r>
      <w:r>
        <w:rPr>
          <w:rFonts w:ascii="Arial" w:hAnsi="Arial" w:cs="Arial"/>
          <w:sz w:val="24"/>
          <w:szCs w:val="24"/>
        </w:rPr>
        <w:sym w:font="Wingdings" w:char="00E0"/>
      </w:r>
      <w:r>
        <w:rPr>
          <w:rFonts w:ascii="Arial" w:hAnsi="Arial" w:cs="Arial"/>
          <w:sz w:val="24"/>
          <w:szCs w:val="24"/>
        </w:rPr>
        <w:t xml:space="preserve">consiste nello spontaneo versamento delle imposte </w:t>
      </w:r>
    </w:p>
    <w:p w:rsidR="004B4DFB" w:rsidRDefault="004B4DFB" w:rsidP="004B4DFB">
      <w:pPr>
        <w:rPr>
          <w:rFonts w:ascii="Arial" w:hAnsi="Arial" w:cs="Arial"/>
          <w:sz w:val="24"/>
          <w:szCs w:val="24"/>
        </w:rPr>
      </w:pPr>
      <w:r>
        <w:rPr>
          <w:rFonts w:ascii="Arial" w:hAnsi="Arial" w:cs="Arial"/>
          <w:sz w:val="24"/>
          <w:szCs w:val="24"/>
        </w:rPr>
        <w:t>ruolo per tuti i tributi ( che comunque è uno strumento di riscossione sia volontaria che coattiva)</w:t>
      </w:r>
    </w:p>
    <w:p w:rsidR="004B4DFB" w:rsidRDefault="004B4DFB" w:rsidP="004B4DFB">
      <w:pPr>
        <w:rPr>
          <w:rFonts w:ascii="Arial" w:hAnsi="Arial" w:cs="Arial"/>
          <w:sz w:val="24"/>
          <w:szCs w:val="24"/>
        </w:rPr>
      </w:pPr>
      <w:r>
        <w:rPr>
          <w:rFonts w:ascii="Arial" w:hAnsi="Arial" w:cs="Arial"/>
          <w:sz w:val="24"/>
          <w:szCs w:val="24"/>
        </w:rPr>
        <w:t>nell’ambito del versamento volontario va ricordata la COMPENSAZIONE tra i crediti e i debiti. In materia si distingue tra :</w:t>
      </w:r>
      <w:r>
        <w:rPr>
          <w:rFonts w:ascii="Arial" w:hAnsi="Arial" w:cs="Arial"/>
          <w:sz w:val="24"/>
          <w:szCs w:val="24"/>
        </w:rPr>
        <w:br/>
      </w:r>
    </w:p>
    <w:p w:rsidR="004B4DFB" w:rsidRDefault="004B4DFB" w:rsidP="004B4DFB">
      <w:pPr>
        <w:pStyle w:val="Paragrafoelenco"/>
        <w:numPr>
          <w:ilvl w:val="0"/>
          <w:numId w:val="40"/>
        </w:numPr>
        <w:rPr>
          <w:rFonts w:ascii="Arial" w:hAnsi="Arial" w:cs="Arial"/>
          <w:sz w:val="24"/>
          <w:szCs w:val="24"/>
        </w:rPr>
      </w:pPr>
      <w:r>
        <w:rPr>
          <w:rFonts w:ascii="Arial" w:hAnsi="Arial" w:cs="Arial"/>
          <w:sz w:val="24"/>
          <w:szCs w:val="24"/>
        </w:rPr>
        <w:t>compensazione verticale: avviene all’interno di un singolo tributo(utilizzo il credito IRPEF  di un anno per pagare i debiti dell’anno successivo)</w:t>
      </w:r>
    </w:p>
    <w:p w:rsidR="004B4DFB" w:rsidRDefault="004B4DFB" w:rsidP="004B4DFB">
      <w:pPr>
        <w:pStyle w:val="Paragrafoelenco"/>
        <w:numPr>
          <w:ilvl w:val="0"/>
          <w:numId w:val="40"/>
        </w:numPr>
        <w:rPr>
          <w:rFonts w:ascii="Arial" w:hAnsi="Arial" w:cs="Arial"/>
          <w:sz w:val="24"/>
          <w:szCs w:val="24"/>
        </w:rPr>
      </w:pPr>
      <w:r>
        <w:rPr>
          <w:rFonts w:ascii="Arial" w:hAnsi="Arial" w:cs="Arial"/>
          <w:sz w:val="24"/>
          <w:szCs w:val="24"/>
        </w:rPr>
        <w:lastRenderedPageBreak/>
        <w:t>compensazione orizzontale</w:t>
      </w:r>
      <w:r>
        <w:rPr>
          <w:rFonts w:ascii="Arial" w:hAnsi="Arial" w:cs="Arial"/>
          <w:sz w:val="24"/>
          <w:szCs w:val="24"/>
        </w:rPr>
        <w:sym w:font="Wingdings" w:char="00E0"/>
      </w:r>
      <w:r>
        <w:rPr>
          <w:rFonts w:ascii="Arial" w:hAnsi="Arial" w:cs="Arial"/>
          <w:sz w:val="24"/>
          <w:szCs w:val="24"/>
        </w:rPr>
        <w:t>avviene tra tributi e contributi diversi (utilizzo credito Iva per saldare debito IRES)</w:t>
      </w:r>
    </w:p>
    <w:p w:rsidR="004B4DFB" w:rsidRDefault="004B4DFB" w:rsidP="004B4DFB">
      <w:pPr>
        <w:rPr>
          <w:rFonts w:ascii="Arial" w:hAnsi="Arial" w:cs="Arial"/>
          <w:sz w:val="24"/>
          <w:szCs w:val="24"/>
        </w:rPr>
      </w:pPr>
      <w:r>
        <w:rPr>
          <w:rFonts w:ascii="Arial" w:hAnsi="Arial" w:cs="Arial"/>
          <w:sz w:val="24"/>
          <w:szCs w:val="24"/>
        </w:rPr>
        <w:t>La compensazione è ammessa solo nei casi previsti dalla legge.</w:t>
      </w:r>
    </w:p>
    <w:p w:rsidR="004B4DFB" w:rsidRDefault="004B4DFB" w:rsidP="004B4DFB">
      <w:pPr>
        <w:rPr>
          <w:rFonts w:ascii="Arial" w:hAnsi="Arial" w:cs="Arial"/>
          <w:sz w:val="24"/>
          <w:szCs w:val="24"/>
        </w:rPr>
      </w:pPr>
    </w:p>
    <w:p w:rsidR="004B4DFB" w:rsidRDefault="004B4DFB" w:rsidP="004B4DFB">
      <w:pPr>
        <w:rPr>
          <w:rFonts w:ascii="Arial" w:hAnsi="Arial" w:cs="Arial"/>
          <w:sz w:val="24"/>
          <w:szCs w:val="24"/>
        </w:rPr>
      </w:pPr>
      <w:r>
        <w:rPr>
          <w:rFonts w:ascii="Arial" w:hAnsi="Arial" w:cs="Arial"/>
          <w:sz w:val="24"/>
          <w:szCs w:val="24"/>
        </w:rPr>
        <w:t>RUOLO</w:t>
      </w:r>
    </w:p>
    <w:p w:rsidR="004B4DFB" w:rsidRDefault="004B4DFB" w:rsidP="004B4DFB">
      <w:pPr>
        <w:rPr>
          <w:rFonts w:ascii="Arial" w:hAnsi="Arial" w:cs="Arial"/>
          <w:sz w:val="24"/>
          <w:szCs w:val="24"/>
        </w:rPr>
      </w:pPr>
      <w:r>
        <w:rPr>
          <w:rFonts w:ascii="Arial" w:hAnsi="Arial" w:cs="Arial"/>
          <w:sz w:val="24"/>
          <w:szCs w:val="24"/>
        </w:rPr>
        <w:t>La riscossione mediante ruolo è una fase affidata ad un soggeto estraneo all’ente impositore chiamato agente della riscossione. Il ruolo è un mezzo di riscossione impiegato sia nella riscossione volontaria sia per la riscossione coattiva:</w:t>
      </w:r>
    </w:p>
    <w:p w:rsidR="004B4DFB" w:rsidRDefault="004B4DFB" w:rsidP="004B4DFB">
      <w:pPr>
        <w:rPr>
          <w:rFonts w:ascii="Arial" w:hAnsi="Arial" w:cs="Arial"/>
          <w:sz w:val="24"/>
          <w:szCs w:val="24"/>
        </w:rPr>
      </w:pPr>
      <w:r>
        <w:rPr>
          <w:rFonts w:ascii="Arial" w:hAnsi="Arial" w:cs="Arial"/>
          <w:sz w:val="24"/>
          <w:szCs w:val="24"/>
        </w:rPr>
        <w:t>nella riscossione volontaria ricorre nelle ipotesi in cui non sono previsti né la ritenuta diretta né il versamento diretto</w:t>
      </w:r>
    </w:p>
    <w:p w:rsidR="004B4DFB" w:rsidRDefault="004B4DFB" w:rsidP="004B4DFB">
      <w:pPr>
        <w:rPr>
          <w:rFonts w:ascii="Arial" w:hAnsi="Arial" w:cs="Arial"/>
          <w:sz w:val="24"/>
          <w:szCs w:val="24"/>
        </w:rPr>
      </w:pPr>
      <w:r>
        <w:rPr>
          <w:rFonts w:ascii="Arial" w:hAnsi="Arial" w:cs="Arial"/>
          <w:sz w:val="24"/>
          <w:szCs w:val="24"/>
        </w:rPr>
        <w:t>nella riscossione coattiva scatta in caso di inadempimento dell’obbligazione tributaria.</w:t>
      </w:r>
    </w:p>
    <w:p w:rsidR="004B4DFB" w:rsidRDefault="004B4DFB" w:rsidP="004B4DFB">
      <w:pPr>
        <w:rPr>
          <w:rFonts w:ascii="Arial" w:hAnsi="Arial" w:cs="Arial"/>
          <w:sz w:val="24"/>
          <w:szCs w:val="24"/>
        </w:rPr>
      </w:pPr>
      <w:r>
        <w:rPr>
          <w:rFonts w:ascii="Arial" w:hAnsi="Arial" w:cs="Arial"/>
          <w:sz w:val="24"/>
          <w:szCs w:val="24"/>
        </w:rPr>
        <w:t>Il ruolo non è altro che un elenco formato dall’ente impositore dei debitori e delle somme dovute.</w:t>
      </w:r>
    </w:p>
    <w:p w:rsidR="004B4DFB" w:rsidRDefault="004B4DFB" w:rsidP="004B4DFB">
      <w:pPr>
        <w:pStyle w:val="Titolo2"/>
        <w:shd w:val="clear" w:color="auto" w:fill="FFFFFF"/>
        <w:spacing w:before="272" w:after="136" w:line="299" w:lineRule="atLeast"/>
        <w:rPr>
          <w:rFonts w:ascii="Arial" w:hAnsi="Arial" w:cs="Arial"/>
          <w:color w:val="333333"/>
          <w:sz w:val="24"/>
          <w:szCs w:val="24"/>
        </w:rPr>
      </w:pPr>
      <w:r>
        <w:rPr>
          <w:rFonts w:ascii="Arial" w:hAnsi="Arial" w:cs="Arial"/>
          <w:b w:val="0"/>
          <w:bCs w:val="0"/>
          <w:i/>
          <w:iCs/>
          <w:color w:val="03283A"/>
          <w:sz w:val="24"/>
          <w:szCs w:val="24"/>
        </w:rPr>
        <w:t xml:space="preserve">l ruolo è il mezzo di riscossione di tutti i tributi (erariali, locali e regionali) ed anche di entrate non tributarie. </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Le imposte sui redditi sono riscosse a mezzo ruolo in tutti i casi nei quali non è prevista (o non e avvenuta) la riscossione mediante ritenuta diretta o versamento diretto</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Il ruolo, come noto, è un atto amministrativo, che racchiude un elenco di somme da riscuotere (per imposte, interessi, sanzioni). E’ indicato il codice fiscale del contribuente, il tributo, il periodo d'imposta, l’imponibile, l'imposta, l’importo dovuto. L'Ufficio forma il ruolo iscrivendo le somme da riscuotere in base ad un titolo che lo legittima a riscuotere</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 In ciascun ruolo sono iscritte le somme dovute dai contribuenti che hanno il domicilio fiscale in comuni compresi nell'ambito territoriale cui il ruolo si riferisce.</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Il titolare dell'Ufficio o un suo delegato sottoscrive, anche mediante firma elettronica, il ruolo, e </w:t>
      </w:r>
      <w:r>
        <w:rPr>
          <w:rStyle w:val="Enfasigrassetto"/>
          <w:rFonts w:ascii="Arial" w:hAnsi="Arial" w:cs="Arial"/>
          <w:color w:val="333333"/>
        </w:rPr>
        <w:t>la sottoscrizione attribuisce al ruolo effetti di titolo esecutivo</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Il ruolo è quindi consegnato - in via telematica - all'agente, che dà comunicazione delle singole iscrizioni ai contribuenti mediante </w:t>
      </w:r>
      <w:r>
        <w:rPr>
          <w:rStyle w:val="Enfasigrassetto"/>
          <w:rFonts w:ascii="Arial" w:hAnsi="Arial" w:cs="Arial"/>
          <w:color w:val="333333"/>
        </w:rPr>
        <w:t>notifica della cartella di pagamento</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Le norme del D.p.r. 29 settembre 1973, n. 602 concernenti i ruoli si applicano anche per la </w:t>
      </w:r>
      <w:r>
        <w:rPr>
          <w:rStyle w:val="Enfasigrassetto"/>
          <w:rFonts w:ascii="Arial" w:hAnsi="Arial" w:cs="Arial"/>
          <w:color w:val="333333"/>
        </w:rPr>
        <w:t>riscossione coattiva delle imposte indirette</w:t>
      </w:r>
      <w:r>
        <w:rPr>
          <w:rFonts w:ascii="Arial" w:hAnsi="Arial" w:cs="Arial"/>
          <w:color w:val="333333"/>
        </w:rPr>
        <w:t>, eccetto che per le norme che hanno una valenza esclusiva per le imposte dirette. In particolare hanno applicazione generale le norme in materia di specie, oggetto, formazione, contenuto e consegna dei ruoli; le norme in materia di dilazione di pagamento, di interessi per tale dilazione e in materia di sospensione della riscossione per situazioni eccezionali; le norme in materia di cartella di pagamento, modalità e imputazione dei pagamenti, interessi di mora.</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Si rileva che il ruolo, come ogni provvedimento amministrativo, deve essere motivato. </w:t>
      </w:r>
      <w:r>
        <w:rPr>
          <w:rStyle w:val="Enfasigrassetto"/>
          <w:rFonts w:ascii="Arial" w:hAnsi="Arial" w:cs="Arial"/>
          <w:color w:val="333333"/>
        </w:rPr>
        <w:t>In particolare lo Statuto dei diritti del contribuente (legge 212 del 2000) stabilisce che “</w:t>
      </w:r>
      <w:r>
        <w:rPr>
          <w:rStyle w:val="Enfasicorsivo"/>
          <w:rFonts w:ascii="Arial" w:hAnsi="Arial" w:cs="Arial"/>
          <w:b/>
          <w:bCs/>
          <w:color w:val="333333"/>
        </w:rPr>
        <w:t>sul titolo esecutivo va riportato il riferimento all'eventuale precedente atto di accertamento ovvero, in mancanza, la motivazione della pretesa tributaria»</w:t>
      </w:r>
      <w:r>
        <w:rPr>
          <w:rStyle w:val="Enfasicorsivo"/>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FF0000"/>
        </w:rPr>
      </w:pPr>
      <w:r>
        <w:rPr>
          <w:rFonts w:ascii="Arial" w:hAnsi="Arial" w:cs="Arial"/>
          <w:color w:val="FF0000"/>
        </w:rPr>
        <w:lastRenderedPageBreak/>
        <w:t>Il titolo esecutivo, per i crediti tributari, è costituito, come detto, dal ruolo sottoscritto dal titolare dell’Ufficio o da un suo delegato, e viene notificato al contribuente mediante la cartella di pagamento.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Le informazioni inerenti la motivazione della pretesa tributaria esecutiva, rappresentate dal ruolo, devono dunque essere contenute nella cartella di pagamento.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In particolare non è richiesta una vera e propria motivazione nel caso in cui il titolo in base al quale è effettuata l'iscrizione a ruolo di per sé rende edotto il contribuente della causale del ruolo. </w:t>
      </w:r>
      <w:r>
        <w:rPr>
          <w:rStyle w:val="Enfasigrassetto"/>
          <w:rFonts w:ascii="Arial" w:hAnsi="Arial" w:cs="Arial"/>
          <w:color w:val="333333"/>
        </w:rPr>
        <w:t>Ciò si verifica quanto il ruolo è meramente riproduttivo di un atto precedente</w:t>
      </w:r>
      <w:r>
        <w:rPr>
          <w:rFonts w:ascii="Arial" w:hAnsi="Arial" w:cs="Arial"/>
          <w:color w:val="333333"/>
        </w:rPr>
        <w:t>, quale ad esempio </w:t>
      </w:r>
      <w:r>
        <w:rPr>
          <w:rStyle w:val="Enfasigrassetto"/>
          <w:rFonts w:ascii="Arial" w:hAnsi="Arial" w:cs="Arial"/>
          <w:color w:val="333333"/>
        </w:rPr>
        <w:t>un avviso di accertamento</w:t>
      </w:r>
      <w:r>
        <w:rPr>
          <w:rFonts w:ascii="Arial" w:hAnsi="Arial" w:cs="Arial"/>
          <w:color w:val="333333"/>
        </w:rPr>
        <w:t>. </w:t>
      </w:r>
      <w:r>
        <w:rPr>
          <w:rStyle w:val="Enfasigrassetto"/>
          <w:rFonts w:ascii="Arial" w:hAnsi="Arial" w:cs="Arial"/>
          <w:color w:val="333333"/>
        </w:rPr>
        <w:t>E’ invece necessaria una specifica motivazione quando il ruolo è innovativo, come nel caso derivi dal controllo automatico o dal controllo formale della dichiarazione</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2 Iscrizione a ruolo in base alla dichiarazione</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Come detto l’iscrizione a ruolo è fondata su un titolo giustificativo: la dichiarazione dei redditi e l'avviso di accertamento.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Si segnala che l'Ufficio, in caso di controllo automatico e di controllo formale della dichiarazione dei redditi, deve innanzitutto interpellare il contribuente e inviargli una comunicazione – </w:t>
      </w:r>
      <w:r>
        <w:rPr>
          <w:rStyle w:val="Enfasigrassetto"/>
          <w:rFonts w:ascii="Arial" w:hAnsi="Arial" w:cs="Arial"/>
          <w:color w:val="333333"/>
        </w:rPr>
        <w:t>cosiddetto avviso bonario -</w:t>
      </w:r>
      <w:r>
        <w:rPr>
          <w:rFonts w:ascii="Arial" w:hAnsi="Arial" w:cs="Arial"/>
          <w:color w:val="333333"/>
        </w:rPr>
        <w:t> invitandolo a versare una determinata </w:t>
      </w:r>
      <w:r>
        <w:rPr>
          <w:rStyle w:val="Enfasicorsivo"/>
          <w:rFonts w:ascii="Arial" w:hAnsi="Arial" w:cs="Arial"/>
          <w:color w:val="333333"/>
        </w:rPr>
        <w:t>somma </w:t>
      </w:r>
      <w:r>
        <w:rPr>
          <w:rFonts w:ascii="Arial" w:hAnsi="Arial" w:cs="Arial"/>
          <w:color w:val="333333"/>
        </w:rPr>
        <w:t>scaturente dai sui indicati controlli; </w:t>
      </w:r>
      <w:r>
        <w:rPr>
          <w:rStyle w:val="Enfasigrassetto"/>
          <w:rFonts w:ascii="Arial" w:hAnsi="Arial" w:cs="Arial"/>
          <w:color w:val="333333"/>
        </w:rPr>
        <w:t>qualora il contribuente non paghi nei termini contenuti nell’avviso bonario</w:t>
      </w:r>
      <w:r>
        <w:rPr>
          <w:rFonts w:ascii="Arial" w:hAnsi="Arial" w:cs="Arial"/>
          <w:color w:val="333333"/>
        </w:rPr>
        <w:t>, </w:t>
      </w:r>
      <w:r>
        <w:rPr>
          <w:rStyle w:val="Enfasigrassetto"/>
          <w:rFonts w:ascii="Arial" w:hAnsi="Arial" w:cs="Arial"/>
          <w:color w:val="333333"/>
        </w:rPr>
        <w:t>l’Ufficio formerà il ruolo e notificherà allo stesso la cartella di pagamento</w:t>
      </w:r>
      <w:r>
        <w:rPr>
          <w:rFonts w:ascii="Arial" w:hAnsi="Arial" w:cs="Arial"/>
          <w:color w:val="333333"/>
        </w:rPr>
        <w:t>. </w:t>
      </w:r>
      <w:r>
        <w:rPr>
          <w:rStyle w:val="Enfasigrassetto"/>
          <w:rFonts w:ascii="Arial" w:hAnsi="Arial" w:cs="Arial"/>
          <w:color w:val="333333"/>
        </w:rPr>
        <w:t>Peraltro qualora l’avviso bonario contenga degli errori il contribuente può rivolgersi a qualsiasi Ufficio dell’Agenzia delle Entrate e richiedere l’annullamento dell’avviso stesso</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art. 6 dello </w:t>
      </w:r>
      <w:r>
        <w:rPr>
          <w:rStyle w:val="Enfasigrassetto"/>
          <w:rFonts w:ascii="Arial" w:hAnsi="Arial" w:cs="Arial"/>
          <w:color w:val="333333"/>
        </w:rPr>
        <w:t>Statuto del Contribuente</w:t>
      </w:r>
      <w:r>
        <w:rPr>
          <w:rFonts w:ascii="Arial" w:hAnsi="Arial" w:cs="Arial"/>
          <w:color w:val="333333"/>
        </w:rPr>
        <w:t>, «</w:t>
      </w:r>
      <w:r>
        <w:rPr>
          <w:rStyle w:val="Enfasicorsivo"/>
          <w:rFonts w:ascii="Arial" w:hAnsi="Arial" w:cs="Arial"/>
          <w:b/>
          <w:bCs/>
          <w:color w:val="333333"/>
        </w:rPr>
        <w:t>Prima di procedere alle iscrizioni a ruolo derivanti dalla liquidazione di tributi risultanti da dichiarazioni, qualora sussistano incertezze su aspetti rilevanti della dichiarazione, l'Amministrazione finanziaria deve invitare il contribuente, a mezzo del servizio postale o con mezzi telematici, a fornire i chiarimenti necessari o a produrre i documenti mancanti entro un termine congruo e comunque non inferiore a trenta giorni dalla ricezione della richiesta</w:t>
      </w:r>
      <w:r>
        <w:rPr>
          <w:rStyle w:val="Enfasicorsivo"/>
          <w:rFonts w:ascii="Arial" w:hAnsi="Arial" w:cs="Arial"/>
          <w:color w:val="333333"/>
        </w:rPr>
        <w:t>»</w:t>
      </w:r>
      <w:r>
        <w:rPr>
          <w:rFonts w:ascii="Arial" w:hAnsi="Arial" w:cs="Arial"/>
          <w:color w:val="333333"/>
        </w:rPr>
        <w:t>. E’ espressamente sancita la nullità degli atti emessi in violazione di tale disposizione.</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 Iscrizione a ruolo in base agli avvisi di accertamento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Le somme, imposte, interessi, sanzioni amministrative, dovute in base agli avvisi di accertamento di imposte sul reddito sono riscosse a mezzo ruolo.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L'avviso di accertamento si configura come e atto della riscossione ed il mancato pagamento legittima l’iscrizione a ruolo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La legge, in relazione al grado di stabilità del titolo della riscossione, distingue tra iscrizioni provvisorie e iscrizioni a titolo definitivo.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Le iscrizioni a ruolo a titolo provvisorio sono quelle effettuate in base ad accertamenti non definitivi; iscrizioni a titolo definitivo sono quelle che hanno come titolo le dichiarazioni e gli accertamenti definitivi.</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La differenza tra le due iscrizioni consiste nel fatto che nel caso di ruolo provvisorio l’iscrizione viene in base ad un </w:t>
      </w:r>
      <w:r>
        <w:rPr>
          <w:rStyle w:val="Enfasigrassetto"/>
          <w:rFonts w:ascii="Arial" w:hAnsi="Arial" w:cs="Arial"/>
          <w:color w:val="333333"/>
        </w:rPr>
        <w:t>atto </w:t>
      </w:r>
      <w:r>
        <w:rPr>
          <w:rStyle w:val="Enfasicorsivo"/>
          <w:rFonts w:ascii="Arial" w:hAnsi="Arial" w:cs="Arial"/>
          <w:b/>
          <w:bCs/>
          <w:color w:val="333333"/>
        </w:rPr>
        <w:t>sub judice</w:t>
      </w:r>
      <w:r>
        <w:rPr>
          <w:rStyle w:val="Enfasicorsivo"/>
          <w:rFonts w:ascii="Arial" w:hAnsi="Arial" w:cs="Arial"/>
          <w:color w:val="333333"/>
        </w:rPr>
        <w:t>, </w:t>
      </w:r>
      <w:r>
        <w:rPr>
          <w:rFonts w:ascii="Arial" w:hAnsi="Arial" w:cs="Arial"/>
          <w:color w:val="333333"/>
        </w:rPr>
        <w:t>la sorte del ruolo dipende dalla definizione dell'avviso di accertamento e, quindi, dall'esito del processo. Esse producono per il fisco un'entrata non definitiva perché, se l'avviso di accertamento è annullato, l’indebito che ne risulta deve essere rimborsato.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Ruoli provvisori ordinari</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lastRenderedPageBreak/>
        <w:t>Le iscrizioni provvisorie a ruolo, come detto, sono quelle eseguite in base ad un </w:t>
      </w:r>
      <w:r>
        <w:rPr>
          <w:rStyle w:val="Enfasigrassetto"/>
          <w:rFonts w:ascii="Arial" w:hAnsi="Arial" w:cs="Arial"/>
          <w:color w:val="333333"/>
        </w:rPr>
        <w:t>avviso di accertamento non definitivo, perché impugnato</w:t>
      </w:r>
      <w:r>
        <w:rPr>
          <w:rFonts w:ascii="Arial" w:hAnsi="Arial" w:cs="Arial"/>
          <w:color w:val="333333"/>
        </w:rPr>
        <w:t>. Il ricorso, proposto contro un avviso di accertamento, non ne sospende l’esecuzione; in pendenza del giudizio di primo grado e di secondo grado, può essere riscossa una parte dell’imposta accertata, con gli interessi e con una parte delle sanzioni irrogate.</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In particolare in ambito di imposte sui redditi e di imposta sul valore aggiunto, dopo la notifica dell'avviso di accertamento, l'Ufficio può iscrivere a ruolo metà delle imposte accertate</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Successivamente alle sentenze delle commissioni tributarie, diventano esigibili ulteriori frazioni del dovuto, in relazione al contenuto della decisione ed al grado dell'organo giudicante. In dettaglio: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a) dopo la sentenza della Commissione tributaria provinciale che respinge il ricorso, il ricorrente deve versare i due terzi del tributo e delle sanzioni (con gli interessi, previa detrazione di quanto già pagato);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b) in caso di accoglimento parziale del ricorso da parte della Commissione tributaria provinciale, il ricorrente deve versare l'intero ammontare che risulta dovuto in base a tale sentenza, se inferiore o pari ai due terzi dell'importo del tributo controverso e delle sanzioni irrogate, ovvero una somma pari ai due terzi dell'importo del tributo controverso e delle sanzioni irrogate (sono ovviamente detratte le somme già versate, con l’aggiunta degli interessi);</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c) la sentenza della Commissione tributaria regionale rende riscuotibile l'intero importo che risulta dovuto, e quindi la differenza tra ciò che è dovuto dopo tale sentenza e quanto già versato.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Ruoli provvisori speciali</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La legge prevede dei </w:t>
      </w:r>
      <w:r>
        <w:rPr>
          <w:rStyle w:val="Enfasigrassetto"/>
          <w:rFonts w:ascii="Arial" w:hAnsi="Arial" w:cs="Arial"/>
          <w:color w:val="333333"/>
        </w:rPr>
        <w:t>ruoli straordinari provvisori </w:t>
      </w:r>
      <w:r>
        <w:rPr>
          <w:rFonts w:ascii="Arial" w:hAnsi="Arial" w:cs="Arial"/>
          <w:color w:val="333333"/>
        </w:rPr>
        <w:t>in forza dei quali, in deroga alle su illustrate regole della riscossione provvisoria, </w:t>
      </w:r>
      <w:r>
        <w:rPr>
          <w:rStyle w:val="Enfasigrassetto"/>
          <w:rFonts w:ascii="Arial" w:hAnsi="Arial" w:cs="Arial"/>
          <w:color w:val="333333"/>
        </w:rPr>
        <w:t>sono iscritte, in via anticipata rispetto ai tempi ordinari, le intere somme derivanti da avviso di accertamento per le quali vi sia fondato pericolo di non riscuoterle</w:t>
      </w:r>
      <w:r>
        <w:rPr>
          <w:rFonts w:ascii="Arial" w:hAnsi="Arial" w:cs="Arial"/>
          <w:color w:val="333333"/>
        </w:rPr>
        <w:t>. Pertanto possono essere in tal modo iscritte a ruolo per intero somme (per imposte, interessi e sanzioni) che, invece, sarebbero da riscuotere solo in parte, nelle more del processo di primo grado.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Iscrizioni a titolo provvisorio e iscrizioni a titolo definitivo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le iscrizioni a ruolo a titolo definitivo appaiono destinate alla riscossione di somme definitivamente dovute. Peraltro vi sono della eccezioni a questo assunto. Infatti:</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corsivo"/>
          <w:rFonts w:ascii="Arial" w:hAnsi="Arial" w:cs="Arial"/>
          <w:color w:val="333333"/>
        </w:rPr>
        <w:t>a) </w:t>
      </w:r>
      <w:r>
        <w:rPr>
          <w:rFonts w:ascii="Arial" w:hAnsi="Arial" w:cs="Arial"/>
          <w:color w:val="333333"/>
        </w:rPr>
        <w:t>la dichiarazione è un atto che lo stesso dichiarante può contestare, impugnando proprio l'iscrizione a titolo definitivo che su di essa si fondi;</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corsivo"/>
          <w:rFonts w:ascii="Arial" w:hAnsi="Arial" w:cs="Arial"/>
          <w:color w:val="333333"/>
        </w:rPr>
        <w:t>b) </w:t>
      </w:r>
      <w:r>
        <w:rPr>
          <w:rFonts w:ascii="Arial" w:hAnsi="Arial" w:cs="Arial"/>
          <w:color w:val="333333"/>
        </w:rPr>
        <w:t>gli accertamenti definitivi possono essere rimossi dalla stessa Amministrazione in via di autotutela;</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c) vi è, infine, l'ipotesi che venga esperita con successo azione di revocazione straordinaria contro una sentenza tributaria passata in giudicato.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In conclusione, vi è differenza di effetti tra iscrizioni a titolo provvisorio e iscrizioni a titolo definitivo, ma si tratta</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di differenza derivante dal titolo che legittima l'iscrizione. </w:t>
      </w:r>
      <w:r>
        <w:rPr>
          <w:rStyle w:val="Enfasigrassetto"/>
          <w:rFonts w:ascii="Arial" w:hAnsi="Arial" w:cs="Arial"/>
          <w:color w:val="333333"/>
        </w:rPr>
        <w:t>Vi è poi differenza sotto il profilo del termine entro cui devono essere effettuate</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Termini dell’iscrizione a ruolo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lastRenderedPageBreak/>
        <w:t>Le iscrizioni a titolo definitivo devono essere effettuate entro termini decadenziali. Decorso il termine, l’Amministrazione decade dal potere di iscrivere a ruolo e, di riflesso, il credito da riscuotere si estingue.</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In particolare:</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 </w:t>
      </w:r>
      <w:r>
        <w:rPr>
          <w:rStyle w:val="Enfasigrassetto"/>
          <w:rFonts w:ascii="Arial" w:hAnsi="Arial" w:cs="Arial"/>
          <w:color w:val="333333"/>
        </w:rPr>
        <w:t>le somme da riscuotere a seguito di liquidazione, </w:t>
      </w:r>
      <w:r>
        <w:rPr>
          <w:rStyle w:val="Enfasicorsivo"/>
          <w:rFonts w:ascii="Arial" w:hAnsi="Arial" w:cs="Arial"/>
          <w:b/>
          <w:bCs/>
          <w:color w:val="333333"/>
        </w:rPr>
        <w:t>ex </w:t>
      </w:r>
      <w:r>
        <w:rPr>
          <w:rStyle w:val="Enfasigrassetto"/>
          <w:rFonts w:ascii="Arial" w:hAnsi="Arial" w:cs="Arial"/>
          <w:color w:val="333333"/>
        </w:rPr>
        <w:t>art. </w:t>
      </w:r>
      <w:r>
        <w:rPr>
          <w:rStyle w:val="Enfasicorsivo"/>
          <w:rFonts w:ascii="Arial" w:hAnsi="Arial" w:cs="Arial"/>
          <w:b/>
          <w:bCs/>
          <w:color w:val="333333"/>
        </w:rPr>
        <w:t>36-bis </w:t>
      </w:r>
      <w:r>
        <w:rPr>
          <w:rStyle w:val="Enfasigrassetto"/>
          <w:rFonts w:ascii="Arial" w:hAnsi="Arial" w:cs="Arial"/>
          <w:color w:val="333333"/>
        </w:rPr>
        <w:t>D.p.r. n. 600</w:t>
      </w:r>
      <w:r>
        <w:rPr>
          <w:rStyle w:val="Enfasicorsivo"/>
          <w:rFonts w:ascii="Arial" w:hAnsi="Arial" w:cs="Arial"/>
          <w:b/>
          <w:bCs/>
          <w:color w:val="333333"/>
        </w:rPr>
        <w:t>, </w:t>
      </w:r>
      <w:r>
        <w:rPr>
          <w:rStyle w:val="Enfasigrassetto"/>
          <w:rFonts w:ascii="Arial" w:hAnsi="Arial" w:cs="Arial"/>
          <w:color w:val="333333"/>
        </w:rPr>
        <w:t>delle imposte dovute in base alla dichiarazione, devono essere iscritte a ruolo entro il 31 dicembre del terzo anno successivo a quello di presentazione della dichiarazione</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 </w:t>
      </w:r>
      <w:r>
        <w:rPr>
          <w:rStyle w:val="Enfasigrassetto"/>
          <w:rFonts w:ascii="Arial" w:hAnsi="Arial" w:cs="Arial"/>
          <w:color w:val="333333"/>
        </w:rPr>
        <w:t>le somme da riscuotere a seguito di controllo formale della dichiarazione, </w:t>
      </w:r>
      <w:r>
        <w:rPr>
          <w:rStyle w:val="Enfasicorsivo"/>
          <w:rFonts w:ascii="Arial" w:hAnsi="Arial" w:cs="Arial"/>
          <w:b/>
          <w:bCs/>
          <w:color w:val="333333"/>
        </w:rPr>
        <w:t>ex </w:t>
      </w:r>
      <w:r>
        <w:rPr>
          <w:rStyle w:val="Enfasigrassetto"/>
          <w:rFonts w:ascii="Arial" w:hAnsi="Arial" w:cs="Arial"/>
          <w:color w:val="333333"/>
        </w:rPr>
        <w:t>art. </w:t>
      </w:r>
      <w:r>
        <w:rPr>
          <w:rStyle w:val="Enfasicorsivo"/>
          <w:rFonts w:ascii="Arial" w:hAnsi="Arial" w:cs="Arial"/>
          <w:b/>
          <w:bCs/>
          <w:color w:val="333333"/>
        </w:rPr>
        <w:t>36-ter </w:t>
      </w:r>
      <w:r>
        <w:rPr>
          <w:rStyle w:val="Enfasigrassetto"/>
          <w:rFonts w:ascii="Arial" w:hAnsi="Arial" w:cs="Arial"/>
          <w:color w:val="333333"/>
        </w:rPr>
        <w:t>del D.p.r. n. 600, devono essere iscritte a ruolo entro il 31 dicembre del quarto anno successivo a quello di presentazione della dichiarazione</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 </w:t>
      </w:r>
      <w:r>
        <w:rPr>
          <w:rStyle w:val="Enfasigrassetto"/>
          <w:rFonts w:ascii="Arial" w:hAnsi="Arial" w:cs="Arial"/>
          <w:color w:val="333333"/>
        </w:rPr>
        <w:t>le somme dovute in base ad accertamento devono essere iscritte a ruolo entro il 31 dicembre del secondo anno successivo a quello in cui l'accertamento è divenuto definitivo</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Tali termini valgono anche per l'imposta sul valore aggiunto.</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Style w:val="Enfasigrassetto"/>
          <w:rFonts w:ascii="Arial" w:hAnsi="Arial" w:cs="Arial"/>
          <w:color w:val="333333"/>
        </w:rPr>
        <w:t>In tutti i casi se la notifica della cartella di pagamento non avviene entro i termini suddetti l’Ufficio perde definitivamente il diritto a richiedere il pagamento dei tributi dovuti</w:t>
      </w:r>
      <w:r>
        <w:rPr>
          <w:rFonts w:ascii="Arial" w:hAnsi="Arial" w:cs="Arial"/>
          <w:color w:val="333333"/>
        </w:rPr>
        <w:t>.</w:t>
      </w:r>
    </w:p>
    <w:p w:rsidR="004B4DFB" w:rsidRDefault="004B4DFB" w:rsidP="004B4DFB">
      <w:pPr>
        <w:pStyle w:val="NormaleWeb"/>
        <w:shd w:val="clear" w:color="auto" w:fill="FFFFFF"/>
        <w:spacing w:before="0" w:beforeAutospacing="0" w:after="136" w:afterAutospacing="0"/>
        <w:rPr>
          <w:rFonts w:ascii="Arial" w:hAnsi="Arial" w:cs="Arial"/>
          <w:color w:val="333333"/>
        </w:rPr>
      </w:pPr>
      <w:r>
        <w:rPr>
          <w:rFonts w:ascii="Arial" w:hAnsi="Arial" w:cs="Arial"/>
          <w:color w:val="333333"/>
        </w:rPr>
        <w:t>Per i tributi diversi da imposte sui redditi ed Iva restano confermati, come chiarito dalla CM n. 186/E del 1999, i termini di decadenza della riscossione dettati dalle singole normativa</w:t>
      </w:r>
      <w:r>
        <w:rPr>
          <w:rStyle w:val="Enfasigrassetto"/>
          <w:rFonts w:ascii="Arial" w:hAnsi="Arial" w:cs="Arial"/>
          <w:color w:val="333333"/>
        </w:rPr>
        <w:t>. In particolare per l’imposta di registro, l’Invim, imposta di successione, imposte ipocatastali è previsto il termine è decennale di prescrizione.</w:t>
      </w:r>
      <w:r>
        <w:rPr>
          <w:rFonts w:ascii="Arial" w:hAnsi="Arial" w:cs="Arial"/>
          <w:color w:val="333333"/>
        </w:rPr>
        <w:br/>
        <w:t> </w:t>
      </w:r>
    </w:p>
    <w:p w:rsidR="004B4DFB" w:rsidRDefault="004B4DFB" w:rsidP="004B4DFB">
      <w:pPr>
        <w:rPr>
          <w:rFonts w:ascii="Arial" w:hAnsi="Arial" w:cs="Arial"/>
          <w:sz w:val="24"/>
          <w:szCs w:val="24"/>
        </w:rPr>
      </w:pPr>
      <w:r>
        <w:rPr>
          <w:rFonts w:ascii="Arial" w:hAnsi="Arial" w:cs="Arial"/>
          <w:sz w:val="24"/>
          <w:szCs w:val="24"/>
        </w:rPr>
        <w:t>Il ruolo ha valore di titolo esecutivo per la riscossione delle somme non pagate il concessionario procede alla espropriazione forzata sulla base del ruolo che costituisce titolo esecutivo.</w:t>
      </w:r>
    </w:p>
    <w:p w:rsidR="004B4DFB" w:rsidRDefault="004B4DFB" w:rsidP="004B4DFB">
      <w:pPr>
        <w:rPr>
          <w:rFonts w:ascii="Arial" w:hAnsi="Arial" w:cs="Arial"/>
          <w:sz w:val="24"/>
          <w:szCs w:val="24"/>
        </w:rPr>
      </w:pPr>
      <w:r>
        <w:rPr>
          <w:rFonts w:ascii="Arial" w:hAnsi="Arial" w:cs="Arial"/>
          <w:sz w:val="24"/>
          <w:szCs w:val="24"/>
        </w:rPr>
        <w:t>Per ogni contribuente l’agente di riscossione forma un apposito atto denominato cartella di pagamento che viene notificato la contribuente, con cui si richiede il pagamento delle somme dovute , così come da ruolo, entro il termine di 60 g avvertendolo che in caso di mnacato pagamento verrà attivata la procedura di riscossione forzata.</w:t>
      </w:r>
    </w:p>
    <w:p w:rsidR="004B4DFB" w:rsidRDefault="004B4DFB" w:rsidP="004B4DFB">
      <w:pPr>
        <w:rPr>
          <w:rFonts w:ascii="Arial" w:hAnsi="Arial" w:cs="Arial"/>
          <w:sz w:val="24"/>
          <w:szCs w:val="24"/>
        </w:rPr>
      </w:pPr>
      <w:r>
        <w:rPr>
          <w:rFonts w:ascii="Arial" w:hAnsi="Arial" w:cs="Arial"/>
          <w:sz w:val="24"/>
          <w:szCs w:val="24"/>
        </w:rPr>
        <w:t>La cartella di pagamento indica  anche l’importo da corrispondere a titolo di compenso per la riscossione , il cosiddetto AGGIO, calcolato a percentuale e varia a seconda del momento del pagamento.</w:t>
      </w:r>
    </w:p>
    <w:p w:rsidR="004B4DFB" w:rsidRDefault="004B4DFB" w:rsidP="004B4DFB">
      <w:pPr>
        <w:rPr>
          <w:rFonts w:ascii="Arial" w:hAnsi="Arial" w:cs="Arial"/>
          <w:sz w:val="24"/>
          <w:szCs w:val="24"/>
        </w:rPr>
      </w:pPr>
      <w:r>
        <w:rPr>
          <w:rFonts w:ascii="Arial" w:hAnsi="Arial" w:cs="Arial"/>
          <w:sz w:val="24"/>
          <w:szCs w:val="24"/>
        </w:rPr>
        <w:t>L’inidcazione nella cartella di pagamento dell’invito a pagare entro 60 g le somme iscritte a ruolo, oltre ad esser una richiesta di pagamento, equivale al precetto nell’esecuzione forzata ordinaria. La cartella di pagamento può esser impugnata entro 60 g dalla notifica per i crediti tributari, e 40 g per quelli previdenzialidavanti al giudice del lavoro (stessa valensa per l’avviso di addebito dell’inps che equivale alla cartella di pagamento)</w:t>
      </w:r>
    </w:p>
    <w:p w:rsidR="004B4DFB" w:rsidRDefault="004B4DFB" w:rsidP="004B4DFB">
      <w:pPr>
        <w:rPr>
          <w:rFonts w:ascii="Arial" w:hAnsi="Arial" w:cs="Arial"/>
          <w:sz w:val="24"/>
          <w:szCs w:val="24"/>
        </w:rPr>
      </w:pPr>
      <w:r>
        <w:rPr>
          <w:rFonts w:ascii="Arial" w:hAnsi="Arial" w:cs="Arial"/>
          <w:sz w:val="24"/>
          <w:szCs w:val="24"/>
        </w:rPr>
        <w:t>Se entro 60 g dalla notifica della cartella di pagamento il contribuente non effettua il pagamento, sull’importo iscritto a ruolo si applicano a decorrere dalla data di notifica gli interessi di mora. Il contribuente può comunque richiedere la dilazione  del pagamento.</w:t>
      </w:r>
    </w:p>
    <w:p w:rsidR="004B4DFB" w:rsidRDefault="004B4DFB" w:rsidP="004B4DFB">
      <w:pPr>
        <w:rPr>
          <w:rFonts w:ascii="Arial" w:hAnsi="Arial" w:cs="Arial"/>
          <w:sz w:val="24"/>
          <w:szCs w:val="24"/>
        </w:rPr>
      </w:pPr>
      <w:r>
        <w:rPr>
          <w:rFonts w:ascii="Arial" w:hAnsi="Arial" w:cs="Arial"/>
          <w:sz w:val="24"/>
          <w:szCs w:val="24"/>
        </w:rPr>
        <w:lastRenderedPageBreak/>
        <w:t>Qualora il contribuente non versi quanto richiesto con la cartella di pagamento entro i 60 g dalla notifica, l’agente di riscossione avvia la fase dell’esecuzione forzata che si articola a sua volta nelle seguenti fasi: notifica tto di pignoramento, vendita all’asta e assegnazione del ricavato.</w:t>
      </w:r>
    </w:p>
    <w:p w:rsidR="004B4DFB" w:rsidRDefault="004B4DFB" w:rsidP="004B4DFB">
      <w:pPr>
        <w:rPr>
          <w:rFonts w:ascii="Arial" w:hAnsi="Arial" w:cs="Arial"/>
          <w:sz w:val="24"/>
          <w:szCs w:val="24"/>
        </w:rPr>
      </w:pPr>
      <w:r>
        <w:rPr>
          <w:rFonts w:ascii="Arial" w:hAnsi="Arial" w:cs="Arial"/>
          <w:sz w:val="24"/>
          <w:szCs w:val="24"/>
        </w:rPr>
        <w:t xml:space="preserve">L’esecuzione forzata deve esser avviata non prima di 60 g ed entro un anno dalla notifica dellla cartella di pagamento. Il pignoramento segna l’inizio del proceso esecutivo per espropriazione forzata.       </w:t>
      </w:r>
    </w:p>
    <w:p w:rsidR="004B4DFB" w:rsidRDefault="004B4DFB" w:rsidP="004B4DFB">
      <w:pPr>
        <w:rPr>
          <w:rFonts w:ascii="Arial" w:hAnsi="Arial" w:cs="Arial"/>
          <w:sz w:val="24"/>
          <w:szCs w:val="24"/>
        </w:rPr>
      </w:pPr>
      <w:r>
        <w:rPr>
          <w:rFonts w:ascii="Arial" w:hAnsi="Arial" w:cs="Arial"/>
          <w:sz w:val="24"/>
          <w:szCs w:val="24"/>
        </w:rPr>
        <w:t>Esistono degli strumenti alternativi all’esecuzione forzata:</w:t>
      </w:r>
    </w:p>
    <w:p w:rsidR="004B4DFB" w:rsidRDefault="004B4DFB" w:rsidP="004B4DFB">
      <w:pPr>
        <w:pStyle w:val="Paragrafoelenco"/>
        <w:numPr>
          <w:ilvl w:val="0"/>
          <w:numId w:val="41"/>
        </w:numPr>
        <w:rPr>
          <w:rFonts w:ascii="Arial" w:hAnsi="Arial" w:cs="Arial"/>
          <w:sz w:val="24"/>
          <w:szCs w:val="24"/>
        </w:rPr>
      </w:pPr>
      <w:r>
        <w:rPr>
          <w:rFonts w:ascii="Arial" w:hAnsi="Arial" w:cs="Arial"/>
          <w:sz w:val="24"/>
          <w:szCs w:val="24"/>
        </w:rPr>
        <w:t>iscrizione ipoteca su immobili</w:t>
      </w:r>
      <w:r>
        <w:rPr>
          <w:rFonts w:ascii="Arial" w:hAnsi="Arial" w:cs="Arial"/>
          <w:sz w:val="24"/>
          <w:szCs w:val="24"/>
        </w:rPr>
        <w:sym w:font="Wingdings" w:char="00E0"/>
      </w:r>
      <w:r>
        <w:rPr>
          <w:rFonts w:ascii="Arial" w:hAnsi="Arial" w:cs="Arial"/>
          <w:sz w:val="24"/>
          <w:szCs w:val="24"/>
        </w:rPr>
        <w:t>art 77 dpr 602/73</w:t>
      </w:r>
    </w:p>
    <w:p w:rsidR="004B4DFB" w:rsidRDefault="004B4DFB" w:rsidP="004B4DFB">
      <w:pPr>
        <w:pStyle w:val="Paragrafoelenco"/>
        <w:numPr>
          <w:ilvl w:val="0"/>
          <w:numId w:val="41"/>
        </w:numPr>
        <w:rPr>
          <w:rFonts w:ascii="Arial" w:hAnsi="Arial" w:cs="Arial"/>
          <w:sz w:val="24"/>
          <w:szCs w:val="24"/>
        </w:rPr>
      </w:pPr>
      <w:r>
        <w:rPr>
          <w:rFonts w:ascii="Arial" w:hAnsi="Arial" w:cs="Arial"/>
          <w:sz w:val="24"/>
          <w:szCs w:val="24"/>
        </w:rPr>
        <w:t>fermo dei beni mobili registrati</w:t>
      </w:r>
      <w:r>
        <w:rPr>
          <w:rFonts w:ascii="Arial" w:hAnsi="Arial" w:cs="Arial"/>
          <w:sz w:val="24"/>
          <w:szCs w:val="24"/>
        </w:rPr>
        <w:sym w:font="Wingdings" w:char="00E0"/>
      </w:r>
      <w:r>
        <w:rPr>
          <w:rFonts w:ascii="Arial" w:hAnsi="Arial" w:cs="Arial"/>
          <w:sz w:val="24"/>
          <w:szCs w:val="24"/>
        </w:rPr>
        <w:t>art.86</w:t>
      </w:r>
    </w:p>
    <w:p w:rsidR="004B4DFB" w:rsidRDefault="004B4DFB" w:rsidP="004B4DFB">
      <w:pPr>
        <w:pStyle w:val="Paragrafoelenco"/>
        <w:numPr>
          <w:ilvl w:val="0"/>
          <w:numId w:val="41"/>
        </w:numPr>
        <w:rPr>
          <w:rFonts w:ascii="Arial" w:hAnsi="Arial" w:cs="Arial"/>
          <w:sz w:val="24"/>
          <w:szCs w:val="24"/>
        </w:rPr>
      </w:pPr>
      <w:r>
        <w:rPr>
          <w:rFonts w:ascii="Arial" w:hAnsi="Arial" w:cs="Arial"/>
          <w:sz w:val="24"/>
          <w:szCs w:val="24"/>
        </w:rPr>
        <w:t>il blocco del pagamento da parte delle pa per somme dovute superiori a 5 000 art 48 bis</w:t>
      </w:r>
    </w:p>
    <w:p w:rsidR="004B4DFB" w:rsidRDefault="004B4DFB" w:rsidP="004B4DFB">
      <w:pPr>
        <w:rPr>
          <w:rFonts w:ascii="Arial" w:hAnsi="Arial" w:cs="Arial"/>
          <w:sz w:val="24"/>
          <w:szCs w:val="24"/>
        </w:rPr>
      </w:pPr>
      <w:r>
        <w:rPr>
          <w:rFonts w:ascii="Arial" w:hAnsi="Arial" w:cs="Arial"/>
          <w:sz w:val="24"/>
          <w:szCs w:val="24"/>
        </w:rPr>
        <w:t>RIMBORSI</w:t>
      </w:r>
    </w:p>
    <w:p w:rsidR="004B4DFB" w:rsidRDefault="004B4DFB" w:rsidP="004B4DFB">
      <w:pPr>
        <w:rPr>
          <w:rFonts w:ascii="Arial" w:hAnsi="Arial" w:cs="Arial"/>
          <w:sz w:val="24"/>
          <w:szCs w:val="24"/>
        </w:rPr>
      </w:pPr>
      <w:r>
        <w:rPr>
          <w:rFonts w:ascii="Arial" w:hAnsi="Arial" w:cs="Arial"/>
          <w:sz w:val="24"/>
          <w:szCs w:val="24"/>
        </w:rPr>
        <w:t>il contribuente può anche esser creditore dell’amministrazione finanziaria nei casi in cui:</w:t>
      </w:r>
      <w:r>
        <w:rPr>
          <w:rFonts w:ascii="Arial" w:hAnsi="Arial" w:cs="Arial"/>
          <w:sz w:val="24"/>
          <w:szCs w:val="24"/>
        </w:rPr>
        <w:br/>
      </w:r>
    </w:p>
    <w:p w:rsidR="004B4DFB" w:rsidRDefault="004B4DFB" w:rsidP="004B4DFB">
      <w:pPr>
        <w:pStyle w:val="Paragrafoelenco"/>
        <w:numPr>
          <w:ilvl w:val="0"/>
          <w:numId w:val="42"/>
        </w:numPr>
        <w:rPr>
          <w:rFonts w:ascii="Arial" w:hAnsi="Arial" w:cs="Arial"/>
          <w:sz w:val="24"/>
          <w:szCs w:val="24"/>
        </w:rPr>
      </w:pPr>
      <w:r>
        <w:rPr>
          <w:rFonts w:ascii="Arial" w:hAnsi="Arial" w:cs="Arial"/>
          <w:sz w:val="24"/>
          <w:szCs w:val="24"/>
        </w:rPr>
        <w:t>ha versato somme non dovute</w:t>
      </w:r>
      <w:r>
        <w:rPr>
          <w:rFonts w:ascii="Arial" w:hAnsi="Arial" w:cs="Arial"/>
          <w:sz w:val="24"/>
          <w:szCs w:val="24"/>
        </w:rPr>
        <w:sym w:font="Wingdings" w:char="00E0"/>
      </w:r>
      <w:r>
        <w:rPr>
          <w:rFonts w:ascii="Arial" w:hAnsi="Arial" w:cs="Arial"/>
          <w:sz w:val="24"/>
          <w:szCs w:val="24"/>
        </w:rPr>
        <w:t xml:space="preserve"> il rimborso da indebito si realizza quando il versamento non era dovuto</w:t>
      </w:r>
      <w:r>
        <w:rPr>
          <w:rFonts w:ascii="Arial" w:hAnsi="Arial" w:cs="Arial"/>
          <w:sz w:val="24"/>
          <w:szCs w:val="24"/>
        </w:rPr>
        <w:sym w:font="Wingdings" w:char="00E0"/>
      </w:r>
      <w:r>
        <w:rPr>
          <w:rFonts w:ascii="Arial" w:hAnsi="Arial" w:cs="Arial"/>
          <w:sz w:val="24"/>
          <w:szCs w:val="24"/>
        </w:rPr>
        <w:t xml:space="preserve"> fa nascere il diritto alla restituzione. I rimborsi possono esser richiesti con la dichiarazione dei redditi o con specifica domanda</w:t>
      </w:r>
    </w:p>
    <w:p w:rsidR="004B4DFB" w:rsidRDefault="004B4DFB" w:rsidP="004B4DFB">
      <w:pPr>
        <w:pStyle w:val="Paragrafoelenco"/>
        <w:numPr>
          <w:ilvl w:val="0"/>
          <w:numId w:val="42"/>
        </w:numPr>
        <w:rPr>
          <w:rFonts w:ascii="Arial" w:hAnsi="Arial" w:cs="Arial"/>
          <w:sz w:val="24"/>
          <w:szCs w:val="24"/>
        </w:rPr>
      </w:pPr>
      <w:r>
        <w:rPr>
          <w:rFonts w:ascii="Arial" w:hAnsi="Arial" w:cs="Arial"/>
          <w:sz w:val="24"/>
          <w:szCs w:val="24"/>
        </w:rPr>
        <w:t>versato acconti che superano quanto dovuto in consuntivo</w:t>
      </w:r>
      <w:r>
        <w:rPr>
          <w:rFonts w:ascii="Arial" w:hAnsi="Arial" w:cs="Arial"/>
          <w:sz w:val="24"/>
          <w:szCs w:val="24"/>
        </w:rPr>
        <w:sym w:font="Wingdings" w:char="00E0"/>
      </w:r>
      <w:r>
        <w:rPr>
          <w:rFonts w:ascii="Arial" w:hAnsi="Arial" w:cs="Arial"/>
          <w:sz w:val="24"/>
          <w:szCs w:val="24"/>
        </w:rPr>
        <w:t xml:space="preserve"> in questo caso sono stati versati degli acconti che risultano superiori a quanto effettivamente dovuto</w:t>
      </w:r>
    </w:p>
    <w:p w:rsidR="004B4DFB" w:rsidRDefault="004B4DFB" w:rsidP="004B4DFB">
      <w:pPr>
        <w:pStyle w:val="Paragrafoelenco"/>
        <w:numPr>
          <w:ilvl w:val="0"/>
          <w:numId w:val="42"/>
        </w:numPr>
        <w:rPr>
          <w:rFonts w:ascii="Arial" w:hAnsi="Arial" w:cs="Arial"/>
          <w:sz w:val="24"/>
          <w:szCs w:val="24"/>
        </w:rPr>
      </w:pPr>
      <w:r>
        <w:rPr>
          <w:rFonts w:ascii="Arial" w:hAnsi="Arial" w:cs="Arial"/>
          <w:sz w:val="24"/>
          <w:szCs w:val="24"/>
        </w:rPr>
        <w:t>ha crediti di imposta</w:t>
      </w:r>
      <w:r>
        <w:rPr>
          <w:rFonts w:ascii="Arial" w:hAnsi="Arial" w:cs="Arial"/>
          <w:sz w:val="24"/>
          <w:szCs w:val="24"/>
        </w:rPr>
        <w:sym w:font="Wingdings" w:char="00E0"/>
      </w:r>
      <w:r>
        <w:rPr>
          <w:rFonts w:ascii="Arial" w:hAnsi="Arial" w:cs="Arial"/>
          <w:sz w:val="24"/>
          <w:szCs w:val="24"/>
        </w:rPr>
        <w:t>sono chiamati anche rimborsi da dichiarazione</w:t>
      </w:r>
      <w:r>
        <w:rPr>
          <w:rFonts w:ascii="Arial" w:hAnsi="Arial" w:cs="Arial"/>
          <w:sz w:val="24"/>
          <w:szCs w:val="24"/>
        </w:rPr>
        <w:sym w:font="Wingdings" w:char="00E0"/>
      </w:r>
      <w:r>
        <w:rPr>
          <w:rFonts w:ascii="Arial" w:hAnsi="Arial" w:cs="Arial"/>
          <w:sz w:val="24"/>
          <w:szCs w:val="24"/>
        </w:rPr>
        <w:t>il saldo creditorio che rsulta dalle dichiarazioni per esser riportato l’anno successivo , può esser irchiesto il rimborso o ceduto a terzi.</w:t>
      </w:r>
    </w:p>
    <w:p w:rsidR="004B4DFB" w:rsidRDefault="004B4DFB" w:rsidP="004B4DFB">
      <w:pPr>
        <w:rPr>
          <w:rFonts w:ascii="Arial" w:hAnsi="Arial" w:cs="Arial"/>
          <w:sz w:val="24"/>
          <w:szCs w:val="24"/>
        </w:rPr>
      </w:pPr>
      <w:r>
        <w:rPr>
          <w:rFonts w:ascii="Arial" w:hAnsi="Arial" w:cs="Arial"/>
          <w:sz w:val="24"/>
          <w:szCs w:val="24"/>
        </w:rPr>
        <w:t>L’istanza del contribuente per il rimborso di ritenute dirette e di versamenti diretti deve esser presenatat entro il termine di decadenza di 48 mesi dal versamento</w:t>
      </w:r>
    </w:p>
    <w:p w:rsidR="004B4DFB" w:rsidRDefault="004B4DFB" w:rsidP="004B4DFB">
      <w:pPr>
        <w:rPr>
          <w:rFonts w:ascii="Arial" w:hAnsi="Arial" w:cs="Arial"/>
          <w:sz w:val="24"/>
          <w:szCs w:val="24"/>
        </w:rPr>
      </w:pPr>
      <w:r>
        <w:rPr>
          <w:rFonts w:ascii="Arial" w:hAnsi="Arial" w:cs="Arial"/>
          <w:sz w:val="24"/>
          <w:szCs w:val="24"/>
        </w:rPr>
        <w:t>Per le imposte indirette (imposta di registro, sulle successioni, ipotecaria, tributi diganali) è previsto un termine di 3 anni dall0avvenuta pagamento.</w:t>
      </w:r>
    </w:p>
    <w:p w:rsidR="004B4DFB" w:rsidRDefault="004B4DFB" w:rsidP="004B4DFB">
      <w:pPr>
        <w:rPr>
          <w:rFonts w:ascii="Arial" w:hAnsi="Arial" w:cs="Arial"/>
          <w:sz w:val="24"/>
          <w:szCs w:val="24"/>
        </w:rPr>
      </w:pPr>
      <w:r>
        <w:rPr>
          <w:rFonts w:ascii="Arial" w:hAnsi="Arial" w:cs="Arial"/>
          <w:sz w:val="24"/>
          <w:szCs w:val="24"/>
        </w:rPr>
        <w:t>CONTENZIOSO</w:t>
      </w:r>
    </w:p>
    <w:p w:rsidR="004B4DFB" w:rsidRDefault="004B4DFB" w:rsidP="004B4DFB">
      <w:pPr>
        <w:rPr>
          <w:rFonts w:ascii="Arial" w:hAnsi="Arial" w:cs="Arial"/>
          <w:sz w:val="24"/>
          <w:szCs w:val="24"/>
        </w:rPr>
      </w:pPr>
      <w:r>
        <w:rPr>
          <w:rFonts w:ascii="Arial" w:hAnsi="Arial" w:cs="Arial"/>
          <w:sz w:val="24"/>
          <w:szCs w:val="24"/>
        </w:rPr>
        <w:t>Se il contribuente ritiene illegittimo o infondato un atto emesso nei suoi confronti (per esempio, un avviso di liquidazione o di accertamento, una cartella di pagamento), può rivolgersi alla Commissione tributaria provinciale per chiederne l’annullamento totale o parziale.</w:t>
      </w:r>
    </w:p>
    <w:p w:rsidR="004B4DFB" w:rsidRDefault="004B4DFB" w:rsidP="004B4DFB">
      <w:pPr>
        <w:rPr>
          <w:rFonts w:ascii="Arial" w:hAnsi="Arial" w:cs="Arial"/>
          <w:sz w:val="24"/>
          <w:szCs w:val="24"/>
        </w:rPr>
      </w:pPr>
      <w:r>
        <w:rPr>
          <w:rFonts w:ascii="Arial" w:hAnsi="Arial" w:cs="Arial"/>
          <w:sz w:val="24"/>
          <w:szCs w:val="24"/>
        </w:rPr>
        <w:t xml:space="preserve"> Per tutte le liti tributarie esistono due gradi di giudizio di merito: </w:t>
      </w:r>
    </w:p>
    <w:p w:rsidR="004B4DFB" w:rsidRDefault="004B4DFB" w:rsidP="004B4DFB">
      <w:pPr>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in primo grado, dinanzi alla Commissione tributaria provinciale territorialmente competente, si può ricorrere contro gli atti emessi dalle Agenzie delle entrate e delle Dogane e dei monopoli, da altri enti impositori (regioni, enti locali, camere di commercio, ecc.), dai soggetti iscritti all’albo per l’accertamento e la riscossione delle entrate degli enti </w:t>
      </w:r>
      <w:r>
        <w:rPr>
          <w:rFonts w:ascii="Arial" w:hAnsi="Arial" w:cs="Arial"/>
          <w:sz w:val="24"/>
          <w:szCs w:val="24"/>
        </w:rPr>
        <w:lastRenderedPageBreak/>
        <w:t xml:space="preserve">locali e contro le cartelle di pagamento e i provvedimenti emessi dagli Agenti della riscossione </w:t>
      </w:r>
    </w:p>
    <w:p w:rsidR="004B4DFB" w:rsidRDefault="004B4DFB" w:rsidP="004B4DFB">
      <w:pPr>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in appello, dinanzi alla Commissione tributaria regionale, si può proporre impugnazione per le sentenze emesse dalle Commissioni tributarie provinciali. </w:t>
      </w:r>
    </w:p>
    <w:p w:rsidR="004B4DFB" w:rsidRDefault="004B4DFB" w:rsidP="004B4DFB">
      <w:pPr>
        <w:rPr>
          <w:rFonts w:ascii="Arial" w:hAnsi="Arial" w:cs="Arial"/>
          <w:sz w:val="24"/>
          <w:szCs w:val="24"/>
        </w:rPr>
      </w:pPr>
      <w:r>
        <w:rPr>
          <w:rFonts w:ascii="Arial" w:hAnsi="Arial" w:cs="Arial"/>
          <w:sz w:val="24"/>
          <w:szCs w:val="24"/>
        </w:rPr>
        <w:t>Contro le sentenze della Commissione tributaria regionale è possibile ricorrere alla Corte di cassazione. Inoltre, se vi è accordo tra le parti, la sentenza della Commissione tributaria provinciale può essere impugnata direttamente con ricorso per cassazione (cosiddetto ricorso “per saltum” - art. 360, primo comma, n. 3, del codice di procedura civile).</w:t>
      </w:r>
    </w:p>
    <w:p w:rsidR="004B4DFB" w:rsidRDefault="004B4DFB" w:rsidP="004B4DFB">
      <w:pPr>
        <w:shd w:val="clear" w:color="auto" w:fill="FFFFFF"/>
        <w:spacing w:before="120" w:after="120" w:line="240" w:lineRule="auto"/>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li atti avverso i quali può essere proposto ricorso sono:</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l'avviso di accertamento del tributo;</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l'avviso di liquidazione del tributo;</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il provvedimento che irroga le sanzioni;</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il ruolo e la cartella di pagamento;</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l'avviso di mora;</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l'iscrizione di ipoteca sugli immobili;</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il fermo di beni mobili registrati;</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gli atti relativi alle operazioni catastali;</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il rifiuto espresso o tacito della restituzione di tributi, sanzioni pecuniarie ed interessi o altri accessori non dovuti;</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il diniego o la revoca di agevolazioni o il rigetto di domande di definizione agevolata di rapporti tributari;</w:t>
      </w:r>
    </w:p>
    <w:p w:rsidR="004B4DFB" w:rsidRDefault="004B4DFB" w:rsidP="004B4DFB">
      <w:pPr>
        <w:numPr>
          <w:ilvl w:val="0"/>
          <w:numId w:val="43"/>
        </w:numPr>
        <w:shd w:val="clear" w:color="auto" w:fill="FFFFFF"/>
        <w:spacing w:before="100" w:beforeAutospacing="1" w:after="24" w:line="240" w:lineRule="auto"/>
        <w:ind w:left="768"/>
        <w:rPr>
          <w:rFonts w:ascii="Arial" w:eastAsia="Times New Roman" w:hAnsi="Arial" w:cs="Arial"/>
          <w:color w:val="202122"/>
          <w:sz w:val="24"/>
          <w:szCs w:val="24"/>
          <w:lang w:eastAsia="it-IT"/>
        </w:rPr>
      </w:pPr>
      <w:r>
        <w:rPr>
          <w:rFonts w:ascii="Arial" w:eastAsia="Times New Roman" w:hAnsi="Arial" w:cs="Arial"/>
          <w:color w:val="202122"/>
          <w:sz w:val="24"/>
          <w:szCs w:val="24"/>
          <w:lang w:eastAsia="it-IT"/>
        </w:rPr>
        <w:t>ogni altro atto per il quale la legge ne preveda l'autonoma impugnabilità davanti alle commissioni tributarie.</w:t>
      </w:r>
    </w:p>
    <w:p w:rsidR="004B4DFB" w:rsidRDefault="004B4DFB" w:rsidP="004B4DFB">
      <w:pPr>
        <w:shd w:val="clear" w:color="auto" w:fill="FFFFFF"/>
        <w:spacing w:before="120" w:after="120" w:line="240" w:lineRule="auto"/>
        <w:rPr>
          <w:rFonts w:ascii="Arial" w:eastAsia="Times New Roman" w:hAnsi="Arial" w:cs="Arial"/>
          <w:color w:val="FF0000"/>
          <w:sz w:val="24"/>
          <w:szCs w:val="24"/>
          <w:lang w:eastAsia="it-IT"/>
        </w:rPr>
      </w:pPr>
      <w:r>
        <w:rPr>
          <w:rFonts w:ascii="Arial" w:eastAsia="Times New Roman" w:hAnsi="Arial" w:cs="Arial"/>
          <w:color w:val="FF0000"/>
          <w:sz w:val="24"/>
          <w:szCs w:val="24"/>
          <w:lang w:eastAsia="it-IT"/>
        </w:rPr>
        <w:t>Le controversie in materia di esecuzione forzata tributaria relativamente alle questioni concernenti la pignorabilità dei beni, di opposizione di terzo e il ricorso avverso l'agente della riscossione, appartengono alla giurisdizione del giudice ordinario</w:t>
      </w:r>
    </w:p>
    <w:p w:rsidR="004B4DFB" w:rsidRDefault="004B4DFB" w:rsidP="004B4DFB">
      <w:pPr>
        <w:rPr>
          <w:rFonts w:ascii="Arial" w:hAnsi="Arial" w:cs="Arial"/>
          <w:color w:val="FF0000"/>
          <w:sz w:val="24"/>
          <w:szCs w:val="24"/>
        </w:rPr>
      </w:pPr>
      <w:r>
        <w:rPr>
          <w:rFonts w:ascii="Arial" w:hAnsi="Arial" w:cs="Arial"/>
          <w:color w:val="FF0000"/>
          <w:sz w:val="24"/>
          <w:szCs w:val="24"/>
          <w:shd w:val="clear" w:color="auto" w:fill="FFFFFF"/>
        </w:rPr>
        <w:t>Con il d.l. 70/2011 (cosiddetto "decreto sviluppo") diventato legge 106/2011, e il dl 98/2011 (cosiddetto "decreto stabilizzazione") diventato legge 111/2011, l'avviso di accertamento diviene </w:t>
      </w:r>
      <w:hyperlink r:id="rId5" w:tooltip="Titolo esecutivo" w:history="1">
        <w:r>
          <w:rPr>
            <w:rStyle w:val="Collegamentoipertestuale"/>
            <w:rFonts w:ascii="Arial" w:hAnsi="Arial" w:cs="Arial"/>
            <w:color w:val="FF0000"/>
            <w:sz w:val="24"/>
            <w:szCs w:val="24"/>
            <w:shd w:val="clear" w:color="auto" w:fill="FFFFFF"/>
          </w:rPr>
          <w:t>titolo esecutivo</w:t>
        </w:r>
      </w:hyperlink>
      <w:r>
        <w:rPr>
          <w:rFonts w:ascii="Arial" w:hAnsi="Arial" w:cs="Arial"/>
          <w:color w:val="FF0000"/>
          <w:sz w:val="24"/>
          <w:szCs w:val="24"/>
          <w:shd w:val="clear" w:color="auto" w:fill="FFFFFF"/>
        </w:rPr>
        <w:t> al pari della </w:t>
      </w:r>
      <w:hyperlink r:id="rId6" w:tooltip="Cartella esattoriale" w:history="1">
        <w:r>
          <w:rPr>
            <w:rStyle w:val="Collegamentoipertestuale"/>
            <w:rFonts w:ascii="Arial" w:hAnsi="Arial" w:cs="Arial"/>
            <w:color w:val="FF0000"/>
            <w:sz w:val="24"/>
            <w:szCs w:val="24"/>
            <w:shd w:val="clear" w:color="auto" w:fill="FFFFFF"/>
          </w:rPr>
          <w:t>cartella esattoriale</w:t>
        </w:r>
      </w:hyperlink>
      <w:r>
        <w:rPr>
          <w:rFonts w:ascii="Arial" w:hAnsi="Arial" w:cs="Arial"/>
          <w:color w:val="FF0000"/>
          <w:sz w:val="24"/>
          <w:szCs w:val="24"/>
          <w:shd w:val="clear" w:color="auto" w:fill="FFFFFF"/>
        </w:rPr>
        <w:t>. Entrambi danno luogo a riscossione coattiva e possono essere oggetto di impugnazione e richiesta di sospensiva con differenti termini.</w:t>
      </w:r>
      <w:r>
        <w:rPr>
          <w:rFonts w:ascii="Arial" w:hAnsi="Arial" w:cs="Arial"/>
          <w:color w:val="FF0000"/>
          <w:sz w:val="24"/>
          <w:szCs w:val="24"/>
        </w:rPr>
        <w:br/>
      </w:r>
      <w:r>
        <w:rPr>
          <w:rFonts w:ascii="Arial" w:hAnsi="Arial" w:cs="Arial"/>
          <w:color w:val="FF0000"/>
          <w:sz w:val="24"/>
          <w:szCs w:val="24"/>
          <w:shd w:val="clear" w:color="auto" w:fill="FFFFFF"/>
        </w:rPr>
        <w:t>Stante questa nuova disciplina, la </w:t>
      </w:r>
      <w:hyperlink r:id="rId7" w:tooltip="Cartella esattoriale" w:history="1">
        <w:r>
          <w:rPr>
            <w:rStyle w:val="Collegamentoipertestuale"/>
            <w:rFonts w:ascii="Arial" w:hAnsi="Arial" w:cs="Arial"/>
            <w:color w:val="FF0000"/>
            <w:sz w:val="24"/>
            <w:szCs w:val="24"/>
            <w:shd w:val="clear" w:color="auto" w:fill="FFFFFF"/>
          </w:rPr>
          <w:t>cartella esattoriale</w:t>
        </w:r>
      </w:hyperlink>
      <w:r>
        <w:rPr>
          <w:rFonts w:ascii="Arial" w:hAnsi="Arial" w:cs="Arial"/>
          <w:color w:val="FF0000"/>
          <w:sz w:val="24"/>
          <w:szCs w:val="24"/>
          <w:shd w:val="clear" w:color="auto" w:fill="FFFFFF"/>
        </w:rPr>
        <w:t> non è più un atto obbligatorio per la riscossione del credito, l'amministrazione potrebbe limitarsi alla sola notifica dell'avviso di accertamento.</w:t>
      </w:r>
    </w:p>
    <w:p w:rsidR="004B4DFB" w:rsidRDefault="004B4DFB" w:rsidP="004B4DFB">
      <w:pPr>
        <w:rPr>
          <w:rFonts w:ascii="Arial" w:hAnsi="Arial" w:cs="Arial"/>
          <w:sz w:val="24"/>
          <w:szCs w:val="24"/>
        </w:rPr>
      </w:pPr>
      <w:r>
        <w:rPr>
          <w:rFonts w:ascii="Arial" w:hAnsi="Arial" w:cs="Arial"/>
          <w:sz w:val="24"/>
          <w:szCs w:val="24"/>
        </w:rPr>
        <w:t xml:space="preserve"> Rientrano  QUINDI nella giurisdizione delle Commissioni tributarie: </w:t>
      </w:r>
    </w:p>
    <w:p w:rsidR="004B4DFB" w:rsidRDefault="004B4DFB" w:rsidP="004B4DFB">
      <w:pPr>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tutte le controversie relative a tributi di ogni genere e specie, comunque denominati, compresi quelli regionali, provinciali e comunali, le sovrimposte e le addizionali, le relative sanzioni nonché gli interessi e ogni altro accessorio</w:t>
      </w:r>
    </w:p>
    <w:p w:rsidR="004B4DFB" w:rsidRDefault="004B4DFB" w:rsidP="004B4DFB">
      <w:pPr>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le controversie di natura catastale, come quelle concernenti, ad esempio, l’intestazione, la delimitazione, l’estensione, il “classamento” dei terreni e l’attribuzione della rendita </w:t>
      </w:r>
      <w:r>
        <w:rPr>
          <w:rFonts w:ascii="Arial" w:hAnsi="Arial" w:cs="Arial"/>
          <w:sz w:val="24"/>
          <w:szCs w:val="24"/>
        </w:rPr>
        <w:lastRenderedPageBreak/>
        <w:t>catastale, nonché le controversie inerenti all’imposta o al canone comunale sulla pubblicità e al diritto sulle pubbliche affissioni.</w:t>
      </w:r>
    </w:p>
    <w:p w:rsidR="004B4DFB" w:rsidRDefault="004B4DFB" w:rsidP="004B4DFB">
      <w:pPr>
        <w:rPr>
          <w:rFonts w:ascii="Arial" w:hAnsi="Arial" w:cs="Arial"/>
          <w:sz w:val="24"/>
          <w:szCs w:val="24"/>
        </w:rPr>
      </w:pPr>
      <w:r>
        <w:rPr>
          <w:rFonts w:ascii="Arial" w:hAnsi="Arial" w:cs="Arial"/>
          <w:sz w:val="24"/>
          <w:szCs w:val="24"/>
        </w:rPr>
        <w:t xml:space="preserve"> Restano escluse dalla giurisdizione tributaria solo le controversie riguardanti gli atti dell’esecuzione forzata tributaria successivi alla notifica della cartella di pagamento e, se previsto, dell’avviso che precede l’espropriazione forzata.</w:t>
      </w:r>
    </w:p>
    <w:p w:rsidR="004B4DFB" w:rsidRDefault="004B4DFB" w:rsidP="004B4DFB">
      <w:pPr>
        <w:rPr>
          <w:rFonts w:ascii="Arial" w:hAnsi="Arial" w:cs="Arial"/>
          <w:sz w:val="24"/>
          <w:szCs w:val="24"/>
        </w:rPr>
      </w:pPr>
      <w:r>
        <w:rPr>
          <w:rFonts w:ascii="Arial" w:hAnsi="Arial" w:cs="Arial"/>
          <w:sz w:val="24"/>
          <w:szCs w:val="24"/>
        </w:rPr>
        <w:t xml:space="preserve">Il processo tributario inizia con la proposizione del ricorso alla competente Commissione tributaria provinciale, da notificare all’ufficio che ha emanato l’atto impugnato entro 60 giorni dalla data in cui il contribuente ha ricevuto il medesimo atto. </w:t>
      </w:r>
    </w:p>
    <w:p w:rsidR="004B4DFB" w:rsidRDefault="004B4DFB" w:rsidP="004B4DFB">
      <w:pPr>
        <w:rPr>
          <w:rFonts w:ascii="Arial" w:hAnsi="Arial" w:cs="Arial"/>
          <w:sz w:val="24"/>
          <w:szCs w:val="24"/>
        </w:rPr>
      </w:pPr>
      <w:r>
        <w:rPr>
          <w:rFonts w:ascii="Arial" w:hAnsi="Arial" w:cs="Arial"/>
          <w:sz w:val="24"/>
          <w:szCs w:val="24"/>
        </w:rPr>
        <w:t>Per le domande di rimborso alle quali l’Agenzia delle entrate non ha dato risposta, il ricorso può essere presentato decorsi 90 giorni dalla data di presentazione della richiesta. I termini per proporre ricorso sono sospesi nel periodo feriale (1º agosto - 31 agosto).</w:t>
      </w:r>
    </w:p>
    <w:p w:rsidR="004B4DFB" w:rsidRDefault="004B4DFB" w:rsidP="004B4DFB">
      <w:pPr>
        <w:rPr>
          <w:rFonts w:ascii="Arial" w:hAnsi="Arial" w:cs="Arial"/>
          <w:sz w:val="24"/>
          <w:szCs w:val="24"/>
        </w:rPr>
      </w:pPr>
      <w:r>
        <w:rPr>
          <w:rFonts w:ascii="Arial" w:hAnsi="Arial" w:cs="Arial"/>
          <w:sz w:val="24"/>
          <w:szCs w:val="24"/>
        </w:rPr>
        <w:t xml:space="preserve"> Nel ricorso devono essere indicati:</w:t>
      </w:r>
    </w:p>
    <w:p w:rsidR="004B4DFB" w:rsidRDefault="004B4DFB" w:rsidP="004B4DFB">
      <w:pPr>
        <w:rPr>
          <w:rFonts w:ascii="Arial" w:hAnsi="Arial" w:cs="Arial"/>
          <w:sz w:val="24"/>
          <w:szCs w:val="24"/>
        </w:rPr>
      </w:pPr>
      <w:r>
        <w:rPr>
          <w:rFonts w:ascii="Arial" w:hAnsi="Arial" w:cs="Arial"/>
          <w:sz w:val="24"/>
          <w:szCs w:val="24"/>
        </w:rPr>
        <w:t xml:space="preserve"> • la Commissione tributaria cui è diretto </w:t>
      </w:r>
    </w:p>
    <w:p w:rsidR="004B4DFB" w:rsidRDefault="004B4DFB" w:rsidP="004B4DFB">
      <w:pPr>
        <w:rPr>
          <w:rFonts w:ascii="Arial" w:hAnsi="Arial" w:cs="Arial"/>
          <w:sz w:val="24"/>
          <w:szCs w:val="24"/>
        </w:rPr>
      </w:pPr>
      <w:r>
        <w:rPr>
          <w:rFonts w:ascii="Arial" w:hAnsi="Arial" w:cs="Arial"/>
          <w:sz w:val="24"/>
          <w:szCs w:val="24"/>
        </w:rPr>
        <w:t xml:space="preserve">• il ricorrente e il suo legale rappresentante, la relativa residenza o sede legale o domicilio eventualmente eletto nel territorio dello Stato </w:t>
      </w:r>
    </w:p>
    <w:p w:rsidR="004B4DFB" w:rsidRDefault="004B4DFB" w:rsidP="004B4DFB">
      <w:pPr>
        <w:rPr>
          <w:rFonts w:ascii="Arial" w:hAnsi="Arial" w:cs="Arial"/>
          <w:sz w:val="24"/>
          <w:szCs w:val="24"/>
        </w:rPr>
      </w:pPr>
      <w:r>
        <w:rPr>
          <w:rFonts w:ascii="Arial" w:hAnsi="Arial" w:cs="Arial"/>
          <w:sz w:val="24"/>
          <w:szCs w:val="24"/>
        </w:rPr>
        <w:t xml:space="preserve">• il codice fiscale e l’indirizzo di posta elettronica certificata (Pec) </w:t>
      </w:r>
    </w:p>
    <w:p w:rsidR="004B4DFB" w:rsidRDefault="004B4DFB" w:rsidP="004B4DFB">
      <w:pPr>
        <w:rPr>
          <w:rFonts w:ascii="Arial" w:hAnsi="Arial" w:cs="Arial"/>
          <w:sz w:val="24"/>
          <w:szCs w:val="24"/>
        </w:rPr>
      </w:pPr>
      <w:r>
        <w:rPr>
          <w:rFonts w:ascii="Arial" w:hAnsi="Arial" w:cs="Arial"/>
          <w:sz w:val="24"/>
          <w:szCs w:val="24"/>
        </w:rPr>
        <w:t xml:space="preserve">• l’ufficio nei cui confronti il ricorso è proposto </w:t>
      </w:r>
    </w:p>
    <w:p w:rsidR="004B4DFB" w:rsidRDefault="004B4DFB" w:rsidP="004B4DFB">
      <w:pPr>
        <w:rPr>
          <w:rFonts w:ascii="Arial" w:hAnsi="Arial" w:cs="Arial"/>
          <w:sz w:val="24"/>
          <w:szCs w:val="24"/>
        </w:rPr>
      </w:pPr>
      <w:r>
        <w:rPr>
          <w:rFonts w:ascii="Arial" w:hAnsi="Arial" w:cs="Arial"/>
          <w:sz w:val="24"/>
          <w:szCs w:val="24"/>
        </w:rPr>
        <w:t xml:space="preserve">• l’atto impugnato e l’oggetto della domanda </w:t>
      </w:r>
    </w:p>
    <w:p w:rsidR="004B4DFB" w:rsidRDefault="004B4DFB" w:rsidP="004B4DFB">
      <w:pPr>
        <w:rPr>
          <w:rFonts w:ascii="Arial" w:hAnsi="Arial" w:cs="Arial"/>
          <w:sz w:val="24"/>
          <w:szCs w:val="24"/>
        </w:rPr>
      </w:pPr>
      <w:r>
        <w:rPr>
          <w:rFonts w:ascii="Arial" w:hAnsi="Arial" w:cs="Arial"/>
          <w:sz w:val="24"/>
          <w:szCs w:val="24"/>
        </w:rPr>
        <w:t xml:space="preserve">• i motivi. </w:t>
      </w:r>
    </w:p>
    <w:p w:rsidR="004B4DFB" w:rsidRDefault="004B4DFB" w:rsidP="004B4DFB">
      <w:pPr>
        <w:rPr>
          <w:rFonts w:ascii="Arial" w:hAnsi="Arial" w:cs="Arial"/>
          <w:sz w:val="24"/>
          <w:szCs w:val="24"/>
        </w:rPr>
      </w:pPr>
      <w:r>
        <w:rPr>
          <w:rFonts w:ascii="Arial" w:hAnsi="Arial" w:cs="Arial"/>
          <w:sz w:val="24"/>
          <w:szCs w:val="24"/>
        </w:rPr>
        <w:t xml:space="preserve">Se manca o è assolutamente incerta una di queste indicazioni, a eccezione di quella relativa al codice fiscale e all’indirizzo di posta elettronica certificata, il ricorso è inammissibile. </w:t>
      </w:r>
    </w:p>
    <w:p w:rsidR="004B4DFB" w:rsidRDefault="004B4DFB" w:rsidP="004B4DFB">
      <w:pPr>
        <w:rPr>
          <w:rFonts w:ascii="Arial" w:hAnsi="Arial" w:cs="Arial"/>
          <w:sz w:val="24"/>
          <w:szCs w:val="24"/>
        </w:rPr>
      </w:pPr>
      <w:r>
        <w:rPr>
          <w:rFonts w:ascii="Arial" w:hAnsi="Arial" w:cs="Arial"/>
          <w:sz w:val="24"/>
          <w:szCs w:val="24"/>
        </w:rPr>
        <w:t>Allo stesso modo, il ricorso è inammissibile se manca la sottoscrizione. Il ricorso deve essere notificato, innanzitutto, all’ufficio che ha emesso l’atto contestato.</w:t>
      </w:r>
    </w:p>
    <w:p w:rsidR="004B4DFB" w:rsidRDefault="004B4DFB" w:rsidP="004B4DFB">
      <w:pPr>
        <w:rPr>
          <w:rFonts w:ascii="Arial" w:hAnsi="Arial" w:cs="Arial"/>
          <w:sz w:val="24"/>
          <w:szCs w:val="24"/>
        </w:rPr>
      </w:pPr>
      <w:r>
        <w:rPr>
          <w:rFonts w:ascii="Arial" w:hAnsi="Arial" w:cs="Arial"/>
          <w:sz w:val="24"/>
          <w:szCs w:val="24"/>
        </w:rPr>
        <w:t xml:space="preserve"> Entro 30 giorni dalla notifica, il contribuente deve costituirsi in giudizio, tramite deposito o trasmissione del ricorso alla segreteria della Commissione tributaria adita. </w:t>
      </w:r>
    </w:p>
    <w:p w:rsidR="004B4DFB" w:rsidRDefault="004B4DFB" w:rsidP="004B4DFB">
      <w:pPr>
        <w:rPr>
          <w:rFonts w:ascii="Arial" w:hAnsi="Arial" w:cs="Arial"/>
          <w:sz w:val="24"/>
          <w:szCs w:val="24"/>
        </w:rPr>
      </w:pPr>
      <w:r>
        <w:rPr>
          <w:rFonts w:ascii="Arial" w:hAnsi="Arial" w:cs="Arial"/>
          <w:sz w:val="24"/>
          <w:szCs w:val="24"/>
        </w:rPr>
        <w:t xml:space="preserve">Dal 1° luglio 2019, è previsto l’obbligo di notificare il ricorso e l’appello tramite posta elettronica certificata e di costituirsi in giudizio in via telematica (vedi capitolo 4). Tale obbligo non sussiste, tuttavia, per i soggetti che stanno in giudizio senza assistenza tecnica, nelle controversie di valore fino a 3.000 euro, i quali possono procedere alla notifica sia attraverso la posta elettronica certificata sia avvalendosi di una delle seguenti modalità: </w:t>
      </w:r>
    </w:p>
    <w:p w:rsidR="004B4DFB" w:rsidRDefault="004B4DFB" w:rsidP="004B4DFB">
      <w:pPr>
        <w:rPr>
          <w:rFonts w:ascii="Arial" w:hAnsi="Arial" w:cs="Arial"/>
          <w:sz w:val="24"/>
          <w:szCs w:val="24"/>
        </w:rPr>
      </w:pPr>
      <w:r>
        <w:rPr>
          <w:rFonts w:ascii="Arial" w:hAnsi="Arial" w:cs="Arial"/>
          <w:sz w:val="24"/>
          <w:szCs w:val="24"/>
        </w:rPr>
        <w:t xml:space="preserve">• mediante consegna diretta </w:t>
      </w:r>
    </w:p>
    <w:p w:rsidR="004B4DFB" w:rsidRDefault="004B4DFB" w:rsidP="004B4DFB">
      <w:pPr>
        <w:rPr>
          <w:rFonts w:ascii="Arial" w:hAnsi="Arial" w:cs="Arial"/>
          <w:sz w:val="24"/>
          <w:szCs w:val="24"/>
        </w:rPr>
      </w:pPr>
      <w:r>
        <w:rPr>
          <w:rFonts w:ascii="Arial" w:hAnsi="Arial" w:cs="Arial"/>
          <w:sz w:val="24"/>
          <w:szCs w:val="24"/>
        </w:rPr>
        <w:t xml:space="preserve">• per posta, con plico raccomandato senza busta e con l’avviso di ricevimento </w:t>
      </w:r>
    </w:p>
    <w:p w:rsidR="004B4DFB" w:rsidRDefault="004B4DFB" w:rsidP="004B4DFB">
      <w:pPr>
        <w:rPr>
          <w:rFonts w:ascii="Arial" w:hAnsi="Arial" w:cs="Arial"/>
          <w:sz w:val="24"/>
          <w:szCs w:val="24"/>
        </w:rPr>
      </w:pPr>
      <w:r>
        <w:rPr>
          <w:rFonts w:ascii="Arial" w:hAnsi="Arial" w:cs="Arial"/>
          <w:sz w:val="24"/>
          <w:szCs w:val="24"/>
        </w:rPr>
        <w:lastRenderedPageBreak/>
        <w:t>• a mezzo notifica di ufficiale giudiziario. Ugualmente, i predetti soggetti possono costituirsi in giudizio con modalità telematiche oppure depositare o trasmettere alla Commissione tributaria l’originale del dell’appello notificato o copia del ricorso o dell’appello consegnato o spedito per posta, con fotocopia della ricevuta di deposito o della spedizione per raccomandata. Per le controversie che rientrano nel campo di applicazione della mediazione tributaria, qualora questa non sia stata conclusa, tale termine inizia a decorrere trascorsi 90 giorni dalla notifica del ricorso all’ente impositore.</w:t>
      </w:r>
    </w:p>
    <w:p w:rsidR="004B4DFB" w:rsidRDefault="004B4DFB" w:rsidP="004B4DFB">
      <w:pPr>
        <w:rPr>
          <w:rFonts w:ascii="Arial" w:hAnsi="Arial" w:cs="Arial"/>
          <w:sz w:val="24"/>
          <w:szCs w:val="24"/>
        </w:rPr>
      </w:pPr>
      <w:r>
        <w:rPr>
          <w:rFonts w:ascii="Arial" w:hAnsi="Arial" w:cs="Arial"/>
          <w:sz w:val="24"/>
          <w:szCs w:val="24"/>
        </w:rPr>
        <w:t xml:space="preserve">LA NOTA DI ISCRIZIONE </w:t>
      </w:r>
    </w:p>
    <w:p w:rsidR="004B4DFB" w:rsidRDefault="004B4DFB" w:rsidP="004B4DFB">
      <w:pPr>
        <w:rPr>
          <w:rFonts w:ascii="Arial" w:hAnsi="Arial" w:cs="Arial"/>
          <w:sz w:val="24"/>
          <w:szCs w:val="24"/>
        </w:rPr>
      </w:pPr>
      <w:r>
        <w:rPr>
          <w:rFonts w:ascii="Arial" w:hAnsi="Arial" w:cs="Arial"/>
          <w:sz w:val="24"/>
          <w:szCs w:val="24"/>
        </w:rPr>
        <w:t>Con il decreto legge n. 138/2011 è stato introdotto l’obbligo di depositare, all’atto della costituzione in giudizio, la nota di iscrizione a ruolo, contenente l’indicazione: • delle parti • del difensore che si costituisce • dell’atto impugnato • della materia del contendere • del valore della controversia • della data di notifica del ricorso. La nota di iscrizione consente alle Commissioni tributarie di rilasciare a chi si costituisce in giudizio il numero di ruolo assegnato nel registro generale dei ricorsi o nel registro generale degli appelli.</w:t>
      </w:r>
    </w:p>
    <w:p w:rsidR="004B4DFB" w:rsidRDefault="004B4DFB" w:rsidP="004B4DFB">
      <w:pPr>
        <w:rPr>
          <w:rFonts w:ascii="Arial" w:hAnsi="Arial" w:cs="Arial"/>
          <w:sz w:val="24"/>
          <w:szCs w:val="24"/>
        </w:rPr>
      </w:pPr>
      <w:r>
        <w:rPr>
          <w:rFonts w:ascii="Arial" w:hAnsi="Arial" w:cs="Arial"/>
          <w:sz w:val="24"/>
          <w:szCs w:val="24"/>
        </w:rPr>
        <w:t>Per la presentazione alle Commissioni tributarie di un ricorso (principale o incidentale) è dovuto il contributo unificato (che dal 7 luglio 2011 ha sostituito l’imposta di bollo). L’importo del contributo da versare varia a seconda del valore della lite. A tal fine, le parti hanno l’obbligo di dichiarare nelle conclusioni del ricorso il valore della controversia.</w:t>
      </w:r>
    </w:p>
    <w:p w:rsidR="004B4DFB" w:rsidRDefault="004B4DFB" w:rsidP="004B4DFB">
      <w:pPr>
        <w:rPr>
          <w:rFonts w:ascii="Arial" w:hAnsi="Arial" w:cs="Arial"/>
          <w:sz w:val="24"/>
          <w:szCs w:val="24"/>
        </w:rPr>
      </w:pPr>
      <w:r>
        <w:rPr>
          <w:rFonts w:ascii="Arial" w:hAnsi="Arial" w:cs="Arial"/>
          <w:sz w:val="24"/>
          <w:szCs w:val="24"/>
        </w:rPr>
        <w:t>Per valore della lite si intende l’importo del tributo al netto degli interessi e delle eventuali sanzioni irrogate con l’atto impugnato. Se la controversia riguarda solo l’irrogazione di sanzioni, il valore è costituito dalla somma delle stesse.</w:t>
      </w:r>
    </w:p>
    <w:p w:rsidR="004B4DFB" w:rsidRDefault="004B4DFB" w:rsidP="004B4DFB">
      <w:pPr>
        <w:rPr>
          <w:rFonts w:ascii="Arial" w:hAnsi="Arial" w:cs="Arial"/>
          <w:sz w:val="24"/>
          <w:szCs w:val="24"/>
        </w:rPr>
      </w:pPr>
      <w:r>
        <w:rPr>
          <w:rFonts w:ascii="Arial" w:hAnsi="Arial" w:cs="Arial"/>
          <w:sz w:val="24"/>
          <w:szCs w:val="24"/>
        </w:rPr>
        <w:t>Per le controversie di valore superiore a 3.000 euro è indispensabile l’assistenza di un difensore abilitato.</w:t>
      </w:r>
    </w:p>
    <w:p w:rsidR="004B4DFB" w:rsidRDefault="004B4DFB" w:rsidP="004B4DFB">
      <w:pPr>
        <w:spacing w:line="360" w:lineRule="auto"/>
        <w:rPr>
          <w:rFonts w:ascii="Arial" w:hAnsi="Arial" w:cs="Arial"/>
          <w:sz w:val="24"/>
          <w:szCs w:val="24"/>
        </w:rPr>
      </w:pPr>
      <w:r>
        <w:rPr>
          <w:rFonts w:ascii="Arial" w:hAnsi="Arial" w:cs="Arial"/>
          <w:sz w:val="24"/>
          <w:szCs w:val="24"/>
        </w:rPr>
        <w:t>Per valore della lite si intende l’importo del tributo al netto degli interessi e delle eventuali sanzioni irrogate con l’atto impugnato. In caso di controversie relative esclusivamente alle irrogazioni di sanzioni, il valore è costituito dalla somma di queste. Il decreto legislativo n. 156/2015 ha inserito tra i soggetti abilitati all’assistenza tecnica i dipendenti dei centri di assistenza fiscale (Caf) e delle relative società di servizi, limitatamente alle controversie dei propri assistiti originate da adempimenti per i quali il Caf ha prestato loro assistenza. Tuttavia, per esercitare la difesa tecnica essi devono essere in possesso congiuntamente: • del diploma di laurea magistrale in giurisprudenza o in economia ed equipollenti, o del diploma di ragioneria • della relativa abilitazione professionale. L’incarico ai difensori deve essere conferito con atto pubblico o con scrittura privata autenticata o anche in calce o a margine di un atto del processo. Anche quando non è obbligatoria l’assistenza tecnica, il contribuente deve comunque fare attenzione alla complessità degli adempimenti previsti dalla procedura (il contenzioso tributario è di fatto assimilato al giudizio civile) e al rischio che la vertenza subisca un esito negativo a causa di una loro non esatta applicazione.</w:t>
      </w:r>
    </w:p>
    <w:p w:rsidR="004B4DFB" w:rsidRDefault="004B4DFB" w:rsidP="004B4DFB">
      <w:pPr>
        <w:rPr>
          <w:rFonts w:ascii="Arial" w:hAnsi="Arial" w:cs="Arial"/>
          <w:sz w:val="24"/>
          <w:szCs w:val="24"/>
        </w:rPr>
      </w:pPr>
      <w:r>
        <w:rPr>
          <w:rFonts w:ascii="Arial" w:hAnsi="Arial" w:cs="Arial"/>
          <w:sz w:val="24"/>
          <w:szCs w:val="24"/>
        </w:rPr>
        <w:lastRenderedPageBreak/>
        <w:t>La proposizione del ricorso non sospende gli effetti giuridici dell’atto impugnato. Tuttavia, il ricorrente può chiedere alla Commissione tributaria competente, con un’apposita istanza, la sospensione dell’atto, se ritiene che dallo stesso gli possa derivare un danno grave e irreparabile.</w:t>
      </w:r>
    </w:p>
    <w:p w:rsidR="004B4DFB" w:rsidRDefault="004B4DFB" w:rsidP="004B4DFB">
      <w:pPr>
        <w:rPr>
          <w:rFonts w:ascii="Arial" w:hAnsi="Arial" w:cs="Arial"/>
          <w:sz w:val="24"/>
          <w:szCs w:val="24"/>
        </w:rPr>
      </w:pPr>
      <w:r>
        <w:rPr>
          <w:rFonts w:ascii="Arial" w:hAnsi="Arial" w:cs="Arial"/>
          <w:sz w:val="24"/>
          <w:szCs w:val="24"/>
        </w:rPr>
        <w:t xml:space="preserve"> La richiesta motivata può essere contenuta nel ricorso o essere presentata con atto separato. In quest’ultimo caso, l’istanza va notificata alle altre parti e depositata, con la prova dell’avvenuta notificazione, presso la segreteria della Commissione tributaria.</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Il presidente della commissione, dopo la costituzione del ricorrente con il deposito del ricorso, assegna il fascicolo ad una sezione. Il presidente di sezione, scaduti i termini per la costituzione delle parti, esamina in via preliminare il ricorso. Se il ricorso è manifestamente inammissibile (es. tardivo) il presidente dichiara con DECRETO l'estinzione del procedimento. Ai sensi dell'art. 28 D.Lgs. 546/1992, contro il decreto presidenziale il ricorrente può proporre entro 30 giorni dalla comunicazione, reclamo al collegio. La commissione decide con SENTENZA se dichiara l'estinzione del processo, altrimenti dispone con ORDINANZA la prosecuzione del giudizio.</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Salvo il caso sopra indicato, il presidente nomina il relatore e fissa l'udienza di trattazione della causa. Dalla data della comunicazione da parte della segreteria alle parti costituite devono trascorrere 30 giorni liberi prima dell'udienza. Possono essere depositati documenti fino a 20 giorni liberi prima dell'udienza, memorie fino a 10 giorni liberi prima e repliche fino a 5 giorni prima. La causa è normalmente trattata in camera di consiglio e viene immediatamente decisa, di regola, dopo l'esposizione da parte del relatore. La sentenza è pubblicata entro 30 giorni presso la segreteria della commissione. Le parti anche con istanza successiva al ricorso possono chiedere che la causa sia discussa in pubblica udienza. In tal caso dopo l'esposizione del relatore, il presidente ascolta brevemente le parti presenti prima di decidere la causa.</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Il processo è informato al cosiddetto principio dispositivo ovvero le parti devono indicare nei loro atti di causa le prove di cui intendono avvalersi per supportare le proprie ragioni. Tuttavia in casi eccezionali, le commissioni possono esercitare i poteri concessi agli uffici dalle singole leggi d'imposta per acquisire dati e notizie. Possono altresì disporre consulenze tecniche, quando la complessità della causa lo renda opportuno (art. 7). In ogni caso non è ammesso il giuramento. È discussa l'ammissibilità della prova testimoniale. Secondo alcuni, in rispetto dei principi del giusto processo, per mantenere la parità tra le parti in causa, poiché l'ufficio può allegare nei propri documenti dichiarazioni di terzi dovrebbe essere consentito anche al contribuente di allegare nella documentazione dichiarazioni di terzi. È comunque esclusa, almeno fino ad ora, la possibilità di richiedere l'audizione di testimoni in udienza, che tra l'altro, impedirebbe al procedimento di concludersi in una sola udienza (come è usuale quando non sono richiesti approfondimenti tecnici).</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 xml:space="preserve">Particolarmente controversa e non completamente risolta è la questione circa la natura del procedimento e il conseguente contenuto della sentenza. Secondo la Cassazione (da ultimo Cass. 25104/2008) si tratta di un processo di impugnazione-merito, per cui il giudice investito del giudizio sull'atto, deve a pena di nullità della sentenza, giudicare il merito del rapporto tributario sottostante. Fa eccezione il caso in cui il giudice ravvisi un vizio grave e irreparabile dell'atto (ad esempio l'inesistenza della notifica o la totale assenza di motivazione), in cui ovviamente si limiterà ad annullare l'atto stesso. Negli altri casi, il giudice nei limiti delle richieste delle parti, non deve limitarsi ad annullare l'atto che egli </w:t>
      </w:r>
      <w:r>
        <w:rPr>
          <w:rFonts w:ascii="Arial" w:hAnsi="Arial" w:cs="Arial"/>
          <w:color w:val="202122"/>
        </w:rPr>
        <w:lastRenderedPageBreak/>
        <w:t>ritenga non correttamente motivato, ma dovrà decidere sul merito del rapporto indicando una motivazione sostitutiva che riduca eventualmente la pretesa erariale.</w:t>
      </w:r>
    </w:p>
    <w:p w:rsidR="004B4DFB" w:rsidRDefault="004B4DFB" w:rsidP="004B4DFB">
      <w:pPr>
        <w:pStyle w:val="Titolo3"/>
        <w:shd w:val="clear" w:color="auto" w:fill="FFFFFF"/>
        <w:spacing w:before="72" w:beforeAutospacing="0" w:after="0" w:afterAutospacing="0"/>
        <w:rPr>
          <w:rFonts w:ascii="Arial" w:hAnsi="Arial" w:cs="Arial"/>
          <w:color w:val="000000"/>
          <w:sz w:val="24"/>
          <w:szCs w:val="24"/>
        </w:rPr>
      </w:pPr>
      <w:r>
        <w:rPr>
          <w:rStyle w:val="mw-headline"/>
          <w:rFonts w:ascii="Arial" w:hAnsi="Arial" w:cs="Arial"/>
          <w:color w:val="000000"/>
          <w:sz w:val="24"/>
          <w:szCs w:val="24"/>
        </w:rPr>
        <w:t>Il giudizio di appello e di cassazione</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Al giudizio di appello si applicano, in quanto compatibili, le stesse disposizioni previste in primo grado.</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Il ricorso in appello può essere proposto dalla parte soccombente in primo grado. È stato abrogato l'articolo che prevedeva che l'ufficio deve preventivamente chiedere l'autorizzazione al responsabile regionale del contenzioso, a pena di inammissibilità dell'appello (art.3, co.1 lettera c) D.L. 25 marzo 2010, n. 40). Il termine è 6 mesi dal deposito in segreteria della sentenza (o di 60 giorni dalla notifica se la sentenza è notificata).</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Due sono le norme che hanno fondamentale importanza in appello: il divieto di proporre domande nuove (art. 57) e la rinuncia alle domande non riproposte (art. 56).</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Il giudizio di appello consiste infatti in un riesame degli elementi proposti in primo grado. Le domande già proposte in primo grado e quindi le uniche ammissibili (con l'eccezione di quella per gli interessi maturati dopo la sentenza di primo grado), devono essere dedotte dagli atti introduttivi del giudizio, che come detto delimitano anche in primo grado l'oggetto della causa, ovvero il ricorso e l'atto impugnato. Esse devono essere intese come i fatti costitutivi della pretesa tributaria (che emergeranno dall'atto impugnato) e come i fatti impeditivi, modificativi o estintivi della stessa (che si rileveranno dal ricorso).</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Particolarmente insidiosa è la questione delle domande non riproposte che si ritengono abbandonate. Essa è ovviamente rilevante in caso di soccombenza totale di una parte, qualora con il ricorso in primo grado siano proposte più domande o all'opposto l'atto impugnato contenesse più di un fatto costitutivo della pretesa tributaria. In tal caso, si ritiene che la parte rinunci alle domande che non ripropone nel ricorso d'appello. Ancora più rilevante è il caso di soccombenza parziale di entrambe le parti. In questo caso la parte più diligente depositerà l'appello principale. L'altra parte potrà limitarsi a contrastare le domande dell'appellante con atto di controdeduzioni ed in tal caso si riterranno abbandonate le questioni su cui era stata sconfitta in primo grado. Oppure potrà negli stessi termini depositare un appello incidentale, con cui proporre le questioni su cui era soccombente.</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Il giudice deve pronunciarsi sull'ammissibilità e sul merito di entrambi i ricorsi. Tuttavia qualora l'appello incidentale sia proposto oltre il termine per appellare, ma entro i 60 giorni dalla notifica dell'appello principale; l'inammissibilità dell'appello principale produce inammissibilità anche di quello incidentale (cosiddetto </w:t>
      </w:r>
      <w:r>
        <w:rPr>
          <w:rFonts w:ascii="Arial" w:hAnsi="Arial" w:cs="Arial"/>
          <w:i/>
          <w:iCs/>
          <w:color w:val="202122"/>
        </w:rPr>
        <w:t>appello incidentale tardivo</w:t>
      </w:r>
      <w:r>
        <w:rPr>
          <w:rFonts w:ascii="Arial" w:hAnsi="Arial" w:cs="Arial"/>
          <w:color w:val="202122"/>
        </w:rPr>
        <w:t>). In ogni caso il giudizio di appello si configura come un mezzo di impugnazione sostitutivo, nel quale il giudice è tenuto a riesaminare nel merito le questioni proposte dalle parti e non può limitarsi ad un giudizio di tipo rescissorio, cioè finalizzato al mero annullamento dell'atto o della decisione di primo grado (salvo che ricorrano eccezionali ipotesi di illegittimità dell'atto o che la sentenza di primo grado sia nulla ai sensi dell'art. 59 D.Lgs. 546/1992, in quest'ultimo caso provvederà a rinviare la causa alla commissione provinciale).</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Contro la sentenza di appello è ammesso ricorso in CASSAZIONE secondo le norme del cpc, per i motivi indicati dall'art. 360 dal n. 1 al n. 5. Le parti devono essere assistite da avvocati abilitati alla difesa in Cassazione: l'ufficio può avvalersi dell'avvocatura di Stato.</w:t>
      </w:r>
    </w:p>
    <w:p w:rsidR="004B4DFB" w:rsidRDefault="004B4DFB" w:rsidP="004B4DFB">
      <w:pPr>
        <w:pStyle w:val="NormaleWeb"/>
        <w:shd w:val="clear" w:color="auto" w:fill="FFFFFF"/>
        <w:spacing w:before="120" w:beforeAutospacing="0" w:after="120" w:afterAutospacing="0"/>
        <w:rPr>
          <w:rFonts w:ascii="Arial" w:hAnsi="Arial" w:cs="Arial"/>
          <w:color w:val="202122"/>
        </w:rPr>
      </w:pPr>
      <w:r>
        <w:rPr>
          <w:rFonts w:ascii="Arial" w:hAnsi="Arial" w:cs="Arial"/>
          <w:color w:val="202122"/>
        </w:rPr>
        <w:t xml:space="preserve">Quando il ricorso è proposto per uno dei motivi indicati nei numeri da 1 a 4 (violazione norme sulla giurisdizione; violazione norme sulla competenza; violazione o falsa </w:t>
      </w:r>
      <w:r>
        <w:rPr>
          <w:rFonts w:ascii="Arial" w:hAnsi="Arial" w:cs="Arial"/>
          <w:color w:val="202122"/>
        </w:rPr>
        <w:lastRenderedPageBreak/>
        <w:t>applicazione di norme di diritto; nullità della sentenza o del procedimento), il motivo deve concludersi con la formulazione di un quesito di diritto.</w:t>
      </w:r>
      <w:r>
        <w:rPr>
          <w:rFonts w:ascii="Arial" w:hAnsi="Arial" w:cs="Arial"/>
          <w:color w:val="202122"/>
        </w:rPr>
        <w:br/>
        <w:t>Si noti che il quesito deve consentire alla Corte, pronunciando sullo stesso, di stabilire un principio di diritto applicabile alla generalità dei casi e sostitutivo di quello utilizzato dal giudice di merito (il quale nell'eventuale rinvio della decisione dovrà applicare il principio formulato dalla Corte). È pertanto essenziale, non solo che il quesito sia formulato con chiarezza e che ad ogni motivo di impugnazione corrisponda un quesito, ma anche che il quesito sia attinente alla causa, essendo inammissibile il ricorso in cui è indicato un quesito generico, non suscettibile di immediata applicazione nella causa in oggetto.</w:t>
      </w:r>
      <w:r>
        <w:rPr>
          <w:rFonts w:ascii="Arial" w:hAnsi="Arial" w:cs="Arial"/>
          <w:color w:val="202122"/>
        </w:rPr>
        <w:br/>
        <w:t>Nel caso indicato al n. 5 (omessa, insufficiente o contraddittoria motivazione su un punto decisivo della controversia), il ricorrente deve indicare con precisione il fatto controverso e la ragioni per cui la motivazione è illegittima.</w:t>
      </w:r>
    </w:p>
    <w:p w:rsidR="004B4DFB" w:rsidRDefault="004B4DFB" w:rsidP="004B4DFB">
      <w:pPr>
        <w:rPr>
          <w:rFonts w:ascii="Arial" w:hAnsi="Arial" w:cs="Arial"/>
          <w:sz w:val="24"/>
          <w:szCs w:val="24"/>
        </w:rPr>
      </w:pPr>
      <w:r>
        <w:rPr>
          <w:rFonts w:ascii="Arial" w:hAnsi="Arial" w:cs="Arial"/>
          <w:sz w:val="24"/>
          <w:szCs w:val="24"/>
        </w:rPr>
        <w:t xml:space="preserve"> L’istanza di sospensione è decisa entro 180 giorni dalla data di presentazione della stessa. Se l’atto impugnato viene sospeso, la trattazione della controversia deve essere fissata non oltre 90 giorni dalla pronuncia. </w:t>
      </w:r>
    </w:p>
    <w:p w:rsidR="004B4DFB" w:rsidRDefault="004B4DFB" w:rsidP="004B4DFB">
      <w:pPr>
        <w:rPr>
          <w:rFonts w:ascii="Arial" w:hAnsi="Arial" w:cs="Arial"/>
          <w:sz w:val="24"/>
          <w:szCs w:val="24"/>
        </w:rPr>
      </w:pPr>
      <w:r>
        <w:rPr>
          <w:rFonts w:ascii="Arial" w:hAnsi="Arial" w:cs="Arial"/>
          <w:sz w:val="24"/>
          <w:szCs w:val="24"/>
        </w:rPr>
        <w:t>Se la Commissione concede la sospensione, gli effetti permangono fino alla data di pubblicazione della sentenza di primo grado. La sospensione può anche essere parziale e subordinata alla prestazione di idonea garanzia mediante cauzione o fideiussione bancaria o assicurativa.</w:t>
      </w:r>
    </w:p>
    <w:p w:rsidR="004B4DFB" w:rsidRDefault="004B4DFB" w:rsidP="004B4DFB">
      <w:pPr>
        <w:rPr>
          <w:rFonts w:ascii="Arial" w:hAnsi="Arial" w:cs="Arial"/>
          <w:sz w:val="24"/>
          <w:szCs w:val="24"/>
        </w:rPr>
      </w:pPr>
      <w:r>
        <w:rPr>
          <w:rFonts w:ascii="Arial" w:hAnsi="Arial" w:cs="Arial"/>
          <w:sz w:val="24"/>
          <w:szCs w:val="24"/>
        </w:rPr>
        <w:t>Quando il giudizio è in materia di sanzioni tributarie, la sospensione può essere disposta dalla Commissione tributaria regionale, che deve necessariamente concederla se il contribuente produce un’idonea garanzia, anche a mezzo fideiussione bancaria o assicurativa.</w:t>
      </w:r>
    </w:p>
    <w:p w:rsidR="004B4DFB" w:rsidRDefault="004B4DFB" w:rsidP="004B4DFB">
      <w:pPr>
        <w:rPr>
          <w:rFonts w:ascii="Arial" w:hAnsi="Arial" w:cs="Arial"/>
          <w:sz w:val="24"/>
          <w:szCs w:val="24"/>
        </w:rPr>
      </w:pPr>
      <w:r>
        <w:rPr>
          <w:rFonts w:ascii="Arial" w:hAnsi="Arial" w:cs="Arial"/>
          <w:sz w:val="24"/>
          <w:szCs w:val="24"/>
        </w:rPr>
        <w:t xml:space="preserve">A seguito delle modifiche introdotte dal decreto legislativo n. 156/2015, è possibile richiedere la </w:t>
      </w:r>
      <w:r>
        <w:rPr>
          <w:rFonts w:ascii="Arial" w:hAnsi="Arial" w:cs="Arial"/>
          <w:color w:val="FF0000"/>
          <w:sz w:val="24"/>
          <w:szCs w:val="24"/>
        </w:rPr>
        <w:t xml:space="preserve">sospensione degli effetti della sentenza </w:t>
      </w:r>
      <w:r>
        <w:rPr>
          <w:rFonts w:ascii="Arial" w:hAnsi="Arial" w:cs="Arial"/>
          <w:sz w:val="24"/>
          <w:szCs w:val="24"/>
        </w:rPr>
        <w:t>sia di primo grado sia di appello. In particolare, l’appellante può chiedere alla Commissione tributaria regionale di sospendere, in tutto o in parte, l’esecutività della sentenza impugnata, se sussistono “gravi e fondati motivi”. Inoltre, la parte che ha proposto ricorso per cassazione può chiedere alla Commissione che ha pronunciato la sentenza impugnata di sospenderne in tutto o in parte l’esecutività, per evitare che si verifichi un danno grave e irreparabile.</w:t>
      </w:r>
    </w:p>
    <w:p w:rsidR="004B4DFB" w:rsidRDefault="004B4DFB" w:rsidP="004B4DFB">
      <w:pPr>
        <w:rPr>
          <w:rFonts w:ascii="Arial" w:hAnsi="Arial" w:cs="Arial"/>
          <w:sz w:val="24"/>
          <w:szCs w:val="24"/>
        </w:rPr>
      </w:pPr>
      <w:r>
        <w:rPr>
          <w:rFonts w:ascii="Arial" w:hAnsi="Arial" w:cs="Arial"/>
          <w:sz w:val="24"/>
          <w:szCs w:val="24"/>
        </w:rPr>
        <w:t xml:space="preserve">La controversia è trattata, di norma, in “camera di consiglio” (senza la presenza delle parti). Se una delle parti vuole che il ricorso sia discusso in udienza pubblica, deve farne richiesta alla Commissione con istanza da depositare in segreteria e da notificare alle altre parti costituite nei 10 giorni liberi prima della data di trattazione. </w:t>
      </w:r>
    </w:p>
    <w:p w:rsidR="004B4DFB" w:rsidRDefault="004B4DFB" w:rsidP="004B4DFB">
      <w:pPr>
        <w:rPr>
          <w:rFonts w:ascii="Arial" w:hAnsi="Arial" w:cs="Arial"/>
          <w:sz w:val="24"/>
          <w:szCs w:val="24"/>
        </w:rPr>
      </w:pPr>
      <w:r>
        <w:rPr>
          <w:rFonts w:ascii="Arial" w:hAnsi="Arial" w:cs="Arial"/>
          <w:sz w:val="24"/>
          <w:szCs w:val="24"/>
        </w:rPr>
        <w:t>L’istanza di pubblica udienza può anche essere proposta contestualmente al ricorso o ad altri atti processuali.</w:t>
      </w:r>
    </w:p>
    <w:p w:rsidR="004B4DFB" w:rsidRDefault="004B4DFB" w:rsidP="004B4DFB">
      <w:pPr>
        <w:rPr>
          <w:rFonts w:ascii="Arial" w:hAnsi="Arial" w:cs="Arial"/>
          <w:sz w:val="24"/>
          <w:szCs w:val="24"/>
        </w:rPr>
      </w:pPr>
      <w:r>
        <w:rPr>
          <w:rFonts w:ascii="Arial" w:hAnsi="Arial" w:cs="Arial"/>
          <w:sz w:val="24"/>
          <w:szCs w:val="24"/>
        </w:rPr>
        <w:t xml:space="preserve">La sentenza è resa pubblica mediante deposito nella segreteria della Commissione tributaria entro 30 giorni dalla data della deliberazione e il dispositivo della sentenza viene comunicato dalla segreteria della Commissione alle parti costituite entro 10 giorni dal deposito. All’eventuale notifica della sentenza, invece, provvedono le parti (sarà la parte che vi ha interesse a notificare la sentenza alle altre). La parte che ha provveduto alla </w:t>
      </w:r>
      <w:r>
        <w:rPr>
          <w:rFonts w:ascii="Arial" w:hAnsi="Arial" w:cs="Arial"/>
          <w:sz w:val="24"/>
          <w:szCs w:val="24"/>
        </w:rPr>
        <w:lastRenderedPageBreak/>
        <w:t>notifica della sentenza, nei successivi 30 giorni dovrà depositarne l’originale o copia autentica presso la segreteria della Commissione.</w:t>
      </w:r>
    </w:p>
    <w:p w:rsidR="004B4DFB" w:rsidRDefault="004B4DFB" w:rsidP="004B4DFB">
      <w:pPr>
        <w:rPr>
          <w:rFonts w:ascii="Arial" w:hAnsi="Arial" w:cs="Arial"/>
          <w:sz w:val="24"/>
          <w:szCs w:val="24"/>
        </w:rPr>
      </w:pPr>
      <w:r>
        <w:rPr>
          <w:rFonts w:ascii="Arial" w:hAnsi="Arial" w:cs="Arial"/>
          <w:sz w:val="24"/>
          <w:szCs w:val="24"/>
        </w:rPr>
        <w:t>Se l’ufficio non ottempera a quanto stabilito, il contribuente può presentare un ulteriore ricorso, per chiedere l’esecuzione della sentenza (giudizio di ottemperanza), alla Commissione tributaria provinciale ovvero, se il giudizio è pendente nei gradi successivi, alla Commissione tributaria regionale.</w:t>
      </w:r>
    </w:p>
    <w:p w:rsidR="004B4DFB" w:rsidRDefault="004B4DFB" w:rsidP="004B4DFB">
      <w:pPr>
        <w:rPr>
          <w:rFonts w:ascii="Arial" w:hAnsi="Arial" w:cs="Arial"/>
          <w:sz w:val="24"/>
          <w:szCs w:val="24"/>
        </w:rPr>
      </w:pPr>
      <w:r>
        <w:rPr>
          <w:rFonts w:ascii="Arial" w:hAnsi="Arial" w:cs="Arial"/>
          <w:sz w:val="24"/>
          <w:szCs w:val="24"/>
        </w:rPr>
        <w:t xml:space="preserve"> Con la sentenza la Commissione tributaria decide anche l’ammontare delle spese processuali a carico della parte soccombente. </w:t>
      </w:r>
    </w:p>
    <w:p w:rsidR="004B4DFB" w:rsidRDefault="004B4DFB" w:rsidP="004B4DFB">
      <w:pPr>
        <w:rPr>
          <w:rFonts w:ascii="Arial" w:hAnsi="Arial" w:cs="Arial"/>
          <w:sz w:val="24"/>
          <w:szCs w:val="24"/>
        </w:rPr>
      </w:pPr>
      <w:r>
        <w:rPr>
          <w:rFonts w:ascii="Arial" w:hAnsi="Arial" w:cs="Arial"/>
          <w:sz w:val="24"/>
          <w:szCs w:val="24"/>
        </w:rPr>
        <w:t xml:space="preserve">In caso di soccombenza reciproca o qualora sussistano gravi ed eccezionali ragioni, che devono essere espressamente motivate, la Commissione tributaria può decidere di compensare le spese tra le parti del giudizio. </w:t>
      </w:r>
    </w:p>
    <w:p w:rsidR="004B4DFB" w:rsidRDefault="004B4DFB" w:rsidP="004B4DFB">
      <w:pPr>
        <w:rPr>
          <w:rFonts w:ascii="Arial" w:hAnsi="Arial" w:cs="Arial"/>
          <w:sz w:val="24"/>
          <w:szCs w:val="24"/>
        </w:rPr>
      </w:pPr>
      <w:r>
        <w:rPr>
          <w:rFonts w:ascii="Arial" w:hAnsi="Arial" w:cs="Arial"/>
          <w:sz w:val="24"/>
          <w:szCs w:val="24"/>
        </w:rPr>
        <w:t>Le sentenze favorevoli al contribuente sono immediatamente esecutive anche per quanto riguarda le spese di giudizio.</w:t>
      </w:r>
    </w:p>
    <w:p w:rsidR="004B4DFB" w:rsidRDefault="004B4DFB" w:rsidP="004B4DFB">
      <w:pPr>
        <w:rPr>
          <w:rFonts w:ascii="Arial" w:hAnsi="Arial" w:cs="Arial"/>
          <w:sz w:val="24"/>
          <w:szCs w:val="24"/>
        </w:rPr>
      </w:pPr>
      <w:r>
        <w:rPr>
          <w:rFonts w:ascii="Arial" w:hAnsi="Arial" w:cs="Arial"/>
          <w:sz w:val="24"/>
          <w:szCs w:val="24"/>
        </w:rPr>
        <w:t xml:space="preserve">La sentenza della Commissione provinciale può essere appellata alla Commissione regionale competente. Il termine per impugnare la sentenza della Commissione tributaria provinciale è di 60 giorni, decorrente dalla notifica effettuata da una delle parti. </w:t>
      </w:r>
    </w:p>
    <w:p w:rsidR="004B4DFB" w:rsidRDefault="004B4DFB" w:rsidP="004B4DFB">
      <w:pPr>
        <w:rPr>
          <w:rFonts w:ascii="Arial" w:hAnsi="Arial" w:cs="Arial"/>
          <w:sz w:val="24"/>
          <w:szCs w:val="24"/>
        </w:rPr>
      </w:pPr>
      <w:r>
        <w:rPr>
          <w:rFonts w:ascii="Arial" w:hAnsi="Arial" w:cs="Arial"/>
          <w:sz w:val="24"/>
          <w:szCs w:val="24"/>
        </w:rPr>
        <w:t xml:space="preserve">Se la sentenza della Commissione tributaria provinciale non è stata notificata, il termine per proporre appello è più lungo (sei mesi dalla pubblicazione della sentenza). </w:t>
      </w:r>
    </w:p>
    <w:p w:rsidR="004B4DFB" w:rsidRDefault="004B4DFB" w:rsidP="004B4DFB">
      <w:pPr>
        <w:rPr>
          <w:rFonts w:ascii="Arial" w:hAnsi="Arial" w:cs="Arial"/>
          <w:sz w:val="24"/>
          <w:szCs w:val="24"/>
        </w:rPr>
      </w:pPr>
      <w:r>
        <w:rPr>
          <w:rFonts w:ascii="Arial" w:hAnsi="Arial" w:cs="Arial"/>
          <w:sz w:val="24"/>
          <w:szCs w:val="24"/>
        </w:rPr>
        <w:t xml:space="preserve">Trova sempre applicazione la sospensione dei termini feriali (dal 1° al 31 agosto). Il ricorso in appello è proposto (nelle stesse forme del ricorso alla Commissione tributaria provinciale) nei confronti di tutte le parti che hanno partecipato al giudizio di primo grado e deve essere depositato, entro 30 giorni dalla proposizione, nella segreteria della Commissione tributaria regionale adita. </w:t>
      </w:r>
    </w:p>
    <w:p w:rsidR="004B4DFB" w:rsidRDefault="004B4DFB" w:rsidP="004B4DFB">
      <w:pPr>
        <w:rPr>
          <w:rFonts w:ascii="Arial" w:hAnsi="Arial" w:cs="Arial"/>
          <w:sz w:val="24"/>
          <w:szCs w:val="24"/>
        </w:rPr>
      </w:pPr>
      <w:r>
        <w:rPr>
          <w:rFonts w:ascii="Arial" w:hAnsi="Arial" w:cs="Arial"/>
          <w:sz w:val="24"/>
          <w:szCs w:val="24"/>
        </w:rPr>
        <w:t xml:space="preserve">Il ricorso in Cassazione Le sentenze pronunciate in grado d’appello possono essere impugnate con ricorso per cassazione solo per i seguenti motivi: </w:t>
      </w:r>
    </w:p>
    <w:p w:rsidR="004B4DFB" w:rsidRDefault="004B4DFB" w:rsidP="004B4DFB">
      <w:pPr>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motivi attinenti alla giurisdizione</w:t>
      </w:r>
    </w:p>
    <w:p w:rsidR="004B4DFB" w:rsidRDefault="004B4DFB" w:rsidP="004B4DFB">
      <w:pPr>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B7"/>
      </w:r>
      <w:r>
        <w:rPr>
          <w:rFonts w:ascii="Arial" w:hAnsi="Arial" w:cs="Arial"/>
          <w:sz w:val="24"/>
          <w:szCs w:val="24"/>
        </w:rPr>
        <w:t xml:space="preserve"> violazione delle norme sulla competenza, quando non è prescritto il regolamento di competenza </w:t>
      </w:r>
    </w:p>
    <w:p w:rsidR="004B4DFB" w:rsidRDefault="004B4DFB" w:rsidP="004B4DFB">
      <w:pPr>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violazione o falsa applicazione di norme di diritto </w:t>
      </w:r>
    </w:p>
    <w:p w:rsidR="004B4DFB" w:rsidRDefault="004B4DFB" w:rsidP="004B4DFB">
      <w:pPr>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nullità della sentenza o del procedimento </w:t>
      </w:r>
    </w:p>
    <w:p w:rsidR="004B4DFB" w:rsidRDefault="004B4DFB" w:rsidP="004B4DFB">
      <w:pPr>
        <w:rPr>
          <w:rFonts w:ascii="Arial" w:hAnsi="Arial" w:cs="Arial"/>
          <w:sz w:val="24"/>
          <w:szCs w:val="24"/>
        </w:rPr>
      </w:pPr>
      <w:r>
        <w:rPr>
          <w:rFonts w:ascii="Arial" w:hAnsi="Arial" w:cs="Arial"/>
          <w:sz w:val="24"/>
          <w:szCs w:val="24"/>
        </w:rPr>
        <w:sym w:font="Symbol" w:char="00B7"/>
      </w:r>
      <w:r>
        <w:rPr>
          <w:rFonts w:ascii="Arial" w:hAnsi="Arial" w:cs="Arial"/>
          <w:sz w:val="24"/>
          <w:szCs w:val="24"/>
        </w:rPr>
        <w:t xml:space="preserve"> omessa, insufficiente o contraddittoria motivazione circa un fatto controverso e decisivo per il giudizio. </w:t>
      </w:r>
    </w:p>
    <w:p w:rsidR="004B4DFB" w:rsidRDefault="004B4DFB" w:rsidP="004B4DFB">
      <w:pPr>
        <w:rPr>
          <w:rFonts w:ascii="Arial" w:hAnsi="Arial" w:cs="Arial"/>
          <w:sz w:val="24"/>
          <w:szCs w:val="24"/>
        </w:rPr>
      </w:pPr>
      <w:r>
        <w:rPr>
          <w:rFonts w:ascii="Arial" w:hAnsi="Arial" w:cs="Arial"/>
          <w:sz w:val="24"/>
          <w:szCs w:val="24"/>
        </w:rPr>
        <w:t xml:space="preserve">Inoltre, dal 1° gennaio 2016, può essere impugnata con ricorso per cassazione una sentenza emessa dalla Commissione tributaria provinciale (cosiddetto ricorso “per </w:t>
      </w:r>
      <w:r>
        <w:rPr>
          <w:rFonts w:ascii="Arial" w:hAnsi="Arial" w:cs="Arial"/>
          <w:sz w:val="24"/>
          <w:szCs w:val="24"/>
        </w:rPr>
        <w:lastRenderedPageBreak/>
        <w:t>saltum”), saltando così il giudizio d’appello. Tuttavia, questa possibilità è prevista solo se vi è un accordo delle parti in giudizio e quando il ricorso riguarda una questione di diritto.</w:t>
      </w:r>
    </w:p>
    <w:p w:rsidR="004B4DFB" w:rsidRDefault="004B4DFB" w:rsidP="004B4DFB">
      <w:pPr>
        <w:rPr>
          <w:rFonts w:ascii="Arial" w:hAnsi="Arial" w:cs="Arial"/>
          <w:sz w:val="24"/>
          <w:szCs w:val="24"/>
        </w:rPr>
      </w:pPr>
      <w:r>
        <w:rPr>
          <w:rFonts w:ascii="Arial" w:hAnsi="Arial" w:cs="Arial"/>
          <w:sz w:val="24"/>
          <w:szCs w:val="24"/>
        </w:rPr>
        <w:t>Il processo tributario telematico è stato avviato il 1° dicembre 2015. Inizialmente in vigore solo in alcune regioni, è poi stato gradualmente esteso a tutte le Commissioni tributarie. Dal 15 luglio 2017 il processo tributario telematico è attivo in tutto il Paese. Pertanto, presso tutte le Commissioni tributarie le parti hanno avuto la possibilità di utilizzare la posta elettronica certificata per la notifica del ricorso, anche in appello, e di effettuare il successivo deposito in via telematica degli atti e documenti del processo utilizzando il Sistema Informativo della Giustizia Tributaria (S.I.Gi.T.)</w:t>
      </w:r>
    </w:p>
    <w:p w:rsidR="004B4DFB" w:rsidRDefault="004B4DFB" w:rsidP="004B4DFB">
      <w:pPr>
        <w:rPr>
          <w:rFonts w:ascii="Arial" w:hAnsi="Arial" w:cs="Arial"/>
          <w:sz w:val="24"/>
          <w:szCs w:val="24"/>
        </w:rPr>
      </w:pPr>
    </w:p>
    <w:p w:rsidR="004B4DFB" w:rsidRDefault="004B4DFB" w:rsidP="004B4DFB">
      <w:pPr>
        <w:rPr>
          <w:rFonts w:ascii="Arial" w:hAnsi="Arial" w:cs="Arial"/>
          <w:sz w:val="24"/>
          <w:szCs w:val="24"/>
        </w:rPr>
      </w:pPr>
      <w:r>
        <w:rPr>
          <w:rFonts w:ascii="Arial" w:hAnsi="Arial" w:cs="Arial"/>
          <w:sz w:val="24"/>
          <w:szCs w:val="24"/>
        </w:rPr>
        <w:br/>
      </w:r>
    </w:p>
    <w:p w:rsidR="004B4DFB" w:rsidRDefault="004B4DFB" w:rsidP="004B4DFB">
      <w:pPr>
        <w:pStyle w:val="NormaleWeb"/>
        <w:shd w:val="clear" w:color="auto" w:fill="FFFFFF"/>
        <w:spacing w:before="0" w:beforeAutospacing="0" w:after="136" w:afterAutospacing="0"/>
        <w:rPr>
          <w:rFonts w:ascii="Arial" w:hAnsi="Arial" w:cs="Arial"/>
          <w:color w:val="333333"/>
        </w:rPr>
      </w:pPr>
    </w:p>
    <w:p w:rsidR="004B4DFB" w:rsidRDefault="004B4DFB" w:rsidP="004B4DFB">
      <w:pPr>
        <w:rPr>
          <w:rFonts w:ascii="Arial" w:hAnsi="Arial" w:cs="Arial"/>
          <w:sz w:val="24"/>
          <w:szCs w:val="24"/>
        </w:rPr>
      </w:pPr>
      <w:r>
        <w:rPr>
          <w:rFonts w:ascii="Arial" w:hAnsi="Arial" w:cs="Arial"/>
          <w:sz w:val="24"/>
          <w:szCs w:val="24"/>
        </w:rPr>
        <w:t xml:space="preserve"> </w:t>
      </w:r>
    </w:p>
    <w:p w:rsidR="004B4DFB" w:rsidRPr="00413BE2" w:rsidRDefault="004B4DFB" w:rsidP="00385002">
      <w:pPr>
        <w:pStyle w:val="NormaleWeb"/>
        <w:rPr>
          <w:rFonts w:ascii="Arial" w:eastAsia="Arial Unicode MS" w:hAnsi="Arial" w:cs="Arial"/>
          <w:color w:val="000080"/>
        </w:rPr>
      </w:pPr>
    </w:p>
    <w:p w:rsidR="00FD7CF4" w:rsidRPr="00413BE2" w:rsidRDefault="00FD7CF4">
      <w:pPr>
        <w:rPr>
          <w:rFonts w:ascii="Arial" w:hAnsi="Arial" w:cs="Arial"/>
          <w:b/>
          <w:sz w:val="24"/>
          <w:szCs w:val="24"/>
        </w:rPr>
      </w:pPr>
    </w:p>
    <w:sectPr w:rsidR="00FD7CF4" w:rsidRPr="00413BE2" w:rsidSect="00331DC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401B7"/>
    <w:multiLevelType w:val="hybridMultilevel"/>
    <w:tmpl w:val="E63E7990"/>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050072DD"/>
    <w:multiLevelType w:val="multilevel"/>
    <w:tmpl w:val="C5A0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644747"/>
    <w:multiLevelType w:val="multilevel"/>
    <w:tmpl w:val="F232F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2772A7"/>
    <w:multiLevelType w:val="multilevel"/>
    <w:tmpl w:val="81B817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BCF2915"/>
    <w:multiLevelType w:val="multilevel"/>
    <w:tmpl w:val="8A5C50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43279F1"/>
    <w:multiLevelType w:val="multilevel"/>
    <w:tmpl w:val="E050EB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FD61A77"/>
    <w:multiLevelType w:val="hybridMultilevel"/>
    <w:tmpl w:val="9D64A57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230F24FD"/>
    <w:multiLevelType w:val="multilevel"/>
    <w:tmpl w:val="67C8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1C6B45"/>
    <w:multiLevelType w:val="multilevel"/>
    <w:tmpl w:val="EE06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834A20"/>
    <w:multiLevelType w:val="multilevel"/>
    <w:tmpl w:val="D0142D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AD61082"/>
    <w:multiLevelType w:val="multilevel"/>
    <w:tmpl w:val="0AE4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36421C"/>
    <w:multiLevelType w:val="multilevel"/>
    <w:tmpl w:val="E08283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D444DC1"/>
    <w:multiLevelType w:val="multilevel"/>
    <w:tmpl w:val="6B0064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3230039"/>
    <w:multiLevelType w:val="multilevel"/>
    <w:tmpl w:val="94CA71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348A4FFA"/>
    <w:multiLevelType w:val="multilevel"/>
    <w:tmpl w:val="DFE86F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4E328C0"/>
    <w:multiLevelType w:val="multilevel"/>
    <w:tmpl w:val="1716E5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3E1D1943"/>
    <w:multiLevelType w:val="multilevel"/>
    <w:tmpl w:val="C710538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3F3B0C5D"/>
    <w:multiLevelType w:val="multilevel"/>
    <w:tmpl w:val="2084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706DD5"/>
    <w:multiLevelType w:val="multilevel"/>
    <w:tmpl w:val="B17A40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41481F37"/>
    <w:multiLevelType w:val="multilevel"/>
    <w:tmpl w:val="595447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45D13112"/>
    <w:multiLevelType w:val="hybridMultilevel"/>
    <w:tmpl w:val="6B9CCBAA"/>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1">
    <w:nsid w:val="46713134"/>
    <w:multiLevelType w:val="multilevel"/>
    <w:tmpl w:val="91420D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482F6E1B"/>
    <w:multiLevelType w:val="hybridMultilevel"/>
    <w:tmpl w:val="80A0D9F6"/>
    <w:lvl w:ilvl="0" w:tplc="04100001">
      <w:start w:val="1"/>
      <w:numFmt w:val="bullet"/>
      <w:lvlText w:val=""/>
      <w:lvlJc w:val="left"/>
      <w:pPr>
        <w:ind w:left="788"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nsid w:val="4EF842ED"/>
    <w:multiLevelType w:val="multilevel"/>
    <w:tmpl w:val="7E4CC8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50162071"/>
    <w:multiLevelType w:val="multilevel"/>
    <w:tmpl w:val="9278AD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514E6E1F"/>
    <w:multiLevelType w:val="multilevel"/>
    <w:tmpl w:val="C354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3A4564"/>
    <w:multiLevelType w:val="multilevel"/>
    <w:tmpl w:val="9E16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6589D"/>
    <w:multiLevelType w:val="hybridMultilevel"/>
    <w:tmpl w:val="A826395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nsid w:val="57B57239"/>
    <w:multiLevelType w:val="multilevel"/>
    <w:tmpl w:val="7B40B0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nsid w:val="5D6253A6"/>
    <w:multiLevelType w:val="multilevel"/>
    <w:tmpl w:val="97424D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6088036A"/>
    <w:multiLevelType w:val="multilevel"/>
    <w:tmpl w:val="59D49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275DB8"/>
    <w:multiLevelType w:val="hybridMultilevel"/>
    <w:tmpl w:val="601C70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A395563"/>
    <w:multiLevelType w:val="multilevel"/>
    <w:tmpl w:val="E5E4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CEA2DF8"/>
    <w:multiLevelType w:val="multilevel"/>
    <w:tmpl w:val="91EA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214B76"/>
    <w:multiLevelType w:val="multilevel"/>
    <w:tmpl w:val="7702E8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6F555B71"/>
    <w:multiLevelType w:val="multilevel"/>
    <w:tmpl w:val="8A9038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F986A84"/>
    <w:multiLevelType w:val="multilevel"/>
    <w:tmpl w:val="517EC0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6FE271D7"/>
    <w:multiLevelType w:val="multilevel"/>
    <w:tmpl w:val="4CCCB55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F530A2"/>
    <w:multiLevelType w:val="multilevel"/>
    <w:tmpl w:val="ECE46E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nsid w:val="754403AE"/>
    <w:multiLevelType w:val="multilevel"/>
    <w:tmpl w:val="D256BB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76E751DF"/>
    <w:multiLevelType w:val="multilevel"/>
    <w:tmpl w:val="56DA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5B1C2E"/>
    <w:multiLevelType w:val="multilevel"/>
    <w:tmpl w:val="9F8C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FC433F"/>
    <w:multiLevelType w:val="multilevel"/>
    <w:tmpl w:val="35C8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6"/>
  </w:num>
  <w:num w:numId="3">
    <w:abstractNumId w:val="42"/>
  </w:num>
  <w:num w:numId="4">
    <w:abstractNumId w:val="37"/>
  </w:num>
  <w:num w:numId="5">
    <w:abstractNumId w:val="40"/>
  </w:num>
  <w:num w:numId="6">
    <w:abstractNumId w:val="7"/>
  </w:num>
  <w:num w:numId="7">
    <w:abstractNumId w:val="10"/>
  </w:num>
  <w:num w:numId="8">
    <w:abstractNumId w:val="32"/>
  </w:num>
  <w:num w:numId="9">
    <w:abstractNumId w:val="8"/>
  </w:num>
  <w:num w:numId="10">
    <w:abstractNumId w:val="31"/>
  </w:num>
  <w:num w:numId="11">
    <w:abstractNumId w:val="1"/>
  </w:num>
  <w:num w:numId="12">
    <w:abstractNumId w:val="15"/>
  </w:num>
  <w:num w:numId="13">
    <w:abstractNumId w:val="3"/>
  </w:num>
  <w:num w:numId="14">
    <w:abstractNumId w:val="28"/>
  </w:num>
  <w:num w:numId="15">
    <w:abstractNumId w:val="36"/>
  </w:num>
  <w:num w:numId="16">
    <w:abstractNumId w:val="13"/>
  </w:num>
  <w:num w:numId="17">
    <w:abstractNumId w:val="38"/>
  </w:num>
  <w:num w:numId="18">
    <w:abstractNumId w:val="41"/>
  </w:num>
  <w:num w:numId="19">
    <w:abstractNumId w:val="25"/>
  </w:num>
  <w:num w:numId="20">
    <w:abstractNumId w:val="30"/>
  </w:num>
  <w:num w:numId="21">
    <w:abstractNumId w:val="33"/>
  </w:num>
  <w:num w:numId="22">
    <w:abstractNumId w:val="17"/>
  </w:num>
  <w:num w:numId="23">
    <w:abstractNumId w:val="18"/>
  </w:num>
  <w:num w:numId="24">
    <w:abstractNumId w:val="16"/>
  </w:num>
  <w:num w:numId="25">
    <w:abstractNumId w:val="34"/>
  </w:num>
  <w:num w:numId="26">
    <w:abstractNumId w:val="23"/>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BD4CB9"/>
    <w:rsid w:val="00041CE7"/>
    <w:rsid w:val="000B1C59"/>
    <w:rsid w:val="001140E0"/>
    <w:rsid w:val="002734FB"/>
    <w:rsid w:val="002B537F"/>
    <w:rsid w:val="002D6262"/>
    <w:rsid w:val="00331DCD"/>
    <w:rsid w:val="00385002"/>
    <w:rsid w:val="00413BE2"/>
    <w:rsid w:val="00442976"/>
    <w:rsid w:val="00465BDE"/>
    <w:rsid w:val="004B4DFB"/>
    <w:rsid w:val="004F1B70"/>
    <w:rsid w:val="00502BAC"/>
    <w:rsid w:val="00557BA3"/>
    <w:rsid w:val="006D22C1"/>
    <w:rsid w:val="006D76CC"/>
    <w:rsid w:val="007B3EA5"/>
    <w:rsid w:val="00846F3E"/>
    <w:rsid w:val="0085217A"/>
    <w:rsid w:val="00910729"/>
    <w:rsid w:val="009C6AC9"/>
    <w:rsid w:val="00AE77E4"/>
    <w:rsid w:val="00B9268B"/>
    <w:rsid w:val="00BB0B95"/>
    <w:rsid w:val="00BD4CB9"/>
    <w:rsid w:val="00C042BF"/>
    <w:rsid w:val="00C45CD4"/>
    <w:rsid w:val="00CC74FF"/>
    <w:rsid w:val="00D05B94"/>
    <w:rsid w:val="00D61BC2"/>
    <w:rsid w:val="00E31322"/>
    <w:rsid w:val="00E44AE2"/>
    <w:rsid w:val="00FD7CF4"/>
    <w:rsid w:val="00FF668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31DCD"/>
  </w:style>
  <w:style w:type="paragraph" w:styleId="Titolo2">
    <w:name w:val="heading 2"/>
    <w:basedOn w:val="Normale"/>
    <w:next w:val="Normale"/>
    <w:link w:val="Titolo2Carattere"/>
    <w:uiPriority w:val="9"/>
    <w:unhideWhenUsed/>
    <w:qFormat/>
    <w:rsid w:val="00CC74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2734F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2734FB"/>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D4CB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D4CB9"/>
    <w:rPr>
      <w:b/>
      <w:bCs/>
    </w:rPr>
  </w:style>
  <w:style w:type="character" w:styleId="Collegamentoipertestuale">
    <w:name w:val="Hyperlink"/>
    <w:basedOn w:val="Carpredefinitoparagrafo"/>
    <w:uiPriority w:val="99"/>
    <w:semiHidden/>
    <w:unhideWhenUsed/>
    <w:rsid w:val="00D05B94"/>
    <w:rPr>
      <w:color w:val="0000FF"/>
      <w:u w:val="single"/>
    </w:rPr>
  </w:style>
  <w:style w:type="character" w:customStyle="1" w:styleId="Titolo3Carattere">
    <w:name w:val="Titolo 3 Carattere"/>
    <w:basedOn w:val="Carpredefinitoparagrafo"/>
    <w:link w:val="Titolo3"/>
    <w:uiPriority w:val="9"/>
    <w:rsid w:val="002734FB"/>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2734FB"/>
    <w:rPr>
      <w:rFonts w:ascii="Times New Roman" w:eastAsia="Times New Roman" w:hAnsi="Times New Roman" w:cs="Times New Roman"/>
      <w:b/>
      <w:bCs/>
      <w:sz w:val="24"/>
      <w:szCs w:val="24"/>
      <w:lang w:eastAsia="it-IT"/>
    </w:rPr>
  </w:style>
  <w:style w:type="character" w:customStyle="1" w:styleId="mw-headline">
    <w:name w:val="mw-headline"/>
    <w:basedOn w:val="Carpredefinitoparagrafo"/>
    <w:rsid w:val="002734FB"/>
  </w:style>
  <w:style w:type="character" w:customStyle="1" w:styleId="mw-editsection">
    <w:name w:val="mw-editsection"/>
    <w:basedOn w:val="Carpredefinitoparagrafo"/>
    <w:rsid w:val="002734FB"/>
  </w:style>
  <w:style w:type="character" w:customStyle="1" w:styleId="mw-editsection-bracket">
    <w:name w:val="mw-editsection-bracket"/>
    <w:basedOn w:val="Carpredefinitoparagrafo"/>
    <w:rsid w:val="002734FB"/>
  </w:style>
  <w:style w:type="character" w:customStyle="1" w:styleId="mw-editsection-divider">
    <w:name w:val="mw-editsection-divider"/>
    <w:basedOn w:val="Carpredefinitoparagrafo"/>
    <w:rsid w:val="002734FB"/>
  </w:style>
  <w:style w:type="paragraph" w:styleId="Paragrafoelenco">
    <w:name w:val="List Paragraph"/>
    <w:basedOn w:val="Normale"/>
    <w:uiPriority w:val="34"/>
    <w:qFormat/>
    <w:rsid w:val="00FF6686"/>
    <w:pPr>
      <w:ind w:left="720"/>
      <w:contextualSpacing/>
    </w:pPr>
  </w:style>
  <w:style w:type="character" w:styleId="Enfasicorsivo">
    <w:name w:val="Emphasis"/>
    <w:basedOn w:val="Carpredefinitoparagrafo"/>
    <w:uiPriority w:val="20"/>
    <w:qFormat/>
    <w:rsid w:val="00BB0B95"/>
    <w:rPr>
      <w:i/>
      <w:iCs/>
    </w:rPr>
  </w:style>
  <w:style w:type="character" w:customStyle="1" w:styleId="ls4">
    <w:name w:val="ls4"/>
    <w:basedOn w:val="Carpredefinitoparagrafo"/>
    <w:rsid w:val="002D6262"/>
  </w:style>
  <w:style w:type="character" w:customStyle="1" w:styleId="ff1">
    <w:name w:val="ff1"/>
    <w:basedOn w:val="Carpredefinitoparagrafo"/>
    <w:rsid w:val="002D6262"/>
  </w:style>
  <w:style w:type="character" w:customStyle="1" w:styleId="Titolo2Carattere">
    <w:name w:val="Titolo 2 Carattere"/>
    <w:basedOn w:val="Carpredefinitoparagrafo"/>
    <w:link w:val="Titolo2"/>
    <w:uiPriority w:val="9"/>
    <w:rsid w:val="00CC74FF"/>
    <w:rPr>
      <w:rFonts w:asciiTheme="majorHAnsi" w:eastAsiaTheme="majorEastAsia" w:hAnsiTheme="majorHAnsi" w:cstheme="majorBidi"/>
      <w:b/>
      <w:bCs/>
      <w:color w:val="4F81BD" w:themeColor="accent1"/>
      <w:sz w:val="26"/>
      <w:szCs w:val="26"/>
    </w:rPr>
  </w:style>
  <w:style w:type="paragraph" w:customStyle="1" w:styleId="alert">
    <w:name w:val="alert"/>
    <w:basedOn w:val="Normale"/>
    <w:uiPriority w:val="99"/>
    <w:rsid w:val="004B4DF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4B4DFB"/>
  </w:style>
</w:styles>
</file>

<file path=word/webSettings.xml><?xml version="1.0" encoding="utf-8"?>
<w:webSettings xmlns:r="http://schemas.openxmlformats.org/officeDocument/2006/relationships" xmlns:w="http://schemas.openxmlformats.org/wordprocessingml/2006/main">
  <w:divs>
    <w:div w:id="12733067">
      <w:bodyDiv w:val="1"/>
      <w:marLeft w:val="0"/>
      <w:marRight w:val="0"/>
      <w:marTop w:val="0"/>
      <w:marBottom w:val="0"/>
      <w:divBdr>
        <w:top w:val="none" w:sz="0" w:space="0" w:color="auto"/>
        <w:left w:val="none" w:sz="0" w:space="0" w:color="auto"/>
        <w:bottom w:val="none" w:sz="0" w:space="0" w:color="auto"/>
        <w:right w:val="none" w:sz="0" w:space="0" w:color="auto"/>
      </w:divBdr>
    </w:div>
    <w:div w:id="284629239">
      <w:bodyDiv w:val="1"/>
      <w:marLeft w:val="0"/>
      <w:marRight w:val="0"/>
      <w:marTop w:val="0"/>
      <w:marBottom w:val="0"/>
      <w:divBdr>
        <w:top w:val="none" w:sz="0" w:space="0" w:color="auto"/>
        <w:left w:val="none" w:sz="0" w:space="0" w:color="auto"/>
        <w:bottom w:val="none" w:sz="0" w:space="0" w:color="auto"/>
        <w:right w:val="none" w:sz="0" w:space="0" w:color="auto"/>
      </w:divBdr>
    </w:div>
    <w:div w:id="296960880">
      <w:bodyDiv w:val="1"/>
      <w:marLeft w:val="0"/>
      <w:marRight w:val="0"/>
      <w:marTop w:val="0"/>
      <w:marBottom w:val="0"/>
      <w:divBdr>
        <w:top w:val="none" w:sz="0" w:space="0" w:color="auto"/>
        <w:left w:val="none" w:sz="0" w:space="0" w:color="auto"/>
        <w:bottom w:val="none" w:sz="0" w:space="0" w:color="auto"/>
        <w:right w:val="none" w:sz="0" w:space="0" w:color="auto"/>
      </w:divBdr>
    </w:div>
    <w:div w:id="301232780">
      <w:bodyDiv w:val="1"/>
      <w:marLeft w:val="0"/>
      <w:marRight w:val="0"/>
      <w:marTop w:val="0"/>
      <w:marBottom w:val="0"/>
      <w:divBdr>
        <w:top w:val="none" w:sz="0" w:space="0" w:color="auto"/>
        <w:left w:val="none" w:sz="0" w:space="0" w:color="auto"/>
        <w:bottom w:val="none" w:sz="0" w:space="0" w:color="auto"/>
        <w:right w:val="none" w:sz="0" w:space="0" w:color="auto"/>
      </w:divBdr>
    </w:div>
    <w:div w:id="325785105">
      <w:bodyDiv w:val="1"/>
      <w:marLeft w:val="0"/>
      <w:marRight w:val="0"/>
      <w:marTop w:val="0"/>
      <w:marBottom w:val="0"/>
      <w:divBdr>
        <w:top w:val="none" w:sz="0" w:space="0" w:color="auto"/>
        <w:left w:val="none" w:sz="0" w:space="0" w:color="auto"/>
        <w:bottom w:val="none" w:sz="0" w:space="0" w:color="auto"/>
        <w:right w:val="none" w:sz="0" w:space="0" w:color="auto"/>
      </w:divBdr>
    </w:div>
    <w:div w:id="343358422">
      <w:bodyDiv w:val="1"/>
      <w:marLeft w:val="0"/>
      <w:marRight w:val="0"/>
      <w:marTop w:val="0"/>
      <w:marBottom w:val="0"/>
      <w:divBdr>
        <w:top w:val="none" w:sz="0" w:space="0" w:color="auto"/>
        <w:left w:val="none" w:sz="0" w:space="0" w:color="auto"/>
        <w:bottom w:val="none" w:sz="0" w:space="0" w:color="auto"/>
        <w:right w:val="none" w:sz="0" w:space="0" w:color="auto"/>
      </w:divBdr>
    </w:div>
    <w:div w:id="547768103">
      <w:bodyDiv w:val="1"/>
      <w:marLeft w:val="0"/>
      <w:marRight w:val="0"/>
      <w:marTop w:val="0"/>
      <w:marBottom w:val="0"/>
      <w:divBdr>
        <w:top w:val="none" w:sz="0" w:space="0" w:color="auto"/>
        <w:left w:val="none" w:sz="0" w:space="0" w:color="auto"/>
        <w:bottom w:val="none" w:sz="0" w:space="0" w:color="auto"/>
        <w:right w:val="none" w:sz="0" w:space="0" w:color="auto"/>
      </w:divBdr>
    </w:div>
    <w:div w:id="716586049">
      <w:bodyDiv w:val="1"/>
      <w:marLeft w:val="0"/>
      <w:marRight w:val="0"/>
      <w:marTop w:val="0"/>
      <w:marBottom w:val="0"/>
      <w:divBdr>
        <w:top w:val="none" w:sz="0" w:space="0" w:color="auto"/>
        <w:left w:val="none" w:sz="0" w:space="0" w:color="auto"/>
        <w:bottom w:val="none" w:sz="0" w:space="0" w:color="auto"/>
        <w:right w:val="none" w:sz="0" w:space="0" w:color="auto"/>
      </w:divBdr>
    </w:div>
    <w:div w:id="832456600">
      <w:bodyDiv w:val="1"/>
      <w:marLeft w:val="0"/>
      <w:marRight w:val="0"/>
      <w:marTop w:val="0"/>
      <w:marBottom w:val="0"/>
      <w:divBdr>
        <w:top w:val="none" w:sz="0" w:space="0" w:color="auto"/>
        <w:left w:val="none" w:sz="0" w:space="0" w:color="auto"/>
        <w:bottom w:val="none" w:sz="0" w:space="0" w:color="auto"/>
        <w:right w:val="none" w:sz="0" w:space="0" w:color="auto"/>
      </w:divBdr>
    </w:div>
    <w:div w:id="945385234">
      <w:bodyDiv w:val="1"/>
      <w:marLeft w:val="0"/>
      <w:marRight w:val="0"/>
      <w:marTop w:val="0"/>
      <w:marBottom w:val="0"/>
      <w:divBdr>
        <w:top w:val="none" w:sz="0" w:space="0" w:color="auto"/>
        <w:left w:val="none" w:sz="0" w:space="0" w:color="auto"/>
        <w:bottom w:val="none" w:sz="0" w:space="0" w:color="auto"/>
        <w:right w:val="none" w:sz="0" w:space="0" w:color="auto"/>
      </w:divBdr>
    </w:div>
    <w:div w:id="955867248">
      <w:bodyDiv w:val="1"/>
      <w:marLeft w:val="0"/>
      <w:marRight w:val="0"/>
      <w:marTop w:val="0"/>
      <w:marBottom w:val="0"/>
      <w:divBdr>
        <w:top w:val="none" w:sz="0" w:space="0" w:color="auto"/>
        <w:left w:val="none" w:sz="0" w:space="0" w:color="auto"/>
        <w:bottom w:val="none" w:sz="0" w:space="0" w:color="auto"/>
        <w:right w:val="none" w:sz="0" w:space="0" w:color="auto"/>
      </w:divBdr>
    </w:div>
    <w:div w:id="1053037592">
      <w:bodyDiv w:val="1"/>
      <w:marLeft w:val="0"/>
      <w:marRight w:val="0"/>
      <w:marTop w:val="0"/>
      <w:marBottom w:val="0"/>
      <w:divBdr>
        <w:top w:val="none" w:sz="0" w:space="0" w:color="auto"/>
        <w:left w:val="none" w:sz="0" w:space="0" w:color="auto"/>
        <w:bottom w:val="none" w:sz="0" w:space="0" w:color="auto"/>
        <w:right w:val="none" w:sz="0" w:space="0" w:color="auto"/>
      </w:divBdr>
      <w:divsChild>
        <w:div w:id="1054548194">
          <w:marLeft w:val="0"/>
          <w:marRight w:val="0"/>
          <w:marTop w:val="0"/>
          <w:marBottom w:val="0"/>
          <w:divBdr>
            <w:top w:val="none" w:sz="0" w:space="0" w:color="auto"/>
            <w:left w:val="none" w:sz="0" w:space="0" w:color="auto"/>
            <w:bottom w:val="none" w:sz="0" w:space="0" w:color="auto"/>
            <w:right w:val="none" w:sz="0" w:space="0" w:color="auto"/>
          </w:divBdr>
        </w:div>
        <w:div w:id="404836182">
          <w:marLeft w:val="0"/>
          <w:marRight w:val="0"/>
          <w:marTop w:val="0"/>
          <w:marBottom w:val="0"/>
          <w:divBdr>
            <w:top w:val="none" w:sz="0" w:space="0" w:color="auto"/>
            <w:left w:val="none" w:sz="0" w:space="0" w:color="auto"/>
            <w:bottom w:val="none" w:sz="0" w:space="0" w:color="auto"/>
            <w:right w:val="none" w:sz="0" w:space="0" w:color="auto"/>
          </w:divBdr>
        </w:div>
        <w:div w:id="656690068">
          <w:marLeft w:val="0"/>
          <w:marRight w:val="0"/>
          <w:marTop w:val="0"/>
          <w:marBottom w:val="0"/>
          <w:divBdr>
            <w:top w:val="none" w:sz="0" w:space="0" w:color="auto"/>
            <w:left w:val="none" w:sz="0" w:space="0" w:color="auto"/>
            <w:bottom w:val="none" w:sz="0" w:space="0" w:color="auto"/>
            <w:right w:val="none" w:sz="0" w:space="0" w:color="auto"/>
          </w:divBdr>
        </w:div>
        <w:div w:id="221065284">
          <w:marLeft w:val="0"/>
          <w:marRight w:val="0"/>
          <w:marTop w:val="0"/>
          <w:marBottom w:val="0"/>
          <w:divBdr>
            <w:top w:val="none" w:sz="0" w:space="0" w:color="auto"/>
            <w:left w:val="none" w:sz="0" w:space="0" w:color="auto"/>
            <w:bottom w:val="none" w:sz="0" w:space="0" w:color="auto"/>
            <w:right w:val="none" w:sz="0" w:space="0" w:color="auto"/>
          </w:divBdr>
        </w:div>
      </w:divsChild>
    </w:div>
    <w:div w:id="1161776185">
      <w:bodyDiv w:val="1"/>
      <w:marLeft w:val="0"/>
      <w:marRight w:val="0"/>
      <w:marTop w:val="0"/>
      <w:marBottom w:val="0"/>
      <w:divBdr>
        <w:top w:val="none" w:sz="0" w:space="0" w:color="auto"/>
        <w:left w:val="none" w:sz="0" w:space="0" w:color="auto"/>
        <w:bottom w:val="none" w:sz="0" w:space="0" w:color="auto"/>
        <w:right w:val="none" w:sz="0" w:space="0" w:color="auto"/>
      </w:divBdr>
    </w:div>
    <w:div w:id="1211578542">
      <w:bodyDiv w:val="1"/>
      <w:marLeft w:val="0"/>
      <w:marRight w:val="0"/>
      <w:marTop w:val="0"/>
      <w:marBottom w:val="0"/>
      <w:divBdr>
        <w:top w:val="none" w:sz="0" w:space="0" w:color="auto"/>
        <w:left w:val="none" w:sz="0" w:space="0" w:color="auto"/>
        <w:bottom w:val="none" w:sz="0" w:space="0" w:color="auto"/>
        <w:right w:val="none" w:sz="0" w:space="0" w:color="auto"/>
      </w:divBdr>
    </w:div>
    <w:div w:id="1276786469">
      <w:bodyDiv w:val="1"/>
      <w:marLeft w:val="0"/>
      <w:marRight w:val="0"/>
      <w:marTop w:val="0"/>
      <w:marBottom w:val="0"/>
      <w:divBdr>
        <w:top w:val="none" w:sz="0" w:space="0" w:color="auto"/>
        <w:left w:val="none" w:sz="0" w:space="0" w:color="auto"/>
        <w:bottom w:val="none" w:sz="0" w:space="0" w:color="auto"/>
        <w:right w:val="none" w:sz="0" w:space="0" w:color="auto"/>
      </w:divBdr>
    </w:div>
    <w:div w:id="1328485354">
      <w:bodyDiv w:val="1"/>
      <w:marLeft w:val="0"/>
      <w:marRight w:val="0"/>
      <w:marTop w:val="0"/>
      <w:marBottom w:val="0"/>
      <w:divBdr>
        <w:top w:val="none" w:sz="0" w:space="0" w:color="auto"/>
        <w:left w:val="none" w:sz="0" w:space="0" w:color="auto"/>
        <w:bottom w:val="none" w:sz="0" w:space="0" w:color="auto"/>
        <w:right w:val="none" w:sz="0" w:space="0" w:color="auto"/>
      </w:divBdr>
    </w:div>
    <w:div w:id="1373116469">
      <w:bodyDiv w:val="1"/>
      <w:marLeft w:val="0"/>
      <w:marRight w:val="0"/>
      <w:marTop w:val="0"/>
      <w:marBottom w:val="0"/>
      <w:divBdr>
        <w:top w:val="none" w:sz="0" w:space="0" w:color="auto"/>
        <w:left w:val="none" w:sz="0" w:space="0" w:color="auto"/>
        <w:bottom w:val="none" w:sz="0" w:space="0" w:color="auto"/>
        <w:right w:val="none" w:sz="0" w:space="0" w:color="auto"/>
      </w:divBdr>
    </w:div>
    <w:div w:id="1383597071">
      <w:bodyDiv w:val="1"/>
      <w:marLeft w:val="0"/>
      <w:marRight w:val="0"/>
      <w:marTop w:val="0"/>
      <w:marBottom w:val="0"/>
      <w:divBdr>
        <w:top w:val="none" w:sz="0" w:space="0" w:color="auto"/>
        <w:left w:val="none" w:sz="0" w:space="0" w:color="auto"/>
        <w:bottom w:val="none" w:sz="0" w:space="0" w:color="auto"/>
        <w:right w:val="none" w:sz="0" w:space="0" w:color="auto"/>
      </w:divBdr>
    </w:div>
    <w:div w:id="1409300829">
      <w:bodyDiv w:val="1"/>
      <w:marLeft w:val="0"/>
      <w:marRight w:val="0"/>
      <w:marTop w:val="0"/>
      <w:marBottom w:val="0"/>
      <w:divBdr>
        <w:top w:val="none" w:sz="0" w:space="0" w:color="auto"/>
        <w:left w:val="none" w:sz="0" w:space="0" w:color="auto"/>
        <w:bottom w:val="none" w:sz="0" w:space="0" w:color="auto"/>
        <w:right w:val="none" w:sz="0" w:space="0" w:color="auto"/>
      </w:divBdr>
    </w:div>
    <w:div w:id="1480729509">
      <w:bodyDiv w:val="1"/>
      <w:marLeft w:val="0"/>
      <w:marRight w:val="0"/>
      <w:marTop w:val="0"/>
      <w:marBottom w:val="0"/>
      <w:divBdr>
        <w:top w:val="none" w:sz="0" w:space="0" w:color="auto"/>
        <w:left w:val="none" w:sz="0" w:space="0" w:color="auto"/>
        <w:bottom w:val="none" w:sz="0" w:space="0" w:color="auto"/>
        <w:right w:val="none" w:sz="0" w:space="0" w:color="auto"/>
      </w:divBdr>
    </w:div>
    <w:div w:id="1511141997">
      <w:bodyDiv w:val="1"/>
      <w:marLeft w:val="0"/>
      <w:marRight w:val="0"/>
      <w:marTop w:val="0"/>
      <w:marBottom w:val="0"/>
      <w:divBdr>
        <w:top w:val="none" w:sz="0" w:space="0" w:color="auto"/>
        <w:left w:val="none" w:sz="0" w:space="0" w:color="auto"/>
        <w:bottom w:val="none" w:sz="0" w:space="0" w:color="auto"/>
        <w:right w:val="none" w:sz="0" w:space="0" w:color="auto"/>
      </w:divBdr>
    </w:div>
    <w:div w:id="1516726553">
      <w:bodyDiv w:val="1"/>
      <w:marLeft w:val="0"/>
      <w:marRight w:val="0"/>
      <w:marTop w:val="0"/>
      <w:marBottom w:val="0"/>
      <w:divBdr>
        <w:top w:val="none" w:sz="0" w:space="0" w:color="auto"/>
        <w:left w:val="none" w:sz="0" w:space="0" w:color="auto"/>
        <w:bottom w:val="none" w:sz="0" w:space="0" w:color="auto"/>
        <w:right w:val="none" w:sz="0" w:space="0" w:color="auto"/>
      </w:divBdr>
    </w:div>
    <w:div w:id="1541476549">
      <w:bodyDiv w:val="1"/>
      <w:marLeft w:val="0"/>
      <w:marRight w:val="0"/>
      <w:marTop w:val="0"/>
      <w:marBottom w:val="0"/>
      <w:divBdr>
        <w:top w:val="none" w:sz="0" w:space="0" w:color="auto"/>
        <w:left w:val="none" w:sz="0" w:space="0" w:color="auto"/>
        <w:bottom w:val="none" w:sz="0" w:space="0" w:color="auto"/>
        <w:right w:val="none" w:sz="0" w:space="0" w:color="auto"/>
      </w:divBdr>
    </w:div>
    <w:div w:id="1645812061">
      <w:bodyDiv w:val="1"/>
      <w:marLeft w:val="0"/>
      <w:marRight w:val="0"/>
      <w:marTop w:val="0"/>
      <w:marBottom w:val="0"/>
      <w:divBdr>
        <w:top w:val="none" w:sz="0" w:space="0" w:color="auto"/>
        <w:left w:val="none" w:sz="0" w:space="0" w:color="auto"/>
        <w:bottom w:val="none" w:sz="0" w:space="0" w:color="auto"/>
        <w:right w:val="none" w:sz="0" w:space="0" w:color="auto"/>
      </w:divBdr>
    </w:div>
    <w:div w:id="1827699961">
      <w:bodyDiv w:val="1"/>
      <w:marLeft w:val="0"/>
      <w:marRight w:val="0"/>
      <w:marTop w:val="0"/>
      <w:marBottom w:val="0"/>
      <w:divBdr>
        <w:top w:val="none" w:sz="0" w:space="0" w:color="auto"/>
        <w:left w:val="none" w:sz="0" w:space="0" w:color="auto"/>
        <w:bottom w:val="none" w:sz="0" w:space="0" w:color="auto"/>
        <w:right w:val="none" w:sz="0" w:space="0" w:color="auto"/>
      </w:divBdr>
    </w:div>
    <w:div w:id="1829250526">
      <w:bodyDiv w:val="1"/>
      <w:marLeft w:val="0"/>
      <w:marRight w:val="0"/>
      <w:marTop w:val="0"/>
      <w:marBottom w:val="0"/>
      <w:divBdr>
        <w:top w:val="none" w:sz="0" w:space="0" w:color="auto"/>
        <w:left w:val="none" w:sz="0" w:space="0" w:color="auto"/>
        <w:bottom w:val="none" w:sz="0" w:space="0" w:color="auto"/>
        <w:right w:val="none" w:sz="0" w:space="0" w:color="auto"/>
      </w:divBdr>
    </w:div>
    <w:div w:id="1858541537">
      <w:bodyDiv w:val="1"/>
      <w:marLeft w:val="0"/>
      <w:marRight w:val="0"/>
      <w:marTop w:val="0"/>
      <w:marBottom w:val="0"/>
      <w:divBdr>
        <w:top w:val="none" w:sz="0" w:space="0" w:color="auto"/>
        <w:left w:val="none" w:sz="0" w:space="0" w:color="auto"/>
        <w:bottom w:val="none" w:sz="0" w:space="0" w:color="auto"/>
        <w:right w:val="none" w:sz="0" w:space="0" w:color="auto"/>
      </w:divBdr>
    </w:div>
    <w:div w:id="1868369896">
      <w:bodyDiv w:val="1"/>
      <w:marLeft w:val="0"/>
      <w:marRight w:val="0"/>
      <w:marTop w:val="0"/>
      <w:marBottom w:val="0"/>
      <w:divBdr>
        <w:top w:val="none" w:sz="0" w:space="0" w:color="auto"/>
        <w:left w:val="none" w:sz="0" w:space="0" w:color="auto"/>
        <w:bottom w:val="none" w:sz="0" w:space="0" w:color="auto"/>
        <w:right w:val="none" w:sz="0" w:space="0" w:color="auto"/>
      </w:divBdr>
    </w:div>
    <w:div w:id="1912499634">
      <w:bodyDiv w:val="1"/>
      <w:marLeft w:val="0"/>
      <w:marRight w:val="0"/>
      <w:marTop w:val="0"/>
      <w:marBottom w:val="0"/>
      <w:divBdr>
        <w:top w:val="none" w:sz="0" w:space="0" w:color="auto"/>
        <w:left w:val="none" w:sz="0" w:space="0" w:color="auto"/>
        <w:bottom w:val="none" w:sz="0" w:space="0" w:color="auto"/>
        <w:right w:val="none" w:sz="0" w:space="0" w:color="auto"/>
      </w:divBdr>
      <w:divsChild>
        <w:div w:id="1037465630">
          <w:marLeft w:val="0"/>
          <w:marRight w:val="0"/>
          <w:marTop w:val="0"/>
          <w:marBottom w:val="0"/>
          <w:divBdr>
            <w:top w:val="none" w:sz="0" w:space="0" w:color="auto"/>
            <w:left w:val="none" w:sz="0" w:space="0" w:color="auto"/>
            <w:bottom w:val="none" w:sz="0" w:space="0" w:color="auto"/>
            <w:right w:val="none" w:sz="0" w:space="0" w:color="auto"/>
          </w:divBdr>
        </w:div>
        <w:div w:id="1429734665">
          <w:marLeft w:val="0"/>
          <w:marRight w:val="0"/>
          <w:marTop w:val="0"/>
          <w:marBottom w:val="0"/>
          <w:divBdr>
            <w:top w:val="none" w:sz="0" w:space="0" w:color="auto"/>
            <w:left w:val="none" w:sz="0" w:space="0" w:color="auto"/>
            <w:bottom w:val="none" w:sz="0" w:space="0" w:color="auto"/>
            <w:right w:val="none" w:sz="0" w:space="0" w:color="auto"/>
          </w:divBdr>
        </w:div>
        <w:div w:id="1052076547">
          <w:marLeft w:val="0"/>
          <w:marRight w:val="0"/>
          <w:marTop w:val="0"/>
          <w:marBottom w:val="0"/>
          <w:divBdr>
            <w:top w:val="none" w:sz="0" w:space="0" w:color="auto"/>
            <w:left w:val="none" w:sz="0" w:space="0" w:color="auto"/>
            <w:bottom w:val="none" w:sz="0" w:space="0" w:color="auto"/>
            <w:right w:val="none" w:sz="0" w:space="0" w:color="auto"/>
          </w:divBdr>
        </w:div>
        <w:div w:id="588661724">
          <w:marLeft w:val="0"/>
          <w:marRight w:val="0"/>
          <w:marTop w:val="0"/>
          <w:marBottom w:val="0"/>
          <w:divBdr>
            <w:top w:val="none" w:sz="0" w:space="0" w:color="auto"/>
            <w:left w:val="none" w:sz="0" w:space="0" w:color="auto"/>
            <w:bottom w:val="none" w:sz="0" w:space="0" w:color="auto"/>
            <w:right w:val="none" w:sz="0" w:space="0" w:color="auto"/>
          </w:divBdr>
        </w:div>
      </w:divsChild>
    </w:div>
    <w:div w:id="213178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t.wikipedia.org/wiki/Cartella_esattoria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wikipedia.org/wiki/Cartella_esattoriale" TargetMode="External"/><Relationship Id="rId5" Type="http://schemas.openxmlformats.org/officeDocument/2006/relationships/hyperlink" Target="https://it.wikipedia.org/wiki/Titolo_esecutiv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451</TotalTime>
  <Pages>1</Pages>
  <Words>22631</Words>
  <Characters>128998</Characters>
  <Application>Microsoft Office Word</Application>
  <DocSecurity>0</DocSecurity>
  <Lines>1074</Lines>
  <Paragraphs>302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2021-07-20T08:08:00Z</dcterms:created>
  <dcterms:modified xsi:type="dcterms:W3CDTF">2021-08-16T07:16:00Z</dcterms:modified>
</cp:coreProperties>
</file>