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BD85B" w14:textId="77777777" w:rsidR="0066405B" w:rsidRPr="007B3803" w:rsidRDefault="0066405B" w:rsidP="0088307E">
      <w:pPr>
        <w:shd w:val="clear" w:color="auto" w:fill="FFFFFF"/>
        <w:spacing w:after="390" w:line="390" w:lineRule="atLeast"/>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NUOVO CODICE APPALTI</w:t>
      </w:r>
    </w:p>
    <w:p w14:paraId="67280E62" w14:textId="10C6A312" w:rsidR="00B8638E" w:rsidRPr="007B3803" w:rsidRDefault="0066405B" w:rsidP="00C27333">
      <w:pPr>
        <w:pStyle w:val="NormaleWeb"/>
        <w:rPr>
          <w:rFonts w:ascii="Arial" w:hAnsi="Arial" w:cs="Arial"/>
        </w:rPr>
      </w:pPr>
      <w:r w:rsidRPr="007B3803">
        <w:rPr>
          <w:rFonts w:ascii="Arial" w:hAnsi="Arial" w:cs="Arial"/>
        </w:rPr>
        <w:t>FASI APPALTI</w:t>
      </w:r>
    </w:p>
    <w:p w14:paraId="1CB07169" w14:textId="77777777" w:rsidR="00B8638E" w:rsidRPr="007B3803" w:rsidRDefault="00B8638E" w:rsidP="00B8638E">
      <w:pPr>
        <w:shd w:val="clear" w:color="auto" w:fill="FFFFFF"/>
        <w:spacing w:before="100" w:beforeAutospacing="1" w:after="100" w:afterAutospacing="1" w:line="240" w:lineRule="auto"/>
        <w:jc w:val="both"/>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Le fasi fondamentali degli Appalti Pubblici sono 4:</w:t>
      </w:r>
    </w:p>
    <w:p w14:paraId="37FB7E1F" w14:textId="77777777" w:rsidR="00B8638E" w:rsidRPr="007B3803" w:rsidRDefault="00000000" w:rsidP="00B8638E">
      <w:pPr>
        <w:numPr>
          <w:ilvl w:val="0"/>
          <w:numId w:val="5"/>
        </w:numPr>
        <w:shd w:val="clear" w:color="auto" w:fill="FFFFFF"/>
        <w:spacing w:before="100" w:beforeAutospacing="1" w:after="100" w:afterAutospacing="1" w:line="240" w:lineRule="auto"/>
        <w:jc w:val="both"/>
        <w:rPr>
          <w:rFonts w:ascii="Arial" w:eastAsia="Times New Roman" w:hAnsi="Arial" w:cs="Arial"/>
          <w:kern w:val="0"/>
          <w:sz w:val="24"/>
          <w:szCs w:val="24"/>
          <w:lang w:eastAsia="it-IT"/>
          <w14:ligatures w14:val="none"/>
        </w:rPr>
      </w:pPr>
      <w:hyperlink r:id="rId5" w:history="1">
        <w:r w:rsidR="00B8638E" w:rsidRPr="007B3803">
          <w:rPr>
            <w:rFonts w:ascii="Arial" w:eastAsia="Times New Roman" w:hAnsi="Arial" w:cs="Arial"/>
            <w:kern w:val="0"/>
            <w:sz w:val="24"/>
            <w:szCs w:val="24"/>
            <w:u w:val="single"/>
            <w:lang w:eastAsia="it-IT"/>
            <w14:ligatures w14:val="none"/>
          </w:rPr>
          <w:t>programmazione</w:t>
        </w:r>
      </w:hyperlink>
    </w:p>
    <w:p w14:paraId="46222ED9" w14:textId="77777777" w:rsidR="00B8638E" w:rsidRPr="007B3803" w:rsidRDefault="00000000" w:rsidP="00B8638E">
      <w:pPr>
        <w:numPr>
          <w:ilvl w:val="0"/>
          <w:numId w:val="5"/>
        </w:numPr>
        <w:shd w:val="clear" w:color="auto" w:fill="FFFFFF"/>
        <w:spacing w:before="100" w:beforeAutospacing="1" w:after="100" w:afterAutospacing="1" w:line="240" w:lineRule="auto"/>
        <w:jc w:val="both"/>
        <w:rPr>
          <w:rFonts w:ascii="Arial" w:eastAsia="Times New Roman" w:hAnsi="Arial" w:cs="Arial"/>
          <w:kern w:val="0"/>
          <w:sz w:val="24"/>
          <w:szCs w:val="24"/>
          <w:lang w:eastAsia="it-IT"/>
          <w14:ligatures w14:val="none"/>
        </w:rPr>
      </w:pPr>
      <w:hyperlink r:id="rId6" w:history="1">
        <w:r w:rsidR="00B8638E" w:rsidRPr="007B3803">
          <w:rPr>
            <w:rFonts w:ascii="Arial" w:eastAsia="Times New Roman" w:hAnsi="Arial" w:cs="Arial"/>
            <w:kern w:val="0"/>
            <w:sz w:val="24"/>
            <w:szCs w:val="24"/>
            <w:u w:val="single"/>
            <w:lang w:eastAsia="it-IT"/>
            <w14:ligatures w14:val="none"/>
          </w:rPr>
          <w:t>progettazione</w:t>
        </w:r>
      </w:hyperlink>
    </w:p>
    <w:p w14:paraId="286C0E87" w14:textId="77777777" w:rsidR="00B8638E" w:rsidRPr="007B3803" w:rsidRDefault="00B8638E" w:rsidP="00B8638E">
      <w:pPr>
        <w:numPr>
          <w:ilvl w:val="0"/>
          <w:numId w:val="5"/>
        </w:numPr>
        <w:shd w:val="clear" w:color="auto" w:fill="FFFFFF"/>
        <w:spacing w:before="100" w:beforeAutospacing="1" w:after="100" w:afterAutospacing="1" w:line="240" w:lineRule="auto"/>
        <w:jc w:val="both"/>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affidamento</w:t>
      </w:r>
    </w:p>
    <w:p w14:paraId="547626C3" w14:textId="77777777" w:rsidR="00B8638E" w:rsidRPr="007B3803" w:rsidRDefault="00000000" w:rsidP="00B8638E">
      <w:pPr>
        <w:numPr>
          <w:ilvl w:val="0"/>
          <w:numId w:val="5"/>
        </w:numPr>
        <w:shd w:val="clear" w:color="auto" w:fill="FFFFFF"/>
        <w:spacing w:before="100" w:beforeAutospacing="1" w:after="100" w:afterAutospacing="1" w:line="240" w:lineRule="auto"/>
        <w:jc w:val="both"/>
        <w:rPr>
          <w:rFonts w:ascii="Arial" w:eastAsia="Times New Roman" w:hAnsi="Arial" w:cs="Arial"/>
          <w:kern w:val="0"/>
          <w:sz w:val="24"/>
          <w:szCs w:val="24"/>
          <w:lang w:eastAsia="it-IT"/>
          <w14:ligatures w14:val="none"/>
        </w:rPr>
      </w:pPr>
      <w:hyperlink r:id="rId7" w:history="1">
        <w:r w:rsidR="00B8638E" w:rsidRPr="007B3803">
          <w:rPr>
            <w:rFonts w:ascii="Arial" w:eastAsia="Times New Roman" w:hAnsi="Arial" w:cs="Arial"/>
            <w:kern w:val="0"/>
            <w:sz w:val="24"/>
            <w:szCs w:val="24"/>
            <w:u w:val="single"/>
            <w:lang w:eastAsia="it-IT"/>
            <w14:ligatures w14:val="none"/>
          </w:rPr>
          <w:t>esecuzione</w:t>
        </w:r>
      </w:hyperlink>
    </w:p>
    <w:p w14:paraId="170B7016"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nuovo Codice dei contratti pubblici conferma la disciplina sulla programmazione degli appalti, ma introduce alcune modifiche rispetto all’attuale articolo 21 del decreto legislativo n. 50/2016. Le principali novità introdotte nel testo rinnovato sono le seguenti:</w:t>
      </w:r>
    </w:p>
    <w:p w14:paraId="2CD7AF9F" w14:textId="77777777" w:rsidR="00485CCA" w:rsidRPr="007B3803" w:rsidRDefault="00485CCA" w:rsidP="00485CCA">
      <w:pPr>
        <w:numPr>
          <w:ilvl w:val="0"/>
          <w:numId w:val="10"/>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w:t>
      </w:r>
      <w:r w:rsidRPr="007B3803">
        <w:rPr>
          <w:rFonts w:ascii="Arial" w:eastAsia="Times New Roman" w:hAnsi="Arial" w:cs="Arial"/>
          <w:b/>
          <w:bCs/>
          <w:kern w:val="0"/>
          <w:sz w:val="24"/>
          <w:szCs w:val="24"/>
          <w:lang w:eastAsia="it-IT"/>
          <w14:ligatures w14:val="none"/>
        </w:rPr>
        <w:t> programmazione dei lavori e delle opere</w:t>
      </w:r>
      <w:r w:rsidRPr="007B3803">
        <w:rPr>
          <w:rFonts w:ascii="Arial" w:eastAsia="Times New Roman" w:hAnsi="Arial" w:cs="Arial"/>
          <w:kern w:val="0"/>
          <w:sz w:val="24"/>
          <w:szCs w:val="24"/>
          <w:lang w:eastAsia="it-IT"/>
          <w14:ligatures w14:val="none"/>
        </w:rPr>
        <w:t>, comprese le complesse realizzate attraverso concessioni o partenariati pubblico-privato, diventa </w:t>
      </w:r>
      <w:r w:rsidRPr="007B3803">
        <w:rPr>
          <w:rFonts w:ascii="Arial" w:eastAsia="Times New Roman" w:hAnsi="Arial" w:cs="Arial"/>
          <w:b/>
          <w:bCs/>
          <w:kern w:val="0"/>
          <w:sz w:val="24"/>
          <w:szCs w:val="24"/>
          <w:lang w:eastAsia="it-IT"/>
          <w14:ligatures w14:val="none"/>
        </w:rPr>
        <w:t>obbligatoria quando l’importo stimato raggiunge o supera i 150.000 euro</w:t>
      </w:r>
      <w:r w:rsidRPr="007B3803">
        <w:rPr>
          <w:rFonts w:ascii="Arial" w:eastAsia="Times New Roman" w:hAnsi="Arial" w:cs="Arial"/>
          <w:kern w:val="0"/>
          <w:sz w:val="24"/>
          <w:szCs w:val="24"/>
          <w:lang w:eastAsia="it-IT"/>
          <w14:ligatures w14:val="none"/>
        </w:rPr>
        <w:t> (attualmente, il limite è fissato a 100.000 euro);</w:t>
      </w:r>
    </w:p>
    <w:p w14:paraId="69792001" w14:textId="77777777" w:rsidR="00485CCA" w:rsidRPr="007B3803" w:rsidRDefault="00485CCA" w:rsidP="00485CCA">
      <w:pPr>
        <w:numPr>
          <w:ilvl w:val="0"/>
          <w:numId w:val="10"/>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w:t>
      </w:r>
      <w:r w:rsidRPr="007B3803">
        <w:rPr>
          <w:rFonts w:ascii="Arial" w:eastAsia="Times New Roman" w:hAnsi="Arial" w:cs="Arial"/>
          <w:b/>
          <w:bCs/>
          <w:kern w:val="0"/>
          <w:sz w:val="24"/>
          <w:szCs w:val="24"/>
          <w:lang w:eastAsia="it-IT"/>
          <w14:ligatures w14:val="none"/>
        </w:rPr>
        <w:t>programmazione degli acquisti di beni e dei servizi diventa obbligatoria </w:t>
      </w:r>
      <w:r w:rsidRPr="007B3803">
        <w:rPr>
          <w:rFonts w:ascii="Arial" w:eastAsia="Times New Roman" w:hAnsi="Arial" w:cs="Arial"/>
          <w:kern w:val="0"/>
          <w:sz w:val="24"/>
          <w:szCs w:val="24"/>
          <w:lang w:eastAsia="it-IT"/>
          <w14:ligatures w14:val="none"/>
        </w:rPr>
        <w:t>quando il valore stimato raggiunge o supera i </w:t>
      </w:r>
      <w:r w:rsidRPr="007B3803">
        <w:rPr>
          <w:rFonts w:ascii="Arial" w:eastAsia="Times New Roman" w:hAnsi="Arial" w:cs="Arial"/>
          <w:b/>
          <w:bCs/>
          <w:kern w:val="0"/>
          <w:sz w:val="24"/>
          <w:szCs w:val="24"/>
          <w:lang w:eastAsia="it-IT"/>
          <w14:ligatures w14:val="none"/>
        </w:rPr>
        <w:t>140.000 euro</w:t>
      </w:r>
      <w:r w:rsidRPr="007B3803">
        <w:rPr>
          <w:rFonts w:ascii="Arial" w:eastAsia="Times New Roman" w:hAnsi="Arial" w:cs="Arial"/>
          <w:kern w:val="0"/>
          <w:sz w:val="24"/>
          <w:szCs w:val="24"/>
          <w:lang w:eastAsia="it-IT"/>
          <w14:ligatures w14:val="none"/>
        </w:rPr>
        <w:t> (attualmente, il limite è di soli 40.000 euro);</w:t>
      </w:r>
    </w:p>
    <w:p w14:paraId="66CDBDDF" w14:textId="77777777" w:rsidR="00485CCA" w:rsidRPr="007B3803" w:rsidRDefault="00485CCA" w:rsidP="00485CCA">
      <w:pPr>
        <w:numPr>
          <w:ilvl w:val="0"/>
          <w:numId w:val="10"/>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b/>
          <w:bCs/>
          <w:kern w:val="0"/>
          <w:sz w:val="24"/>
          <w:szCs w:val="24"/>
          <w:lang w:eastAsia="it-IT"/>
          <w14:ligatures w14:val="none"/>
        </w:rPr>
        <w:t>L’orizzonte temporale della programmazione viene unificato a tre anni</w:t>
      </w:r>
      <w:r w:rsidRPr="007B3803">
        <w:rPr>
          <w:rFonts w:ascii="Arial" w:eastAsia="Times New Roman" w:hAnsi="Arial" w:cs="Arial"/>
          <w:kern w:val="0"/>
          <w:sz w:val="24"/>
          <w:szCs w:val="24"/>
          <w:lang w:eastAsia="it-IT"/>
          <w14:ligatures w14:val="none"/>
        </w:rPr>
        <w:t> con aggiornamenti annuali per tutte le tipologie merceologiche, lavori, beni e servizi (diversamente, l’attuale articolo 21 del decreto legislativo n. 50/2016 prevede una programmazione biennale per forniture e servizi). Difatti l’art. 37 del nuovo Codice introduce </w:t>
      </w:r>
      <w:r w:rsidRPr="007B3803">
        <w:rPr>
          <w:rFonts w:ascii="Arial" w:eastAsia="Times New Roman" w:hAnsi="Arial" w:cs="Arial"/>
          <w:kern w:val="0"/>
          <w:sz w:val="24"/>
          <w:szCs w:val="24"/>
          <w:u w:val="single"/>
          <w:lang w:eastAsia="it-IT"/>
          <w14:ligatures w14:val="none"/>
        </w:rPr>
        <w:t>una programmazione triennale anche per gli acquisti di beni e servizi </w:t>
      </w:r>
      <w:r w:rsidRPr="007B3803">
        <w:rPr>
          <w:rFonts w:ascii="Arial" w:eastAsia="Times New Roman" w:hAnsi="Arial" w:cs="Arial"/>
          <w:kern w:val="0"/>
          <w:sz w:val="24"/>
          <w:szCs w:val="24"/>
          <w:lang w:eastAsia="it-IT"/>
          <w14:ligatures w14:val="none"/>
        </w:rPr>
        <w:t>(fino ad oggi biennale) che andrà approvata nel rispetto dei documenti programmatori in coerenza con il bilancio e, per gli enti locali, secondo le norme della programmazione economico-finanziaria e i principi contabili. Le amministrazioni approveranno, altresì, l’elenco annuale dei lavori da avviare nella prima annualità, specificando per ogni opera la fonte di finanziamento, stanziata nel bilancio di previsione o comunque disponibile.</w:t>
      </w:r>
    </w:p>
    <w:p w14:paraId="7DFA0959"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Queste modifiche sono state introdotte con l’obiettivo di fornire una maggiore chiarezza e coerenza nella pianificazione degli appalti pubblici, garantendo una migliore organizzazione e gestione delle risorse.</w:t>
      </w:r>
    </w:p>
    <w:p w14:paraId="7C458667" w14:textId="77777777" w:rsidR="00485CCA" w:rsidRPr="007B3803" w:rsidRDefault="00485CCA" w:rsidP="00485CCA">
      <w:pPr>
        <w:shd w:val="clear" w:color="auto" w:fill="FFFFFF"/>
        <w:spacing w:before="100" w:beforeAutospacing="1" w:after="100" w:afterAutospacing="1" w:line="240" w:lineRule="auto"/>
        <w:outlineLvl w:val="1"/>
        <w:rPr>
          <w:rFonts w:ascii="Arial" w:eastAsia="Times New Roman" w:hAnsi="Arial" w:cs="Arial"/>
          <w:b/>
          <w:bCs/>
          <w:spacing w:val="-12"/>
          <w:kern w:val="0"/>
          <w:sz w:val="24"/>
          <w:szCs w:val="24"/>
          <w:lang w:eastAsia="it-IT"/>
          <w14:ligatures w14:val="none"/>
        </w:rPr>
      </w:pPr>
      <w:r w:rsidRPr="007B3803">
        <w:rPr>
          <w:rFonts w:ascii="Arial" w:eastAsia="Times New Roman" w:hAnsi="Arial" w:cs="Arial"/>
          <w:b/>
          <w:bCs/>
          <w:spacing w:val="-12"/>
          <w:kern w:val="0"/>
          <w:sz w:val="24"/>
          <w:szCs w:val="24"/>
          <w:lang w:eastAsia="it-IT"/>
          <w14:ligatures w14:val="none"/>
        </w:rPr>
        <w:t>Programmazione di Opere e Servizi devono essere coerenti con gli altri documenti programmatori</w:t>
      </w:r>
    </w:p>
    <w:p w14:paraId="12420CFD"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L’articolo 37 del decreto legislativo n. 36/2023 fornisce indicazioni più dettagliate rispetto al comma 1 dell’articolo 21 del decreto legislativo n. 50/2016 e stabilisce le seguenti disposizioni per le stazioni appaltanti e gli enti concedenti, i quali:</w:t>
      </w:r>
    </w:p>
    <w:p w14:paraId="0AF90B39" w14:textId="77777777" w:rsidR="00485CCA" w:rsidRPr="007B3803" w:rsidRDefault="00485CCA" w:rsidP="00485CCA">
      <w:pPr>
        <w:numPr>
          <w:ilvl w:val="0"/>
          <w:numId w:val="11"/>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Devono adottare il programma triennale dei lavori pubblici e il programma triennale degli acquisti di beni e servizi;</w:t>
      </w:r>
    </w:p>
    <w:p w14:paraId="0F303DDC" w14:textId="77777777" w:rsidR="00485CCA" w:rsidRPr="007B3803" w:rsidRDefault="00485CCA" w:rsidP="00485CCA">
      <w:pPr>
        <w:numPr>
          <w:ilvl w:val="0"/>
          <w:numId w:val="11"/>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Devono approvare l’elenco annuale dei “lavori da avviare nella prima annualità”, specificando per ciascuna opera la fonte di finanziamento stanziata o “comunque disponibile”.</w:t>
      </w:r>
    </w:p>
    <w:p w14:paraId="48C1E495"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b/>
          <w:bCs/>
          <w:kern w:val="0"/>
          <w:sz w:val="24"/>
          <w:szCs w:val="24"/>
          <w:lang w:eastAsia="it-IT"/>
          <w14:ligatures w14:val="none"/>
        </w:rPr>
        <w:t>L’elaborazione dell’elenco annuale riguarda solo i lavori</w:t>
      </w:r>
      <w:r w:rsidRPr="007B3803">
        <w:rPr>
          <w:rFonts w:ascii="Arial" w:eastAsia="Times New Roman" w:hAnsi="Arial" w:cs="Arial"/>
          <w:kern w:val="0"/>
          <w:sz w:val="24"/>
          <w:szCs w:val="24"/>
          <w:lang w:eastAsia="it-IT"/>
          <w14:ligatures w14:val="none"/>
        </w:rPr>
        <w:t> e le opere pubbliche, mentre non è necessaria per gli appalti di forniture e servizi.</w:t>
      </w:r>
    </w:p>
    <w:p w14:paraId="516B02CB"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norma prevede che i programmi siano approvati nel rispetto dei “documenti programmatori e in coerenza con il bilancio” e, solo per gli enti locali, secondo i principi contabili e le norme della programmazione economico-finanziaria. Questa disposizione, simile all’ultimo paragrafo dell’articolo 21 in vigore, afferma che la pianificazione degli appalti risulta ridondante e sostanzialmente inutile.</w:t>
      </w:r>
    </w:p>
    <w:p w14:paraId="1156F759"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Se esistono già documenti programmatori e un bilancio previsionale, ai quali la pianificazione degli appalti deve essere “coerente”, i contenuti dei diversi documenti devono corrispondere. La pianificazione dettagliata, su base triennale, dei lavori e degli acquisti di forniture e servizi, di conseguenza, non fa altro che riprendere il contenuto del bilancio previsionale o di altri “documenti programmatori” dell’amministrazione, come ad esempio il Documento Unico di Programmazione (DUP).</w:t>
      </w:r>
    </w:p>
    <w:p w14:paraId="505BBD64" w14:textId="77777777" w:rsidR="00485CCA" w:rsidRPr="007B3803" w:rsidRDefault="00485CCA" w:rsidP="00485CCA">
      <w:pPr>
        <w:shd w:val="clear" w:color="auto" w:fill="FFFFFF"/>
        <w:spacing w:before="100" w:beforeAutospacing="1" w:after="100" w:afterAutospacing="1" w:line="240" w:lineRule="auto"/>
        <w:outlineLvl w:val="1"/>
        <w:rPr>
          <w:rFonts w:ascii="Arial" w:eastAsia="Times New Roman" w:hAnsi="Arial" w:cs="Arial"/>
          <w:b/>
          <w:bCs/>
          <w:spacing w:val="-12"/>
          <w:kern w:val="0"/>
          <w:sz w:val="24"/>
          <w:szCs w:val="24"/>
          <w:lang w:eastAsia="it-IT"/>
          <w14:ligatures w14:val="none"/>
        </w:rPr>
      </w:pPr>
      <w:r w:rsidRPr="007B3803">
        <w:rPr>
          <w:rFonts w:ascii="Arial" w:eastAsia="Times New Roman" w:hAnsi="Arial" w:cs="Arial"/>
          <w:b/>
          <w:bCs/>
          <w:spacing w:val="-12"/>
          <w:kern w:val="0"/>
          <w:sz w:val="24"/>
          <w:szCs w:val="24"/>
          <w:lang w:eastAsia="it-IT"/>
          <w14:ligatures w14:val="none"/>
        </w:rPr>
        <w:t>Il procedimento di approvazione degli atti di programmazione degli appalti</w:t>
      </w:r>
    </w:p>
    <w:p w14:paraId="6A7D77AC"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Attualmente, le modalità operative per la formulazione e l’approvazione della programmazione degli appalti sono regolate dal Decreto Ministeriale 16/1/2018 n. 14. Il nuovo Codice dei contratti pubblici, invece, disciplina direttamente le modalità di redazione dei programmi triennali </w:t>
      </w:r>
      <w:r w:rsidRPr="007B3803">
        <w:rPr>
          <w:rFonts w:ascii="Arial" w:eastAsia="Times New Roman" w:hAnsi="Arial" w:cs="Arial"/>
          <w:b/>
          <w:bCs/>
          <w:kern w:val="0"/>
          <w:sz w:val="24"/>
          <w:szCs w:val="24"/>
          <w:lang w:eastAsia="it-IT"/>
          <w14:ligatures w14:val="none"/>
        </w:rPr>
        <w:t>attraverso l’Allegato I.5, </w:t>
      </w:r>
      <w:r w:rsidRPr="007B3803">
        <w:rPr>
          <w:rFonts w:ascii="Arial" w:eastAsia="Times New Roman" w:hAnsi="Arial" w:cs="Arial"/>
          <w:kern w:val="0"/>
          <w:sz w:val="24"/>
          <w:szCs w:val="24"/>
          <w:lang w:eastAsia="it-IT"/>
          <w14:ligatures w14:val="none"/>
        </w:rPr>
        <w:t>che sostanzialmente ripropone i contenuti del DM 14/2018.</w:t>
      </w:r>
    </w:p>
    <w:p w14:paraId="6A64F339"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L’articolo 5 dell’Allegato I.5 prevede diverse fasi:</w:t>
      </w:r>
    </w:p>
    <w:p w14:paraId="3DD3C792" w14:textId="77777777" w:rsidR="00485CCA" w:rsidRPr="007B3803" w:rsidRDefault="00485CCA" w:rsidP="00485CCA">
      <w:pPr>
        <w:numPr>
          <w:ilvl w:val="0"/>
          <w:numId w:val="12"/>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Preliminarmente, si procede all’adozione del programma dei lavori e dell’elenco annuale corrispondente;</w:t>
      </w:r>
    </w:p>
    <w:p w14:paraId="009BFB2B" w14:textId="77777777" w:rsidR="00485CCA" w:rsidRPr="007B3803" w:rsidRDefault="00485CCA" w:rsidP="00485CCA">
      <w:pPr>
        <w:numPr>
          <w:ilvl w:val="0"/>
          <w:numId w:val="12"/>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Successivamente, viene pubblicato sul sito web della stazione appaltante (il profilo del committente);</w:t>
      </w:r>
    </w:p>
    <w:p w14:paraId="7AFF4CE7" w14:textId="77777777" w:rsidR="00485CCA" w:rsidRPr="007B3803" w:rsidRDefault="00485CCA" w:rsidP="00485CCA">
      <w:pPr>
        <w:numPr>
          <w:ilvl w:val="0"/>
          <w:numId w:val="12"/>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È possibile presentare osservazioni entro trenta giorni dalla pubblicazione, se l’amministrazione ha deciso di adottare questa forma di consultazione facoltativa. Le osservazioni devono poi essere valutate entro un termine stabilito dall’amministrazione stessa;</w:t>
      </w:r>
    </w:p>
    <w:p w14:paraId="2F36212C" w14:textId="77777777" w:rsidR="00485CCA" w:rsidRPr="007B3803" w:rsidRDefault="00485CCA" w:rsidP="00485CCA">
      <w:pPr>
        <w:numPr>
          <w:ilvl w:val="0"/>
          <w:numId w:val="12"/>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L’approvazione definitiva del programma, insieme all’elenco annuale dei lavori e agli eventuali aggiornamenti (derivanti dall’accoglimento delle osservazioni o prodotti dall’amministrazione stessa), deve avvenire entro trenta giorni dalla scadenza della consultazione.</w:t>
      </w:r>
    </w:p>
    <w:p w14:paraId="4AA35F8A" w14:textId="77777777" w:rsidR="00485CCA" w:rsidRPr="007B3803" w:rsidRDefault="00485CCA" w:rsidP="00485CCA">
      <w:pPr>
        <w:numPr>
          <w:ilvl w:val="0"/>
          <w:numId w:val="12"/>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 caso in cui l’amministrazione non abbia raccolto osservazioni, l’approvazione definitiva deve avvenire entro sessanta giorni dalla pubblicazione.</w:t>
      </w:r>
    </w:p>
    <w:p w14:paraId="789500B4"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Infine, i documenti approvati devono essere pubblicati in formato open data sul sito web della stazione appaltante e, come stabilito dall’articolo 37, comma 4, del nuovo Codice, nella banca dati nazionale dei contratti pubblici.</w:t>
      </w:r>
    </w:p>
    <w:p w14:paraId="0748F5DA"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Tuttavia, senza correggere le incongruenze presenti nel DM 14/2018, il testo dell’articolo 5 dell’Allegato I.5 sembra richiedere un’ulteriore approvazione dei documenti di programmazione quando stabilisce che le stazioni appaltanti diverse dalle amministrazioni dello Stato devono approvare gli stessi documenti entro novanta giorni dalla data di entrata in vigore del proprio bilancio o documento equivalente, secondo le disposizioni proprie di ciascuna amministrazione.</w:t>
      </w:r>
    </w:p>
    <w:p w14:paraId="150C546F"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Inoltre, il testo rinnovato del Codice specifica che rimane invariato quanto previsto dall’articolo 172 del Testo Unico degli Enti Locali (TUEL) che, riguardo agli “altri allegati al bilancio di previsione”, non fa più riferimento alla programmazione di lavori, servizi e forniture. Possiamo presumere che il legislatore intenda considerare i documenti di programmazione degli appalti come allegati al bilancio previsionale.</w:t>
      </w:r>
    </w:p>
    <w:p w14:paraId="150FEE8F"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quanto riguarda la programmazione triennale degli acquisti di beni e servizi, la norma, in modo più semplice, stabilisce che la documentazione deve essere approvata entro novanta giorni dalla data di entrata in vigore del bilancio, secondo le disposizioni specifiche di ciascuna amministrazione (articolo 7, comma 6, dell’Allegato I.5; articolo 7, comma 6, DM 14/2018) e rimane invariato quanto stabilito dall’articolo 172 del decreto legislativo n. 267/2000.</w:t>
      </w:r>
    </w:p>
    <w:p w14:paraId="1F3F9B53"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 caso in cui le amministrazioni non provvedano alla redazione della programmazione perché non intendono o non possono effettuare lavori e acquisti di beni e servizi di valore superiore alle soglie indicate, è necessario darne comunicazione tramite Amministrazione trasparente.</w:t>
      </w:r>
    </w:p>
    <w:p w14:paraId="66367B8B" w14:textId="77777777" w:rsidR="00485CCA" w:rsidRPr="007B3803" w:rsidRDefault="00485CCA" w:rsidP="00485CCA">
      <w:pPr>
        <w:shd w:val="clear" w:color="auto" w:fill="FFFFFF"/>
        <w:spacing w:before="100" w:beforeAutospacing="1" w:after="100" w:afterAutospacing="1" w:line="240" w:lineRule="auto"/>
        <w:outlineLvl w:val="1"/>
        <w:rPr>
          <w:rFonts w:ascii="Arial" w:eastAsia="Times New Roman" w:hAnsi="Arial" w:cs="Arial"/>
          <w:b/>
          <w:bCs/>
          <w:spacing w:val="-12"/>
          <w:kern w:val="0"/>
          <w:sz w:val="24"/>
          <w:szCs w:val="24"/>
          <w:lang w:eastAsia="it-IT"/>
          <w14:ligatures w14:val="none"/>
        </w:rPr>
      </w:pPr>
      <w:r w:rsidRPr="007B3803">
        <w:rPr>
          <w:rFonts w:ascii="Arial" w:eastAsia="Times New Roman" w:hAnsi="Arial" w:cs="Arial"/>
          <w:b/>
          <w:bCs/>
          <w:spacing w:val="-12"/>
          <w:kern w:val="0"/>
          <w:sz w:val="24"/>
          <w:szCs w:val="24"/>
          <w:lang w:eastAsia="it-IT"/>
          <w14:ligatures w14:val="none"/>
        </w:rPr>
        <w:t>La programmazione dei lavori</w:t>
      </w:r>
    </w:p>
    <w:p w14:paraId="532E6CC5"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L’articolo 37 stabilisce che i lavori con un importo pari o superiore alla soglia UE possono essere inclusi nei seguenti documenti:</w:t>
      </w:r>
    </w:p>
    <w:p w14:paraId="370FA346" w14:textId="77777777" w:rsidR="00485CCA" w:rsidRPr="007B3803" w:rsidRDefault="00485CCA" w:rsidP="00485CCA">
      <w:pPr>
        <w:numPr>
          <w:ilvl w:val="0"/>
          <w:numId w:val="13"/>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Nella programmazione triennale, dopo l’approvazione del Documento di Fattibilità delle Alternative Progettuali (DOCFAP), come previsto nell’Allegato I.7, articolo 2;</w:t>
      </w:r>
    </w:p>
    <w:p w14:paraId="6DF788DF" w14:textId="77777777" w:rsidR="00485CCA" w:rsidRPr="007B3803" w:rsidRDefault="00485CCA" w:rsidP="00485CCA">
      <w:pPr>
        <w:numPr>
          <w:ilvl w:val="0"/>
          <w:numId w:val="13"/>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Nell’elenco annuale dei lavori, dopo l’approvazione del Documento di Indirizzo della Progettazione (DIP), come previsto nell’Allegato I.7, articolo 3;</w:t>
      </w:r>
    </w:p>
    <w:p w14:paraId="4C4AC80D"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i lavori e le opere con un valore compreso tra 150.000 euro e la soglia UE, non è richiesta la redazione di alcun documento specifico. Tuttavia, sarebbe consigliabile, ma non obbligatorio, disporre già durante la fase di programmazione di un quadro esigenziale o delle necessità della stazione appaltante (come indicato nell’articolo 41, comma 2 del Codice e nell’articolo 1, Allegato I.7).</w:t>
      </w:r>
    </w:p>
    <w:p w14:paraId="6BE96A12"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lavori di manutenzione ordinaria, anche se di valore superiore alla soglia UE, potranno essere inclusi nella programmazione anche senza il Documento di Fattibilità delle Alternative Progettuali.</w:t>
      </w:r>
    </w:p>
    <w:p w14:paraId="74971C16" w14:textId="77777777" w:rsidR="00485CCA" w:rsidRPr="007B3803" w:rsidRDefault="00485CCA" w:rsidP="00485CCA">
      <w:pPr>
        <w:shd w:val="clear" w:color="auto" w:fill="FFFFFF"/>
        <w:spacing w:before="100" w:beforeAutospacing="1" w:after="100" w:afterAutospacing="1" w:line="240" w:lineRule="auto"/>
        <w:outlineLvl w:val="1"/>
        <w:rPr>
          <w:rFonts w:ascii="Arial" w:eastAsia="Times New Roman" w:hAnsi="Arial" w:cs="Arial"/>
          <w:b/>
          <w:bCs/>
          <w:spacing w:val="-12"/>
          <w:kern w:val="0"/>
          <w:sz w:val="24"/>
          <w:szCs w:val="24"/>
          <w:lang w:eastAsia="it-IT"/>
          <w14:ligatures w14:val="none"/>
        </w:rPr>
      </w:pPr>
      <w:r w:rsidRPr="007B3803">
        <w:rPr>
          <w:rFonts w:ascii="Arial" w:eastAsia="Times New Roman" w:hAnsi="Arial" w:cs="Arial"/>
          <w:b/>
          <w:bCs/>
          <w:spacing w:val="-12"/>
          <w:kern w:val="0"/>
          <w:sz w:val="24"/>
          <w:szCs w:val="24"/>
          <w:lang w:eastAsia="it-IT"/>
          <w14:ligatures w14:val="none"/>
        </w:rPr>
        <w:t>Le modifiche alla programmazione degli appalti</w:t>
      </w:r>
    </w:p>
    <w:p w14:paraId="641D7964"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L’Allegato I.5, similmente al DM 14/2018, stabilisce che una volta approvati, i programmi triennali dei lavori possono essere modificati, previa approvazione dell’organo competente, nel caso in cui le variazioni riguardino:</w:t>
      </w:r>
    </w:p>
    <w:p w14:paraId="59C6E5D7" w14:textId="77777777" w:rsidR="00485CCA" w:rsidRPr="007B3803" w:rsidRDefault="00485CCA" w:rsidP="00485CCA">
      <w:pPr>
        <w:numPr>
          <w:ilvl w:val="0"/>
          <w:numId w:val="14"/>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cancellazione di uno o più lavori già previsti nell’elenco annuale;</w:t>
      </w:r>
    </w:p>
    <w:p w14:paraId="3E6C5441" w14:textId="77777777" w:rsidR="00485CCA" w:rsidRPr="007B3803" w:rsidRDefault="00485CCA" w:rsidP="00485CCA">
      <w:pPr>
        <w:numPr>
          <w:ilvl w:val="0"/>
          <w:numId w:val="14"/>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L’aggiunta di uno o più lavori a seguito di atti amministrativi adottati a livello statale o regionale;</w:t>
      </w:r>
    </w:p>
    <w:p w14:paraId="5CE911B6" w14:textId="77777777" w:rsidR="00485CCA" w:rsidRPr="007B3803" w:rsidRDefault="00485CCA" w:rsidP="00485CCA">
      <w:pPr>
        <w:numPr>
          <w:ilvl w:val="0"/>
          <w:numId w:val="14"/>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L’aggiunta di uno o più lavori a seguito della disponibilità di finanziamenti non prevedibili al momento della prima approvazione del programma, compresi i fondi aggiuntivi derivanti da ribassi d’asta o economie;</w:t>
      </w:r>
    </w:p>
    <w:p w14:paraId="7459539F" w14:textId="77777777" w:rsidR="00485CCA" w:rsidRPr="007B3803" w:rsidRDefault="00485CCA" w:rsidP="00485CCA">
      <w:pPr>
        <w:numPr>
          <w:ilvl w:val="0"/>
          <w:numId w:val="14"/>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L’anticipazione della realizzazione di lavori, inclusi nell’elenco annuale, precedentemente previsti per annualità successive;</w:t>
      </w:r>
    </w:p>
    <w:p w14:paraId="21E9F92B" w14:textId="77777777" w:rsidR="00485CCA" w:rsidRPr="007B3803" w:rsidRDefault="00485CCA" w:rsidP="00485CCA">
      <w:pPr>
        <w:numPr>
          <w:ilvl w:val="0"/>
          <w:numId w:val="14"/>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modifica del quadro economico dei lavori già contemplati nell’elenco, qualora siano necessarie risorse aggiuntive.</w:t>
      </w:r>
    </w:p>
    <w:p w14:paraId="2808AA95"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Viene confermata la disposizione secondo cui un lavoro che non è stato incluso nell’elenco annuale può essere realizzato solo se:</w:t>
      </w:r>
    </w:p>
    <w:p w14:paraId="6F84E64D" w14:textId="77777777" w:rsidR="00485CCA" w:rsidRPr="007B3803" w:rsidRDefault="00485CCA" w:rsidP="00485CCA">
      <w:pPr>
        <w:numPr>
          <w:ilvl w:val="0"/>
          <w:numId w:val="15"/>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Risulta necessario a causa di eventi imprevedibili o calamitosi, o per nuove disposizioni di legge o regolamentari;</w:t>
      </w:r>
    </w:p>
    <w:p w14:paraId="5883FF73" w14:textId="77777777" w:rsidR="00485CCA" w:rsidRPr="007B3803" w:rsidRDefault="00485CCA" w:rsidP="00485CCA">
      <w:pPr>
        <w:numPr>
          <w:ilvl w:val="0"/>
          <w:numId w:val="15"/>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È possibile realizzare il nuovo lavoro sulla base di un piano finanziario autonomo che non utilizzi risorse già previste tra i mezzi finanziari disponibili al momento della formulazione dell’elenco;</w:t>
      </w:r>
    </w:p>
    <w:p w14:paraId="5AEBB2C5"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L’Allegato I.5, così come il DM 14/2018, prevede regole sostanzialmente simili per modificare o integrare la programmazione degli acquisti di beni e servizi, includendo un nuovo appalto.</w:t>
      </w:r>
    </w:p>
    <w:p w14:paraId="3FF3828E"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Come già previsto dal DM 14/2018, nel programma triennale devono essere inserite le opere pubbliche incompiute e i lavori che possono essere realizzati tramite contratti di concessione o di partenariato pubblico-privato, nonché i lavori che possono essere realizzati attraverso la cessione del diritto di proprietà o altri titoli di godimento di beni immobili.</w:t>
      </w:r>
    </w:p>
    <w:p w14:paraId="7BE45F9E"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quanto riguarda le fonti di finanziamento dei lavori, da riportare nelle schede del programma, sarà ancora possibile indicare:</w:t>
      </w:r>
    </w:p>
    <w:p w14:paraId="03352F08" w14:textId="77777777" w:rsidR="00485CCA" w:rsidRPr="007B3803" w:rsidRDefault="00485CCA" w:rsidP="00485CCA">
      <w:pPr>
        <w:numPr>
          <w:ilvl w:val="0"/>
          <w:numId w:val="17"/>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valore di immobili che potrebbero essere ceduti in permuta in cambio di opere;</w:t>
      </w:r>
    </w:p>
    <w:p w14:paraId="2A59F87C" w14:textId="77777777" w:rsidR="00485CCA" w:rsidRPr="007B3803" w:rsidRDefault="00485CCA" w:rsidP="00485CCA">
      <w:pPr>
        <w:numPr>
          <w:ilvl w:val="0"/>
          <w:numId w:val="17"/>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Le risorse derivanti dall’alienazione del patrimonio disponibile degli enti locali, come previsto dall’articolo 3 del Decreto Legge 310/1990 (convertito nella legge 310/1990);</w:t>
      </w:r>
    </w:p>
    <w:p w14:paraId="589E77D4" w14:textId="77777777" w:rsidR="00485CCA" w:rsidRPr="007B3803" w:rsidRDefault="00485CCA" w:rsidP="00485CCA">
      <w:pPr>
        <w:numPr>
          <w:ilvl w:val="0"/>
          <w:numId w:val="17"/>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Gli immobili concessi in diritto di godimento, a titolo di contributo, il cui utilizzo sia strumentale e tecnicamente connesso a un’opera da affidare in concessione;</w:t>
      </w:r>
    </w:p>
    <w:p w14:paraId="5267D522" w14:textId="77777777" w:rsidR="00485CCA" w:rsidRPr="007B3803" w:rsidRDefault="00485CCA" w:rsidP="00485CCA">
      <w:pPr>
        <w:numPr>
          <w:ilvl w:val="0"/>
          <w:numId w:val="17"/>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Gli immobili non strumentali all’esercizio delle funzioni istituzionali, inseriti nel Piano delle alienazioni e valorizzazioni di cui all’articolo 58 del Decreto Legge 112/2008.</w:t>
      </w:r>
    </w:p>
    <w:p w14:paraId="74686060"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valore degli immobili viene determinato dagli uffici competenti, sulla base del valore di mercato dei beni.</w:t>
      </w:r>
    </w:p>
    <w:p w14:paraId="634639B6" w14:textId="77777777" w:rsidR="00485CCA" w:rsidRPr="007B3803" w:rsidRDefault="00485CCA" w:rsidP="00485CCA">
      <w:pPr>
        <w:shd w:val="clear" w:color="auto" w:fill="FFFFFF"/>
        <w:spacing w:before="100" w:beforeAutospacing="1" w:after="100" w:afterAutospacing="1" w:line="240" w:lineRule="auto"/>
        <w:outlineLvl w:val="1"/>
        <w:rPr>
          <w:rFonts w:ascii="Arial" w:eastAsia="Times New Roman" w:hAnsi="Arial" w:cs="Arial"/>
          <w:b/>
          <w:bCs/>
          <w:spacing w:val="-12"/>
          <w:kern w:val="0"/>
          <w:sz w:val="24"/>
          <w:szCs w:val="24"/>
          <w:lang w:eastAsia="it-IT"/>
          <w14:ligatures w14:val="none"/>
        </w:rPr>
      </w:pPr>
      <w:r w:rsidRPr="007B3803">
        <w:rPr>
          <w:rFonts w:ascii="Arial" w:eastAsia="Times New Roman" w:hAnsi="Arial" w:cs="Arial"/>
          <w:b/>
          <w:bCs/>
          <w:spacing w:val="-12"/>
          <w:kern w:val="0"/>
          <w:sz w:val="24"/>
          <w:szCs w:val="24"/>
          <w:lang w:eastAsia="it-IT"/>
          <w14:ligatures w14:val="none"/>
        </w:rPr>
        <w:t>L’elenco annuale delle opere pubbliche</w:t>
      </w:r>
    </w:p>
    <w:p w14:paraId="1820D841"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lavori, anche suddivisi in lotti funzionali, che devono essere avviati durante il primo anno del programma, costituiscono l’elenco annuale.</w:t>
      </w:r>
    </w:p>
    <w:p w14:paraId="3F1506FC"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Nell’elenco annuale è possibile registrare solo i lavori che soddisfano le seguenti condizioni:</w:t>
      </w:r>
    </w:p>
    <w:p w14:paraId="24B9D56E" w14:textId="77777777" w:rsidR="00485CCA" w:rsidRPr="007B3803" w:rsidRDefault="00485CCA" w:rsidP="00485CCA">
      <w:pPr>
        <w:numPr>
          <w:ilvl w:val="0"/>
          <w:numId w:val="18"/>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Esistenza di un finanziamento previsto nel bilancio per coprire le spese;</w:t>
      </w:r>
    </w:p>
    <w:p w14:paraId="083D9550" w14:textId="77777777" w:rsidR="00485CCA" w:rsidRPr="007B3803" w:rsidRDefault="00485CCA" w:rsidP="00485CCA">
      <w:pPr>
        <w:numPr>
          <w:ilvl w:val="0"/>
          <w:numId w:val="18"/>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Previsione di avviare la procedura di affidamento durante il primo anno del programma;</w:t>
      </w:r>
    </w:p>
    <w:p w14:paraId="3D95C1F4" w14:textId="77777777" w:rsidR="00485CCA" w:rsidRPr="007B3803" w:rsidRDefault="00485CCA" w:rsidP="00485CCA">
      <w:pPr>
        <w:numPr>
          <w:ilvl w:val="0"/>
          <w:numId w:val="18"/>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Rispetto dei requisiti minimi di progettazione;</w:t>
      </w:r>
    </w:p>
    <w:p w14:paraId="353E87B5" w14:textId="77777777" w:rsidR="00485CCA" w:rsidRPr="007B3803" w:rsidRDefault="00485CCA" w:rsidP="00485CCA">
      <w:pPr>
        <w:numPr>
          <w:ilvl w:val="0"/>
          <w:numId w:val="18"/>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Conformità dei lavori alle norme urbanistiche vigenti o adottate.</w:t>
      </w:r>
    </w:p>
    <w:p w14:paraId="3AE8EAF8"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poter includere nel programma triennale uno o più lotti funzionali relativi a un lavoro, è necessario che, per l’intero lavoro da realizzare:</w:t>
      </w:r>
    </w:p>
    <w:p w14:paraId="148AF91F" w14:textId="77777777" w:rsidR="00485CCA" w:rsidRPr="007B3803" w:rsidRDefault="00485CCA" w:rsidP="00485CCA">
      <w:pPr>
        <w:numPr>
          <w:ilvl w:val="0"/>
          <w:numId w:val="19"/>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Sia stato approvato il documento di fattibilità delle alternative progettuali, ma solo se il valore complessivo supera la soglia UE;</w:t>
      </w:r>
    </w:p>
    <w:p w14:paraId="3283E99D" w14:textId="77777777" w:rsidR="00485CCA" w:rsidRPr="007B3803" w:rsidRDefault="00485CCA" w:rsidP="00485CCA">
      <w:pPr>
        <w:numPr>
          <w:ilvl w:val="0"/>
          <w:numId w:val="19"/>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Siano state quantificate le risorse necessarie per realizzare l’intero lavoro.</w:t>
      </w:r>
    </w:p>
    <w:p w14:paraId="09A5ED3A"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Le attuali norme riguardanti l’ordine di priorità nell’esecuzione di lavori e opere e la programmazione degli acquisti di beni e servizi vengono sostanzialmente confermate dal nuovo testo normativo.</w:t>
      </w:r>
    </w:p>
    <w:p w14:paraId="3D8A7E98" w14:textId="77777777" w:rsidR="00485CCA" w:rsidRPr="007B3803" w:rsidRDefault="00485CCA" w:rsidP="00485CCA">
      <w:pPr>
        <w:shd w:val="clear" w:color="auto" w:fill="FFFFFF"/>
        <w:spacing w:before="100" w:beforeAutospacing="1" w:after="100" w:afterAutospacing="1" w:line="240" w:lineRule="auto"/>
        <w:outlineLvl w:val="1"/>
        <w:rPr>
          <w:rFonts w:ascii="Arial" w:eastAsia="Times New Roman" w:hAnsi="Arial" w:cs="Arial"/>
          <w:b/>
          <w:bCs/>
          <w:spacing w:val="-12"/>
          <w:kern w:val="0"/>
          <w:sz w:val="24"/>
          <w:szCs w:val="24"/>
          <w:lang w:eastAsia="it-IT"/>
          <w14:ligatures w14:val="none"/>
        </w:rPr>
      </w:pPr>
      <w:r w:rsidRPr="007B3803">
        <w:rPr>
          <w:rFonts w:ascii="Arial" w:eastAsia="Times New Roman" w:hAnsi="Arial" w:cs="Arial"/>
          <w:b/>
          <w:bCs/>
          <w:spacing w:val="-12"/>
          <w:kern w:val="0"/>
          <w:sz w:val="24"/>
          <w:szCs w:val="24"/>
          <w:lang w:eastAsia="it-IT"/>
          <w14:ligatures w14:val="none"/>
        </w:rPr>
        <w:t>Il dibattito pubblico nel nuovo codice dei contratti</w:t>
      </w:r>
    </w:p>
    <w:p w14:paraId="052773B9"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Un breve e doveroso cenno va fatto, inoltre, in riferimento alla disciplina del </w:t>
      </w:r>
      <w:r w:rsidRPr="007B3803">
        <w:rPr>
          <w:rFonts w:ascii="Arial" w:eastAsia="Times New Roman" w:hAnsi="Arial" w:cs="Arial"/>
          <w:b/>
          <w:bCs/>
          <w:kern w:val="0"/>
          <w:sz w:val="24"/>
          <w:szCs w:val="24"/>
          <w:lang w:eastAsia="it-IT"/>
          <w14:ligatures w14:val="none"/>
        </w:rPr>
        <w:t>dibattito pubblico</w:t>
      </w:r>
      <w:r w:rsidRPr="007B3803">
        <w:rPr>
          <w:rFonts w:ascii="Arial" w:eastAsia="Times New Roman" w:hAnsi="Arial" w:cs="Arial"/>
          <w:kern w:val="0"/>
          <w:sz w:val="24"/>
          <w:szCs w:val="24"/>
          <w:lang w:eastAsia="it-IT"/>
          <w14:ligatures w14:val="none"/>
        </w:rPr>
        <w:t>: come noto, l’art. 22 del Codice del 2016 disciplinava l’istituto in esame prevedendo la pubblicazione da parte delle amministrazioni aggiudicatrici e gli enti aggiudicatori nel proprio profilo del committente, dei progetti di fattibilità relativi alle grandi opere infrastrutturali e di architettura di rilevanza sociale, aventi impatto sull’ambiente, sulle città e sull’assetto del territorio, nonché degli esiti della consultazione pubblica, comprensivi dei resoconti degli incontri e dei dibattiti con i portatori di interesse. I contributi e i resoconti erano pubblicati, con pari evidenza, unitamente ai documenti predisposti dall’amministrazione e relativi agli stessi lavori.</w:t>
      </w:r>
    </w:p>
    <w:p w14:paraId="558F4644"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b/>
          <w:bCs/>
          <w:kern w:val="0"/>
          <w:sz w:val="24"/>
          <w:szCs w:val="24"/>
          <w:lang w:eastAsia="it-IT"/>
          <w14:ligatures w14:val="none"/>
        </w:rPr>
        <w:t>L’art. 40 del D.Lgs. n. 36/202</w:t>
      </w:r>
      <w:r w:rsidRPr="007B3803">
        <w:rPr>
          <w:rFonts w:ascii="Arial" w:eastAsia="Times New Roman" w:hAnsi="Arial" w:cs="Arial"/>
          <w:kern w:val="0"/>
          <w:sz w:val="24"/>
          <w:szCs w:val="24"/>
          <w:lang w:eastAsia="it-IT"/>
          <w14:ligatures w14:val="none"/>
        </w:rPr>
        <w:t>3, salvi i casi di dibattito pubblico obbligatorio indicati nell’Allegato I.6, attribuisce alla stazione appaltante</w:t>
      </w:r>
      <w:r w:rsidRPr="007B3803">
        <w:rPr>
          <w:rFonts w:ascii="Arial" w:eastAsia="Times New Roman" w:hAnsi="Arial" w:cs="Arial"/>
          <w:b/>
          <w:bCs/>
          <w:kern w:val="0"/>
          <w:sz w:val="24"/>
          <w:szCs w:val="24"/>
          <w:lang w:eastAsia="it-IT"/>
          <w14:ligatures w14:val="none"/>
        </w:rPr>
        <w:t> la facoltà di indire il dibattito pubblico nei casi in cui ne ravvisi l’opportunità</w:t>
      </w:r>
      <w:r w:rsidRPr="007B3803">
        <w:rPr>
          <w:rFonts w:ascii="Arial" w:eastAsia="Times New Roman" w:hAnsi="Arial" w:cs="Arial"/>
          <w:kern w:val="0"/>
          <w:sz w:val="24"/>
          <w:szCs w:val="24"/>
          <w:lang w:eastAsia="it-IT"/>
          <w14:ligatures w14:val="none"/>
        </w:rPr>
        <w:t> in ragione della particolare rilevanza sociale dell’intervento e del suo impatto sull’ambiente e sul territorio, garantendone in ogni caso la celerità.</w:t>
      </w:r>
    </w:p>
    <w:p w14:paraId="7487722C"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dibattito pubblico si apre con la pubblicazione sul sito istituzionale della stazione appaltante o dell’ente concedente di una relazione contenente il progetto dell’opera e l’analisi di fattibilità delle eventuali alternative progettuali: entro i successivi 60 giorni, le amministrazioni interessate e i portatori di interessi diffusi costituiti in associazioni o comitati, che, in ragione degli scopi statutari, sono interessati dall’intervento, hanno facoltà di presentare osservazioni e proposte. Entro un termine compatibile con le esigenze di celerità, comunque non superiore a 120 giorni dalla pubblicazione del progetto dell’opera, il dibattito si conclude con una relazione redatta dal responsabile del dibattito pubblico e contenente una sintetica descrizione delle proposte e delle osservazioni pervenute, con l’eventuale indicazione di quelle ritenute meritevoli di accoglimento.</w:t>
      </w:r>
    </w:p>
    <w:p w14:paraId="7091B379" w14:textId="77777777" w:rsidR="00485CCA" w:rsidRPr="007B3803" w:rsidRDefault="00485CCA" w:rsidP="00485CCA">
      <w:pPr>
        <w:shd w:val="clear" w:color="auto" w:fill="FFFFFF"/>
        <w:spacing w:before="100" w:beforeAutospacing="1" w:after="100" w:afterAutospacing="1" w:line="240" w:lineRule="auto"/>
        <w:jc w:val="both"/>
        <w:rPr>
          <w:rFonts w:ascii="Arial" w:eastAsia="Times New Roman" w:hAnsi="Arial" w:cs="Arial"/>
          <w:kern w:val="0"/>
          <w:sz w:val="24"/>
          <w:szCs w:val="24"/>
          <w:lang w:eastAsia="it-IT"/>
          <w14:ligatures w14:val="none"/>
        </w:rPr>
      </w:pPr>
    </w:p>
    <w:p w14:paraId="37013B6C" w14:textId="77777777" w:rsidR="00B8638E" w:rsidRPr="007B3803" w:rsidRDefault="00B8638E" w:rsidP="00B8638E">
      <w:pPr>
        <w:pStyle w:val="NormaleWeb"/>
        <w:shd w:val="clear" w:color="auto" w:fill="FFFFFF"/>
        <w:spacing w:before="0" w:beforeAutospacing="0" w:after="0" w:afterAutospacing="0"/>
        <w:textAlignment w:val="baseline"/>
        <w:rPr>
          <w:rFonts w:ascii="Arial" w:hAnsi="Arial" w:cs="Arial"/>
        </w:rPr>
      </w:pPr>
      <w:r w:rsidRPr="007B3803">
        <w:rPr>
          <w:rFonts w:ascii="Arial" w:hAnsi="Arial" w:cs="Arial"/>
        </w:rPr>
        <w:t>livelli di progettazione</w:t>
      </w:r>
      <w:r w:rsidRPr="007B3803">
        <w:rPr>
          <w:rFonts w:ascii="Arial" w:hAnsi="Arial" w:cs="Arial"/>
        </w:rPr>
        <w:sym w:font="Wingdings" w:char="F0E0"/>
      </w:r>
      <w:r w:rsidRPr="007B3803">
        <w:rPr>
          <w:rFonts w:ascii="Arial" w:hAnsi="Arial" w:cs="Arial"/>
        </w:rPr>
        <w:t>l dlgs 36/2023 (nuovo </w:t>
      </w:r>
      <w:hyperlink r:id="rId8" w:tgtFrame="_blank" w:history="1">
        <w:r w:rsidRPr="007B3803">
          <w:rPr>
            <w:rFonts w:ascii="Arial" w:hAnsi="Arial" w:cs="Arial"/>
            <w:bdr w:val="none" w:sz="0" w:space="0" w:color="auto" w:frame="1"/>
          </w:rPr>
          <w:t>codice appalti</w:t>
        </w:r>
      </w:hyperlink>
      <w:r w:rsidRPr="007B3803">
        <w:rPr>
          <w:rFonts w:ascii="Arial" w:hAnsi="Arial" w:cs="Arial"/>
        </w:rPr>
        <w:t>) contiene un’importante novità circa i livelli di progettazione: si passa da 3 a 2: scompare il</w:t>
      </w:r>
      <w:r w:rsidRPr="007B3803">
        <w:rPr>
          <w:rFonts w:ascii="Arial" w:hAnsi="Arial" w:cs="Arial"/>
          <w:b/>
          <w:bCs/>
          <w:bdr w:val="none" w:sz="0" w:space="0" w:color="auto" w:frame="1"/>
        </w:rPr>
        <w:t> progetto definitivo</w:t>
      </w:r>
      <w:r w:rsidRPr="007B3803">
        <w:rPr>
          <w:rFonts w:ascii="Arial" w:hAnsi="Arial" w:cs="Arial"/>
        </w:rPr>
        <w:t>.</w:t>
      </w:r>
    </w:p>
    <w:p w14:paraId="455161F8" w14:textId="77777777" w:rsidR="00B8638E" w:rsidRPr="007B3803" w:rsidRDefault="00B8638E" w:rsidP="00B8638E">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Nell’art. 41 (</w:t>
      </w:r>
      <w:r w:rsidRPr="007B3803">
        <w:rPr>
          <w:rFonts w:ascii="Arial" w:eastAsia="Times New Roman" w:hAnsi="Arial" w:cs="Arial"/>
          <w:b/>
          <w:bCs/>
          <w:kern w:val="0"/>
          <w:sz w:val="24"/>
          <w:szCs w:val="24"/>
          <w:bdr w:val="none" w:sz="0" w:space="0" w:color="auto" w:frame="1"/>
          <w:lang w:eastAsia="it-IT"/>
          <w14:ligatures w14:val="none"/>
        </w:rPr>
        <w:t>livelli e contenuti di progettazione</w:t>
      </w:r>
      <w:r w:rsidRPr="007B3803">
        <w:rPr>
          <w:rFonts w:ascii="Arial" w:eastAsia="Times New Roman" w:hAnsi="Arial" w:cs="Arial"/>
          <w:kern w:val="0"/>
          <w:sz w:val="24"/>
          <w:szCs w:val="24"/>
          <w:lang w:eastAsia="it-IT"/>
          <w14:ligatures w14:val="none"/>
        </w:rPr>
        <w:t>), leggiamo che i livelli di progettazione sono 2:</w:t>
      </w:r>
    </w:p>
    <w:p w14:paraId="5E2848B9" w14:textId="77777777" w:rsidR="00B8638E" w:rsidRPr="007B3803" w:rsidRDefault="00B8638E" w:rsidP="00B8638E">
      <w:pPr>
        <w:numPr>
          <w:ilvl w:val="0"/>
          <w:numId w:val="6"/>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b/>
          <w:bCs/>
          <w:kern w:val="0"/>
          <w:sz w:val="24"/>
          <w:szCs w:val="24"/>
          <w:bdr w:val="none" w:sz="0" w:space="0" w:color="auto" w:frame="1"/>
          <w:lang w:eastAsia="it-IT"/>
          <w14:ligatures w14:val="none"/>
        </w:rPr>
        <w:t>progetto di fattibilità tecnico-economica</w:t>
      </w:r>
      <w:r w:rsidRPr="007B3803">
        <w:rPr>
          <w:rFonts w:ascii="Arial" w:eastAsia="Times New Roman" w:hAnsi="Arial" w:cs="Arial"/>
          <w:kern w:val="0"/>
          <w:sz w:val="24"/>
          <w:szCs w:val="24"/>
          <w:lang w:eastAsia="it-IT"/>
          <w14:ligatures w14:val="none"/>
        </w:rPr>
        <w:t>;</w:t>
      </w:r>
    </w:p>
    <w:p w14:paraId="4A7AD50C" w14:textId="77777777" w:rsidR="00B8638E" w:rsidRPr="007B3803" w:rsidRDefault="00B8638E" w:rsidP="00B8638E">
      <w:pPr>
        <w:numPr>
          <w:ilvl w:val="0"/>
          <w:numId w:val="6"/>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b/>
          <w:bCs/>
          <w:kern w:val="0"/>
          <w:sz w:val="24"/>
          <w:szCs w:val="24"/>
          <w:bdr w:val="none" w:sz="0" w:space="0" w:color="auto" w:frame="1"/>
          <w:lang w:eastAsia="it-IT"/>
          <w14:ligatures w14:val="none"/>
        </w:rPr>
        <w:t>progetto esecutivo</w:t>
      </w:r>
      <w:r w:rsidRPr="007B3803">
        <w:rPr>
          <w:rFonts w:ascii="Arial" w:eastAsia="Times New Roman" w:hAnsi="Arial" w:cs="Arial"/>
          <w:kern w:val="0"/>
          <w:sz w:val="24"/>
          <w:szCs w:val="24"/>
          <w:lang w:eastAsia="it-IT"/>
          <w14:ligatures w14:val="none"/>
        </w:rPr>
        <w:t>.</w:t>
      </w:r>
    </w:p>
    <w:p w14:paraId="654C0027" w14:textId="77777777" w:rsidR="00B8638E" w:rsidRPr="007B3803" w:rsidRDefault="00B8638E" w:rsidP="00B8638E">
      <w:p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stazione appaltante indica alcuni parametri da rispettare in ogni fase della progettazione:</w:t>
      </w:r>
    </w:p>
    <w:p w14:paraId="2FAECD5B" w14:textId="77777777" w:rsidR="00B8638E" w:rsidRPr="007B3803" w:rsidRDefault="00B8638E" w:rsidP="00B8638E">
      <w:pPr>
        <w:numPr>
          <w:ilvl w:val="0"/>
          <w:numId w:val="7"/>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caratteristiche;</w:t>
      </w:r>
    </w:p>
    <w:p w14:paraId="6008F931" w14:textId="77777777" w:rsidR="00B8638E" w:rsidRPr="007B3803" w:rsidRDefault="00B8638E" w:rsidP="00B8638E">
      <w:pPr>
        <w:numPr>
          <w:ilvl w:val="0"/>
          <w:numId w:val="7"/>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requisiti;</w:t>
      </w:r>
    </w:p>
    <w:p w14:paraId="534CC489" w14:textId="77777777" w:rsidR="00B8638E" w:rsidRPr="007B3803" w:rsidRDefault="00B8638E" w:rsidP="00B8638E">
      <w:pPr>
        <w:numPr>
          <w:ilvl w:val="0"/>
          <w:numId w:val="7"/>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elaborati progettuali.</w:t>
      </w:r>
    </w:p>
    <w:p w14:paraId="431C9FA6" w14:textId="77777777" w:rsidR="00B8638E" w:rsidRPr="007B3803" w:rsidRDefault="00B8638E" w:rsidP="00B8638E">
      <w:p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quanto riguarda gli interventi di manutenzione ordinaria e straordinaria può essere omesso il primo livello di progettazione a condizione che l’esecutivo includa tutti gli elementi previsti dal livello omesso.</w:t>
      </w:r>
    </w:p>
    <w:p w14:paraId="542402D1" w14:textId="77777777" w:rsidR="00B8638E" w:rsidRPr="007B3803" w:rsidRDefault="00B8638E" w:rsidP="00B8638E">
      <w:p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progetto di fattibilità tecnico-economica ha la finalità di individuare la soluzione migliore in correlazione alle esigenze da soddisfare, che debba garantire un buon rapporto qualità-prezzo e di costi-benefici. Il progetto tiene conto delle linee guida adottate con provvedimento del Presidente del consiglio superiore dei lavori pubblici.</w:t>
      </w:r>
    </w:p>
    <w:p w14:paraId="048CF282" w14:textId="77777777" w:rsidR="00B8638E" w:rsidRPr="007B3803" w:rsidRDefault="00B8638E" w:rsidP="00B8638E">
      <w:p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Risponde ad alcune caratteristiche:</w:t>
      </w:r>
    </w:p>
    <w:p w14:paraId="2E400BE4" w14:textId="77777777" w:rsidR="00B8638E" w:rsidRPr="007B3803" w:rsidRDefault="00B8638E" w:rsidP="00B8638E">
      <w:pPr>
        <w:numPr>
          <w:ilvl w:val="0"/>
          <w:numId w:val="8"/>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include i richiami all’eventuale uso di metodi e strumenti di gestione informativa digitale delle costruzioni;</w:t>
      </w:r>
    </w:p>
    <w:p w14:paraId="6A14F92D" w14:textId="77777777" w:rsidR="00B8638E" w:rsidRPr="007B3803" w:rsidRDefault="00B8638E" w:rsidP="00B8638E">
      <w:pPr>
        <w:numPr>
          <w:ilvl w:val="0"/>
          <w:numId w:val="8"/>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sviluppa le indagini e gli studi necessari per la definizione degli aspetti di cui all’art.41 comma 1;</w:t>
      </w:r>
    </w:p>
    <w:p w14:paraId="41A81AE6" w14:textId="77777777" w:rsidR="00B8638E" w:rsidRPr="007B3803" w:rsidRDefault="00B8638E" w:rsidP="00B8638E">
      <w:pPr>
        <w:numPr>
          <w:ilvl w:val="0"/>
          <w:numId w:val="8"/>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individua, con le relative stime economiche, le caratteristiche dimensionali, tipologiche, funzionali e tecnologiche dei lavori da realizzare, compresa la scelta in merito alla possibile suddivisione in lotti funzionali;</w:t>
      </w:r>
    </w:p>
    <w:p w14:paraId="691CC471" w14:textId="77777777" w:rsidR="00B8638E" w:rsidRPr="007B3803" w:rsidRDefault="00B8638E" w:rsidP="00B8638E">
      <w:pPr>
        <w:numPr>
          <w:ilvl w:val="0"/>
          <w:numId w:val="8"/>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consente, ove necessario, l’avvio della procedura espropriativa;</w:t>
      </w:r>
    </w:p>
    <w:p w14:paraId="0FA9098E" w14:textId="77777777" w:rsidR="00B8638E" w:rsidRPr="007B3803" w:rsidRDefault="00B8638E" w:rsidP="00B8638E">
      <w:pPr>
        <w:numPr>
          <w:ilvl w:val="0"/>
          <w:numId w:val="8"/>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contiene tutti gli elementi necessari per il rilascio delle autorizzazioni e approvazioni prescritte.</w:t>
      </w:r>
    </w:p>
    <w:p w14:paraId="62E052A4" w14:textId="77777777" w:rsidR="00B8638E" w:rsidRPr="007B3803" w:rsidRDefault="00B8638E" w:rsidP="00B8638E">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le opere proposte in </w:t>
      </w:r>
      <w:r w:rsidRPr="007B3803">
        <w:rPr>
          <w:rFonts w:ascii="Arial" w:eastAsia="Times New Roman" w:hAnsi="Arial" w:cs="Arial"/>
          <w:b/>
          <w:bCs/>
          <w:kern w:val="0"/>
          <w:sz w:val="24"/>
          <w:szCs w:val="24"/>
          <w:bdr w:val="none" w:sz="0" w:space="0" w:color="auto" w:frame="1"/>
          <w:lang w:eastAsia="it-IT"/>
          <w14:ligatures w14:val="none"/>
        </w:rPr>
        <w:t>variante urbanistica</w:t>
      </w:r>
      <w:r w:rsidRPr="007B3803">
        <w:rPr>
          <w:rFonts w:ascii="Arial" w:eastAsia="Times New Roman" w:hAnsi="Arial" w:cs="Arial"/>
          <w:kern w:val="0"/>
          <w:sz w:val="24"/>
          <w:szCs w:val="24"/>
          <w:lang w:eastAsia="it-IT"/>
          <w14:ligatures w14:val="none"/>
        </w:rPr>
        <w:t> di cui all’articolo 19 del decreto del Presidente della Repubblica 8 giugno 2001, n. 327, il progetto di fattibilità tecnico-economica sostituisce il progetto preliminare e quello definitivo.</w:t>
      </w:r>
    </w:p>
    <w:p w14:paraId="1002FE5A" w14:textId="77777777" w:rsidR="00B8638E" w:rsidRPr="007B3803" w:rsidRDefault="00B8638E" w:rsidP="00B8638E">
      <w:pPr>
        <w:shd w:val="clear" w:color="auto" w:fill="FFFFFF"/>
        <w:spacing w:after="150" w:line="240" w:lineRule="auto"/>
        <w:textAlignment w:val="baseline"/>
        <w:rPr>
          <w:rFonts w:ascii="Arial" w:eastAsia="Times New Roman" w:hAnsi="Arial" w:cs="Arial"/>
          <w:kern w:val="0"/>
          <w:sz w:val="24"/>
          <w:szCs w:val="24"/>
          <w:lang w:eastAsia="it-IT"/>
          <w14:ligatures w14:val="none"/>
        </w:rPr>
      </w:pPr>
    </w:p>
    <w:p w14:paraId="77593E51" w14:textId="072ACCE4" w:rsidR="00B8638E" w:rsidRPr="007B3803" w:rsidRDefault="00B8638E" w:rsidP="00B8638E">
      <w:p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progetto esecutivo, il secondo ed ultimo livello di progettazione, è sempre coerente al progetto d fattibilità tecnico-economica. Ha determinate caratteristiche, quali:</w:t>
      </w:r>
    </w:p>
    <w:p w14:paraId="35B8AE33" w14:textId="77777777" w:rsidR="00B8638E" w:rsidRPr="007B3803" w:rsidRDefault="00B8638E" w:rsidP="00B8638E">
      <w:pPr>
        <w:numPr>
          <w:ilvl w:val="0"/>
          <w:numId w:val="9"/>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sviluppa un livello di definizione degli elementi tale da individuarne compiutamente la funzione, i requisiti, la qualità e il prezzo di elenco;</w:t>
      </w:r>
    </w:p>
    <w:p w14:paraId="08FFAF46" w14:textId="77777777" w:rsidR="00B8638E" w:rsidRPr="007B3803" w:rsidRDefault="00B8638E" w:rsidP="00B8638E">
      <w:pPr>
        <w:numPr>
          <w:ilvl w:val="0"/>
          <w:numId w:val="9"/>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è corredato dal </w:t>
      </w:r>
      <w:r w:rsidRPr="007B3803">
        <w:rPr>
          <w:rFonts w:ascii="Arial" w:eastAsia="Times New Roman" w:hAnsi="Arial" w:cs="Arial"/>
          <w:b/>
          <w:bCs/>
          <w:kern w:val="0"/>
          <w:sz w:val="24"/>
          <w:szCs w:val="24"/>
          <w:bdr w:val="none" w:sz="0" w:space="0" w:color="auto" w:frame="1"/>
          <w:lang w:eastAsia="it-IT"/>
          <w14:ligatures w14:val="none"/>
        </w:rPr>
        <w:t>piano di manutenzione dell’opera</w:t>
      </w:r>
      <w:r w:rsidRPr="007B3803">
        <w:rPr>
          <w:rFonts w:ascii="Arial" w:eastAsia="Times New Roman" w:hAnsi="Arial" w:cs="Arial"/>
          <w:kern w:val="0"/>
          <w:sz w:val="24"/>
          <w:szCs w:val="24"/>
          <w:lang w:eastAsia="it-IT"/>
          <w14:ligatures w14:val="none"/>
        </w:rPr>
        <w:t> per l’intero ciclo di vita e determina in dettaglio i lavori da realizzare, il loro costo e i loro tempi di realizzazione;</w:t>
      </w:r>
    </w:p>
    <w:p w14:paraId="53F3D49D" w14:textId="77777777" w:rsidR="00B8638E" w:rsidRPr="007B3803" w:rsidRDefault="00B8638E" w:rsidP="00B8638E">
      <w:pPr>
        <w:numPr>
          <w:ilvl w:val="0"/>
          <w:numId w:val="9"/>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se sono utilizzati metodi e strumenti di gestione informativa digitale delle costruzioni, sviluppa un livello di definizione degli oggetti rispondente a quanto specificato nel capitolato informativo a corredo del progetto;</w:t>
      </w:r>
    </w:p>
    <w:p w14:paraId="4C30701D" w14:textId="77777777" w:rsidR="00B8638E" w:rsidRPr="007B3803" w:rsidRDefault="00B8638E" w:rsidP="00B8638E">
      <w:pPr>
        <w:numPr>
          <w:ilvl w:val="0"/>
          <w:numId w:val="9"/>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di regola, è redatto dallo stesso soggetto che ha predisposto il progetto di fattibilità tecnico-economica. Nel caso in cui motivate ragioni giustifichino l’affidamento disgiunto, il nuovo progettista accetta senza riserve l’attività progettuale svolta in precedenza.</w:t>
      </w:r>
    </w:p>
    <w:p w14:paraId="7949E3A5" w14:textId="77777777" w:rsidR="00B8638E" w:rsidRPr="007B3803" w:rsidRDefault="00B8638E" w:rsidP="00B8638E">
      <w:p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 caso di affidamento esterno, sia del progetto di fattibilità tecnico economica che di quello esecutivo, l’avvio della progettazione esecutiva è condizionato dalla determinazione delle stazioni appaltanti e dagli enti concedenti sul progetto di fattibilità tecnico-economica.</w:t>
      </w:r>
    </w:p>
    <w:p w14:paraId="22AF2C5A" w14:textId="77777777" w:rsidR="00B8638E" w:rsidRDefault="00B8638E" w:rsidP="00B8638E">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dettaglio dei contenuti dei 2 livelli di progettazione è contenuto nell’</w:t>
      </w:r>
      <w:r w:rsidRPr="007B3803">
        <w:rPr>
          <w:rFonts w:ascii="Arial" w:eastAsia="Times New Roman" w:hAnsi="Arial" w:cs="Arial"/>
          <w:b/>
          <w:bCs/>
          <w:kern w:val="0"/>
          <w:sz w:val="24"/>
          <w:szCs w:val="24"/>
          <w:bdr w:val="none" w:sz="0" w:space="0" w:color="auto" w:frame="1"/>
          <w:lang w:eastAsia="it-IT"/>
          <w14:ligatures w14:val="none"/>
        </w:rPr>
        <w:t>allegato I.7</w:t>
      </w:r>
      <w:r w:rsidRPr="007B3803">
        <w:rPr>
          <w:rFonts w:ascii="Arial" w:eastAsia="Times New Roman" w:hAnsi="Arial" w:cs="Arial"/>
          <w:kern w:val="0"/>
          <w:sz w:val="24"/>
          <w:szCs w:val="24"/>
          <w:lang w:eastAsia="it-IT"/>
          <w14:ligatures w14:val="none"/>
        </w:rPr>
        <w:t>.</w:t>
      </w:r>
    </w:p>
    <w:p w14:paraId="04D8B807" w14:textId="77777777" w:rsidR="008C4AF4" w:rsidRDefault="008C4AF4" w:rsidP="00B8638E">
      <w:pPr>
        <w:shd w:val="clear" w:color="auto" w:fill="FFFFFF"/>
        <w:spacing w:after="0" w:line="240" w:lineRule="auto"/>
        <w:textAlignment w:val="baseline"/>
        <w:rPr>
          <w:rFonts w:ascii="Arial" w:eastAsia="Times New Roman" w:hAnsi="Arial" w:cs="Arial"/>
          <w:kern w:val="0"/>
          <w:sz w:val="24"/>
          <w:szCs w:val="24"/>
          <w:lang w:eastAsia="it-IT"/>
          <w14:ligatures w14:val="none"/>
        </w:rPr>
      </w:pPr>
    </w:p>
    <w:p w14:paraId="12166C44" w14:textId="47B08F2D" w:rsidR="008C4AF4" w:rsidRDefault="008C4AF4" w:rsidP="00B8638E">
      <w:pPr>
        <w:shd w:val="clear" w:color="auto" w:fill="FFFFFF"/>
        <w:spacing w:after="0" w:line="240" w:lineRule="auto"/>
        <w:textAlignment w:val="baseline"/>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RUP</w:t>
      </w:r>
    </w:p>
    <w:p w14:paraId="2B61CFC1" w14:textId="77777777" w:rsidR="008C4AF4" w:rsidRDefault="008C4AF4" w:rsidP="00B8638E">
      <w:pPr>
        <w:shd w:val="clear" w:color="auto" w:fill="FFFFFF"/>
        <w:spacing w:after="0" w:line="240" w:lineRule="auto"/>
        <w:textAlignment w:val="baseline"/>
        <w:rPr>
          <w:rFonts w:ascii="Arial" w:eastAsia="Times New Roman" w:hAnsi="Arial" w:cs="Arial"/>
          <w:kern w:val="0"/>
          <w:sz w:val="24"/>
          <w:szCs w:val="24"/>
          <w:lang w:eastAsia="it-IT"/>
          <w14:ligatures w14:val="none"/>
        </w:rPr>
      </w:pPr>
    </w:p>
    <w:p w14:paraId="7786C65D" w14:textId="39E5647B"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Il Codice attribuisce un ruolo centrale al RUP, la cui figura viene profondamente valorizzata sin dalla modifica della denominazione che da responsabile unico del</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procedimento diviene responsabile unico del progetto. Questa innovazione è tesa a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sottolineare che la responsabilità assunta dal RUP non riguarda uno o più procedimenti,</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ma l’intero progetto, sin dalla sua fase di programmazione. Il principio di unicità della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responsabilità va quindi riferito all’insieme dei procedimenti, diversi e autonomi, volti alla</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realizzazione dell’intervento pubblico. </w:t>
      </w:r>
    </w:p>
    <w:p w14:paraId="08D37AAC" w14:textId="41BD5BBC"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Il RUP è nominato dal responsabile dell’unità organizzativa titolare del potere di spesa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presso la stazione appaltante o l’ente concedente. Esso è individuato tra i dipendenti, anche non aventi la qualifica dirigenziale, purché in possesso dei requisiti e competenze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adeguate all’incarico affidato (articolo 15). In particolare, l’allegato I.2 prevede che le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funzioni di RUP non possono essere assunte da soggetti condannati, anche con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sentenza non passata in giudicato, per i reati contro la pubblica amministrazione di cui</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al Capo I, titolo II del Libro II del codice penale, quali ad esempio peculato, malversazione, concussione, corruzione, abuso d’ufficio, rifiuto di atti d’ufficio. </w:t>
      </w:r>
    </w:p>
    <w:p w14:paraId="06C2DC28" w14:textId="34366CB2"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Inoltre, l’allegato indica i requisiti di professionalità di cui il RUP deve essere in possesso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a seconda della tipologia e della complessità della procedura, distinguendo tra appalti,concessioni e servizi attinenti all’ingegneria e all’architettura, e contratti di servizi forniture. In caso di mancata nomina, l’incarico è svolto dal responsabile dell’unità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organizzativa titolare del potere di spesa. </w:t>
      </w:r>
    </w:p>
    <w:p w14:paraId="086370BF" w14:textId="1549F263"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Il nominativo del RUP deve essere indicato nei documenti di gara (bando o avviso di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indizione della gara, invito a presentare un’offerta e provvedimento di aggiudicazione). </w:t>
      </w:r>
    </w:p>
    <w:p w14:paraId="29314034" w14:textId="66199423"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Ferma restando l’unicità della responsabilità, la stazione appaltante o ente concedente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può scegliere di nominare un responsabile per la fase di programmazione e di </w:t>
      </w:r>
    </w:p>
    <w:p w14:paraId="452DD7CD" w14:textId="13641D3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progettazione, e un responsabile per la fase di affidamento. Questa soluzione offre il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vantaggio di evitare un’eccessiva concentrazione di funzioni in capo al RUP, delegando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ad altri lo svolgimento dei compiti che hanno natura più operativa. Ai fini del riparto delle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responsabilità, i responsabili di fase rispondono dei compiti loro affidati, mentre al RUP sono attribuite le responsabilità derivanti dagli obblighi di supervisione, coordinamento, indirizzo e controllo. </w:t>
      </w:r>
    </w:p>
    <w:p w14:paraId="04573BF8" w14:textId="4600160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Il RUP ha l’obbligo di assicurare la realizzazione dell’intervento pubblico nei tempi</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previsti e nel rispetto degli obiettivi connessi al suo incarico. </w:t>
      </w:r>
    </w:p>
    <w:p w14:paraId="690B5D3A" w14:textId="56A5D504"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L’allegato I.2 individua nel dettaglio sia i compiti comuni a tutti i contratti e le fasi della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procedura sia i compiti specifici svolti per la fase di affidamento e per la fase di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esecuzione. In particolare, il RUP: </w:t>
      </w:r>
    </w:p>
    <w:p w14:paraId="69EACB93" w14:textId="32E9E7B3"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formula proposte al fine della predisposizione del programma triennale dei lavori pubblici e degli acquisti di beni e servizi; </w:t>
      </w:r>
    </w:p>
    <w:p w14:paraId="6F90BAC3"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propone alla stazione appaltatante la conclusione di accordi di programma; </w:t>
      </w:r>
    </w:p>
    <w:p w14:paraId="1E59CE6B"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indice la conferenza di servizi; </w:t>
      </w:r>
    </w:p>
    <w:p w14:paraId="765090D8"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decide i sistemi di affidamento, la tipologia del contratto da stipulare e il criterio </w:t>
      </w:r>
    </w:p>
    <w:p w14:paraId="0BD1B498"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di aggiudicazione. </w:t>
      </w:r>
    </w:p>
    <w:p w14:paraId="0709E418"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Nella fase di affidamento, il RUP tra l’altro: </w:t>
      </w:r>
    </w:p>
    <w:p w14:paraId="21801B07"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svolge la verifica di congruità delle offerte in caso di aggiudicazione con il </w:t>
      </w:r>
    </w:p>
    <w:p w14:paraId="4A9998C2"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criterio del prezzo più basso; </w:t>
      </w:r>
    </w:p>
    <w:p w14:paraId="018633AE"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dispone le esclusioni dalle gare; </w:t>
      </w:r>
    </w:p>
    <w:p w14:paraId="14794E97"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può adottare il provvedimento finale della procedura. </w:t>
      </w:r>
    </w:p>
    <w:p w14:paraId="0CC8A910"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Nel caso di esecuzione dei contratti di lavori, il RUP ad esempio: </w:t>
      </w:r>
    </w:p>
    <w:p w14:paraId="090A7E41"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impartisce al direttore dei lavori le istruzioni occorrenti a garantire la regolarità </w:t>
      </w:r>
    </w:p>
    <w:p w14:paraId="729A3E9E"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dell’esecuzione; </w:t>
      </w:r>
    </w:p>
    <w:p w14:paraId="22612208"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vigila, insieme al direttore dei lavori, sul rispetto degli oneri della sicurezza </w:t>
      </w:r>
    </w:p>
    <w:p w14:paraId="03635B0F"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relativi alle prestazioni affidate in subappalti; </w:t>
      </w:r>
    </w:p>
    <w:p w14:paraId="15A9133C"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autorizza le modifiche dei contratti di appalto in corso di esecuzione anche su </w:t>
      </w:r>
    </w:p>
    <w:p w14:paraId="1253B4E6"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proposta del direttore dei lavori; </w:t>
      </w:r>
    </w:p>
    <w:p w14:paraId="304F95B3"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approva i prezzi relativi a nuove lavorazioni originariamente non previste; </w:t>
      </w:r>
    </w:p>
    <w:p w14:paraId="782ECC11"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irroga le penali per il ritardato adempimento degli obblighi contrattuali; </w:t>
      </w:r>
    </w:p>
    <w:p w14:paraId="3657926D"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propone la risoluzione del contratto nei casi previsti; </w:t>
      </w:r>
    </w:p>
    <w:p w14:paraId="589928F4"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rilascia il certificato di esecuzione dei lavori.</w:t>
      </w:r>
    </w:p>
    <w:p w14:paraId="4B9755DD" w14:textId="5F64E4E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Nei casi di appalti di particolare complessità che richiedono competenze altamente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specialistiche, la stazione appaltante o l’ente concedente può istituire una struttura </w:t>
      </w:r>
    </w:p>
    <w:p w14:paraId="60A5580E" w14:textId="097FB668" w:rsid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stabile a supporto del RUP </w:t>
      </w:r>
    </w:p>
    <w:p w14:paraId="1275FC91" w14:textId="77777777" w:rsidR="00880308" w:rsidRDefault="00880308"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p>
    <w:p w14:paraId="2FFC42D3" w14:textId="5EDC442F" w:rsidR="00880308" w:rsidRDefault="00880308"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SOGLIE COMUNITARIE</w:t>
      </w:r>
    </w:p>
    <w:p w14:paraId="72E02EA6" w14:textId="53F982B1" w:rsidR="00880308" w:rsidRPr="00880308" w:rsidRDefault="00880308" w:rsidP="00880308">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80308">
        <w:rPr>
          <w:rFonts w:ascii="Arial" w:eastAsia="Times New Roman" w:hAnsi="Arial" w:cs="Arial"/>
          <w:kern w:val="0"/>
          <w:sz w:val="24"/>
          <w:szCs w:val="24"/>
          <w:lang w:eastAsia="it-IT"/>
          <w14:ligatures w14:val="none"/>
        </w:rPr>
        <w:t xml:space="preserve">L’art. 14 del D.Lgs. n. 36/2023 prevede, ai fini dell’applicazione del Codice dei Contratti pubblici, </w:t>
      </w:r>
      <w:r>
        <w:rPr>
          <w:rFonts w:ascii="Arial" w:eastAsia="Times New Roman" w:hAnsi="Arial" w:cs="Arial"/>
          <w:kern w:val="0"/>
          <w:sz w:val="24"/>
          <w:szCs w:val="24"/>
          <w:lang w:eastAsia="it-IT"/>
          <w14:ligatures w14:val="none"/>
        </w:rPr>
        <w:t xml:space="preserve"> </w:t>
      </w:r>
      <w:r w:rsidRPr="00880308">
        <w:rPr>
          <w:rFonts w:ascii="Arial" w:eastAsia="Times New Roman" w:hAnsi="Arial" w:cs="Arial"/>
          <w:kern w:val="0"/>
          <w:sz w:val="24"/>
          <w:szCs w:val="24"/>
          <w:lang w:eastAsia="it-IT"/>
          <w14:ligatures w14:val="none"/>
        </w:rPr>
        <w:t xml:space="preserve">le soglie di rilevanza comunitaria, che sono soggette ad aggiornamento periodico ed </w:t>
      </w:r>
    </w:p>
    <w:p w14:paraId="1A81E8FB" w14:textId="765DFC42" w:rsidR="00880308" w:rsidRPr="00880308" w:rsidRDefault="00880308" w:rsidP="00880308">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80308">
        <w:rPr>
          <w:rFonts w:ascii="Arial" w:eastAsia="Times New Roman" w:hAnsi="Arial" w:cs="Arial"/>
          <w:kern w:val="0"/>
          <w:sz w:val="24"/>
          <w:szCs w:val="24"/>
          <w:lang w:eastAsia="it-IT"/>
          <w14:ligatures w14:val="none"/>
        </w:rPr>
        <w:t xml:space="preserve">automatico con appositi provvedimenti adottati dalla Commissione Europea, pubblicati nella </w:t>
      </w:r>
      <w:r>
        <w:rPr>
          <w:rFonts w:ascii="Arial" w:eastAsia="Times New Roman" w:hAnsi="Arial" w:cs="Arial"/>
          <w:kern w:val="0"/>
          <w:sz w:val="24"/>
          <w:szCs w:val="24"/>
          <w:lang w:eastAsia="it-IT"/>
          <w14:ligatures w14:val="none"/>
        </w:rPr>
        <w:t xml:space="preserve"> </w:t>
      </w:r>
      <w:r w:rsidRPr="00880308">
        <w:rPr>
          <w:rFonts w:ascii="Arial" w:eastAsia="Times New Roman" w:hAnsi="Arial" w:cs="Arial"/>
          <w:kern w:val="0"/>
          <w:sz w:val="24"/>
          <w:szCs w:val="24"/>
          <w:lang w:eastAsia="it-IT"/>
          <w14:ligatures w14:val="none"/>
        </w:rPr>
        <w:t>Gazzetta Ufficiale dell’Unione Europea.</w:t>
      </w:r>
    </w:p>
    <w:p w14:paraId="451B76FD" w14:textId="2F472422" w:rsidR="00880308" w:rsidRPr="00880308" w:rsidRDefault="00880308" w:rsidP="00880308">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80308">
        <w:rPr>
          <w:rFonts w:ascii="Arial" w:eastAsia="Times New Roman" w:hAnsi="Arial" w:cs="Arial"/>
          <w:kern w:val="0"/>
          <w:sz w:val="24"/>
          <w:szCs w:val="24"/>
          <w:lang w:eastAsia="it-IT"/>
          <w14:ligatures w14:val="none"/>
        </w:rPr>
        <w:t xml:space="preserve">Le soglie previste dall’art. 14, comma 1, del Codice, in adeguamento rispetto a quanto previsto </w:t>
      </w:r>
      <w:r>
        <w:rPr>
          <w:rFonts w:ascii="Arial" w:eastAsia="Times New Roman" w:hAnsi="Arial" w:cs="Arial"/>
          <w:kern w:val="0"/>
          <w:sz w:val="24"/>
          <w:szCs w:val="24"/>
          <w:lang w:eastAsia="it-IT"/>
          <w14:ligatures w14:val="none"/>
        </w:rPr>
        <w:t xml:space="preserve"> </w:t>
      </w:r>
      <w:r w:rsidRPr="00880308">
        <w:rPr>
          <w:rFonts w:ascii="Arial" w:eastAsia="Times New Roman" w:hAnsi="Arial" w:cs="Arial"/>
          <w:kern w:val="0"/>
          <w:sz w:val="24"/>
          <w:szCs w:val="24"/>
          <w:lang w:eastAsia="it-IT"/>
          <w14:ligatures w14:val="none"/>
        </w:rPr>
        <w:t xml:space="preserve">dai Regolamenti UE n. (UE) 2021/1951, n. 1952 e n. 1953, applicabili unicamente alle procedure </w:t>
      </w:r>
    </w:p>
    <w:p w14:paraId="7C222346" w14:textId="77777777" w:rsidR="00880308" w:rsidRDefault="00880308" w:rsidP="00880308">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80308">
        <w:rPr>
          <w:rFonts w:ascii="Arial" w:eastAsia="Times New Roman" w:hAnsi="Arial" w:cs="Arial"/>
          <w:kern w:val="0"/>
          <w:sz w:val="24"/>
          <w:szCs w:val="24"/>
          <w:lang w:eastAsia="it-IT"/>
          <w14:ligatures w14:val="none"/>
        </w:rPr>
        <w:t xml:space="preserve">avviate fino al 31 dicembre 2023, sono pari a: </w:t>
      </w:r>
      <w:r>
        <w:rPr>
          <w:rFonts w:ascii="Arial" w:eastAsia="Times New Roman" w:hAnsi="Arial" w:cs="Arial"/>
          <w:kern w:val="0"/>
          <w:sz w:val="24"/>
          <w:szCs w:val="24"/>
          <w:lang w:eastAsia="it-IT"/>
          <w14:ligatures w14:val="none"/>
        </w:rPr>
        <w:t xml:space="preserve"> </w:t>
      </w:r>
    </w:p>
    <w:p w14:paraId="17E0F86F" w14:textId="0A2E24B8" w:rsidR="00880308" w:rsidRPr="00880308" w:rsidRDefault="00880308" w:rsidP="00880308">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80308">
        <w:rPr>
          <w:rFonts w:ascii="Arial" w:eastAsia="Times New Roman" w:hAnsi="Arial" w:cs="Arial"/>
          <w:kern w:val="0"/>
          <w:sz w:val="24"/>
          <w:szCs w:val="24"/>
          <w:lang w:eastAsia="it-IT"/>
          <w14:ligatures w14:val="none"/>
        </w:rPr>
        <w:t>▪ € 5.</w:t>
      </w:r>
      <w:r>
        <w:rPr>
          <w:rFonts w:ascii="Arial" w:eastAsia="Times New Roman" w:hAnsi="Arial" w:cs="Arial"/>
          <w:kern w:val="0"/>
          <w:sz w:val="24"/>
          <w:szCs w:val="24"/>
          <w:lang w:eastAsia="it-IT"/>
          <w14:ligatures w14:val="none"/>
        </w:rPr>
        <w:t>538</w:t>
      </w:r>
      <w:r w:rsidRPr="00880308">
        <w:rPr>
          <w:rFonts w:ascii="Arial" w:eastAsia="Times New Roman" w:hAnsi="Arial" w:cs="Arial"/>
          <w:kern w:val="0"/>
          <w:sz w:val="24"/>
          <w:szCs w:val="24"/>
          <w:lang w:eastAsia="it-IT"/>
          <w14:ligatures w14:val="none"/>
        </w:rPr>
        <w:t>.000,00 (IVA esclusa) per gli appalti pubblici di lavori e per le concessioni;</w:t>
      </w:r>
    </w:p>
    <w:p w14:paraId="571AAA71" w14:textId="6F8170F3" w:rsidR="00880308" w:rsidRPr="00880308" w:rsidRDefault="00880308" w:rsidP="00880308">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80308">
        <w:rPr>
          <w:rFonts w:ascii="Arial" w:eastAsia="Times New Roman" w:hAnsi="Arial" w:cs="Arial"/>
          <w:kern w:val="0"/>
          <w:sz w:val="24"/>
          <w:szCs w:val="24"/>
          <w:lang w:eastAsia="it-IT"/>
          <w14:ligatures w14:val="none"/>
        </w:rPr>
        <w:t>▪ € 14</w:t>
      </w:r>
      <w:r>
        <w:rPr>
          <w:rFonts w:ascii="Arial" w:eastAsia="Times New Roman" w:hAnsi="Arial" w:cs="Arial"/>
          <w:kern w:val="0"/>
          <w:sz w:val="24"/>
          <w:szCs w:val="24"/>
          <w:lang w:eastAsia="it-IT"/>
          <w14:ligatures w14:val="none"/>
        </w:rPr>
        <w:t>3</w:t>
      </w:r>
      <w:r w:rsidRPr="00880308">
        <w:rPr>
          <w:rFonts w:ascii="Arial" w:eastAsia="Times New Roman" w:hAnsi="Arial" w:cs="Arial"/>
          <w:kern w:val="0"/>
          <w:sz w:val="24"/>
          <w:szCs w:val="24"/>
          <w:lang w:eastAsia="it-IT"/>
          <w14:ligatures w14:val="none"/>
        </w:rPr>
        <w:t xml:space="preserve">.000,00 (IVA esclusa) per gli appalti pubblici di forniture, di servizi e per i concorsi pubblici di progettazione aggiudicati dalle stazioni appaltanti che sono autoritàgovernative centrali indicate nell’allegato I alla direttiva 2014/24/UE del Parlamento europeo e del Consiglio, del 26 febbraio 2014; se gli appalti pubblici di forniture sonoaggiudicati da stazioni appaltanti operanti nel settore della difesa, questa soglia si </w:t>
      </w:r>
      <w:r>
        <w:rPr>
          <w:rFonts w:ascii="Arial" w:eastAsia="Times New Roman" w:hAnsi="Arial" w:cs="Arial"/>
          <w:kern w:val="0"/>
          <w:sz w:val="24"/>
          <w:szCs w:val="24"/>
          <w:lang w:eastAsia="it-IT"/>
          <w14:ligatures w14:val="none"/>
        </w:rPr>
        <w:t>A</w:t>
      </w:r>
      <w:r w:rsidRPr="00880308">
        <w:rPr>
          <w:rFonts w:ascii="Arial" w:eastAsia="Times New Roman" w:hAnsi="Arial" w:cs="Arial"/>
          <w:kern w:val="0"/>
          <w:sz w:val="24"/>
          <w:szCs w:val="24"/>
          <w:lang w:eastAsia="it-IT"/>
          <w14:ligatures w14:val="none"/>
        </w:rPr>
        <w:t>pplica solo agli appalti concernenti i prodotti menzionati nell’allegato III alla direttiva2014/24/UE;</w:t>
      </w:r>
    </w:p>
    <w:p w14:paraId="0B17BD59" w14:textId="5C0C6428" w:rsidR="00880308" w:rsidRPr="00880308" w:rsidRDefault="00880308" w:rsidP="00880308">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80308">
        <w:rPr>
          <w:rFonts w:ascii="Arial" w:eastAsia="Times New Roman" w:hAnsi="Arial" w:cs="Arial"/>
          <w:kern w:val="0"/>
          <w:sz w:val="24"/>
          <w:szCs w:val="24"/>
          <w:lang w:eastAsia="it-IT"/>
          <w14:ligatures w14:val="none"/>
        </w:rPr>
        <w:t>▪ € 2</w:t>
      </w:r>
      <w:r>
        <w:rPr>
          <w:rFonts w:ascii="Arial" w:eastAsia="Times New Roman" w:hAnsi="Arial" w:cs="Arial"/>
          <w:kern w:val="0"/>
          <w:sz w:val="24"/>
          <w:szCs w:val="24"/>
          <w:lang w:eastAsia="it-IT"/>
          <w14:ligatures w14:val="none"/>
        </w:rPr>
        <w:t>21</w:t>
      </w:r>
      <w:r w:rsidRPr="00880308">
        <w:rPr>
          <w:rFonts w:ascii="Arial" w:eastAsia="Times New Roman" w:hAnsi="Arial" w:cs="Arial"/>
          <w:kern w:val="0"/>
          <w:sz w:val="24"/>
          <w:szCs w:val="24"/>
          <w:lang w:eastAsia="it-IT"/>
          <w14:ligatures w14:val="none"/>
        </w:rPr>
        <w:t>.000,00 (IVA esclusa) per gli appalti pubblici di forniture, di servizi e per i concorsi pubblici di progettazione aggiudicati da stazioni appaltanti sub-centrali; questa sogliasi applica anche agli appalti pubblici di forniture aggiudicati dalle autorità governative centrali che operano nel settore della difesa, quando gli appalti concernono prodottinon menzionati nell’allegato III alla direttiva 2014/24/UE;</w:t>
      </w:r>
    </w:p>
    <w:p w14:paraId="3C472515" w14:textId="4A2699F8" w:rsidR="00880308" w:rsidRPr="007B3803" w:rsidRDefault="00880308" w:rsidP="00880308">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80308">
        <w:rPr>
          <w:rFonts w:ascii="Arial" w:eastAsia="Times New Roman" w:hAnsi="Arial" w:cs="Arial"/>
          <w:kern w:val="0"/>
          <w:sz w:val="24"/>
          <w:szCs w:val="24"/>
          <w:lang w:eastAsia="it-IT"/>
          <w14:ligatures w14:val="none"/>
        </w:rPr>
        <w:t>▪ € 750.000,00 (IVA esclusa) per gli appalti di servizi sociali e assimilati elencati all’allegato XIV alla direttiva 2014/24/UE.</w:t>
      </w:r>
      <w:r w:rsidRPr="00880308">
        <w:rPr>
          <w:rFonts w:ascii="Arial" w:eastAsia="Times New Roman" w:hAnsi="Arial" w:cs="Arial"/>
          <w:kern w:val="0"/>
          <w:sz w:val="24"/>
          <w:szCs w:val="24"/>
          <w:lang w:eastAsia="it-IT"/>
          <w14:ligatures w14:val="none"/>
        </w:rPr>
        <w:cr/>
      </w:r>
    </w:p>
    <w:p w14:paraId="4FC53F18" w14:textId="77777777" w:rsidR="009A5311" w:rsidRPr="007B3803" w:rsidRDefault="009A5311" w:rsidP="00B8638E">
      <w:pPr>
        <w:shd w:val="clear" w:color="auto" w:fill="FFFFFF"/>
        <w:spacing w:after="0" w:line="240" w:lineRule="auto"/>
        <w:textAlignment w:val="baseline"/>
        <w:rPr>
          <w:rFonts w:ascii="Arial" w:eastAsia="Times New Roman" w:hAnsi="Arial" w:cs="Arial"/>
          <w:kern w:val="0"/>
          <w:sz w:val="24"/>
          <w:szCs w:val="24"/>
          <w:lang w:eastAsia="it-IT"/>
          <w14:ligatures w14:val="none"/>
        </w:rPr>
      </w:pPr>
    </w:p>
    <w:p w14:paraId="662125F7" w14:textId="77777777" w:rsidR="009A5311" w:rsidRPr="007B3803" w:rsidRDefault="009A5311" w:rsidP="009A5311">
      <w:pPr>
        <w:spacing w:line="240" w:lineRule="auto"/>
        <w:rPr>
          <w:rFonts w:ascii="Arial" w:hAnsi="Arial" w:cs="Arial"/>
          <w:sz w:val="24"/>
          <w:szCs w:val="24"/>
        </w:rPr>
      </w:pPr>
      <w:r w:rsidRPr="007B3803">
        <w:rPr>
          <w:rFonts w:ascii="Arial" w:hAnsi="Arial" w:cs="Arial"/>
          <w:sz w:val="24"/>
          <w:szCs w:val="24"/>
        </w:rPr>
        <w:t>PROCEDURE SCELTA CONTRAENTE</w:t>
      </w:r>
    </w:p>
    <w:p w14:paraId="20BA6187" w14:textId="5FE50D9B" w:rsidR="009A5311" w:rsidRPr="007B3803" w:rsidRDefault="007B3803" w:rsidP="009A5311">
      <w:pPr>
        <w:spacing w:line="240" w:lineRule="auto"/>
        <w:rPr>
          <w:rFonts w:ascii="Arial" w:hAnsi="Arial" w:cs="Arial"/>
          <w:sz w:val="24"/>
          <w:szCs w:val="24"/>
        </w:rPr>
      </w:pPr>
      <w:r w:rsidRPr="007B3803">
        <w:rPr>
          <w:rFonts w:ascii="Arial" w:hAnsi="Arial" w:cs="Arial"/>
          <w:sz w:val="24"/>
          <w:szCs w:val="24"/>
        </w:rPr>
        <w:t>Il codice</w:t>
      </w:r>
      <w:r w:rsidR="009A5311" w:rsidRPr="007B3803">
        <w:rPr>
          <w:rFonts w:ascii="Arial" w:hAnsi="Arial" w:cs="Arial"/>
          <w:sz w:val="24"/>
          <w:szCs w:val="24"/>
        </w:rPr>
        <w:t xml:space="preserve"> individua le procedure utilizzabili per la scelta del contraente prevedendo la regola generale secondo cui nell’aggiudicazione le stazioni appaltanti utilizzano le procedure aperte o ristrette, previa pubblicazione di un bando o avviso di indizione di gara. La scelta tra una procedura e l’altra è discrezionale della PA. Diversamente il ricorso alle altre procedure di affidamento dei lavori pubblici è consentito nei soli casi e alle sole condizioni previste dalla legge. In chiusura si ricorda il divieto al ricorso dell’affidamento congiungot della progettazione e dell’esecuzione dei lavori ad esclusione dei casi di affidamento a contraente generale  , finanza di progetto , affidamento in concessione , partenariato pubblico e privato.  </w:t>
      </w:r>
    </w:p>
    <w:p w14:paraId="046DB7E4" w14:textId="1294EF11" w:rsidR="002C5369" w:rsidRPr="002C5369" w:rsidRDefault="009A5311" w:rsidP="002C5369">
      <w:pPr>
        <w:spacing w:line="240" w:lineRule="auto"/>
        <w:rPr>
          <w:rFonts w:ascii="Arial" w:hAnsi="Arial" w:cs="Arial"/>
          <w:sz w:val="24"/>
          <w:szCs w:val="24"/>
        </w:rPr>
      </w:pPr>
      <w:r w:rsidRPr="007B3803">
        <w:rPr>
          <w:rFonts w:ascii="Arial" w:hAnsi="Arial" w:cs="Arial"/>
          <w:sz w:val="24"/>
          <w:szCs w:val="24"/>
        </w:rPr>
        <w:t>Procedura aperta</w:t>
      </w:r>
      <w:r w:rsidRPr="007B3803">
        <w:rPr>
          <w:rFonts w:ascii="Arial" w:hAnsi="Arial" w:cs="Arial"/>
          <w:sz w:val="24"/>
          <w:szCs w:val="24"/>
        </w:rPr>
        <w:sym w:font="Wingdings" w:char="F0E0"/>
      </w:r>
      <w:r w:rsidRPr="007B3803">
        <w:rPr>
          <w:rFonts w:ascii="Arial" w:hAnsi="Arial" w:cs="Arial"/>
          <w:sz w:val="24"/>
          <w:szCs w:val="24"/>
        </w:rPr>
        <w:t xml:space="preserve"> Qualsiasi operatore economico presenta un'offerta  </w:t>
      </w:r>
      <w:r w:rsidR="002C5369">
        <w:rPr>
          <w:rFonts w:ascii="Arial" w:hAnsi="Arial" w:cs="Arial"/>
          <w:sz w:val="24"/>
          <w:szCs w:val="24"/>
        </w:rPr>
        <w:t xml:space="preserve">. </w:t>
      </w:r>
      <w:r w:rsidR="002C5369" w:rsidRPr="002C5369">
        <w:rPr>
          <w:rFonts w:ascii="Arial" w:hAnsi="Arial" w:cs="Arial"/>
          <w:sz w:val="24"/>
          <w:szCs w:val="24"/>
        </w:rPr>
        <w:t>Trattasi di una procedura nella quale qualsiasi operatore economico interessato può presentare un’offerta in risposta a un avviso di indizione di gara.</w:t>
      </w:r>
    </w:p>
    <w:p w14:paraId="00346692" w14:textId="77777777" w:rsidR="002C5369" w:rsidRPr="002C5369" w:rsidRDefault="002C5369" w:rsidP="002C5369">
      <w:pPr>
        <w:spacing w:line="240" w:lineRule="auto"/>
        <w:rPr>
          <w:rFonts w:ascii="Arial" w:hAnsi="Arial" w:cs="Arial"/>
          <w:sz w:val="24"/>
          <w:szCs w:val="24"/>
        </w:rPr>
      </w:pPr>
      <w:r w:rsidRPr="002C5369">
        <w:rPr>
          <w:rFonts w:ascii="Arial" w:hAnsi="Arial" w:cs="Arial"/>
          <w:sz w:val="24"/>
          <w:szCs w:val="24"/>
        </w:rPr>
        <w:t xml:space="preserve">I principali step che caratterizzano la procedura aperta sono i seguenti: </w:t>
      </w:r>
    </w:p>
    <w:p w14:paraId="754FA01D" w14:textId="77777777" w:rsidR="002C5369" w:rsidRPr="002C5369" w:rsidRDefault="002C5369" w:rsidP="002C5369">
      <w:pPr>
        <w:spacing w:line="240" w:lineRule="auto"/>
        <w:rPr>
          <w:rFonts w:ascii="Arial" w:hAnsi="Arial" w:cs="Arial"/>
          <w:sz w:val="24"/>
          <w:szCs w:val="24"/>
        </w:rPr>
      </w:pPr>
      <w:r w:rsidRPr="002C5369">
        <w:rPr>
          <w:rFonts w:ascii="Arial" w:hAnsi="Arial" w:cs="Arial"/>
          <w:sz w:val="24"/>
          <w:szCs w:val="24"/>
        </w:rPr>
        <w:t>1. Indizione della procedura</w:t>
      </w:r>
    </w:p>
    <w:p w14:paraId="0ABE77C5" w14:textId="77777777" w:rsidR="002C5369" w:rsidRPr="002C5369" w:rsidRDefault="002C5369" w:rsidP="002C5369">
      <w:pPr>
        <w:spacing w:line="240" w:lineRule="auto"/>
        <w:rPr>
          <w:rFonts w:ascii="Arial" w:hAnsi="Arial" w:cs="Arial"/>
          <w:sz w:val="24"/>
          <w:szCs w:val="24"/>
        </w:rPr>
      </w:pPr>
      <w:r w:rsidRPr="002C5369">
        <w:rPr>
          <w:rFonts w:ascii="Arial" w:hAnsi="Arial" w:cs="Arial"/>
          <w:sz w:val="24"/>
          <w:szCs w:val="24"/>
        </w:rPr>
        <w:t>2. Pubblicazione della documentazione di gara</w:t>
      </w:r>
    </w:p>
    <w:p w14:paraId="48056C66" w14:textId="77777777" w:rsidR="002C5369" w:rsidRPr="002C5369" w:rsidRDefault="002C5369" w:rsidP="002C5369">
      <w:pPr>
        <w:spacing w:line="240" w:lineRule="auto"/>
        <w:rPr>
          <w:rFonts w:ascii="Arial" w:hAnsi="Arial" w:cs="Arial"/>
          <w:sz w:val="24"/>
          <w:szCs w:val="24"/>
        </w:rPr>
      </w:pPr>
      <w:r w:rsidRPr="002C5369">
        <w:rPr>
          <w:rFonts w:ascii="Arial" w:hAnsi="Arial" w:cs="Arial"/>
          <w:sz w:val="24"/>
          <w:szCs w:val="24"/>
        </w:rPr>
        <w:t>3. Presentazione delle offerte</w:t>
      </w:r>
    </w:p>
    <w:p w14:paraId="131C68DD" w14:textId="77777777" w:rsidR="002C5369" w:rsidRPr="002C5369" w:rsidRDefault="002C5369" w:rsidP="002C5369">
      <w:pPr>
        <w:spacing w:line="240" w:lineRule="auto"/>
        <w:rPr>
          <w:rFonts w:ascii="Arial" w:hAnsi="Arial" w:cs="Arial"/>
          <w:sz w:val="24"/>
          <w:szCs w:val="24"/>
        </w:rPr>
      </w:pPr>
      <w:r w:rsidRPr="002C5369">
        <w:rPr>
          <w:rFonts w:ascii="Arial" w:hAnsi="Arial" w:cs="Arial"/>
          <w:sz w:val="24"/>
          <w:szCs w:val="24"/>
        </w:rPr>
        <w:t>4. Svolgimento delle sedute di gara</w:t>
      </w:r>
    </w:p>
    <w:p w14:paraId="43EF97AA" w14:textId="77777777" w:rsidR="002C5369" w:rsidRPr="002C5369" w:rsidRDefault="002C5369" w:rsidP="002C5369">
      <w:pPr>
        <w:spacing w:line="240" w:lineRule="auto"/>
        <w:rPr>
          <w:rFonts w:ascii="Arial" w:hAnsi="Arial" w:cs="Arial"/>
          <w:sz w:val="24"/>
          <w:szCs w:val="24"/>
        </w:rPr>
      </w:pPr>
      <w:r w:rsidRPr="002C5369">
        <w:rPr>
          <w:rFonts w:ascii="Arial" w:hAnsi="Arial" w:cs="Arial"/>
          <w:sz w:val="24"/>
          <w:szCs w:val="24"/>
        </w:rPr>
        <w:t>5. Verifica dei requisiti</w:t>
      </w:r>
    </w:p>
    <w:p w14:paraId="599A2322" w14:textId="77777777" w:rsidR="002C5369" w:rsidRPr="002C5369" w:rsidRDefault="002C5369" w:rsidP="002C5369">
      <w:pPr>
        <w:spacing w:line="240" w:lineRule="auto"/>
        <w:rPr>
          <w:rFonts w:ascii="Arial" w:hAnsi="Arial" w:cs="Arial"/>
          <w:sz w:val="24"/>
          <w:szCs w:val="24"/>
        </w:rPr>
      </w:pPr>
      <w:r w:rsidRPr="002C5369">
        <w:rPr>
          <w:rFonts w:ascii="Arial" w:hAnsi="Arial" w:cs="Arial"/>
          <w:sz w:val="24"/>
          <w:szCs w:val="24"/>
        </w:rPr>
        <w:t>6. Stipula del contratto</w:t>
      </w:r>
    </w:p>
    <w:p w14:paraId="08A2ADD9" w14:textId="5AA7ED0A" w:rsidR="009A5311" w:rsidRPr="007B3803" w:rsidRDefault="009A5311" w:rsidP="009A5311">
      <w:pPr>
        <w:spacing w:line="240" w:lineRule="auto"/>
        <w:rPr>
          <w:rFonts w:ascii="Arial" w:hAnsi="Arial" w:cs="Arial"/>
          <w:sz w:val="24"/>
          <w:szCs w:val="24"/>
        </w:rPr>
      </w:pPr>
      <w:r w:rsidRPr="002C5369">
        <w:rPr>
          <w:rFonts w:ascii="Arial" w:hAnsi="Arial" w:cs="Arial"/>
          <w:b/>
          <w:bCs/>
          <w:sz w:val="24"/>
          <w:szCs w:val="24"/>
        </w:rPr>
        <w:t>Procedura ristretta</w:t>
      </w:r>
      <w:r w:rsidRPr="007B3803">
        <w:rPr>
          <w:rFonts w:ascii="Arial" w:hAnsi="Arial" w:cs="Arial"/>
          <w:sz w:val="24"/>
          <w:szCs w:val="24"/>
        </w:rPr>
        <w:sym w:font="Wingdings" w:char="F0E0"/>
      </w:r>
      <w:r w:rsidRPr="007B3803">
        <w:rPr>
          <w:rFonts w:ascii="Arial" w:hAnsi="Arial" w:cs="Arial"/>
          <w:sz w:val="24"/>
          <w:szCs w:val="24"/>
        </w:rPr>
        <w:t>Qualsiasi operatore economico può presentare una domanda di partecipazione in risposta a un avviso di indizione di gara. P</w:t>
      </w:r>
      <w:r w:rsidR="002C5369">
        <w:rPr>
          <w:rFonts w:ascii="Arial" w:hAnsi="Arial" w:cs="Arial"/>
          <w:sz w:val="24"/>
          <w:szCs w:val="24"/>
        </w:rPr>
        <w:t>rocedura&gt;Av</w:t>
      </w:r>
      <w:r w:rsidRPr="007B3803">
        <w:rPr>
          <w:rFonts w:ascii="Arial" w:hAnsi="Arial" w:cs="Arial"/>
          <w:sz w:val="24"/>
          <w:szCs w:val="24"/>
        </w:rPr>
        <w:t xml:space="preserve">viso di indizione di gara contenente le informazioni richieste dall’amministrazione aggiudicatrice ai fini della selezione qualitativa Domande di partecipazione (trenta giorni) Individuazione degli operatori da invitare, sulla base della selezione qualitativa 61 </w:t>
      </w:r>
    </w:p>
    <w:p w14:paraId="63F417C0" w14:textId="77777777" w:rsidR="009A5311" w:rsidRPr="007B3803" w:rsidRDefault="009A5311" w:rsidP="009A5311">
      <w:pPr>
        <w:spacing w:line="240" w:lineRule="auto"/>
        <w:rPr>
          <w:rFonts w:ascii="Arial" w:hAnsi="Arial" w:cs="Arial"/>
          <w:sz w:val="24"/>
          <w:szCs w:val="24"/>
        </w:rPr>
      </w:pPr>
      <w:r w:rsidRPr="007B3803">
        <w:rPr>
          <w:rFonts w:ascii="Arial" w:hAnsi="Arial" w:cs="Arial"/>
          <w:sz w:val="24"/>
          <w:szCs w:val="24"/>
        </w:rPr>
        <w:t xml:space="preserve">Invito e ricezione offerte (trenta giorni) </w:t>
      </w:r>
    </w:p>
    <w:p w14:paraId="26400A40" w14:textId="77777777" w:rsidR="009A5311" w:rsidRPr="007B3803" w:rsidRDefault="009A5311" w:rsidP="009A5311">
      <w:pPr>
        <w:spacing w:line="240" w:lineRule="auto"/>
        <w:rPr>
          <w:rFonts w:ascii="Arial" w:hAnsi="Arial" w:cs="Arial"/>
          <w:sz w:val="24"/>
          <w:szCs w:val="24"/>
        </w:rPr>
      </w:pPr>
      <w:r w:rsidRPr="002C5369">
        <w:rPr>
          <w:rFonts w:ascii="Arial" w:hAnsi="Arial" w:cs="Arial"/>
          <w:b/>
          <w:bCs/>
          <w:sz w:val="24"/>
          <w:szCs w:val="24"/>
        </w:rPr>
        <w:t>Procedura competitiva con negoziazione</w:t>
      </w:r>
      <w:r w:rsidRPr="007B3803">
        <w:rPr>
          <w:rFonts w:ascii="Arial" w:hAnsi="Arial" w:cs="Arial"/>
          <w:sz w:val="24"/>
          <w:szCs w:val="24"/>
        </w:rPr>
        <w:t xml:space="preserve"> </w:t>
      </w:r>
      <w:r w:rsidRPr="007B3803">
        <w:rPr>
          <w:rFonts w:ascii="Arial" w:hAnsi="Arial" w:cs="Arial"/>
          <w:sz w:val="24"/>
          <w:szCs w:val="24"/>
        </w:rPr>
        <w:sym w:font="Wingdings" w:char="F0E0"/>
      </w:r>
      <w:r w:rsidRPr="007B3803">
        <w:rPr>
          <w:rFonts w:ascii="Arial" w:hAnsi="Arial" w:cs="Arial"/>
          <w:sz w:val="24"/>
          <w:szCs w:val="24"/>
        </w:rPr>
        <w:t>Nelle procedure competitive con negoziazione qualsiasi operatore economico può presentare una domanda di partecipazione in risposta a un avviso di indizione di gara, fornendo le informazioni richieste dall'amministrazione aggiudicatrice per la selezione qualitativa. Solo gli operatori economici invitati dall'amministrazione aggiudicatrice, in seguito alla valutazione delle informazioni fornite, possono presentare un'offerta iniziale che costituisce la base per la successiva negoziazione. Le amministrazioni aggiudicatrici possono limitare il numero di candidati idonei da invitare a partecipare alla procedura quando lo richieda la difficoltà o la complessità dell’opera, della fornitura o del servizio</w:t>
      </w:r>
    </w:p>
    <w:p w14:paraId="01D60981" w14:textId="77777777" w:rsidR="009A5311" w:rsidRPr="007B3803" w:rsidRDefault="009A5311" w:rsidP="009A5311">
      <w:pPr>
        <w:spacing w:line="240" w:lineRule="auto"/>
        <w:rPr>
          <w:rFonts w:ascii="Arial" w:hAnsi="Arial" w:cs="Arial"/>
          <w:sz w:val="24"/>
          <w:szCs w:val="24"/>
        </w:rPr>
      </w:pPr>
      <w:r w:rsidRPr="007B3803">
        <w:rPr>
          <w:rFonts w:ascii="Arial" w:hAnsi="Arial" w:cs="Arial"/>
          <w:sz w:val="24"/>
          <w:szCs w:val="24"/>
        </w:rPr>
        <w:t xml:space="preserve">Avviso di indizione di gara contenente le informazioni richieste dall’amministrazione aggiudicatrice ai fini della selezione qualitativa </w:t>
      </w:r>
      <w:r w:rsidRPr="007B3803">
        <w:rPr>
          <w:rFonts w:ascii="Arial" w:hAnsi="Arial" w:cs="Arial"/>
          <w:sz w:val="24"/>
          <w:szCs w:val="24"/>
        </w:rPr>
        <w:sym w:font="Wingdings" w:char="F0E0"/>
      </w:r>
      <w:r w:rsidRPr="007B3803">
        <w:rPr>
          <w:rFonts w:ascii="Arial" w:hAnsi="Arial" w:cs="Arial"/>
          <w:sz w:val="24"/>
          <w:szCs w:val="24"/>
        </w:rPr>
        <w:t>Domande di partecipazione (trenta giorni)</w:t>
      </w:r>
      <w:r w:rsidRPr="007B3803">
        <w:rPr>
          <w:rFonts w:ascii="Arial" w:hAnsi="Arial" w:cs="Arial"/>
          <w:sz w:val="24"/>
          <w:szCs w:val="24"/>
        </w:rPr>
        <w:sym w:font="Wingdings" w:char="F0E0"/>
      </w:r>
      <w:r w:rsidRPr="007B3803">
        <w:rPr>
          <w:rFonts w:ascii="Arial" w:hAnsi="Arial" w:cs="Arial"/>
          <w:sz w:val="24"/>
          <w:szCs w:val="24"/>
        </w:rPr>
        <w:t xml:space="preserve"> Individuazione degli operatori da invitare, sulla base della selezione qualitativa</w:t>
      </w:r>
      <w:r w:rsidRPr="007B3803">
        <w:rPr>
          <w:rFonts w:ascii="Arial" w:hAnsi="Arial" w:cs="Arial"/>
          <w:sz w:val="24"/>
          <w:szCs w:val="24"/>
        </w:rPr>
        <w:sym w:font="Wingdings" w:char="F0E0"/>
      </w:r>
      <w:r w:rsidRPr="007B3803">
        <w:rPr>
          <w:rFonts w:ascii="Arial" w:hAnsi="Arial" w:cs="Arial"/>
          <w:sz w:val="24"/>
          <w:szCs w:val="24"/>
        </w:rPr>
        <w:t xml:space="preserve"> Invito e ricezione offerte (trenta giorni)</w:t>
      </w:r>
      <w:r w:rsidRPr="007B3803">
        <w:rPr>
          <w:rFonts w:ascii="Arial" w:hAnsi="Arial" w:cs="Arial"/>
          <w:sz w:val="24"/>
          <w:szCs w:val="24"/>
        </w:rPr>
        <w:sym w:font="Wingdings" w:char="F0E0"/>
      </w:r>
      <w:r w:rsidRPr="007B3803">
        <w:rPr>
          <w:rFonts w:ascii="Arial" w:hAnsi="Arial" w:cs="Arial"/>
          <w:sz w:val="24"/>
          <w:szCs w:val="24"/>
        </w:rPr>
        <w:t xml:space="preserve"> Le amministrazioni negoziano con gli operatori le loro offerte iniziali e le successive, tranne le finali, sulla base dei requisiti minimi e del criterio di aggiudicazione. Nel corso delle negoziazioni, le amministrazioni garantiscono parità di trattamento e non forniscono informazioni avvantaggianti ai singoli operatori. </w:t>
      </w:r>
      <w:r w:rsidRPr="007B3803">
        <w:rPr>
          <w:rFonts w:ascii="Arial" w:hAnsi="Arial" w:cs="Arial"/>
          <w:sz w:val="24"/>
          <w:szCs w:val="24"/>
        </w:rPr>
        <w:sym w:font="Wingdings" w:char="F0E0"/>
      </w:r>
      <w:r w:rsidRPr="007B3803">
        <w:rPr>
          <w:rFonts w:ascii="Arial" w:hAnsi="Arial" w:cs="Arial"/>
          <w:sz w:val="24"/>
          <w:szCs w:val="24"/>
        </w:rPr>
        <w:t xml:space="preserve">Informazione della volontà di conclusione delle negoziazioni, con fissazione di termine per offerte finali. </w:t>
      </w:r>
    </w:p>
    <w:p w14:paraId="0B373B96" w14:textId="77777777" w:rsidR="009A5311" w:rsidRPr="007B3803" w:rsidRDefault="009A5311" w:rsidP="009A5311">
      <w:pPr>
        <w:spacing w:line="240" w:lineRule="auto"/>
        <w:rPr>
          <w:rFonts w:ascii="Arial" w:hAnsi="Arial" w:cs="Arial"/>
          <w:sz w:val="24"/>
          <w:szCs w:val="24"/>
        </w:rPr>
      </w:pPr>
    </w:p>
    <w:p w14:paraId="60F592EE" w14:textId="2133E997" w:rsidR="009A5311" w:rsidRPr="002C5369" w:rsidRDefault="009A5311" w:rsidP="009A5311">
      <w:pPr>
        <w:pStyle w:val="has-text-align-justify"/>
        <w:shd w:val="clear" w:color="auto" w:fill="FFFFFF"/>
        <w:spacing w:before="0" w:beforeAutospacing="0"/>
        <w:jc w:val="both"/>
        <w:rPr>
          <w:rFonts w:ascii="Arial" w:hAnsi="Arial" w:cs="Arial"/>
          <w:b/>
          <w:bCs/>
        </w:rPr>
      </w:pPr>
      <w:r w:rsidRPr="002C5369">
        <w:rPr>
          <w:rFonts w:ascii="Arial" w:hAnsi="Arial" w:cs="Arial"/>
          <w:b/>
          <w:bCs/>
        </w:rPr>
        <w:t>Procedura negoziata senza bando di gara</w:t>
      </w:r>
    </w:p>
    <w:p w14:paraId="48129017"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Nel caso di appalti di lavori, forniture e servizi, la procedura in esame può essere utilizzata in presenza delle seguenti circostanze:</w:t>
      </w:r>
    </w:p>
    <w:p w14:paraId="0B2E9288" w14:textId="77777777" w:rsidR="009A5311" w:rsidRPr="00880308" w:rsidRDefault="009A5311" w:rsidP="009A5311">
      <w:pPr>
        <w:numPr>
          <w:ilvl w:val="0"/>
          <w:numId w:val="27"/>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qualora non sia stata presentata alcuna offerta o alcuna offerta appropriata, né alcuna domanda di partecipazione o alcuna domanda di partecipazione appropriata, in esito all’esperimento di una procedura aperta o ristretta, purché le condizioni iniziali dell’appalto non siano sostanzialmente modificate e purché sia trasmessa una relazione alla Commissione europea, su sua richiesta;</w:t>
      </w:r>
    </w:p>
    <w:p w14:paraId="14B82C86" w14:textId="77777777" w:rsidR="009A5311" w:rsidRPr="00880308" w:rsidRDefault="009A5311" w:rsidP="009A5311">
      <w:pPr>
        <w:numPr>
          <w:ilvl w:val="0"/>
          <w:numId w:val="27"/>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quando i lavori, le forniture o i servizi possono essere forniti unicamente da un determinato operatore economico per una delle seguenti ragioni:</w:t>
      </w:r>
    </w:p>
    <w:p w14:paraId="7890BE3C" w14:textId="77777777" w:rsidR="009A5311" w:rsidRPr="00880308" w:rsidRDefault="009A5311" w:rsidP="009A5311">
      <w:pPr>
        <w:numPr>
          <w:ilvl w:val="1"/>
          <w:numId w:val="27"/>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lo scopo dell’appalto consiste nella creazione o nell’acquisizione di un’opera d’arte o rappresentazione artistica unica;</w:t>
      </w:r>
    </w:p>
    <w:p w14:paraId="63DEEE6B" w14:textId="77777777" w:rsidR="009A5311" w:rsidRPr="00880308" w:rsidRDefault="009A5311" w:rsidP="009A5311">
      <w:pPr>
        <w:numPr>
          <w:ilvl w:val="1"/>
          <w:numId w:val="27"/>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la concorrenza è assente per motivi tecnici;</w:t>
      </w:r>
    </w:p>
    <w:p w14:paraId="7A6D6AFD" w14:textId="77777777" w:rsidR="009A5311" w:rsidRPr="00880308" w:rsidRDefault="009A5311" w:rsidP="009A5311">
      <w:pPr>
        <w:numPr>
          <w:ilvl w:val="1"/>
          <w:numId w:val="27"/>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la tutela di diritti esclusivi, inclusi i diritti di proprietà intellettuale.</w:t>
      </w:r>
    </w:p>
    <w:p w14:paraId="52AE703C"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Le eccezioni di cui ai punti 2) e 3) si applicano solo allorquando non esistano altri operatori economici o soluzioni alternative ragionevoli e l’assenza di concorrenza non sia il risultato di una limitazione artificiale dei parametri dell’appalto</w:t>
      </w:r>
    </w:p>
    <w:p w14:paraId="09147F3F"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Altresì, può essere utilizzata nella misura strettamente necessaria quando, per ragioni di estrema urgenza derivante da eventi imprevedibili dall’amministrazione aggiudicatrice, i termini previsti dalle ulteriori procedure (ovverosia quelle aperte, ristrette o competitive con negoziazione) non possono essere rispettati.</w:t>
      </w:r>
    </w:p>
    <w:p w14:paraId="7262585E"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Le circostanze invocate a giustificazione del ricorso alla procedura in parola, tuttavia, non devono essere in alcun caso imputabili alle amministrazioni aggiudicatrici.</w:t>
      </w:r>
    </w:p>
    <w:p w14:paraId="41E50F1A"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Unitamente alle circostanze di cui al paragrafo che precede, nel caso di appalti pubblici aventi ad oggetto la fornitura di lavori o servizi, la procedura negoziata senza previa pubblicazione del bando è altresì consentita nelle seguenti ipotesi:</w:t>
      </w:r>
    </w:p>
    <w:p w14:paraId="0B812327" w14:textId="77777777" w:rsidR="009A5311" w:rsidRPr="00880308" w:rsidRDefault="009A5311" w:rsidP="009A5311">
      <w:pPr>
        <w:numPr>
          <w:ilvl w:val="0"/>
          <w:numId w:val="28"/>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qualora i prodotti oggetto dell’appalto siano fabbricati esclusivamente a scopo di ricerca, di sperimentazione, di studio o di sviluppo, salvo che si tratti di produzione in quantità volta ad accertare la redditività commerciale del prodotto o ad ammortizzare i costi di ricerca e di sviluppo;</w:t>
      </w:r>
    </w:p>
    <w:p w14:paraId="742E4650" w14:textId="77777777" w:rsidR="009A5311" w:rsidRPr="00880308" w:rsidRDefault="009A5311" w:rsidP="009A5311">
      <w:pPr>
        <w:numPr>
          <w:ilvl w:val="0"/>
          <w:numId w:val="28"/>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nel caso di consegne complementari effettuate dal fornitore originario e destinate al rinnovo parziale di forniture o di impianti o all’ampliamento di forniture o impianti esistenti, qualora il cambiamento di fornitore obblighi l’amministrazione aggiudicatrice ad acquistare forniture con caratteristiche tecniche differenti, il cui impiego o la cui manutenzione comporterebbero incompatibilità o difficoltà tecniche sproporzionate (la durata di tali contratti e dei contratti rinnovabili non può comunque di regola superare i tre anni);</w:t>
      </w:r>
    </w:p>
    <w:p w14:paraId="2E4C5F47" w14:textId="77777777" w:rsidR="009A5311" w:rsidRPr="00880308" w:rsidRDefault="009A5311" w:rsidP="009A5311">
      <w:pPr>
        <w:numPr>
          <w:ilvl w:val="0"/>
          <w:numId w:val="28"/>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per forniture quotate e acquistate sul mercato delle materie prime;</w:t>
      </w:r>
    </w:p>
    <w:p w14:paraId="42EFF624" w14:textId="77777777" w:rsidR="009A5311" w:rsidRPr="00880308" w:rsidRDefault="009A5311" w:rsidP="009A5311">
      <w:pPr>
        <w:numPr>
          <w:ilvl w:val="0"/>
          <w:numId w:val="28"/>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per l’acquisto di forniture o servizi a condizioni particolarmente vantaggiose, da un fornitore che cessa definitivamente l’attività commerciale oppure dagli organi delle procedure concorsuali.</w:t>
      </w:r>
    </w:p>
    <w:p w14:paraId="0AC2AAA2"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Altresì, ai sensi del medesimo dettato codicistico, tale procedura è</w:t>
      </w:r>
      <w:r w:rsidRPr="00880308">
        <w:rPr>
          <w:rFonts w:ascii="Arial" w:eastAsia="Times New Roman" w:hAnsi="Arial" w:cs="Arial"/>
          <w:i/>
          <w:iCs/>
          <w:sz w:val="24"/>
          <w:szCs w:val="24"/>
          <w:lang w:eastAsia="it-IT"/>
        </w:rPr>
        <w:t> “consentita negli appalti pubblici relativi ai servizi qualora l’appalto faccia seguito ad un concorso di progettazione e debba, in base alle norme applicabili, essere aggiudicato al vincitore o ad uno dei vincitori del concorso. In quest’ultimo caso, tutti i vincitori devono essere invitati a partecipare ai negoziati</w:t>
      </w:r>
      <w:r w:rsidRPr="00880308">
        <w:rPr>
          <w:rFonts w:ascii="Arial" w:eastAsia="Times New Roman" w:hAnsi="Arial" w:cs="Arial"/>
          <w:sz w:val="24"/>
          <w:szCs w:val="24"/>
          <w:lang w:eastAsia="it-IT"/>
        </w:rPr>
        <w:t>”.</w:t>
      </w:r>
    </w:p>
    <w:p w14:paraId="6918BD60"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Ed ancora, tale procedura può essere utilizzata per nuovi lavori o servizi consistenti nella ripetizione di lavori o servizi analoghi, già affidati all’operatore economico aggiudicatario dell’appalto iniziale dalle medesime amministrazioni aggiudicatrici, a condizione che tali lavori o servizi siano conformi al progetto a base di gara, il quale deve aver indicato eventuali lavori o servizi complementari, nonché le condizioni alle quali essi verranno aggiudicati.</w:t>
      </w:r>
    </w:p>
    <w:p w14:paraId="7525F260"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Le amministrazioni aggiudicatrici, pertanto, individuano gli operatori economici da consultare sulla base di informazioni afferenti alle caratteristiche economico/finanziarie, tecniche e professionali desunte dal mercato, selezionando almeno cinque operatori economici, se esistenti (pur sempre nel rispetto dei principi di trasparenza, concorrenza e rotazione).</w:t>
      </w:r>
    </w:p>
    <w:p w14:paraId="4BD0394C"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Sarà selezionato, dunque, l’operatore economico che avrà offerto le condizioni più vantaggiose, previa verifica del possesso dei relativi requisiti di partecipazione previsti per l’affidamento di contratti di uguale importo.</w:t>
      </w:r>
    </w:p>
    <w:p w14:paraId="0E32EC28"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La Stazione Appaltante, dopo aver adottato delibera o determina a contrarre – all’interno della quale viene motivata la sussistenza dei presupposti per l’utilizzo di tale procedura – individua, consulta e seleziona gli operatori economici sulla base delle relative caratteristiche economico/finanziarie e tecnico/organizzative.</w:t>
      </w:r>
    </w:p>
    <w:p w14:paraId="529A8250"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Dunque, con apposita comunicazione nella quale sono indicati gli elementi essenziali della prestazione richiesta, la Stazione Appaltante invita gli operatori economici selezionati a presentare le offerte che saranno oggetto della medesima negoziazione.</w:t>
      </w:r>
    </w:p>
    <w:p w14:paraId="0C86115B"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Infine, l’offerta migliore sarà selezionata secondo i criteri del minor prezzo e dell’offerta economicamente più vantaggiosa.</w:t>
      </w:r>
    </w:p>
    <w:p w14:paraId="0E547ED1" w14:textId="77777777" w:rsidR="009A5311" w:rsidRPr="007B3803" w:rsidRDefault="00000000" w:rsidP="009A5311">
      <w:pPr>
        <w:spacing w:after="0" w:line="240" w:lineRule="auto"/>
        <w:rPr>
          <w:rFonts w:ascii="Arial" w:eastAsia="Times New Roman" w:hAnsi="Arial" w:cs="Arial"/>
          <w:b/>
          <w:bCs/>
          <w:sz w:val="24"/>
          <w:szCs w:val="24"/>
          <w:lang w:eastAsia="it-IT"/>
        </w:rPr>
      </w:pPr>
      <w:r>
        <w:rPr>
          <w:rFonts w:ascii="Arial" w:eastAsia="Times New Roman" w:hAnsi="Arial" w:cs="Arial"/>
          <w:b/>
          <w:bCs/>
          <w:sz w:val="24"/>
          <w:szCs w:val="24"/>
          <w:lang w:eastAsia="it-IT"/>
        </w:rPr>
        <w:pict w14:anchorId="7A2B135F">
          <v:rect id="_x0000_i1025" style="width:0;height:0" o:hrstd="t" o:hrnoshade="t" o:hr="t" fillcolor="#333" stroked="f"/>
        </w:pict>
      </w:r>
    </w:p>
    <w:p w14:paraId="7504E6E4" w14:textId="77777777" w:rsidR="009A5311" w:rsidRPr="007B3803" w:rsidRDefault="009A5311" w:rsidP="009A5311">
      <w:pPr>
        <w:spacing w:line="240" w:lineRule="auto"/>
        <w:rPr>
          <w:rFonts w:ascii="Arial" w:hAnsi="Arial" w:cs="Arial"/>
          <w:sz w:val="24"/>
          <w:szCs w:val="24"/>
        </w:rPr>
      </w:pPr>
    </w:p>
    <w:p w14:paraId="581AB07D" w14:textId="77777777" w:rsidR="009A5311" w:rsidRPr="007B3803" w:rsidRDefault="009A5311" w:rsidP="009A5311">
      <w:pPr>
        <w:spacing w:line="240" w:lineRule="auto"/>
        <w:rPr>
          <w:rFonts w:ascii="Arial" w:hAnsi="Arial" w:cs="Arial"/>
          <w:sz w:val="24"/>
          <w:szCs w:val="24"/>
        </w:rPr>
      </w:pPr>
      <w:r w:rsidRPr="007B3803">
        <w:rPr>
          <w:rFonts w:ascii="Arial" w:hAnsi="Arial" w:cs="Arial"/>
          <w:b/>
          <w:sz w:val="24"/>
          <w:szCs w:val="24"/>
        </w:rPr>
        <w:t>Dialogo competitivo</w:t>
      </w:r>
      <w:r w:rsidRPr="007B3803">
        <w:rPr>
          <w:rFonts w:ascii="Arial" w:hAnsi="Arial" w:cs="Arial"/>
          <w:sz w:val="24"/>
          <w:szCs w:val="24"/>
        </w:rPr>
        <w:sym w:font="Wingdings" w:char="F0E0"/>
      </w:r>
      <w:r w:rsidRPr="007B3803">
        <w:rPr>
          <w:rFonts w:ascii="Arial" w:hAnsi="Arial" w:cs="Arial"/>
          <w:sz w:val="24"/>
          <w:szCs w:val="24"/>
        </w:rPr>
        <w:t xml:space="preserve"> Medesimi presupposti applicativi della procedura competitiva con negoziazione. PROCEDURA: Necessità di specifica motivazione in merito alla sussistenza dei presupposti applicativi </w:t>
      </w:r>
      <w:r w:rsidRPr="007B3803">
        <w:rPr>
          <w:rFonts w:ascii="Arial" w:hAnsi="Arial" w:cs="Arial"/>
          <w:sz w:val="24"/>
          <w:szCs w:val="24"/>
        </w:rPr>
        <w:sym w:font="Wingdings" w:char="F0E0"/>
      </w:r>
      <w:r w:rsidRPr="007B3803">
        <w:rPr>
          <w:rFonts w:ascii="Arial" w:hAnsi="Arial" w:cs="Arial"/>
          <w:sz w:val="24"/>
          <w:szCs w:val="24"/>
        </w:rPr>
        <w:t>Le stazioni appaltanti indicano le esigenze e definiscono i requisiti Le stazioni appaltanti avviano con i partecipanti selezionati un dialogo, finalizzato a definire i mezzi idonei a soddisfare le loro esigenze</w:t>
      </w:r>
      <w:r w:rsidRPr="007B3803">
        <w:rPr>
          <w:rFonts w:ascii="Arial" w:hAnsi="Arial" w:cs="Arial"/>
          <w:sz w:val="24"/>
          <w:szCs w:val="24"/>
        </w:rPr>
        <w:sym w:font="Wingdings" w:char="F0E0"/>
      </w:r>
      <w:r w:rsidRPr="007B3803">
        <w:rPr>
          <w:rFonts w:ascii="Arial" w:hAnsi="Arial" w:cs="Arial"/>
          <w:sz w:val="24"/>
          <w:szCs w:val="24"/>
        </w:rPr>
        <w:t>Durante il dialogo, deve essere garantita parità di trattamento e non devono essere fornite informazioni avvantaggianti solo taluni partecipanti</w:t>
      </w:r>
      <w:r w:rsidRPr="007B3803">
        <w:rPr>
          <w:rFonts w:ascii="Arial" w:hAnsi="Arial" w:cs="Arial"/>
          <w:sz w:val="24"/>
          <w:szCs w:val="24"/>
        </w:rPr>
        <w:sym w:font="Wingdings" w:char="F0E0"/>
      </w:r>
      <w:r w:rsidRPr="007B3803">
        <w:rPr>
          <w:rFonts w:ascii="Arial" w:hAnsi="Arial" w:cs="Arial"/>
          <w:sz w:val="24"/>
          <w:szCs w:val="24"/>
        </w:rPr>
        <w:t xml:space="preserve"> Concluso il dialogo, gli operatori presentano le offerte finali</w:t>
      </w:r>
      <w:r w:rsidRPr="007B3803">
        <w:rPr>
          <w:rFonts w:ascii="Arial" w:hAnsi="Arial" w:cs="Arial"/>
          <w:sz w:val="24"/>
          <w:szCs w:val="24"/>
        </w:rPr>
        <w:sym w:font="Wingdings" w:char="F0E0"/>
      </w:r>
      <w:r w:rsidRPr="007B3803">
        <w:rPr>
          <w:rFonts w:ascii="Arial" w:hAnsi="Arial" w:cs="Arial"/>
          <w:sz w:val="24"/>
          <w:szCs w:val="24"/>
        </w:rPr>
        <w:t xml:space="preserve"> Le stazioni appaltanti valutano le offerte ricevute sulla base dei criteri prefissati. Il dialogo competitivo, così come tutte le procedure ad evidenza pubblica, deve sottostare ai principi degli appalti: • trasparenza: bando contiene tutti gli elementi noti, immodificabili. Le informazioni emerse durante il dialogo sono fornite a tutti i partecipanti in modo non discriminatorio, fermo restando l’obbligo di riservatezza; • riservatezza: sulle soluzioni proposte da ciascun concorrente; • parità di trattamento: criteri di valutazione espressi inizialmente, offerte immodificabili dopo la chiusura del dialogo. Il dialogo competitivo è una procedura di carattere eccezionale e onerosa, soprattutto per gli operatori economici che vi prendono parte. Il Codice prevede la possibilità di concedere premi o incentivi ai partecipanti al dialogo, anche se vieta forme di indennizzo nel caso nessuna proposta sia giudicata idonea. Un secondo problema è dovuto alla previsione di indicare fino dal bando/avviso iniziale i criteri di valutazione delle offerte, sebbene l’oggetto del bando di fatto sia ancora indefinito in quello stadio.</w:t>
      </w:r>
    </w:p>
    <w:p w14:paraId="12F18866" w14:textId="77777777" w:rsidR="009A5311" w:rsidRDefault="009A5311" w:rsidP="009A5311">
      <w:pPr>
        <w:spacing w:line="240" w:lineRule="auto"/>
        <w:rPr>
          <w:rFonts w:ascii="Arial" w:hAnsi="Arial" w:cs="Arial"/>
          <w:sz w:val="24"/>
          <w:szCs w:val="24"/>
          <w:shd w:val="clear" w:color="auto" w:fill="FFFFFF"/>
        </w:rPr>
      </w:pPr>
      <w:r w:rsidRPr="007B3803">
        <w:rPr>
          <w:rFonts w:ascii="Arial" w:hAnsi="Arial" w:cs="Arial"/>
          <w:b/>
          <w:sz w:val="24"/>
          <w:szCs w:val="24"/>
        </w:rPr>
        <w:t>Partenariato per l'innovazione</w:t>
      </w:r>
      <w:r w:rsidRPr="007B3803">
        <w:rPr>
          <w:rFonts w:ascii="Arial" w:hAnsi="Arial" w:cs="Arial"/>
          <w:sz w:val="24"/>
          <w:szCs w:val="24"/>
        </w:rPr>
        <w:t xml:space="preserve"> </w:t>
      </w:r>
      <w:r w:rsidRPr="007B3803">
        <w:rPr>
          <w:rFonts w:ascii="Arial" w:hAnsi="Arial" w:cs="Arial"/>
          <w:sz w:val="24"/>
          <w:szCs w:val="24"/>
        </w:rPr>
        <w:sym w:font="Wingdings" w:char="F0E0"/>
      </w:r>
      <w:r w:rsidRPr="007B3803">
        <w:rPr>
          <w:rFonts w:ascii="Arial" w:hAnsi="Arial" w:cs="Arial"/>
          <w:sz w:val="24"/>
          <w:szCs w:val="24"/>
        </w:rPr>
        <w:t xml:space="preserve">Le amministrazioni aggiudicatrici e gli enti aggiudicatori possono ricorrere ai partenariati per l’innovazione nelle ipotesi in cui l’esigenza di sviluppare prodotti, servizi o lavori innovativi e di acquistare successivamente le forniture, i servizi o i lavori che ne risultano non può, in base a una motivata determinazione, essere soddisfatta ricorrendo a soluzioni già disponibili sul mercato, a condizione che le forniture, servizi o lavori che ne risultano, corrispondano ai livelli di prestazioni e ai costi massimi concordati tra le stazioni appaltanti e i partecipanti. </w:t>
      </w:r>
      <w:r w:rsidRPr="007B3803">
        <w:rPr>
          <w:rFonts w:ascii="Arial" w:hAnsi="Arial" w:cs="Arial"/>
          <w:sz w:val="24"/>
          <w:szCs w:val="24"/>
          <w:shd w:val="clear" w:color="auto" w:fill="FFFFFF"/>
        </w:rPr>
        <w:t>Attraverso una prima selezione dei candidati e una serie di negoziazioni parallele con i soggetti che hanno manifestato il proprio interesse a partecipare alla procedura, le stazioni appaltanti potranno sia manifestare i propri fabbisogni fissando i requisiti minimi e i costi massimi delle soluzioni richieste, senza impegnarsi in un’ardua descrizione a priori delle stesse, sia strutturare la commessa in fasi successive, secondo la sequenza tipica dei progetti di ricerca, fissando obiettivi intermedi che i partecipanti dovranno raggiungere per ottenere il pagamento della remunerazione corrispondente.</w:t>
      </w:r>
    </w:p>
    <w:p w14:paraId="0B51DE26" w14:textId="77777777" w:rsidR="002C5369" w:rsidRDefault="002C5369" w:rsidP="009A5311">
      <w:pPr>
        <w:spacing w:line="240" w:lineRule="auto"/>
        <w:rPr>
          <w:rFonts w:ascii="Arial" w:hAnsi="Arial" w:cs="Arial"/>
          <w:sz w:val="24"/>
          <w:szCs w:val="24"/>
          <w:shd w:val="clear" w:color="auto" w:fill="FFFFFF"/>
        </w:rPr>
      </w:pPr>
    </w:p>
    <w:p w14:paraId="245E7EE5" w14:textId="110E7EC2" w:rsidR="002C5369" w:rsidRDefault="002C5369" w:rsidP="009A5311">
      <w:pPr>
        <w:spacing w:line="240" w:lineRule="auto"/>
        <w:rPr>
          <w:rFonts w:ascii="Arial" w:hAnsi="Arial" w:cs="Arial"/>
          <w:sz w:val="24"/>
          <w:szCs w:val="24"/>
          <w:shd w:val="clear" w:color="auto" w:fill="FFFFFF"/>
        </w:rPr>
      </w:pPr>
      <w:r>
        <w:rPr>
          <w:rFonts w:ascii="Arial" w:hAnsi="Arial" w:cs="Arial"/>
          <w:sz w:val="24"/>
          <w:szCs w:val="24"/>
          <w:shd w:val="clear" w:color="auto" w:fill="FFFFFF"/>
        </w:rPr>
        <w:t>xxxxxxxxxxxxxxxxxxxxxxxxxxxxxxxxxxxxxxxxxxxxxxxxxxxxxxxxxxxxxxxxxxxxxxxxxxxxxxxxxxxxxxxxxxxxxxxxxxxxxxxxxxxxxxxxxxxxxxxxxxxxxxxxxxxxx</w:t>
      </w:r>
    </w:p>
    <w:p w14:paraId="4D8D5FCE" w14:textId="77777777" w:rsidR="002C5369" w:rsidRPr="007B3803" w:rsidRDefault="002C5369" w:rsidP="009A5311">
      <w:pPr>
        <w:spacing w:line="240" w:lineRule="auto"/>
        <w:rPr>
          <w:rFonts w:ascii="Arial" w:hAnsi="Arial" w:cs="Arial"/>
          <w:sz w:val="24"/>
          <w:szCs w:val="24"/>
        </w:rPr>
      </w:pPr>
    </w:p>
    <w:p w14:paraId="570A747D" w14:textId="77777777" w:rsidR="009A5311" w:rsidRPr="007B3803" w:rsidRDefault="009A5311" w:rsidP="009A5311">
      <w:pPr>
        <w:pStyle w:val="NormaleWeb"/>
        <w:shd w:val="clear" w:color="auto" w:fill="FFFFFF"/>
        <w:spacing w:before="0" w:beforeAutospacing="0" w:after="101" w:afterAutospacing="0"/>
        <w:rPr>
          <w:rFonts w:ascii="Arial" w:hAnsi="Arial" w:cs="Arial"/>
        </w:rPr>
      </w:pPr>
      <w:r w:rsidRPr="007B3803">
        <w:rPr>
          <w:rFonts w:ascii="Arial" w:hAnsi="Arial" w:cs="Arial"/>
          <w:b/>
        </w:rPr>
        <w:t>Accordi quadro</w:t>
      </w:r>
      <w:r w:rsidRPr="007B3803">
        <w:rPr>
          <w:rFonts w:ascii="Arial" w:hAnsi="Arial" w:cs="Arial"/>
          <w:b/>
        </w:rPr>
        <w:sym w:font="Wingdings" w:char="F0E0"/>
      </w:r>
      <w:r w:rsidRPr="007B3803">
        <w:rPr>
          <w:rFonts w:ascii="Arial" w:hAnsi="Arial" w:cs="Arial"/>
        </w:rPr>
        <w:t>L'accordo quadro è uno strumento preparatorio all'affidamento di uno o più appalti, concluso tra le parti sotto forma di accordo, mediante il quale una o più stazioni appaltanti e uno o più operatori economici definiscono le clausole fondamentali relative agli appalti da aggiudicare durante un dato periodo «in particolare per quanto riguarda i prezzi e, se del caso, le quantità previste. L'Istituto trae le sue origini dal cosiddetto contratto normativo, vale a dire da uno strumento di natura negoziale che obbliga le parti ad inserire - nei futuri ed eventuali contratti riguardanti una determinata materia - quanto pattuito nel contratto normativo. Le parti di tale accordo definiscono in anticipo determinate clausole che si obbligano a "... inserire nei futuri contratti, se e quando saranno conclusi"  , dettando dunque "le regole che saranno vincolanti per i loro eventuali futuri rapporti, senza che ne sorgano immediatamente legami di diritto-obbligo. Hanno durata massima di 4 anni eccetto particolari settori (8)</w:t>
      </w:r>
    </w:p>
    <w:p w14:paraId="4723CB88" w14:textId="77777777" w:rsidR="009A5311" w:rsidRPr="007B3803" w:rsidRDefault="009A5311" w:rsidP="009A5311">
      <w:pPr>
        <w:pStyle w:val="NormaleWeb"/>
        <w:shd w:val="clear" w:color="auto" w:fill="FFFFFF"/>
        <w:spacing w:before="0" w:beforeAutospacing="0" w:after="101" w:afterAutospacing="0"/>
        <w:jc w:val="both"/>
        <w:rPr>
          <w:rFonts w:ascii="Arial" w:hAnsi="Arial" w:cs="Arial"/>
        </w:rPr>
      </w:pPr>
      <w:r w:rsidRPr="007B3803">
        <w:rPr>
          <w:rFonts w:ascii="Arial" w:hAnsi="Arial" w:cs="Arial"/>
          <w:b/>
        </w:rPr>
        <w:t>Sistema dinamico di acquisizione</w:t>
      </w:r>
      <w:r w:rsidRPr="007B3803">
        <w:rPr>
          <w:rFonts w:ascii="Arial" w:hAnsi="Arial" w:cs="Arial"/>
          <w:b/>
        </w:rPr>
        <w:sym w:font="Wingdings" w:char="F0E0"/>
      </w:r>
      <w:r w:rsidRPr="007B3803">
        <w:rPr>
          <w:rFonts w:ascii="Arial" w:hAnsi="Arial" w:cs="Arial"/>
          <w:b/>
        </w:rPr>
        <w:t xml:space="preserve"> </w:t>
      </w:r>
      <w:r w:rsidRPr="007B3803">
        <w:rPr>
          <w:rStyle w:val="Enfasigrassetto"/>
          <w:rFonts w:ascii="Arial" w:eastAsiaTheme="majorEastAsia" w:hAnsi="Arial" w:cs="Arial"/>
        </w:rPr>
        <w:t>Acquisizione della P.A.</w:t>
      </w:r>
      <w:r w:rsidRPr="007B3803">
        <w:rPr>
          <w:rFonts w:ascii="Arial" w:hAnsi="Arial" w:cs="Arial"/>
        </w:rPr>
        <w:t> (SDAPA) è un processo di acquisizione interamente elettronico, aperto per tutto il periodo di validità dello stesso a qualsivoglia operatore economico che soddisfi i criteri di selezione.</w:t>
      </w:r>
    </w:p>
    <w:p w14:paraId="4343FE5E" w14:textId="77777777" w:rsidR="009A5311" w:rsidRPr="007B3803" w:rsidRDefault="009A5311" w:rsidP="009A5311">
      <w:pPr>
        <w:pStyle w:val="NormaleWeb"/>
        <w:shd w:val="clear" w:color="auto" w:fill="FFFFFF"/>
        <w:spacing w:before="0" w:beforeAutospacing="0" w:after="101" w:afterAutospacing="0"/>
        <w:jc w:val="both"/>
        <w:rPr>
          <w:rFonts w:ascii="Arial" w:hAnsi="Arial" w:cs="Arial"/>
        </w:rPr>
      </w:pPr>
      <w:r w:rsidRPr="007B3803">
        <w:rPr>
          <w:rFonts w:ascii="Arial" w:hAnsi="Arial" w:cs="Arial"/>
        </w:rPr>
        <w:t>Per l’aggiudicazione nell’ambito di un Sistema dinamico di acquisizione, le amministrazioni aggiudicatrici seguono le norme della procedura ristretta. Tutti i candidati che soddisfano i criteri di selezione sono ammessi al sistema e tutti i partecipanti ammessi sono invitati a presentare un’offerta per ogni specifico appalto nell’ambito del sistema dinamico di acquisizione.</w:t>
      </w:r>
    </w:p>
    <w:p w14:paraId="22822D73" w14:textId="77777777" w:rsidR="009A5311" w:rsidRPr="007B3803" w:rsidRDefault="009A5311" w:rsidP="009A5311">
      <w:pPr>
        <w:pStyle w:val="NormaleWeb"/>
        <w:shd w:val="clear" w:color="auto" w:fill="FFFFFF"/>
        <w:spacing w:before="0" w:beforeAutospacing="0" w:after="101" w:afterAutospacing="0"/>
        <w:jc w:val="both"/>
        <w:rPr>
          <w:rFonts w:ascii="Arial" w:hAnsi="Arial" w:cs="Arial"/>
        </w:rPr>
      </w:pPr>
      <w:r w:rsidRPr="007B3803">
        <w:rPr>
          <w:rFonts w:ascii="Arial" w:hAnsi="Arial" w:cs="Arial"/>
        </w:rPr>
        <w:t>Il Sistema dinamico è caratterizzato da una procedura bifasica:</w:t>
      </w:r>
    </w:p>
    <w:p w14:paraId="77164B52" w14:textId="77777777" w:rsidR="009A5311" w:rsidRPr="007B3803" w:rsidRDefault="009A5311" w:rsidP="009A5311">
      <w:pPr>
        <w:pStyle w:val="NormaleWeb"/>
        <w:shd w:val="clear" w:color="auto" w:fill="FFFFFF"/>
        <w:spacing w:before="0" w:beforeAutospacing="0" w:after="101" w:afterAutospacing="0"/>
        <w:jc w:val="both"/>
        <w:rPr>
          <w:rFonts w:ascii="Arial" w:hAnsi="Arial" w:cs="Arial"/>
        </w:rPr>
      </w:pPr>
      <w:r w:rsidRPr="007B3803">
        <w:rPr>
          <w:rFonts w:ascii="Arial" w:hAnsi="Arial" w:cs="Arial"/>
        </w:rPr>
        <w:t>Fase 1 - pubblicazione da parte di Consip di un bando istitutivo per una o più categorie merceologiche a cui i fornitori possono abilitarsi.</w:t>
      </w:r>
    </w:p>
    <w:p w14:paraId="2D5491FC" w14:textId="77777777" w:rsidR="009A5311" w:rsidRPr="007B3803" w:rsidRDefault="009A5311" w:rsidP="009A5311">
      <w:pPr>
        <w:pStyle w:val="NormaleWeb"/>
        <w:shd w:val="clear" w:color="auto" w:fill="FFFFFF"/>
        <w:spacing w:before="0" w:beforeAutospacing="0" w:after="101" w:afterAutospacing="0"/>
        <w:jc w:val="both"/>
        <w:rPr>
          <w:rFonts w:ascii="Arial" w:hAnsi="Arial" w:cs="Arial"/>
        </w:rPr>
      </w:pPr>
      <w:r w:rsidRPr="007B3803">
        <w:rPr>
          <w:rFonts w:ascii="Arial" w:hAnsi="Arial" w:cs="Arial"/>
        </w:rPr>
        <w:t>Fase 2 – indizione e aggiudicazione di appalti specifici in cui le Amministrazioni, definendo i quantitativi, il valore e le caratteristiche specifiche dell’appalto, invitano tutti i partecipanti ammessi a presentare un’offerta</w:t>
      </w:r>
    </w:p>
    <w:p w14:paraId="20713A81" w14:textId="77777777" w:rsidR="009A5311" w:rsidRPr="007B3803" w:rsidRDefault="009A5311" w:rsidP="009A5311">
      <w:pPr>
        <w:pStyle w:val="NormaleWeb"/>
        <w:shd w:val="clear" w:color="auto" w:fill="FFFFFF"/>
        <w:spacing w:before="0" w:beforeAutospacing="0" w:after="101" w:afterAutospacing="0"/>
        <w:rPr>
          <w:rFonts w:ascii="Arial" w:hAnsi="Arial" w:cs="Arial"/>
          <w:shd w:val="clear" w:color="auto" w:fill="F2EFE7"/>
        </w:rPr>
      </w:pPr>
      <w:r w:rsidRPr="007B3803">
        <w:rPr>
          <w:rFonts w:ascii="Arial" w:hAnsi="Arial" w:cs="Arial"/>
          <w:shd w:val="clear" w:color="auto" w:fill="F2EFE7"/>
        </w:rPr>
        <w:t>lo </w:t>
      </w:r>
      <w:r w:rsidRPr="007B3803">
        <w:rPr>
          <w:rStyle w:val="Enfasigrassetto"/>
          <w:rFonts w:ascii="Arial" w:eastAsiaTheme="majorEastAsia" w:hAnsi="Arial" w:cs="Arial"/>
          <w:shd w:val="clear" w:color="auto" w:fill="F2EFE7"/>
        </w:rPr>
        <w:t>SDAPA</w:t>
      </w:r>
      <w:r w:rsidRPr="007B3803">
        <w:rPr>
          <w:rFonts w:ascii="Arial" w:hAnsi="Arial" w:cs="Arial"/>
          <w:shd w:val="clear" w:color="auto" w:fill="F2EFE7"/>
        </w:rPr>
        <w:t> rappresenta uno strumento d’acquisto che ha subito nell’ultimo periodo un sempre più frequente utilizzo da parte delle amministrazioni pubbliche, principalmente per il fatto che </w:t>
      </w:r>
      <w:r w:rsidRPr="007B3803">
        <w:rPr>
          <w:rFonts w:ascii="Arial" w:hAnsi="Arial" w:cs="Arial"/>
          <w:u w:val="single"/>
          <w:shd w:val="clear" w:color="auto" w:fill="F2EFE7"/>
        </w:rPr>
        <w:t>consente di gestire mediante procedura informatica anche appalti di valore superiore alla soglia comunitaria</w:t>
      </w:r>
      <w:r w:rsidRPr="007B3803">
        <w:rPr>
          <w:rFonts w:ascii="Arial" w:hAnsi="Arial" w:cs="Arial"/>
          <w:shd w:val="clear" w:color="auto" w:fill="F2EFE7"/>
        </w:rPr>
        <w:t>.</w:t>
      </w:r>
    </w:p>
    <w:p w14:paraId="32DE250E" w14:textId="77777777" w:rsidR="009A5311" w:rsidRPr="007B3803" w:rsidRDefault="009A5311" w:rsidP="009A5311">
      <w:pPr>
        <w:pStyle w:val="NormaleWeb"/>
        <w:shd w:val="clear" w:color="auto" w:fill="FFFFFF"/>
        <w:spacing w:before="0" w:beforeAutospacing="0" w:after="101" w:afterAutospacing="0"/>
        <w:rPr>
          <w:rFonts w:ascii="Arial" w:hAnsi="Arial" w:cs="Arial"/>
          <w:shd w:val="clear" w:color="auto" w:fill="F2EFE7"/>
        </w:rPr>
      </w:pPr>
    </w:p>
    <w:p w14:paraId="0F405AC9" w14:textId="77777777" w:rsidR="009A5311" w:rsidRPr="007B3803" w:rsidRDefault="009A5311" w:rsidP="009A5311">
      <w:pPr>
        <w:pStyle w:val="NormaleWeb"/>
        <w:shd w:val="clear" w:color="auto" w:fill="FFFFFF"/>
        <w:spacing w:before="0" w:beforeAutospacing="0" w:after="0" w:afterAutospacing="0"/>
        <w:jc w:val="both"/>
        <w:textAlignment w:val="baseline"/>
        <w:rPr>
          <w:rFonts w:ascii="Arial" w:hAnsi="Arial" w:cs="Arial"/>
        </w:rPr>
      </w:pPr>
      <w:r w:rsidRPr="007B3803">
        <w:rPr>
          <w:rFonts w:ascii="Arial" w:hAnsi="Arial" w:cs="Arial"/>
          <w:b/>
        </w:rPr>
        <w:t>Asta elettronica</w:t>
      </w:r>
      <w:r w:rsidRPr="007B3803">
        <w:rPr>
          <w:rFonts w:ascii="Arial" w:hAnsi="Arial" w:cs="Arial"/>
          <w:b/>
        </w:rPr>
        <w:sym w:font="Wingdings" w:char="F0E0"/>
      </w:r>
      <w:r w:rsidRPr="007B3803">
        <w:rPr>
          <w:rFonts w:ascii="Arial" w:hAnsi="Arial" w:cs="Arial"/>
          <w:shd w:val="clear" w:color="auto" w:fill="FFFFFF"/>
        </w:rPr>
        <w:t xml:space="preserve">L’asta elettronica è una procedura che viene utilizzata dalla pubblica amministrazione con un dispositivo elettronico programmato per ricevere la presentazione di nuovi prezzi da parte dei concorrenti ad una gara di appalto. I prezzi inseriti nell’asta elettronica seguono il criterio del massimo ribasso in merito a dei valori che riguardano solo alcuni elementi del capitolato di gara. Quanto sopra è la sintesi dell’articolo 3, comma 1 lettere zzz), eeee), ffff) del decreto legislativo 18 aprile 2016, n. 50 (codice degli appalti). </w:t>
      </w:r>
      <w:r w:rsidRPr="007B3803">
        <w:rPr>
          <w:rFonts w:ascii="Arial" w:hAnsi="Arial" w:cs="Arial"/>
          <w:bdr w:val="none" w:sz="0" w:space="0" w:color="auto" w:frame="1"/>
        </w:rPr>
        <w:t>L’asta elettronica è una modalità utilizzabile dalla stazione appaltante a sua discrezione nelle procedure aperte, ristrette e negoziate con bando di gara oppure, altro possibile utilizzo, nella fase del rilancio competitivo tra le parti con riferimento ad un preciso accordo quadro descritto nel bando di gara. L’asta elettronica può riguardare :</w:t>
      </w:r>
      <w:r w:rsidRPr="007B3803">
        <w:rPr>
          <w:rFonts w:ascii="Arial" w:hAnsi="Arial" w:cs="Arial"/>
          <w:bdr w:val="none" w:sz="0" w:space="0" w:color="auto" w:frame="1"/>
        </w:rPr>
        <w:br/>
        <w:t>1) solo i prezzi, quando la gara di appalto prevede che per l’aggiudicazione verrà utilizzato il criterio del prezzo più basso;</w:t>
      </w:r>
    </w:p>
    <w:p w14:paraId="32E79C8C" w14:textId="77777777" w:rsidR="009A5311" w:rsidRPr="007B3803" w:rsidRDefault="009A5311" w:rsidP="009A5311">
      <w:pPr>
        <w:pStyle w:val="NormaleWeb"/>
        <w:shd w:val="clear" w:color="auto" w:fill="FFFFFF"/>
        <w:spacing w:before="0" w:beforeAutospacing="0" w:after="0" w:afterAutospacing="0"/>
        <w:jc w:val="both"/>
        <w:textAlignment w:val="baseline"/>
        <w:rPr>
          <w:rFonts w:ascii="Arial" w:hAnsi="Arial" w:cs="Arial"/>
        </w:rPr>
      </w:pPr>
      <w:r w:rsidRPr="007B3803">
        <w:rPr>
          <w:rFonts w:ascii="Arial" w:hAnsi="Arial" w:cs="Arial"/>
          <w:bdr w:val="none" w:sz="0" w:space="0" w:color="auto" w:frame="1"/>
        </w:rPr>
        <w:t>2) il rapporto che esiste fra prezzi/valori, se il criterio di aggiudicazione del contratto di appalto si basa sul metodo dell’offerta economicamente più vantaggiosa.</w:t>
      </w:r>
    </w:p>
    <w:p w14:paraId="7A6D844B" w14:textId="77777777" w:rsidR="009A5311" w:rsidRPr="007B3803" w:rsidRDefault="009A5311" w:rsidP="009A5311">
      <w:pPr>
        <w:pStyle w:val="NormaleWeb"/>
        <w:shd w:val="clear" w:color="auto" w:fill="FFFFFF"/>
        <w:spacing w:before="0" w:beforeAutospacing="0" w:after="101" w:afterAutospacing="0"/>
        <w:rPr>
          <w:rFonts w:ascii="Arial" w:hAnsi="Arial" w:cs="Arial"/>
          <w:b/>
        </w:rPr>
      </w:pPr>
    </w:p>
    <w:p w14:paraId="71C4A830" w14:textId="09E72E4F" w:rsidR="009A5311" w:rsidRPr="007B3803" w:rsidRDefault="009A5311" w:rsidP="002C5369">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Affidamento sotto soglia comunitaria</w:t>
      </w:r>
    </w:p>
    <w:p w14:paraId="5008E138" w14:textId="77777777" w:rsidR="00E126D7" w:rsidRPr="007B3803" w:rsidRDefault="00E126D7" w:rsidP="00E126D7">
      <w:pPr>
        <w:shd w:val="clear" w:color="auto" w:fill="FFFFFF"/>
        <w:spacing w:beforeAutospacing="1" w:after="0" w:afterAutospacing="1" w:line="240" w:lineRule="auto"/>
        <w:ind w:left="360"/>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il modello a cui il Legislatore si è ispirato è quello desumibile dal DL 76/2020 art. 1, comma 2, lett. b), con una novità di rilievo: viene infatti espunto il richiamo all’art. 63 D.Lgs.n. 50/2016 (ovvero alla procedura negoziata senza pubblicazione del bando); detto richiamo ha infatti spesso determinato equivoci, inducendo a pensare che anche la negoziata sottosoglia dovesse avere (in certi casi) un’adeguata motivazione, come quella straordinaria senza pubblicazione del bando.</w:t>
      </w:r>
    </w:p>
    <w:p w14:paraId="5CE42DF1" w14:textId="77777777" w:rsidR="00E126D7" w:rsidRPr="007B3803" w:rsidRDefault="00E126D7" w:rsidP="00E126D7">
      <w:pPr>
        <w:shd w:val="clear" w:color="auto" w:fill="FFFFFF"/>
        <w:spacing w:beforeAutospacing="1" w:after="0" w:afterAutospacing="1" w:line="240" w:lineRule="auto"/>
        <w:ind w:left="360"/>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Per i lavori, alla lett. c) del comma 1 dell’art. 50, si prevedono due differenti soglie (con diverso numero di inviti):</w:t>
      </w:r>
    </w:p>
    <w:p w14:paraId="3CA167F1" w14:textId="77777777" w:rsidR="00E126D7" w:rsidRPr="007B3803" w:rsidRDefault="00E126D7" w:rsidP="00E126D7">
      <w:pPr>
        <w:numPr>
          <w:ilvl w:val="0"/>
          <w:numId w:val="25"/>
        </w:num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 xml:space="preserve">la prima compresa tra 150.000 € e 1.000.000 € </w:t>
      </w:r>
      <w:r w:rsidRPr="007B3803">
        <w:rPr>
          <w:rFonts w:ascii="Arial" w:eastAsia="Times New Roman" w:hAnsi="Arial" w:cs="Arial"/>
          <w:b/>
          <w:bCs/>
          <w:sz w:val="24"/>
          <w:szCs w:val="24"/>
          <w:lang w:eastAsia="it-IT"/>
        </w:rPr>
        <w:t> in questo caso il RUP, attraverso indagini di mercato o attraverso un elenco/albo interno, dovrà invitare alla procedura almeno 5 operatori.</w:t>
      </w:r>
    </w:p>
    <w:p w14:paraId="08D12ECC" w14:textId="77777777" w:rsidR="00E126D7" w:rsidRPr="007B3803" w:rsidRDefault="00E126D7" w:rsidP="00E126D7">
      <w:pPr>
        <w:numPr>
          <w:ilvl w:val="0"/>
          <w:numId w:val="25"/>
        </w:num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p>
    <w:p w14:paraId="171D65B1" w14:textId="1DE4BACC" w:rsidR="00E126D7" w:rsidRPr="007B3803" w:rsidRDefault="00E126D7" w:rsidP="00E126D7">
      <w:pPr>
        <w:numPr>
          <w:ilvl w:val="0"/>
          <w:numId w:val="25"/>
        </w:num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la seconda compresa tra 1.000.000 € e 5.</w:t>
      </w:r>
      <w:r w:rsidR="007B3803" w:rsidRPr="007B3803">
        <w:rPr>
          <w:rFonts w:ascii="Arial" w:eastAsia="Times New Roman" w:hAnsi="Arial" w:cs="Arial"/>
          <w:b/>
          <w:bCs/>
          <w:sz w:val="24"/>
          <w:szCs w:val="24"/>
          <w:lang w:eastAsia="it-IT"/>
        </w:rPr>
        <w:t>538</w:t>
      </w:r>
      <w:r w:rsidRPr="007B3803">
        <w:rPr>
          <w:rFonts w:ascii="Arial" w:eastAsia="Times New Roman" w:hAnsi="Arial" w:cs="Arial"/>
          <w:b/>
          <w:bCs/>
          <w:sz w:val="24"/>
          <w:szCs w:val="24"/>
          <w:lang w:eastAsia="it-IT"/>
        </w:rPr>
        <w:t xml:space="preserve">.000 € </w:t>
      </w:r>
      <w:r w:rsidRPr="007B3803">
        <w:rPr>
          <w:rFonts w:ascii="Arial" w:eastAsia="Times New Roman" w:hAnsi="Arial" w:cs="Arial"/>
          <w:b/>
          <w:bCs/>
          <w:sz w:val="24"/>
          <w:szCs w:val="24"/>
          <w:lang w:eastAsia="it-IT"/>
        </w:rPr>
        <w:t xml:space="preserve"> in questo caso gli inviti devono essere estesi ad almeno 10 operatori (sempre che siano oggettivamente reperibili). </w:t>
      </w:r>
    </w:p>
    <w:p w14:paraId="5DD2E24F" w14:textId="6E9B5F53" w:rsidR="00E126D7" w:rsidRPr="007B3803" w:rsidRDefault="00E126D7" w:rsidP="00E126D7">
      <w:pPr>
        <w:shd w:val="clear" w:color="auto" w:fill="FFFFFF"/>
        <w:spacing w:beforeAutospacing="1" w:after="0" w:afterAutospacing="1" w:line="240" w:lineRule="auto"/>
        <w:ind w:left="360"/>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Per i beni/servizi, invece, la lett. e) dello stesso comma 1 stabilisce che:</w:t>
      </w:r>
    </w:p>
    <w:p w14:paraId="562E5F7C" w14:textId="42C39975" w:rsidR="00E126D7" w:rsidRPr="007B3803" w:rsidRDefault="00E126D7" w:rsidP="00E126D7">
      <w:pPr>
        <w:numPr>
          <w:ilvl w:val="0"/>
          <w:numId w:val="25"/>
        </w:num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per importi pari o superiori a 140.000 € e fino a 2</w:t>
      </w:r>
      <w:r w:rsidR="007B3803" w:rsidRPr="007B3803">
        <w:rPr>
          <w:rFonts w:ascii="Arial" w:eastAsia="Times New Roman" w:hAnsi="Arial" w:cs="Arial"/>
          <w:b/>
          <w:bCs/>
          <w:sz w:val="24"/>
          <w:szCs w:val="24"/>
          <w:lang w:eastAsia="it-IT"/>
        </w:rPr>
        <w:t>21</w:t>
      </w:r>
      <w:r w:rsidRPr="007B3803">
        <w:rPr>
          <w:rFonts w:ascii="Arial" w:eastAsia="Times New Roman" w:hAnsi="Arial" w:cs="Arial"/>
          <w:b/>
          <w:bCs/>
          <w:sz w:val="24"/>
          <w:szCs w:val="24"/>
          <w:lang w:eastAsia="it-IT"/>
        </w:rPr>
        <w:t xml:space="preserve">.000 € (ovvero 750.000 € per servizi sociali) </w:t>
      </w:r>
      <w:r w:rsidRPr="007B3803">
        <w:rPr>
          <w:rFonts w:ascii="Arial" w:eastAsia="Times New Roman" w:hAnsi="Arial" w:cs="Arial"/>
          <w:b/>
          <w:bCs/>
          <w:sz w:val="24"/>
          <w:szCs w:val="24"/>
          <w:lang w:eastAsia="it-IT"/>
        </w:rPr>
        <w:t> è previsto l’invito ad almeno 5 operatori, individuati sempre secondo indagini di mercato o attraverso elenco/albo interno.</w:t>
      </w:r>
    </w:p>
    <w:p w14:paraId="169E49E7" w14:textId="6C0294B0" w:rsidR="00E126D7" w:rsidRPr="007B3803" w:rsidRDefault="00E126D7" w:rsidP="00E126D7">
      <w:pPr>
        <w:numPr>
          <w:ilvl w:val="0"/>
          <w:numId w:val="25"/>
        </w:num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 xml:space="preserve"> IN TUTTI GLI ALTRI CASI (LAVORI INFERIORI A 150000 E SERVIZI E FORNITURE INFERIORI A 140000 SI PARLA DI AFFIDAMENTO DIRETTO</w:t>
      </w:r>
    </w:p>
    <w:p w14:paraId="6E32D58E" w14:textId="66596C18"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La rotazione rimane infatti obbligatoria salvo le limitatissime ipotesi di micro-acquisti (infra 5mila euro), in cui si potrà derogare al principio nel caso in cui l’ente si doti di apposito regolamento o il RUP avvii una procedura ad inviti sostanzialmente “aperta” a tutti; in tutti gli altri casi l’affidatario del pregresso appalto, che abbia ad “oggetto una commessa rientrante nello stesso settore merceologico, oppure nella stessa categoria di opere, oppure nello stesso settore di servizi”, non può partecipare alla gara; la novità rispetto alle Linee Guida ANAC n. 4, quindi, è che il principio di rotazione non coinvolge più l’operatore che sia stato solo invitato alla precedente procedura, bensì solo l’aggiudicatario.4</w:t>
      </w:r>
    </w:p>
    <w:p w14:paraId="58E4D3FF" w14:textId="5C4E3EB4"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Una novità interessante è che, in relazione alla procedura negoziata per lavori tra il milione e la soglia comunitaria, la norma fa “salva la possibilità di ricorrere alle procedure di scelta del contraente di cui alla Parte IV del presente Libro”; si tratta di un’importante modifica tenuto conto che la norma pregressa prevedeva che, in caso d’utilizzo di procedura aperta, il RUP ne desse adeguata motivazione; l’inciso è scomparso ma si ritiene che la motivazione d’adottare una gara ad evidenza pubblica in luogo di una semplificata (salvo che insista, ovviamente, un interesse transfrontaliero) debba comunque essere presente, in modo da specificare le ragioni che hanno indotto alla scelta di una procedura aggravata.</w:t>
      </w:r>
    </w:p>
    <w:p w14:paraId="55F18F64" w14:textId="77777777"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 xml:space="preserve">La novità di maggior rilievo è però indicata nel comma 2 dell’articolo 50, secondo periodo, ove risulta esplicitata l’impossibilità d’utilizzare ordinariamente il sorteggio o metodi di estrazione casuale per la scelta degli operatori da invitare; più nel dettaglio il comma citato prevede che “Per la selezione degli operatori da invitare alle procedure negoziate, le stazioni appaltanti non possono utilizzare il sorteggio o altro metodo di estrazione casuale dei nominativi, se non in presenza di situazioni particolari e specificamente motivate, nei casi in cui non risulti praticabile nessun altro metodo di selezione degli operatori”. </w:t>
      </w:r>
    </w:p>
    <w:p w14:paraId="1B3B4540" w14:textId="77777777"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Ciò induce a ritenere la necessità di stabilire dei criteri di sbarramento fin dall’Avviso pubblico per scremare la partecipazione; la norma, infatti, sembra veicolare la scelta sugli operatori in senso “qualitativo” ovvero imponendo un vaglio propedeutico sugli operatori poi da far competere.</w:t>
      </w:r>
    </w:p>
    <w:p w14:paraId="62952CC6" w14:textId="5F02A863"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L’art. 50 prosegue poi chiarendo al comma 4 come, nei sottosoglia, il RUP possa scegliere i criteri d’aggiudicazione (fermi restando i limiti di cui all’art. 108 comma 2 per il criterio del prezzo più basso); da notare anche che, nel caso d‘utilizzo del criterio dell’offerta economicamente più vantaggiosa, l’articolo 51 preveda, in modo assolutamente inedito, che la Commissione di gara possa essere presieduta anche dal RUP (pur non essendo dirigente/responsabile del servizio).</w:t>
      </w:r>
    </w:p>
    <w:p w14:paraId="2276D639" w14:textId="77777777"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L’articolo 52 prevede invece che, per appalti d’importo inferiore ai 40.000 euro, il possesso dei requisiti possa essere certificato con semplice dichiarazione oggetto di controllo a campione; se in seguito a verifica non venisse confermato il possesso di detti requisiti “la stazione appaltante procede alla risoluzione del contratto, all’escussione della eventuale garanzia definitiva, alla comunicazione all’ANAC e alla sospensione dell’operatore economico dalla partecipazione alle procedure di affidamento indette dalla medesima stazione appaltante per un periodo da uno a dodici mesi decorrenti dall’adozione del provvedimento”.</w:t>
      </w:r>
    </w:p>
    <w:p w14:paraId="7BAA9975" w14:textId="10D22BA7"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Degno di menzione anche l’articolo 53 in base al quale la cauzione provvisoria diventa facoltativa e, se richiesta, non può superare l’1% dell’importo di gara, mentre relativamente alla cauzione definitiva il RUP, in situazioni motivate, può non richiederla ma, quando lo fa, detta è al massimo pari al 5% dell’importo di gara.</w:t>
      </w:r>
    </w:p>
    <w:p w14:paraId="4ABCBB46" w14:textId="0F18AE03" w:rsidR="0066405B" w:rsidRPr="007B3803" w:rsidRDefault="0066405B" w:rsidP="009A5311">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CONCLUSIONE DEL PROCEDIMENTO DI SELEZIONE DEL CONTRAENTE</w:t>
      </w:r>
    </w:p>
    <w:p w14:paraId="03188AA2" w14:textId="28EC714B" w:rsidR="0066405B" w:rsidRPr="007B3803" w:rsidRDefault="0066405B" w:rsidP="0066405B">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Le procedure di gara devono concludersi entro un determinato periodo di tempo. L’allegato 1.3 specifica i termini massimi ove venga utilizzato il criterio dell’offerta economicamente più vantaggiosa:</w:t>
      </w:r>
    </w:p>
    <w:p w14:paraId="74A80A5A" w14:textId="77777777" w:rsidR="0066405B" w:rsidRPr="007B3803" w:rsidRDefault="0066405B" w:rsidP="0066405B">
      <w:pPr>
        <w:pStyle w:val="Paragrafoelenco"/>
        <w:numPr>
          <w:ilvl w:val="0"/>
          <w:numId w:val="35"/>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aperta: 9 mesi</w:t>
      </w:r>
    </w:p>
    <w:p w14:paraId="091894E5" w14:textId="77777777" w:rsidR="0066405B" w:rsidRPr="007B3803" w:rsidRDefault="0066405B" w:rsidP="0066405B">
      <w:pPr>
        <w:pStyle w:val="Paragrafoelenco"/>
        <w:numPr>
          <w:ilvl w:val="0"/>
          <w:numId w:val="35"/>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ristretta: 10 mesi</w:t>
      </w:r>
    </w:p>
    <w:p w14:paraId="1CE2B586" w14:textId="77777777" w:rsidR="0066405B" w:rsidRPr="007B3803" w:rsidRDefault="0066405B" w:rsidP="0066405B">
      <w:pPr>
        <w:pStyle w:val="Paragrafoelenco"/>
        <w:numPr>
          <w:ilvl w:val="0"/>
          <w:numId w:val="35"/>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competitiva con negoziazione: 7 mesi</w:t>
      </w:r>
    </w:p>
    <w:p w14:paraId="5CA3D083" w14:textId="77777777" w:rsidR="0066405B" w:rsidRPr="007B3803" w:rsidRDefault="0066405B" w:rsidP="0066405B">
      <w:pPr>
        <w:pStyle w:val="Paragrafoelenco"/>
        <w:numPr>
          <w:ilvl w:val="0"/>
          <w:numId w:val="35"/>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negoziata senza previa pubblicazione di un bando di gara: 4 mesi</w:t>
      </w:r>
    </w:p>
    <w:p w14:paraId="06058D1B" w14:textId="77777777" w:rsidR="0066405B" w:rsidRPr="007B3803" w:rsidRDefault="0066405B" w:rsidP="0066405B">
      <w:pPr>
        <w:pStyle w:val="Paragrafoelenco"/>
        <w:numPr>
          <w:ilvl w:val="0"/>
          <w:numId w:val="35"/>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dialogo competitivo: 7 mesi</w:t>
      </w:r>
    </w:p>
    <w:p w14:paraId="493295E8" w14:textId="77777777" w:rsidR="0066405B" w:rsidRPr="007B3803" w:rsidRDefault="0066405B" w:rsidP="0066405B">
      <w:pPr>
        <w:pStyle w:val="Paragrafoelenco"/>
        <w:numPr>
          <w:ilvl w:val="0"/>
          <w:numId w:val="35"/>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partenariato per l’innovazione : 9 mesi</w:t>
      </w:r>
    </w:p>
    <w:p w14:paraId="5B9CB720" w14:textId="77777777" w:rsidR="0066405B" w:rsidRPr="007B3803" w:rsidRDefault="0066405B" w:rsidP="0066405B">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On caso di gare concluse con il prezzo più basso i termini sono i seguenti:</w:t>
      </w:r>
    </w:p>
    <w:p w14:paraId="53579E15" w14:textId="19739A90" w:rsidR="0066405B" w:rsidRPr="007B3803" w:rsidRDefault="00D67433" w:rsidP="0066405B">
      <w:pPr>
        <w:pStyle w:val="Paragrafoelenco"/>
        <w:numPr>
          <w:ilvl w:val="0"/>
          <w:numId w:val="36"/>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aperta: 5 mesi</w:t>
      </w:r>
    </w:p>
    <w:p w14:paraId="48FA9C68" w14:textId="57B08C11" w:rsidR="00D67433" w:rsidRPr="007B3803" w:rsidRDefault="00D67433" w:rsidP="0066405B">
      <w:pPr>
        <w:pStyle w:val="Paragrafoelenco"/>
        <w:numPr>
          <w:ilvl w:val="0"/>
          <w:numId w:val="36"/>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ristretta: 6 mesi</w:t>
      </w:r>
    </w:p>
    <w:p w14:paraId="5D088D88" w14:textId="1FB9FC7A" w:rsidR="00D67433" w:rsidRPr="007B3803" w:rsidRDefault="00D67433" w:rsidP="0066405B">
      <w:pPr>
        <w:pStyle w:val="Paragrafoelenco"/>
        <w:numPr>
          <w:ilvl w:val="0"/>
          <w:numId w:val="36"/>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competitiva con negoziazione: 4 mesi</w:t>
      </w:r>
    </w:p>
    <w:p w14:paraId="4E36C6F3" w14:textId="5EEAF196" w:rsidR="00D67433" w:rsidRPr="007B3803" w:rsidRDefault="00D67433" w:rsidP="0066405B">
      <w:pPr>
        <w:pStyle w:val="Paragrafoelenco"/>
        <w:numPr>
          <w:ilvl w:val="0"/>
          <w:numId w:val="36"/>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negoziata senza previa pubblicazione del bando di gara: 3 mesi</w:t>
      </w:r>
    </w:p>
    <w:p w14:paraId="43FA3230" w14:textId="77777777" w:rsidR="00D67433" w:rsidRPr="007B3803" w:rsidRDefault="00D67433" w:rsidP="0066405B">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 xml:space="preserve">I termini decorrono dalla pubblicazione del bando di gara o dall’invio degli inviti a  offrire fino all’aggiudicazione e non possono esser sospesi se non a seguito di provvedimento cautelare del giudice amministrativo. </w:t>
      </w:r>
    </w:p>
    <w:p w14:paraId="2C83B553" w14:textId="77777777" w:rsidR="00D67433" w:rsidRPr="007B3803" w:rsidRDefault="00D67433" w:rsidP="0066405B">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Ogni concorrente può presentare una sola offerta , vincolante per il periodo indicato dal bando o nell’invito, e incaso di mancata indicazione per 180 g dalla scadenza del termine per la sua presentazione</w:t>
      </w:r>
      <w:r w:rsidR="0066405B" w:rsidRPr="007B3803">
        <w:rPr>
          <w:rFonts w:ascii="Arial" w:eastAsia="Times New Roman" w:hAnsi="Arial" w:cs="Arial"/>
          <w:sz w:val="24"/>
          <w:szCs w:val="24"/>
          <w:lang w:eastAsia="it-IT"/>
        </w:rPr>
        <w:t xml:space="preserve"> </w:t>
      </w:r>
    </w:p>
    <w:p w14:paraId="202B41E9" w14:textId="3EA6A902" w:rsidR="00E26289" w:rsidRPr="007B3803" w:rsidRDefault="00E26289" w:rsidP="0066405B">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 xml:space="preserve">L’ente comptente a fare l’aggiudicazione, ritenuta legittima la stessa e dopo aver verificato il possesso dei requisiti dell’offerente , dispone lìaggiudicazione che è immediatamente efficace </w:t>
      </w:r>
    </w:p>
    <w:p w14:paraId="0D20AC3C" w14:textId="6A56A17D" w:rsidR="00E26289" w:rsidRPr="007B3803" w:rsidRDefault="00E26289" w:rsidP="0066405B">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L’aggiudicazione non equivale ad accettazione dell’offerta; l’offerta   è abbiamo detto, irrevocabile fino al termine stabilito per la stipulazione del contratto</w:t>
      </w:r>
    </w:p>
    <w:p w14:paraId="47A63763" w14:textId="09A317F0" w:rsidR="00B10465" w:rsidRPr="007B3803" w:rsidRDefault="0066405B" w:rsidP="0066405B">
      <w:pPr>
        <w:shd w:val="clear" w:color="auto" w:fill="FFFFFF"/>
        <w:spacing w:after="100" w:afterAutospacing="1" w:line="240" w:lineRule="auto"/>
        <w:rPr>
          <w:rFonts w:ascii="Arial" w:eastAsia="Times New Roman" w:hAnsi="Arial" w:cs="Arial"/>
          <w:b/>
          <w:bCs/>
          <w:kern w:val="36"/>
          <w:sz w:val="24"/>
          <w:szCs w:val="24"/>
          <w:lang w:eastAsia="it-IT"/>
          <w14:ligatures w14:val="none"/>
        </w:rPr>
      </w:pPr>
      <w:r w:rsidRPr="007B3803">
        <w:rPr>
          <w:rFonts w:ascii="Arial" w:eastAsia="Times New Roman" w:hAnsi="Arial" w:cs="Arial"/>
          <w:b/>
          <w:bCs/>
          <w:kern w:val="36"/>
          <w:sz w:val="24"/>
          <w:szCs w:val="24"/>
          <w:lang w:eastAsia="it-IT"/>
          <w14:ligatures w14:val="none"/>
        </w:rPr>
        <w:t>I</w:t>
      </w:r>
      <w:r w:rsidR="00B10465" w:rsidRPr="007B3803">
        <w:rPr>
          <w:rFonts w:ascii="Arial" w:eastAsia="Times New Roman" w:hAnsi="Arial" w:cs="Arial"/>
          <w:b/>
          <w:bCs/>
          <w:kern w:val="36"/>
          <w:sz w:val="24"/>
          <w:szCs w:val="24"/>
          <w:lang w:eastAsia="it-IT"/>
          <w14:ligatures w14:val="none"/>
        </w:rPr>
        <w:t xml:space="preserve"> criteri di aggiudicazione</w:t>
      </w:r>
    </w:p>
    <w:p w14:paraId="774E8F88" w14:textId="100944AA" w:rsidR="00B10465" w:rsidRPr="007B3803" w:rsidRDefault="00B10465" w:rsidP="00E26289">
      <w:pPr>
        <w:shd w:val="clear" w:color="auto" w:fill="FFFFFF"/>
        <w:spacing w:after="0" w:line="420" w:lineRule="atLeast"/>
        <w:textAlignment w:val="baseline"/>
        <w:rPr>
          <w:rFonts w:ascii="Arial" w:eastAsia="Times New Roman" w:hAnsi="Arial" w:cs="Arial"/>
          <w:b/>
          <w:bCs/>
          <w:kern w:val="0"/>
          <w:sz w:val="24"/>
          <w:szCs w:val="24"/>
          <w:lang w:eastAsia="it-IT"/>
          <w14:ligatures w14:val="none"/>
        </w:rPr>
      </w:pPr>
      <w:r w:rsidRPr="007B3803">
        <w:rPr>
          <w:rFonts w:ascii="Arial" w:eastAsia="Times New Roman" w:hAnsi="Arial" w:cs="Arial"/>
          <w:kern w:val="0"/>
          <w:sz w:val="24"/>
          <w:szCs w:val="24"/>
          <w:lang w:eastAsia="it-IT"/>
          <w14:ligatures w14:val="none"/>
        </w:rPr>
        <w:t>L’</w:t>
      </w:r>
      <w:r w:rsidRPr="007B3803">
        <w:rPr>
          <w:rFonts w:ascii="Arial" w:eastAsia="Times New Roman" w:hAnsi="Arial" w:cs="Arial"/>
          <w:b/>
          <w:bCs/>
          <w:kern w:val="0"/>
          <w:sz w:val="24"/>
          <w:szCs w:val="24"/>
          <w:bdr w:val="none" w:sz="0" w:space="0" w:color="auto" w:frame="1"/>
          <w:lang w:eastAsia="it-IT"/>
          <w14:ligatures w14:val="none"/>
        </w:rPr>
        <w:t>art. 108</w:t>
      </w:r>
      <w:r w:rsidRPr="007B3803">
        <w:rPr>
          <w:rFonts w:ascii="Arial" w:eastAsia="Times New Roman" w:hAnsi="Arial" w:cs="Arial"/>
          <w:kern w:val="0"/>
          <w:sz w:val="24"/>
          <w:szCs w:val="24"/>
          <w:lang w:eastAsia="it-IT"/>
          <w14:ligatures w14:val="none"/>
        </w:rPr>
        <w:t> del nuovo codice appalti (dlgs 36/2023) norma i </w:t>
      </w:r>
      <w:r w:rsidRPr="007B3803">
        <w:rPr>
          <w:rFonts w:ascii="Arial" w:eastAsia="Times New Roman" w:hAnsi="Arial" w:cs="Arial"/>
          <w:b/>
          <w:bCs/>
          <w:kern w:val="0"/>
          <w:sz w:val="24"/>
          <w:szCs w:val="24"/>
          <w:bdr w:val="none" w:sz="0" w:space="0" w:color="auto" w:frame="1"/>
          <w:lang w:eastAsia="it-IT"/>
          <w14:ligatures w14:val="none"/>
        </w:rPr>
        <w:t>criteri di aggiudicazione</w:t>
      </w:r>
      <w:r w:rsidR="00E26289" w:rsidRPr="007B3803">
        <w:rPr>
          <w:rFonts w:ascii="Arial" w:eastAsia="Times New Roman" w:hAnsi="Arial" w:cs="Arial"/>
          <w:b/>
          <w:bCs/>
          <w:kern w:val="0"/>
          <w:sz w:val="24"/>
          <w:szCs w:val="24"/>
          <w:bdr w:val="none" w:sz="0" w:space="0" w:color="auto" w:frame="1"/>
          <w:lang w:eastAsia="it-IT"/>
          <w14:ligatures w14:val="none"/>
        </w:rPr>
        <w:t>:</w:t>
      </w:r>
      <w:r w:rsidRPr="007B3803">
        <w:rPr>
          <w:rFonts w:ascii="Arial" w:eastAsia="Times New Roman" w:hAnsi="Arial" w:cs="Arial"/>
          <w:kern w:val="0"/>
          <w:sz w:val="24"/>
          <w:szCs w:val="24"/>
          <w:lang w:eastAsia="it-IT"/>
          <w14:ligatures w14:val="none"/>
        </w:rPr>
        <w:t xml:space="preserve"> sono l’offerta economicamente più vantaggiosa, basata sul miglior rapporto qualità prezzo delle offerte ricevute, e il minor prezzo. </w:t>
      </w:r>
    </w:p>
    <w:p w14:paraId="1BE54134"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Le stazioni appaltanti procedono all’aggiudicazione degli appalti sulla base del criterio dell’offerta economicamente più vantaggiosa (OEPV) che si basa sul miglior rapporto qualità/costi o sulla base del minore prezzo, seguendo un criterio di comparazione costo/efficacia quale il </w:t>
      </w:r>
      <w:r w:rsidRPr="007B3803">
        <w:rPr>
          <w:rFonts w:ascii="Arial" w:eastAsia="Times New Roman" w:hAnsi="Arial" w:cs="Arial"/>
          <w:b/>
          <w:bCs/>
          <w:kern w:val="0"/>
          <w:sz w:val="24"/>
          <w:szCs w:val="24"/>
          <w:bdr w:val="none" w:sz="0" w:space="0" w:color="auto" w:frame="1"/>
          <w:lang w:eastAsia="it-IT"/>
          <w14:ligatures w14:val="none"/>
        </w:rPr>
        <w:t>costo del ciclo di vita</w:t>
      </w:r>
      <w:r w:rsidRPr="007B3803">
        <w:rPr>
          <w:rFonts w:ascii="Arial" w:eastAsia="Times New Roman" w:hAnsi="Arial" w:cs="Arial"/>
          <w:kern w:val="0"/>
          <w:sz w:val="24"/>
          <w:szCs w:val="24"/>
          <w:lang w:eastAsia="it-IT"/>
          <w14:ligatures w14:val="none"/>
        </w:rPr>
        <w:t>, conformemente a quanto previsto dall’</w:t>
      </w:r>
      <w:r w:rsidRPr="007B3803">
        <w:rPr>
          <w:rFonts w:ascii="Arial" w:eastAsia="Times New Roman" w:hAnsi="Arial" w:cs="Arial"/>
          <w:b/>
          <w:bCs/>
          <w:kern w:val="0"/>
          <w:sz w:val="24"/>
          <w:szCs w:val="24"/>
          <w:bdr w:val="none" w:sz="0" w:space="0" w:color="auto" w:frame="1"/>
          <w:lang w:eastAsia="it-IT"/>
          <w14:ligatures w14:val="none"/>
        </w:rPr>
        <w:t>allegato II.8</w:t>
      </w:r>
      <w:r w:rsidRPr="007B3803">
        <w:rPr>
          <w:rFonts w:ascii="Arial" w:eastAsia="Times New Roman" w:hAnsi="Arial" w:cs="Arial"/>
          <w:kern w:val="0"/>
          <w:sz w:val="24"/>
          <w:szCs w:val="24"/>
          <w:lang w:eastAsia="it-IT"/>
          <w14:ligatures w14:val="none"/>
        </w:rPr>
        <w:t>, con riguardo al costo del ciclo di vita.</w:t>
      </w:r>
    </w:p>
    <w:p w14:paraId="278205AE" w14:textId="77777777" w:rsidR="00B10465" w:rsidRPr="007B3803" w:rsidRDefault="00B10465" w:rsidP="00B10465">
      <w:pPr>
        <w:shd w:val="clear" w:color="auto" w:fill="FFFFFF"/>
        <w:spacing w:after="15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 comma 2 dell’art. 108 del dlgs 36/2023 possiamo rilevare alcune novità sul criterio OEPV e in particolare sui contratti che devono essere aggiudicati per forza con esso.</w:t>
      </w:r>
    </w:p>
    <w:p w14:paraId="42209E21" w14:textId="77777777" w:rsidR="00B10465" w:rsidRPr="007B3803" w:rsidRDefault="00B10465" w:rsidP="00B10465">
      <w:pPr>
        <w:shd w:val="clear" w:color="auto" w:fill="FFFFFF"/>
        <w:spacing w:after="15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Nello specifico, sono aggiudicati esclusivamente sulla base del criterio dell’offerta economicamente più vantaggiosa:</w:t>
      </w:r>
    </w:p>
    <w:p w14:paraId="785F417C" w14:textId="77777777" w:rsidR="00B10465" w:rsidRPr="007B3803" w:rsidRDefault="00B10465" w:rsidP="00B10465">
      <w:pPr>
        <w:numPr>
          <w:ilvl w:val="0"/>
          <w:numId w:val="29"/>
        </w:numPr>
        <w:shd w:val="clear" w:color="auto" w:fill="FFFFFF"/>
        <w:spacing w:after="0" w:line="420" w:lineRule="atLeast"/>
        <w:ind w:left="118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contratti relativi ai </w:t>
      </w:r>
      <w:r w:rsidRPr="007B3803">
        <w:rPr>
          <w:rFonts w:ascii="Arial" w:eastAsia="Times New Roman" w:hAnsi="Arial" w:cs="Arial"/>
          <w:b/>
          <w:bCs/>
          <w:kern w:val="0"/>
          <w:sz w:val="24"/>
          <w:szCs w:val="24"/>
          <w:bdr w:val="none" w:sz="0" w:space="0" w:color="auto" w:frame="1"/>
          <w:lang w:eastAsia="it-IT"/>
          <w14:ligatures w14:val="none"/>
        </w:rPr>
        <w:t>servizi sociali</w:t>
      </w:r>
      <w:r w:rsidRPr="007B3803">
        <w:rPr>
          <w:rFonts w:ascii="Arial" w:eastAsia="Times New Roman" w:hAnsi="Arial" w:cs="Arial"/>
          <w:kern w:val="0"/>
          <w:sz w:val="24"/>
          <w:szCs w:val="24"/>
          <w:lang w:eastAsia="it-IT"/>
          <w14:ligatures w14:val="none"/>
        </w:rPr>
        <w:t> e di ristorazione ospedaliera, assistenziale e scolastica, nonché ai servizi ad alta intensità di manodopera. </w:t>
      </w:r>
      <w:r w:rsidRPr="007B3803">
        <w:rPr>
          <w:rFonts w:ascii="Arial" w:eastAsia="Times New Roman" w:hAnsi="Arial" w:cs="Arial"/>
          <w:b/>
          <w:bCs/>
          <w:kern w:val="0"/>
          <w:sz w:val="24"/>
          <w:szCs w:val="24"/>
          <w:bdr w:val="none" w:sz="0" w:space="0" w:color="auto" w:frame="1"/>
          <w:lang w:eastAsia="it-IT"/>
          <w14:ligatures w14:val="none"/>
        </w:rPr>
        <w:t>Nessuna novità rispetto al vecchio codice</w:t>
      </w:r>
      <w:r w:rsidRPr="007B3803">
        <w:rPr>
          <w:rFonts w:ascii="Arial" w:eastAsia="Times New Roman" w:hAnsi="Arial" w:cs="Arial"/>
          <w:kern w:val="0"/>
          <w:sz w:val="24"/>
          <w:szCs w:val="24"/>
          <w:lang w:eastAsia="it-IT"/>
          <w14:ligatures w14:val="none"/>
        </w:rPr>
        <w:t>;</w:t>
      </w:r>
    </w:p>
    <w:p w14:paraId="796028A8" w14:textId="77777777" w:rsidR="00B10465" w:rsidRPr="007B3803" w:rsidRDefault="00B10465" w:rsidP="00B10465">
      <w:pPr>
        <w:numPr>
          <w:ilvl w:val="0"/>
          <w:numId w:val="29"/>
        </w:numPr>
        <w:shd w:val="clear" w:color="auto" w:fill="FFFFFF"/>
        <w:spacing w:after="0" w:line="420" w:lineRule="atLeast"/>
        <w:ind w:left="118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contratti relativi all’affidamento dei servizi di </w:t>
      </w:r>
      <w:r w:rsidRPr="007B3803">
        <w:rPr>
          <w:rFonts w:ascii="Arial" w:eastAsia="Times New Roman" w:hAnsi="Arial" w:cs="Arial"/>
          <w:b/>
          <w:bCs/>
          <w:kern w:val="0"/>
          <w:sz w:val="24"/>
          <w:szCs w:val="24"/>
          <w:bdr w:val="none" w:sz="0" w:space="0" w:color="auto" w:frame="1"/>
          <w:lang w:eastAsia="it-IT"/>
          <w14:ligatures w14:val="none"/>
        </w:rPr>
        <w:t>ingegneria e architettura</w:t>
      </w:r>
      <w:r w:rsidRPr="007B3803">
        <w:rPr>
          <w:rFonts w:ascii="Arial" w:eastAsia="Times New Roman" w:hAnsi="Arial" w:cs="Arial"/>
          <w:kern w:val="0"/>
          <w:sz w:val="24"/>
          <w:szCs w:val="24"/>
          <w:lang w:eastAsia="it-IT"/>
          <w14:ligatures w14:val="none"/>
        </w:rPr>
        <w:t> e degli altri servizi di natura tecnica e intellettuale di importo pari o superiore a </w:t>
      </w:r>
      <w:r w:rsidRPr="007B3803">
        <w:rPr>
          <w:rFonts w:ascii="Arial" w:eastAsia="Times New Roman" w:hAnsi="Arial" w:cs="Arial"/>
          <w:b/>
          <w:bCs/>
          <w:kern w:val="0"/>
          <w:sz w:val="24"/>
          <w:szCs w:val="24"/>
          <w:bdr w:val="none" w:sz="0" w:space="0" w:color="auto" w:frame="1"/>
          <w:lang w:eastAsia="it-IT"/>
          <w14:ligatures w14:val="none"/>
        </w:rPr>
        <w:t>140.000 €</w:t>
      </w:r>
      <w:r w:rsidRPr="007B3803">
        <w:rPr>
          <w:rFonts w:ascii="Arial" w:eastAsia="Times New Roman" w:hAnsi="Arial" w:cs="Arial"/>
          <w:kern w:val="0"/>
          <w:sz w:val="24"/>
          <w:szCs w:val="24"/>
          <w:lang w:eastAsia="it-IT"/>
          <w14:ligatures w14:val="none"/>
        </w:rPr>
        <w:t>.</w:t>
      </w:r>
      <w:r w:rsidRPr="007B3803">
        <w:rPr>
          <w:rFonts w:ascii="Arial" w:eastAsia="Times New Roman" w:hAnsi="Arial" w:cs="Arial"/>
          <w:b/>
          <w:bCs/>
          <w:kern w:val="0"/>
          <w:sz w:val="24"/>
          <w:szCs w:val="24"/>
          <w:bdr w:val="none" w:sz="0" w:space="0" w:color="auto" w:frame="1"/>
          <w:lang w:eastAsia="it-IT"/>
          <w14:ligatures w14:val="none"/>
        </w:rPr>
        <w:t> In questo caso notiamo un innalzamento della soglia prima fissata a 40.000 €</w:t>
      </w:r>
      <w:r w:rsidRPr="007B3803">
        <w:rPr>
          <w:rFonts w:ascii="Arial" w:eastAsia="Times New Roman" w:hAnsi="Arial" w:cs="Arial"/>
          <w:kern w:val="0"/>
          <w:sz w:val="24"/>
          <w:szCs w:val="24"/>
          <w:lang w:eastAsia="it-IT"/>
          <w14:ligatures w14:val="none"/>
        </w:rPr>
        <w:t>;</w:t>
      </w:r>
    </w:p>
    <w:p w14:paraId="7904A38C" w14:textId="77777777" w:rsidR="00B10465" w:rsidRPr="007B3803" w:rsidRDefault="00B10465" w:rsidP="00B10465">
      <w:pPr>
        <w:numPr>
          <w:ilvl w:val="0"/>
          <w:numId w:val="29"/>
        </w:numPr>
        <w:shd w:val="clear" w:color="auto" w:fill="FFFFFF"/>
        <w:spacing w:after="0" w:line="420" w:lineRule="atLeast"/>
        <w:ind w:left="118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contratti di </w:t>
      </w:r>
      <w:r w:rsidRPr="007B3803">
        <w:rPr>
          <w:rFonts w:ascii="Arial" w:eastAsia="Times New Roman" w:hAnsi="Arial" w:cs="Arial"/>
          <w:b/>
          <w:bCs/>
          <w:kern w:val="0"/>
          <w:sz w:val="24"/>
          <w:szCs w:val="24"/>
          <w:bdr w:val="none" w:sz="0" w:space="0" w:color="auto" w:frame="1"/>
          <w:lang w:eastAsia="it-IT"/>
          <w14:ligatures w14:val="none"/>
        </w:rPr>
        <w:t>servizi e forniture</w:t>
      </w:r>
      <w:r w:rsidRPr="007B3803">
        <w:rPr>
          <w:rFonts w:ascii="Arial" w:eastAsia="Times New Roman" w:hAnsi="Arial" w:cs="Arial"/>
          <w:kern w:val="0"/>
          <w:sz w:val="24"/>
          <w:szCs w:val="24"/>
          <w:lang w:eastAsia="it-IT"/>
          <w14:ligatures w14:val="none"/>
        </w:rPr>
        <w:t> di importo pari o superiore a 140.000 € caratterizzati da </w:t>
      </w:r>
      <w:r w:rsidRPr="007B3803">
        <w:rPr>
          <w:rFonts w:ascii="Arial" w:eastAsia="Times New Roman" w:hAnsi="Arial" w:cs="Arial"/>
          <w:b/>
          <w:bCs/>
          <w:kern w:val="0"/>
          <w:sz w:val="24"/>
          <w:szCs w:val="24"/>
          <w:bdr w:val="none" w:sz="0" w:space="0" w:color="auto" w:frame="1"/>
          <w:lang w:eastAsia="it-IT"/>
          <w14:ligatures w14:val="none"/>
        </w:rPr>
        <w:t>notevole contenuto tecnologico</w:t>
      </w:r>
      <w:r w:rsidRPr="007B3803">
        <w:rPr>
          <w:rFonts w:ascii="Arial" w:eastAsia="Times New Roman" w:hAnsi="Arial" w:cs="Arial"/>
          <w:kern w:val="0"/>
          <w:sz w:val="24"/>
          <w:szCs w:val="24"/>
          <w:lang w:eastAsia="it-IT"/>
          <w14:ligatures w14:val="none"/>
        </w:rPr>
        <w:t> o che hanno un carattere innovativo. </w:t>
      </w:r>
      <w:r w:rsidRPr="007B3803">
        <w:rPr>
          <w:rFonts w:ascii="Arial" w:eastAsia="Times New Roman" w:hAnsi="Arial" w:cs="Arial"/>
          <w:b/>
          <w:bCs/>
          <w:kern w:val="0"/>
          <w:sz w:val="24"/>
          <w:szCs w:val="24"/>
          <w:bdr w:val="none" w:sz="0" w:space="0" w:color="auto" w:frame="1"/>
          <w:lang w:eastAsia="it-IT"/>
          <w14:ligatures w14:val="none"/>
        </w:rPr>
        <w:t>Anche in questo caso registriamo un innalzamento della soglia che prima era fissata a 40.000</w:t>
      </w:r>
      <w:r w:rsidRPr="007B3803">
        <w:rPr>
          <w:rFonts w:ascii="Arial" w:eastAsia="Times New Roman" w:hAnsi="Arial" w:cs="Arial"/>
          <w:kern w:val="0"/>
          <w:sz w:val="24"/>
          <w:szCs w:val="24"/>
          <w:u w:val="single"/>
          <w:bdr w:val="none" w:sz="0" w:space="0" w:color="auto" w:frame="1"/>
          <w:lang w:eastAsia="it-IT"/>
          <w14:ligatures w14:val="none"/>
        </w:rPr>
        <w:t> </w:t>
      </w:r>
      <w:r w:rsidRPr="007B3803">
        <w:rPr>
          <w:rFonts w:ascii="Arial" w:eastAsia="Times New Roman" w:hAnsi="Arial" w:cs="Arial"/>
          <w:kern w:val="0"/>
          <w:sz w:val="24"/>
          <w:szCs w:val="24"/>
          <w:lang w:eastAsia="it-IT"/>
          <w14:ligatures w14:val="none"/>
        </w:rPr>
        <w:t>€;</w:t>
      </w:r>
    </w:p>
    <w:p w14:paraId="42032F11" w14:textId="77777777" w:rsidR="00B10465" w:rsidRPr="007B3803" w:rsidRDefault="00B10465" w:rsidP="00B10465">
      <w:pPr>
        <w:numPr>
          <w:ilvl w:val="0"/>
          <w:numId w:val="29"/>
        </w:numPr>
        <w:shd w:val="clear" w:color="auto" w:fill="FFFFFF"/>
        <w:spacing w:after="0" w:line="420" w:lineRule="atLeast"/>
        <w:ind w:left="118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gli affidamenti in caso di </w:t>
      </w:r>
      <w:r w:rsidRPr="007B3803">
        <w:rPr>
          <w:rFonts w:ascii="Arial" w:eastAsia="Times New Roman" w:hAnsi="Arial" w:cs="Arial"/>
          <w:b/>
          <w:bCs/>
          <w:kern w:val="0"/>
          <w:sz w:val="24"/>
          <w:szCs w:val="24"/>
          <w:bdr w:val="none" w:sz="0" w:space="0" w:color="auto" w:frame="1"/>
          <w:lang w:eastAsia="it-IT"/>
          <w14:ligatures w14:val="none"/>
        </w:rPr>
        <w:t>dialogo competitivo</w:t>
      </w:r>
      <w:r w:rsidRPr="007B3803">
        <w:rPr>
          <w:rFonts w:ascii="Arial" w:eastAsia="Times New Roman" w:hAnsi="Arial" w:cs="Arial"/>
          <w:kern w:val="0"/>
          <w:sz w:val="24"/>
          <w:szCs w:val="24"/>
          <w:lang w:eastAsia="it-IT"/>
          <w14:ligatures w14:val="none"/>
        </w:rPr>
        <w:t> e di </w:t>
      </w:r>
      <w:r w:rsidRPr="007B3803">
        <w:rPr>
          <w:rFonts w:ascii="Arial" w:eastAsia="Times New Roman" w:hAnsi="Arial" w:cs="Arial"/>
          <w:b/>
          <w:bCs/>
          <w:kern w:val="0"/>
          <w:sz w:val="24"/>
          <w:szCs w:val="24"/>
          <w:bdr w:val="none" w:sz="0" w:space="0" w:color="auto" w:frame="1"/>
          <w:lang w:eastAsia="it-IT"/>
          <w14:ligatures w14:val="none"/>
        </w:rPr>
        <w:t>partenariato per l’innovazione. Il vecchio codice non prevedeva questo punto</w:t>
      </w:r>
      <w:r w:rsidRPr="007B3803">
        <w:rPr>
          <w:rFonts w:ascii="Arial" w:eastAsia="Times New Roman" w:hAnsi="Arial" w:cs="Arial"/>
          <w:kern w:val="0"/>
          <w:sz w:val="24"/>
          <w:szCs w:val="24"/>
          <w:lang w:eastAsia="it-IT"/>
          <w14:ligatures w14:val="none"/>
        </w:rPr>
        <w:t>;</w:t>
      </w:r>
    </w:p>
    <w:p w14:paraId="0F3166BC" w14:textId="77777777" w:rsidR="00B10465" w:rsidRPr="007B3803" w:rsidRDefault="00B10465" w:rsidP="00B10465">
      <w:pPr>
        <w:numPr>
          <w:ilvl w:val="0"/>
          <w:numId w:val="29"/>
        </w:numPr>
        <w:shd w:val="clear" w:color="auto" w:fill="FFFFFF"/>
        <w:spacing w:after="0" w:line="420" w:lineRule="atLeast"/>
        <w:ind w:left="118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gli affidamenti di </w:t>
      </w:r>
      <w:hyperlink r:id="rId9" w:history="1">
        <w:r w:rsidRPr="007B3803">
          <w:rPr>
            <w:rFonts w:ascii="Arial" w:eastAsia="Times New Roman" w:hAnsi="Arial" w:cs="Arial"/>
            <w:b/>
            <w:bCs/>
            <w:kern w:val="0"/>
            <w:sz w:val="24"/>
            <w:szCs w:val="24"/>
            <w:bdr w:val="none" w:sz="0" w:space="0" w:color="auto" w:frame="1"/>
            <w:lang w:eastAsia="it-IT"/>
            <w14:ligatures w14:val="none"/>
          </w:rPr>
          <w:t>appalto integrato</w:t>
        </w:r>
      </w:hyperlink>
      <w:r w:rsidRPr="007B3803">
        <w:rPr>
          <w:rFonts w:ascii="Arial" w:eastAsia="Times New Roman" w:hAnsi="Arial" w:cs="Arial"/>
          <w:kern w:val="0"/>
          <w:sz w:val="24"/>
          <w:szCs w:val="24"/>
          <w:lang w:eastAsia="it-IT"/>
          <w14:ligatures w14:val="none"/>
        </w:rPr>
        <w:t>. </w:t>
      </w:r>
      <w:r w:rsidRPr="007B3803">
        <w:rPr>
          <w:rFonts w:ascii="Arial" w:eastAsia="Times New Roman" w:hAnsi="Arial" w:cs="Arial"/>
          <w:b/>
          <w:bCs/>
          <w:kern w:val="0"/>
          <w:sz w:val="24"/>
          <w:szCs w:val="24"/>
          <w:bdr w:val="none" w:sz="0" w:space="0" w:color="auto" w:frame="1"/>
          <w:lang w:eastAsia="it-IT"/>
          <w14:ligatures w14:val="none"/>
        </w:rPr>
        <w:t>Il vecchio codice non prevedeva questo punto.</w:t>
      </w:r>
    </w:p>
    <w:p w14:paraId="753EFFAD"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Come era già stato precisato nella relazione illustrativa del dlgs 36/2023, le suddette soglie sono state alzate da 40.000 € a 140.000 € per </w:t>
      </w:r>
      <w:r w:rsidRPr="007B3803">
        <w:rPr>
          <w:rFonts w:ascii="Arial" w:eastAsia="Times New Roman" w:hAnsi="Arial" w:cs="Arial"/>
          <w:b/>
          <w:bCs/>
          <w:kern w:val="0"/>
          <w:sz w:val="24"/>
          <w:szCs w:val="24"/>
          <w:bdr w:val="none" w:sz="0" w:space="0" w:color="auto" w:frame="1"/>
          <w:lang w:eastAsia="it-IT"/>
          <w14:ligatures w14:val="none"/>
        </w:rPr>
        <w:t>3 motivi</w:t>
      </w:r>
      <w:r w:rsidRPr="007B3803">
        <w:rPr>
          <w:rFonts w:ascii="Arial" w:eastAsia="Times New Roman" w:hAnsi="Arial" w:cs="Arial"/>
          <w:kern w:val="0"/>
          <w:sz w:val="24"/>
          <w:szCs w:val="24"/>
          <w:lang w:eastAsia="it-IT"/>
          <w14:ligatures w14:val="none"/>
        </w:rPr>
        <w:t>:</w:t>
      </w:r>
    </w:p>
    <w:p w14:paraId="0CE397B2" w14:textId="77777777" w:rsidR="00B10465" w:rsidRPr="007B3803" w:rsidRDefault="00B10465" w:rsidP="00B10465">
      <w:pPr>
        <w:numPr>
          <w:ilvl w:val="0"/>
          <w:numId w:val="30"/>
        </w:numPr>
        <w:shd w:val="clear" w:color="auto" w:fill="FFFFFF"/>
        <w:spacing w:after="0" w:line="420" w:lineRule="atLeast"/>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esigenze di carattere sistematico;</w:t>
      </w:r>
    </w:p>
    <w:p w14:paraId="123F4748" w14:textId="77777777" w:rsidR="00B10465" w:rsidRPr="007B3803" w:rsidRDefault="00B10465" w:rsidP="00B10465">
      <w:pPr>
        <w:numPr>
          <w:ilvl w:val="0"/>
          <w:numId w:val="30"/>
        </w:numPr>
        <w:shd w:val="clear" w:color="auto" w:fill="FFFFFF"/>
        <w:spacing w:after="0" w:line="420" w:lineRule="atLeast"/>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mutamento del quadro economico e sociale;</w:t>
      </w:r>
    </w:p>
    <w:p w14:paraId="209E50CD" w14:textId="77777777" w:rsidR="00B10465" w:rsidRPr="007B3803" w:rsidRDefault="00B10465" w:rsidP="00B10465">
      <w:pPr>
        <w:numPr>
          <w:ilvl w:val="0"/>
          <w:numId w:val="30"/>
        </w:numPr>
        <w:shd w:val="clear" w:color="auto" w:fill="FFFFFF"/>
        <w:spacing w:after="0" w:line="420" w:lineRule="atLeast"/>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limitato ambito applicativo residuo per le procedure diverse dall’affidamento diretto in tali ipotesi.</w:t>
      </w:r>
    </w:p>
    <w:p w14:paraId="748E926D"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Le lettere</w:t>
      </w:r>
      <w:r w:rsidRPr="007B3803">
        <w:rPr>
          <w:rFonts w:ascii="Arial" w:eastAsia="Times New Roman" w:hAnsi="Arial" w:cs="Arial"/>
          <w:i/>
          <w:iCs/>
          <w:kern w:val="0"/>
          <w:sz w:val="24"/>
          <w:szCs w:val="24"/>
          <w:bdr w:val="none" w:sz="0" w:space="0" w:color="auto" w:frame="1"/>
          <w:lang w:eastAsia="it-IT"/>
          <w14:ligatures w14:val="none"/>
        </w:rPr>
        <w:t> d.</w:t>
      </w:r>
      <w:r w:rsidRPr="007B3803">
        <w:rPr>
          <w:rFonts w:ascii="Arial" w:eastAsia="Times New Roman" w:hAnsi="Arial" w:cs="Arial"/>
          <w:kern w:val="0"/>
          <w:sz w:val="24"/>
          <w:szCs w:val="24"/>
          <w:lang w:eastAsia="it-IT"/>
          <w14:ligatures w14:val="none"/>
        </w:rPr>
        <w:t> ed </w:t>
      </w:r>
      <w:r w:rsidRPr="007B3803">
        <w:rPr>
          <w:rFonts w:ascii="Arial" w:eastAsia="Times New Roman" w:hAnsi="Arial" w:cs="Arial"/>
          <w:i/>
          <w:iCs/>
          <w:kern w:val="0"/>
          <w:sz w:val="24"/>
          <w:szCs w:val="24"/>
          <w:bdr w:val="none" w:sz="0" w:space="0" w:color="auto" w:frame="1"/>
          <w:lang w:eastAsia="it-IT"/>
          <w14:ligatures w14:val="none"/>
        </w:rPr>
        <w:t>e.</w:t>
      </w:r>
      <w:r w:rsidRPr="007B3803">
        <w:rPr>
          <w:rFonts w:ascii="Arial" w:eastAsia="Times New Roman" w:hAnsi="Arial" w:cs="Arial"/>
          <w:kern w:val="0"/>
          <w:sz w:val="24"/>
          <w:szCs w:val="24"/>
          <w:lang w:eastAsia="it-IT"/>
          <w14:ligatures w14:val="none"/>
        </w:rPr>
        <w:t> sono state aggiunte dal nuovo codice.</w:t>
      </w:r>
    </w:p>
    <w:p w14:paraId="38E9F10D" w14:textId="77777777" w:rsidR="00B10465" w:rsidRPr="007B3803" w:rsidRDefault="00B10465" w:rsidP="00B10465">
      <w:pPr>
        <w:shd w:val="clear" w:color="auto" w:fill="FFFFFF"/>
        <w:spacing w:before="300" w:after="150" w:line="360" w:lineRule="atLeast"/>
        <w:textAlignment w:val="baseline"/>
        <w:outlineLvl w:val="1"/>
        <w:rPr>
          <w:rFonts w:ascii="Arial" w:eastAsia="Times New Roman" w:hAnsi="Arial" w:cs="Arial"/>
          <w:b/>
          <w:bCs/>
          <w:kern w:val="0"/>
          <w:sz w:val="24"/>
          <w:szCs w:val="24"/>
          <w:lang w:eastAsia="it-IT"/>
          <w14:ligatures w14:val="none"/>
        </w:rPr>
      </w:pPr>
      <w:r w:rsidRPr="007B3803">
        <w:rPr>
          <w:rFonts w:ascii="Arial" w:eastAsia="Times New Roman" w:hAnsi="Arial" w:cs="Arial"/>
          <w:b/>
          <w:bCs/>
          <w:kern w:val="0"/>
          <w:sz w:val="24"/>
          <w:szCs w:val="24"/>
          <w:lang w:eastAsia="it-IT"/>
          <w14:ligatures w14:val="none"/>
        </w:rPr>
        <w:t>Art. 108 nuovo codice appalti: minor prezzo</w:t>
      </w:r>
    </w:p>
    <w:p w14:paraId="01D143FD"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quanto riguarda il criterio di aggiudicazione del </w:t>
      </w:r>
      <w:r w:rsidRPr="007B3803">
        <w:rPr>
          <w:rFonts w:ascii="Arial" w:eastAsia="Times New Roman" w:hAnsi="Arial" w:cs="Arial"/>
          <w:b/>
          <w:bCs/>
          <w:kern w:val="0"/>
          <w:sz w:val="24"/>
          <w:szCs w:val="24"/>
          <w:bdr w:val="none" w:sz="0" w:space="0" w:color="auto" w:frame="1"/>
          <w:lang w:eastAsia="it-IT"/>
          <w14:ligatures w14:val="none"/>
        </w:rPr>
        <w:t>minor prezzo</w:t>
      </w:r>
      <w:r w:rsidRPr="007B3803">
        <w:rPr>
          <w:rFonts w:ascii="Arial" w:eastAsia="Times New Roman" w:hAnsi="Arial" w:cs="Arial"/>
          <w:kern w:val="0"/>
          <w:sz w:val="24"/>
          <w:szCs w:val="24"/>
          <w:lang w:eastAsia="it-IT"/>
          <w14:ligatures w14:val="none"/>
        </w:rPr>
        <w:t>, non si registrano differenze rispetto al dlgs 50/2016.  Secondo il comma 3 dell’art. 108 dlgs 36/2023, il criterio del minor prezzo può essere utilizzato per i servizi e le forniture con </w:t>
      </w:r>
      <w:r w:rsidRPr="007B3803">
        <w:rPr>
          <w:rFonts w:ascii="Arial" w:eastAsia="Times New Roman" w:hAnsi="Arial" w:cs="Arial"/>
          <w:b/>
          <w:bCs/>
          <w:kern w:val="0"/>
          <w:sz w:val="24"/>
          <w:szCs w:val="24"/>
          <w:bdr w:val="none" w:sz="0" w:space="0" w:color="auto" w:frame="1"/>
          <w:lang w:eastAsia="it-IT"/>
          <w14:ligatures w14:val="none"/>
        </w:rPr>
        <w:t>caratteristiche standardizzate</w:t>
      </w:r>
      <w:r w:rsidRPr="007B3803">
        <w:rPr>
          <w:rFonts w:ascii="Arial" w:eastAsia="Times New Roman" w:hAnsi="Arial" w:cs="Arial"/>
          <w:kern w:val="0"/>
          <w:sz w:val="24"/>
          <w:szCs w:val="24"/>
          <w:lang w:eastAsia="it-IT"/>
          <w14:ligatures w14:val="none"/>
        </w:rPr>
        <w:t> o le cui condizioni sono </w:t>
      </w:r>
      <w:r w:rsidRPr="007B3803">
        <w:rPr>
          <w:rFonts w:ascii="Arial" w:eastAsia="Times New Roman" w:hAnsi="Arial" w:cs="Arial"/>
          <w:b/>
          <w:bCs/>
          <w:kern w:val="0"/>
          <w:sz w:val="24"/>
          <w:szCs w:val="24"/>
          <w:bdr w:val="none" w:sz="0" w:space="0" w:color="auto" w:frame="1"/>
          <w:lang w:eastAsia="it-IT"/>
          <w14:ligatures w14:val="none"/>
        </w:rPr>
        <w:t>definite dal mercato</w:t>
      </w:r>
      <w:r w:rsidRPr="007B3803">
        <w:rPr>
          <w:rFonts w:ascii="Arial" w:eastAsia="Times New Roman" w:hAnsi="Arial" w:cs="Arial"/>
          <w:kern w:val="0"/>
          <w:sz w:val="24"/>
          <w:szCs w:val="24"/>
          <w:lang w:eastAsia="it-IT"/>
          <w14:ligatures w14:val="none"/>
        </w:rPr>
        <w:t>, fatta eccezione per i servizi ad alta intensità di manodopera.</w:t>
      </w:r>
    </w:p>
    <w:p w14:paraId="5429E03B" w14:textId="77777777" w:rsidR="00B10465" w:rsidRPr="007B3803" w:rsidRDefault="00B10465" w:rsidP="00B10465">
      <w:pPr>
        <w:shd w:val="clear" w:color="auto" w:fill="FFFFFF"/>
        <w:spacing w:after="15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criterio del minor prezzo, come lascia intendere il termine stesso, confronta le varie offerte presentate dagli operatori economici, con la selezione di quella con l’importo più basso.</w:t>
      </w:r>
    </w:p>
    <w:p w14:paraId="658C0E6D" w14:textId="77777777" w:rsidR="00B10465" w:rsidRPr="007B3803" w:rsidRDefault="00B10465" w:rsidP="00B10465">
      <w:pPr>
        <w:shd w:val="clear" w:color="auto" w:fill="FFFFFF"/>
        <w:spacing w:before="360" w:after="150" w:line="360" w:lineRule="atLeast"/>
        <w:textAlignment w:val="baseline"/>
        <w:outlineLvl w:val="1"/>
        <w:rPr>
          <w:rFonts w:ascii="Arial" w:eastAsia="Times New Roman" w:hAnsi="Arial" w:cs="Arial"/>
          <w:b/>
          <w:bCs/>
          <w:kern w:val="0"/>
          <w:sz w:val="24"/>
          <w:szCs w:val="24"/>
          <w:lang w:eastAsia="it-IT"/>
          <w14:ligatures w14:val="none"/>
        </w:rPr>
      </w:pPr>
      <w:r w:rsidRPr="007B3803">
        <w:rPr>
          <w:rFonts w:ascii="Arial" w:eastAsia="Times New Roman" w:hAnsi="Arial" w:cs="Arial"/>
          <w:b/>
          <w:bCs/>
          <w:kern w:val="0"/>
          <w:sz w:val="24"/>
          <w:szCs w:val="24"/>
          <w:lang w:eastAsia="it-IT"/>
          <w14:ligatures w14:val="none"/>
        </w:rPr>
        <w:t>I documenti di gara</w:t>
      </w:r>
    </w:p>
    <w:p w14:paraId="49125805"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documenti di gara stabiliscono i </w:t>
      </w:r>
      <w:r w:rsidRPr="007B3803">
        <w:rPr>
          <w:rFonts w:ascii="Arial" w:eastAsia="Times New Roman" w:hAnsi="Arial" w:cs="Arial"/>
          <w:b/>
          <w:bCs/>
          <w:kern w:val="0"/>
          <w:sz w:val="24"/>
          <w:szCs w:val="24"/>
          <w:bdr w:val="none" w:sz="0" w:space="0" w:color="auto" w:frame="1"/>
          <w:lang w:eastAsia="it-IT"/>
          <w14:ligatures w14:val="none"/>
        </w:rPr>
        <w:t>criteri di aggiudicazione dell’offerta</w:t>
      </w:r>
      <w:r w:rsidRPr="007B3803">
        <w:rPr>
          <w:rFonts w:ascii="Arial" w:eastAsia="Times New Roman" w:hAnsi="Arial" w:cs="Arial"/>
          <w:kern w:val="0"/>
          <w:sz w:val="24"/>
          <w:szCs w:val="24"/>
          <w:lang w:eastAsia="it-IT"/>
          <w14:ligatures w14:val="none"/>
        </w:rPr>
        <w:t>, pertinenti alla natura, all’oggetto e alle caratteristiche del contratto. In particolare, l’offerta economicamente più vantaggiosa viene valutata sulla base di </w:t>
      </w:r>
      <w:r w:rsidRPr="007B3803">
        <w:rPr>
          <w:rFonts w:ascii="Arial" w:eastAsia="Times New Roman" w:hAnsi="Arial" w:cs="Arial"/>
          <w:b/>
          <w:bCs/>
          <w:kern w:val="0"/>
          <w:sz w:val="24"/>
          <w:szCs w:val="24"/>
          <w:bdr w:val="none" w:sz="0" w:space="0" w:color="auto" w:frame="1"/>
          <w:lang w:eastAsia="it-IT"/>
          <w14:ligatures w14:val="none"/>
        </w:rPr>
        <w:t>criteri oggettivi</w:t>
      </w:r>
      <w:r w:rsidRPr="007B3803">
        <w:rPr>
          <w:rFonts w:ascii="Arial" w:eastAsia="Times New Roman" w:hAnsi="Arial" w:cs="Arial"/>
          <w:kern w:val="0"/>
          <w:sz w:val="24"/>
          <w:szCs w:val="24"/>
          <w:lang w:eastAsia="it-IT"/>
          <w14:ligatures w14:val="none"/>
        </w:rPr>
        <w:t>, quali gli aspetti qualitativi, ambientali o sociali, connessi all’oggetto dell’appalto.</w:t>
      </w:r>
    </w:p>
    <w:p w14:paraId="5FC78B49" w14:textId="77777777" w:rsidR="00B10465" w:rsidRPr="007B3803" w:rsidRDefault="00B10465" w:rsidP="00B10465">
      <w:pPr>
        <w:shd w:val="clear" w:color="auto" w:fill="FFFFFF"/>
        <w:spacing w:after="15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A differenza della formulazione del comma 6 dell’art. 95 del dlgs 50/2016, è stata eliminata l’elencazione esemplificativa dei criteri utilizzati, che potrebbero trovare spazio in norme attuative di carattere secondario.</w:t>
      </w:r>
    </w:p>
    <w:p w14:paraId="053756B3"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È previsto che l’elemento relativo al costo possa assumere la forma di un</w:t>
      </w:r>
      <w:r w:rsidRPr="007B3803">
        <w:rPr>
          <w:rFonts w:ascii="Arial" w:eastAsia="Times New Roman" w:hAnsi="Arial" w:cs="Arial"/>
          <w:b/>
          <w:bCs/>
          <w:kern w:val="0"/>
          <w:sz w:val="24"/>
          <w:szCs w:val="24"/>
          <w:bdr w:val="none" w:sz="0" w:space="0" w:color="auto" w:frame="1"/>
          <w:lang w:eastAsia="it-IT"/>
          <w14:ligatures w14:val="none"/>
        </w:rPr>
        <w:t> prezzo o costo fisso</w:t>
      </w:r>
      <w:r w:rsidRPr="007B3803">
        <w:rPr>
          <w:rFonts w:ascii="Arial" w:eastAsia="Times New Roman" w:hAnsi="Arial" w:cs="Arial"/>
          <w:kern w:val="0"/>
          <w:sz w:val="24"/>
          <w:szCs w:val="24"/>
          <w:lang w:eastAsia="it-IT"/>
          <w14:ligatures w14:val="none"/>
        </w:rPr>
        <w:t> sulla base del quale gli operatori economici competeranno solo in base a </w:t>
      </w:r>
      <w:r w:rsidRPr="007B3803">
        <w:rPr>
          <w:rFonts w:ascii="Arial" w:eastAsia="Times New Roman" w:hAnsi="Arial" w:cs="Arial"/>
          <w:b/>
          <w:bCs/>
          <w:kern w:val="0"/>
          <w:sz w:val="24"/>
          <w:szCs w:val="24"/>
          <w:bdr w:val="none" w:sz="0" w:space="0" w:color="auto" w:frame="1"/>
          <w:lang w:eastAsia="it-IT"/>
          <w14:ligatures w14:val="none"/>
        </w:rPr>
        <w:t>criteri qualitativi</w:t>
      </w:r>
      <w:r w:rsidRPr="007B3803">
        <w:rPr>
          <w:rFonts w:ascii="Arial" w:eastAsia="Times New Roman" w:hAnsi="Arial" w:cs="Arial"/>
          <w:kern w:val="0"/>
          <w:sz w:val="24"/>
          <w:szCs w:val="24"/>
          <w:lang w:eastAsia="it-IT"/>
          <w14:ligatures w14:val="none"/>
        </w:rPr>
        <w:t>.</w:t>
      </w:r>
    </w:p>
    <w:p w14:paraId="3705C913" w14:textId="77777777" w:rsidR="00B10465" w:rsidRPr="007B3803" w:rsidRDefault="00B10465" w:rsidP="00B10465">
      <w:pPr>
        <w:shd w:val="clear" w:color="auto" w:fill="FFFFFF"/>
        <w:spacing w:before="360" w:after="150" w:line="360" w:lineRule="atLeast"/>
        <w:textAlignment w:val="baseline"/>
        <w:outlineLvl w:val="1"/>
        <w:rPr>
          <w:rFonts w:ascii="Arial" w:eastAsia="Times New Roman" w:hAnsi="Arial" w:cs="Arial"/>
          <w:b/>
          <w:bCs/>
          <w:kern w:val="0"/>
          <w:sz w:val="24"/>
          <w:szCs w:val="24"/>
          <w:lang w:eastAsia="it-IT"/>
          <w14:ligatures w14:val="none"/>
        </w:rPr>
      </w:pPr>
      <w:r w:rsidRPr="007B3803">
        <w:rPr>
          <w:rFonts w:ascii="Arial" w:eastAsia="Times New Roman" w:hAnsi="Arial" w:cs="Arial"/>
          <w:b/>
          <w:bCs/>
          <w:kern w:val="0"/>
          <w:sz w:val="24"/>
          <w:szCs w:val="24"/>
          <w:lang w:eastAsia="it-IT"/>
          <w14:ligatures w14:val="none"/>
        </w:rPr>
        <w:t>La ponderazione</w:t>
      </w:r>
    </w:p>
    <w:p w14:paraId="73FFB2A5"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documenti di gara riportano i criteri di valutazione e il relativo </w:t>
      </w:r>
      <w:r w:rsidRPr="007B3803">
        <w:rPr>
          <w:rFonts w:ascii="Arial" w:eastAsia="Times New Roman" w:hAnsi="Arial" w:cs="Arial"/>
          <w:b/>
          <w:bCs/>
          <w:kern w:val="0"/>
          <w:sz w:val="24"/>
          <w:szCs w:val="24"/>
          <w:bdr w:val="none" w:sz="0" w:space="0" w:color="auto" w:frame="1"/>
          <w:lang w:eastAsia="it-IT"/>
          <w14:ligatures w14:val="none"/>
        </w:rPr>
        <w:t>sistema di ponderazione</w:t>
      </w:r>
      <w:r w:rsidRPr="007B3803">
        <w:rPr>
          <w:rFonts w:ascii="Arial" w:eastAsia="Times New Roman" w:hAnsi="Arial" w:cs="Arial"/>
          <w:kern w:val="0"/>
          <w:sz w:val="24"/>
          <w:szCs w:val="24"/>
          <w:lang w:eastAsia="it-IT"/>
          <w14:ligatures w14:val="none"/>
        </w:rPr>
        <w:t>, anche prevedendo una forcella in cui lo scarto tra il minimo e il massimo deve essere adeguato. Per ciascun criterio di valutazione prescelto possono essere previsti</w:t>
      </w:r>
      <w:r w:rsidRPr="007B3803">
        <w:rPr>
          <w:rFonts w:ascii="Arial" w:eastAsia="Times New Roman" w:hAnsi="Arial" w:cs="Arial"/>
          <w:b/>
          <w:bCs/>
          <w:kern w:val="0"/>
          <w:sz w:val="24"/>
          <w:szCs w:val="24"/>
          <w:bdr w:val="none" w:sz="0" w:space="0" w:color="auto" w:frame="1"/>
          <w:lang w:eastAsia="it-IT"/>
          <w14:ligatures w14:val="none"/>
        </w:rPr>
        <w:t> sub-criteri</w:t>
      </w:r>
      <w:r w:rsidRPr="007B3803">
        <w:rPr>
          <w:rFonts w:ascii="Arial" w:eastAsia="Times New Roman" w:hAnsi="Arial" w:cs="Arial"/>
          <w:kern w:val="0"/>
          <w:sz w:val="24"/>
          <w:szCs w:val="24"/>
          <w:lang w:eastAsia="it-IT"/>
          <w14:ligatures w14:val="none"/>
        </w:rPr>
        <w:t> e </w:t>
      </w:r>
      <w:r w:rsidRPr="007B3803">
        <w:rPr>
          <w:rFonts w:ascii="Arial" w:eastAsia="Times New Roman" w:hAnsi="Arial" w:cs="Arial"/>
          <w:b/>
          <w:bCs/>
          <w:kern w:val="0"/>
          <w:sz w:val="24"/>
          <w:szCs w:val="24"/>
          <w:bdr w:val="none" w:sz="0" w:space="0" w:color="auto" w:frame="1"/>
          <w:lang w:eastAsia="it-IT"/>
          <w14:ligatures w14:val="none"/>
        </w:rPr>
        <w:t>sub-pesi</w:t>
      </w:r>
      <w:r w:rsidRPr="007B3803">
        <w:rPr>
          <w:rFonts w:ascii="Arial" w:eastAsia="Times New Roman" w:hAnsi="Arial" w:cs="Arial"/>
          <w:kern w:val="0"/>
          <w:sz w:val="24"/>
          <w:szCs w:val="24"/>
          <w:lang w:eastAsia="it-IT"/>
          <w14:ligatures w14:val="none"/>
        </w:rPr>
        <w:t> o </w:t>
      </w:r>
      <w:r w:rsidRPr="007B3803">
        <w:rPr>
          <w:rFonts w:ascii="Arial" w:eastAsia="Times New Roman" w:hAnsi="Arial" w:cs="Arial"/>
          <w:b/>
          <w:bCs/>
          <w:kern w:val="0"/>
          <w:sz w:val="24"/>
          <w:szCs w:val="24"/>
          <w:bdr w:val="none" w:sz="0" w:space="0" w:color="auto" w:frame="1"/>
          <w:lang w:eastAsia="it-IT"/>
          <w14:ligatures w14:val="none"/>
        </w:rPr>
        <w:t>sub-punteggi</w:t>
      </w:r>
      <w:r w:rsidRPr="007B3803">
        <w:rPr>
          <w:rFonts w:ascii="Arial" w:eastAsia="Times New Roman" w:hAnsi="Arial" w:cs="Arial"/>
          <w:kern w:val="0"/>
          <w:sz w:val="24"/>
          <w:szCs w:val="24"/>
          <w:lang w:eastAsia="it-IT"/>
          <w14:ligatures w14:val="none"/>
        </w:rPr>
        <w:t>.</w:t>
      </w:r>
    </w:p>
    <w:p w14:paraId="33754E7E"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Nei casi in cui la ponderazione non sia possibile, le stazioni appaltanti indicano già nel bando di gara l’importanza dei criteri in ordine decrescente. Per attuare la ponderazione o comunque attribuire il punteggio a ciascun elemento dell’offerta, le stazioni appaltanti utilizzano metodologie che individuino con un </w:t>
      </w:r>
      <w:r w:rsidRPr="007B3803">
        <w:rPr>
          <w:rFonts w:ascii="Arial" w:eastAsia="Times New Roman" w:hAnsi="Arial" w:cs="Arial"/>
          <w:b/>
          <w:bCs/>
          <w:kern w:val="0"/>
          <w:sz w:val="24"/>
          <w:szCs w:val="24"/>
          <w:bdr w:val="none" w:sz="0" w:space="0" w:color="auto" w:frame="1"/>
          <w:lang w:eastAsia="it-IT"/>
          <w14:ligatures w14:val="none"/>
        </w:rPr>
        <w:t>unico parametro numerico</w:t>
      </w:r>
      <w:r w:rsidRPr="007B3803">
        <w:rPr>
          <w:rFonts w:ascii="Arial" w:eastAsia="Times New Roman" w:hAnsi="Arial" w:cs="Arial"/>
          <w:kern w:val="0"/>
          <w:sz w:val="24"/>
          <w:szCs w:val="24"/>
          <w:lang w:eastAsia="it-IT"/>
          <w14:ligatures w14:val="none"/>
        </w:rPr>
        <w:t> finale l’offerta più vantaggiosa.</w:t>
      </w:r>
    </w:p>
    <w:p w14:paraId="3650F6A4"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Nell’offerta economica l’operatore deve indicare i </w:t>
      </w:r>
      <w:r w:rsidRPr="007B3803">
        <w:rPr>
          <w:rFonts w:ascii="Arial" w:eastAsia="Times New Roman" w:hAnsi="Arial" w:cs="Arial"/>
          <w:b/>
          <w:bCs/>
          <w:kern w:val="0"/>
          <w:sz w:val="24"/>
          <w:szCs w:val="24"/>
          <w:bdr w:val="none" w:sz="0" w:space="0" w:color="auto" w:frame="1"/>
          <w:lang w:eastAsia="it-IT"/>
          <w14:ligatures w14:val="none"/>
        </w:rPr>
        <w:t>costi della manodopera</w:t>
      </w:r>
      <w:r w:rsidRPr="007B3803">
        <w:rPr>
          <w:rFonts w:ascii="Arial" w:eastAsia="Times New Roman" w:hAnsi="Arial" w:cs="Arial"/>
          <w:kern w:val="0"/>
          <w:sz w:val="24"/>
          <w:szCs w:val="24"/>
          <w:lang w:eastAsia="it-IT"/>
          <w14:ligatures w14:val="none"/>
        </w:rPr>
        <w:t> e gli </w:t>
      </w:r>
      <w:r w:rsidRPr="007B3803">
        <w:rPr>
          <w:rFonts w:ascii="Arial" w:eastAsia="Times New Roman" w:hAnsi="Arial" w:cs="Arial"/>
          <w:b/>
          <w:bCs/>
          <w:kern w:val="0"/>
          <w:sz w:val="24"/>
          <w:szCs w:val="24"/>
          <w:bdr w:val="none" w:sz="0" w:space="0" w:color="auto" w:frame="1"/>
          <w:lang w:eastAsia="it-IT"/>
          <w14:ligatures w14:val="none"/>
        </w:rPr>
        <w:t>oneri aziendali per la sicurezza</w:t>
      </w:r>
      <w:r w:rsidRPr="007B3803">
        <w:rPr>
          <w:rFonts w:ascii="Arial" w:eastAsia="Times New Roman" w:hAnsi="Arial" w:cs="Arial"/>
          <w:kern w:val="0"/>
          <w:sz w:val="24"/>
          <w:szCs w:val="24"/>
          <w:lang w:eastAsia="it-IT"/>
          <w14:ligatures w14:val="none"/>
        </w:rPr>
        <w:t>, eccetto che nelle forniture senza posa in opera e nei servizi di natura intellettuale. La disposizione è presente anche nel vecchio codice ed è una conferma dell’orientamento giurisprudenziale volto a descrivere l’omissione in questione quale causa di esclusione. Proprio per questo è stato espressamente inserito l’inciso “</w:t>
      </w:r>
      <w:r w:rsidRPr="007B3803">
        <w:rPr>
          <w:rFonts w:ascii="Arial" w:eastAsia="Times New Roman" w:hAnsi="Arial" w:cs="Arial"/>
          <w:b/>
          <w:bCs/>
          <w:kern w:val="0"/>
          <w:sz w:val="24"/>
          <w:szCs w:val="24"/>
          <w:bdr w:val="none" w:sz="0" w:space="0" w:color="auto" w:frame="1"/>
          <w:lang w:eastAsia="it-IT"/>
          <w14:ligatures w14:val="none"/>
        </w:rPr>
        <w:t>a pena di esclusione</w:t>
      </w:r>
      <w:r w:rsidRPr="007B3803">
        <w:rPr>
          <w:rFonts w:ascii="Arial" w:eastAsia="Times New Roman" w:hAnsi="Arial" w:cs="Arial"/>
          <w:kern w:val="0"/>
          <w:sz w:val="24"/>
          <w:szCs w:val="24"/>
          <w:lang w:eastAsia="it-IT"/>
          <w14:ligatures w14:val="none"/>
        </w:rPr>
        <w:t>” per dare maggiore forza e maggiore certezza alla norma.</w:t>
      </w:r>
    </w:p>
    <w:p w14:paraId="4F67E309" w14:textId="77777777" w:rsidR="00B10465" w:rsidRPr="007B3803" w:rsidRDefault="00B10465" w:rsidP="00B10465">
      <w:pPr>
        <w:shd w:val="clear" w:color="auto" w:fill="FFFFFF"/>
        <w:spacing w:before="360" w:after="150" w:line="360" w:lineRule="atLeast"/>
        <w:textAlignment w:val="baseline"/>
        <w:outlineLvl w:val="1"/>
        <w:rPr>
          <w:rFonts w:ascii="Arial" w:eastAsia="Times New Roman" w:hAnsi="Arial" w:cs="Arial"/>
          <w:b/>
          <w:bCs/>
          <w:kern w:val="0"/>
          <w:sz w:val="24"/>
          <w:szCs w:val="24"/>
          <w:lang w:eastAsia="it-IT"/>
          <w14:ligatures w14:val="none"/>
        </w:rPr>
      </w:pPr>
      <w:r w:rsidRPr="007B3803">
        <w:rPr>
          <w:rFonts w:ascii="Arial" w:eastAsia="Times New Roman" w:hAnsi="Arial" w:cs="Arial"/>
          <w:b/>
          <w:bCs/>
          <w:kern w:val="0"/>
          <w:sz w:val="24"/>
          <w:szCs w:val="24"/>
          <w:lang w:eastAsia="it-IT"/>
          <w14:ligatures w14:val="none"/>
        </w:rPr>
        <w:t>Approvvigionamento di servizi informatici e cybersicurezza</w:t>
      </w:r>
    </w:p>
    <w:p w14:paraId="5F7DC2C2"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comma 4 del dlgs 36/2023 contiene una precisazione circa l’approvvigionamento di</w:t>
      </w:r>
      <w:r w:rsidRPr="007B3803">
        <w:rPr>
          <w:rFonts w:ascii="Arial" w:eastAsia="Times New Roman" w:hAnsi="Arial" w:cs="Arial"/>
          <w:b/>
          <w:bCs/>
          <w:kern w:val="0"/>
          <w:sz w:val="24"/>
          <w:szCs w:val="24"/>
          <w:bdr w:val="none" w:sz="0" w:space="0" w:color="auto" w:frame="1"/>
          <w:lang w:eastAsia="it-IT"/>
          <w14:ligatures w14:val="none"/>
        </w:rPr>
        <w:t> beni e servizi informatici</w:t>
      </w:r>
      <w:r w:rsidRPr="007B3803">
        <w:rPr>
          <w:rFonts w:ascii="Arial" w:eastAsia="Times New Roman" w:hAnsi="Arial" w:cs="Arial"/>
          <w:kern w:val="0"/>
          <w:sz w:val="24"/>
          <w:szCs w:val="24"/>
          <w:lang w:eastAsia="it-IT"/>
          <w14:ligatures w14:val="none"/>
        </w:rPr>
        <w:t>. In queste attività, le stazioni appaltanti devono tenere in considerazione gli elementi di </w:t>
      </w:r>
      <w:r w:rsidRPr="007B3803">
        <w:rPr>
          <w:rFonts w:ascii="Arial" w:eastAsia="Times New Roman" w:hAnsi="Arial" w:cs="Arial"/>
          <w:b/>
          <w:bCs/>
          <w:kern w:val="0"/>
          <w:sz w:val="24"/>
          <w:szCs w:val="24"/>
          <w:bdr w:val="none" w:sz="0" w:space="0" w:color="auto" w:frame="1"/>
          <w:lang w:eastAsia="it-IT"/>
          <w14:ligatures w14:val="none"/>
        </w:rPr>
        <w:t>cybersicurezza</w:t>
      </w:r>
      <w:r w:rsidRPr="007B3803">
        <w:rPr>
          <w:rFonts w:ascii="Arial" w:eastAsia="Times New Roman" w:hAnsi="Arial" w:cs="Arial"/>
          <w:kern w:val="0"/>
          <w:sz w:val="24"/>
          <w:szCs w:val="24"/>
          <w:lang w:eastAsia="it-IT"/>
          <w14:ligatures w14:val="none"/>
        </w:rPr>
        <w:t>, sempre circa la valutazione dell’elemento qualitativo ai fini dell’individuazione del miglior rapporto qualità prezzo. Devono attribuire ad esso </w:t>
      </w:r>
      <w:r w:rsidRPr="007B3803">
        <w:rPr>
          <w:rFonts w:ascii="Arial" w:eastAsia="Times New Roman" w:hAnsi="Arial" w:cs="Arial"/>
          <w:b/>
          <w:bCs/>
          <w:kern w:val="0"/>
          <w:sz w:val="24"/>
          <w:szCs w:val="24"/>
          <w:bdr w:val="none" w:sz="0" w:space="0" w:color="auto" w:frame="1"/>
          <w:lang w:eastAsia="it-IT"/>
          <w14:ligatures w14:val="none"/>
        </w:rPr>
        <w:t>grande rilievo</w:t>
      </w:r>
      <w:r w:rsidRPr="007B3803">
        <w:rPr>
          <w:rFonts w:ascii="Arial" w:eastAsia="Times New Roman" w:hAnsi="Arial" w:cs="Arial"/>
          <w:kern w:val="0"/>
          <w:sz w:val="24"/>
          <w:szCs w:val="24"/>
          <w:lang w:eastAsia="it-IT"/>
          <w14:ligatures w14:val="none"/>
        </w:rPr>
        <w:t> nei casi in cui il contesto di impiego è connesso alla tutela degli interessi nazionali strategici.</w:t>
      </w:r>
    </w:p>
    <w:p w14:paraId="76A57B4B"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Nei casi in cui i </w:t>
      </w:r>
      <w:r w:rsidRPr="007B3803">
        <w:rPr>
          <w:rFonts w:ascii="Arial" w:eastAsia="Times New Roman" w:hAnsi="Arial" w:cs="Arial"/>
          <w:b/>
          <w:bCs/>
          <w:kern w:val="0"/>
          <w:sz w:val="24"/>
          <w:szCs w:val="24"/>
          <w:bdr w:val="none" w:sz="0" w:space="0" w:color="auto" w:frame="1"/>
          <w:lang w:eastAsia="it-IT"/>
          <w14:ligatures w14:val="none"/>
        </w:rPr>
        <w:t>beni e servizi informatici</w:t>
      </w:r>
      <w:r w:rsidRPr="007B3803">
        <w:rPr>
          <w:rFonts w:ascii="Arial" w:eastAsia="Times New Roman" w:hAnsi="Arial" w:cs="Arial"/>
          <w:kern w:val="0"/>
          <w:sz w:val="24"/>
          <w:szCs w:val="24"/>
          <w:lang w:eastAsia="it-IT"/>
          <w14:ligatures w14:val="none"/>
        </w:rPr>
        <w:t> oggetto di appalto siano impiegati in un contesto connesso alla tutela degli interessi nazionali strategici, la stazione appaltante stabilisce un tetto massimo per il </w:t>
      </w:r>
      <w:r w:rsidRPr="007B3803">
        <w:rPr>
          <w:rFonts w:ascii="Arial" w:eastAsia="Times New Roman" w:hAnsi="Arial" w:cs="Arial"/>
          <w:b/>
          <w:bCs/>
          <w:kern w:val="0"/>
          <w:sz w:val="24"/>
          <w:szCs w:val="24"/>
          <w:bdr w:val="none" w:sz="0" w:space="0" w:color="auto" w:frame="1"/>
          <w:lang w:eastAsia="it-IT"/>
          <w14:ligatures w14:val="none"/>
        </w:rPr>
        <w:t>punteggio economico (max al 10%)</w:t>
      </w:r>
      <w:r w:rsidRPr="007B3803">
        <w:rPr>
          <w:rFonts w:ascii="Arial" w:eastAsia="Times New Roman" w:hAnsi="Arial" w:cs="Arial"/>
          <w:kern w:val="0"/>
          <w:sz w:val="24"/>
          <w:szCs w:val="24"/>
          <w:lang w:eastAsia="it-IT"/>
          <w14:ligatures w14:val="none"/>
        </w:rPr>
        <w:t>.</w:t>
      </w:r>
    </w:p>
    <w:p w14:paraId="4577DEE3"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i </w:t>
      </w:r>
      <w:r w:rsidRPr="007B3803">
        <w:rPr>
          <w:rFonts w:ascii="Arial" w:eastAsia="Times New Roman" w:hAnsi="Arial" w:cs="Arial"/>
          <w:b/>
          <w:bCs/>
          <w:kern w:val="0"/>
          <w:sz w:val="24"/>
          <w:szCs w:val="24"/>
          <w:bdr w:val="none" w:sz="0" w:space="0" w:color="auto" w:frame="1"/>
          <w:lang w:eastAsia="it-IT"/>
          <w14:ligatures w14:val="none"/>
        </w:rPr>
        <w:t>contratti ad alta intensità di manodopera</w:t>
      </w:r>
      <w:r w:rsidRPr="007B3803">
        <w:rPr>
          <w:rFonts w:ascii="Arial" w:eastAsia="Times New Roman" w:hAnsi="Arial" w:cs="Arial"/>
          <w:kern w:val="0"/>
          <w:sz w:val="24"/>
          <w:szCs w:val="24"/>
          <w:lang w:eastAsia="it-IT"/>
          <w14:ligatures w14:val="none"/>
        </w:rPr>
        <w:t>, la stazione appaltante stabilisce un tetto massimo per il </w:t>
      </w:r>
      <w:r w:rsidRPr="007B3803">
        <w:rPr>
          <w:rFonts w:ascii="Arial" w:eastAsia="Times New Roman" w:hAnsi="Arial" w:cs="Arial"/>
          <w:b/>
          <w:bCs/>
          <w:kern w:val="0"/>
          <w:sz w:val="24"/>
          <w:szCs w:val="24"/>
          <w:bdr w:val="none" w:sz="0" w:space="0" w:color="auto" w:frame="1"/>
          <w:lang w:eastAsia="it-IT"/>
          <w14:ligatures w14:val="none"/>
        </w:rPr>
        <w:t>punteggio economico entro il limite del 30%</w:t>
      </w:r>
      <w:r w:rsidRPr="007B3803">
        <w:rPr>
          <w:rFonts w:ascii="Arial" w:eastAsia="Times New Roman" w:hAnsi="Arial" w:cs="Arial"/>
          <w:kern w:val="0"/>
          <w:sz w:val="24"/>
          <w:szCs w:val="24"/>
          <w:lang w:eastAsia="it-IT"/>
          <w14:ligatures w14:val="none"/>
        </w:rPr>
        <w:t>.</w:t>
      </w:r>
    </w:p>
    <w:p w14:paraId="3CB59BAF"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Alle Stazioni Appaltanti spetta il compito di </w:t>
      </w:r>
      <w:r w:rsidRPr="007B3803">
        <w:rPr>
          <w:rFonts w:ascii="Arial" w:eastAsia="Times New Roman" w:hAnsi="Arial" w:cs="Arial"/>
          <w:b/>
          <w:bCs/>
          <w:kern w:val="0"/>
          <w:sz w:val="24"/>
          <w:szCs w:val="24"/>
          <w:lang w:eastAsia="it-IT"/>
          <w14:ligatures w14:val="none"/>
        </w:rPr>
        <w:t>individuare le offerte che sollevano dubbi di congruità</w:t>
      </w:r>
      <w:r w:rsidRPr="007B3803">
        <w:rPr>
          <w:rFonts w:ascii="Arial" w:eastAsia="Times New Roman" w:hAnsi="Arial" w:cs="Arial"/>
          <w:kern w:val="0"/>
          <w:sz w:val="24"/>
          <w:szCs w:val="24"/>
          <w:lang w:eastAsia="it-IT"/>
          <w14:ligatures w14:val="none"/>
        </w:rPr>
        <w:t>, tenendo in considerazione non soltanto il prezzo, ma il contesto complessivo (mercato di riferimento, risultati di gara, ecc.).</w:t>
      </w:r>
    </w:p>
    <w:p w14:paraId="1E22530E"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Questa verifica preliminare delle offerte anomale concede un largo margine di discrezionalità alla S.A., che tuttavia ha il dovere di </w:t>
      </w:r>
      <w:r w:rsidRPr="007B3803">
        <w:rPr>
          <w:rFonts w:ascii="Arial" w:eastAsia="Times New Roman" w:hAnsi="Arial" w:cs="Arial"/>
          <w:b/>
          <w:bCs/>
          <w:kern w:val="0"/>
          <w:sz w:val="24"/>
          <w:szCs w:val="24"/>
          <w:lang w:eastAsia="it-IT"/>
          <w14:ligatures w14:val="none"/>
        </w:rPr>
        <w:t>richiedere spiegazioni “per iscritto” all’operatore economico sul prezzo o sui costi proposti</w:t>
      </w:r>
      <w:r w:rsidRPr="007B3803">
        <w:rPr>
          <w:rFonts w:ascii="Arial" w:eastAsia="Times New Roman" w:hAnsi="Arial" w:cs="Arial"/>
          <w:kern w:val="0"/>
          <w:sz w:val="24"/>
          <w:szCs w:val="24"/>
          <w:lang w:eastAsia="it-IT"/>
          <w14:ligatures w14:val="none"/>
        </w:rPr>
        <w:t>. L’OE avrà 15 giorni per rispondere.</w:t>
      </w:r>
    </w:p>
    <w:p w14:paraId="25D908B2"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Una volta ricevute le spiegazioni, la S.A. potrà escludere l’offerta se non riscontra coerenza tra motivazioni addotte e offerta anormalmente bassa.</w:t>
      </w:r>
    </w:p>
    <w:p w14:paraId="122F4884" w14:textId="77777777" w:rsidR="005D119D" w:rsidRPr="007B3803" w:rsidRDefault="005D119D" w:rsidP="005D119D">
      <w:pPr>
        <w:shd w:val="clear" w:color="auto" w:fill="FFFFFF"/>
        <w:spacing w:after="100" w:afterAutospacing="1" w:line="348" w:lineRule="atLeast"/>
        <w:outlineLvl w:val="1"/>
        <w:rPr>
          <w:rFonts w:ascii="Arial" w:eastAsia="Times New Roman" w:hAnsi="Arial" w:cs="Arial"/>
          <w:b/>
          <w:bCs/>
          <w:kern w:val="0"/>
          <w:sz w:val="24"/>
          <w:szCs w:val="24"/>
          <w:lang w:eastAsia="it-IT"/>
          <w14:ligatures w14:val="none"/>
        </w:rPr>
      </w:pPr>
      <w:r w:rsidRPr="007B3803">
        <w:rPr>
          <w:rFonts w:ascii="Arial" w:eastAsia="Times New Roman" w:hAnsi="Arial" w:cs="Arial"/>
          <w:b/>
          <w:bCs/>
          <w:kern w:val="0"/>
          <w:sz w:val="24"/>
          <w:szCs w:val="24"/>
          <w:lang w:eastAsia="it-IT"/>
          <w14:ligatures w14:val="none"/>
        </w:rPr>
        <w:t>Esclusione automatica delle offerte anomale (art. 54 D.Lgs. 36/2023)</w:t>
      </w:r>
    </w:p>
    <w:p w14:paraId="3AFDBE1B"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L’applicazione dell’art. 54 riguarda unicamente le procedure di affidamento che:</w:t>
      </w:r>
    </w:p>
    <w:p w14:paraId="3372D698" w14:textId="77777777" w:rsidR="005D119D" w:rsidRPr="007B3803" w:rsidRDefault="005D119D" w:rsidP="005D119D">
      <w:pPr>
        <w:numPr>
          <w:ilvl w:val="0"/>
          <w:numId w:val="31"/>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Vengono aggiudicate con il criterio del </w:t>
      </w:r>
      <w:r w:rsidRPr="007B3803">
        <w:rPr>
          <w:rFonts w:ascii="Arial" w:eastAsia="Times New Roman" w:hAnsi="Arial" w:cs="Arial"/>
          <w:b/>
          <w:bCs/>
          <w:kern w:val="0"/>
          <w:sz w:val="24"/>
          <w:szCs w:val="24"/>
          <w:lang w:eastAsia="it-IT"/>
          <w14:ligatures w14:val="none"/>
        </w:rPr>
        <w:t>prezzo più basso</w:t>
      </w:r>
    </w:p>
    <w:p w14:paraId="579F5551" w14:textId="77777777" w:rsidR="005D119D" w:rsidRPr="007B3803" w:rsidRDefault="005D119D" w:rsidP="005D119D">
      <w:pPr>
        <w:numPr>
          <w:ilvl w:val="0"/>
          <w:numId w:val="31"/>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Hanno un </w:t>
      </w:r>
      <w:r w:rsidRPr="007B3803">
        <w:rPr>
          <w:rFonts w:ascii="Arial" w:eastAsia="Times New Roman" w:hAnsi="Arial" w:cs="Arial"/>
          <w:b/>
          <w:bCs/>
          <w:kern w:val="0"/>
          <w:sz w:val="24"/>
          <w:szCs w:val="24"/>
          <w:lang w:eastAsia="it-IT"/>
          <w14:ligatures w14:val="none"/>
        </w:rPr>
        <w:t>importo inferiore alle soglie di rilevanza europea</w:t>
      </w:r>
    </w:p>
    <w:p w14:paraId="1698E4F0" w14:textId="77777777" w:rsidR="005D119D" w:rsidRPr="007B3803" w:rsidRDefault="005D119D" w:rsidP="005D119D">
      <w:pPr>
        <w:numPr>
          <w:ilvl w:val="0"/>
          <w:numId w:val="31"/>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b/>
          <w:bCs/>
          <w:kern w:val="0"/>
          <w:sz w:val="24"/>
          <w:szCs w:val="24"/>
          <w:lang w:eastAsia="it-IT"/>
          <w14:ligatures w14:val="none"/>
        </w:rPr>
        <w:t>Non presentano un interesse transfrontaliero certo</w:t>
      </w:r>
    </w:p>
    <w:p w14:paraId="02937CDE"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Se la procedura risponde a </w:t>
      </w:r>
      <w:r w:rsidRPr="007B3803">
        <w:rPr>
          <w:rFonts w:ascii="Arial" w:eastAsia="Times New Roman" w:hAnsi="Arial" w:cs="Arial"/>
          <w:b/>
          <w:bCs/>
          <w:kern w:val="0"/>
          <w:sz w:val="24"/>
          <w:szCs w:val="24"/>
          <w:lang w:eastAsia="it-IT"/>
          <w14:ligatures w14:val="none"/>
        </w:rPr>
        <w:t>tutti e tre i criteri,</w:t>
      </w:r>
      <w:r w:rsidRPr="007B3803">
        <w:rPr>
          <w:rFonts w:ascii="Arial" w:eastAsia="Times New Roman" w:hAnsi="Arial" w:cs="Arial"/>
          <w:kern w:val="0"/>
          <w:sz w:val="24"/>
          <w:szCs w:val="24"/>
          <w:lang w:eastAsia="it-IT"/>
          <w14:ligatures w14:val="none"/>
        </w:rPr>
        <w:t> la Stazione Appaltante deve inserire negli atti di gara le modalità di esclusione delle offerte anomale, nel caso le offerte ammesse siano cinque o più di cinque.</w:t>
      </w:r>
    </w:p>
    <w:p w14:paraId="6F2A1488"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Gli atti di gara dovranno inoltre </w:t>
      </w:r>
      <w:r w:rsidRPr="007B3803">
        <w:rPr>
          <w:rFonts w:ascii="Arial" w:eastAsia="Times New Roman" w:hAnsi="Arial" w:cs="Arial"/>
          <w:b/>
          <w:bCs/>
          <w:kern w:val="0"/>
          <w:sz w:val="24"/>
          <w:szCs w:val="24"/>
          <w:lang w:eastAsia="it-IT"/>
          <w14:ligatures w14:val="none"/>
        </w:rPr>
        <w:t>dichiarare il metodo di calcolo della soglia di anomalia che verrà impiegato per escludere in automatico le offerte anormalmente basse</w:t>
      </w:r>
      <w:r w:rsidRPr="007B3803">
        <w:rPr>
          <w:rFonts w:ascii="Arial" w:eastAsia="Times New Roman" w:hAnsi="Arial" w:cs="Arial"/>
          <w:kern w:val="0"/>
          <w:sz w:val="24"/>
          <w:szCs w:val="24"/>
          <w:lang w:eastAsia="it-IT"/>
          <w14:ligatures w14:val="none"/>
        </w:rPr>
        <w:t>, selezionando uno dei tre metodi contenuti nell’allegato II.2 del Codice.</w:t>
      </w:r>
    </w:p>
    <w:p w14:paraId="3C6294FA"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Lo stesso articolo 54, in via residuale, consente alle Stazioni Appaltanti la facoltà </w:t>
      </w:r>
      <w:r w:rsidRPr="007B3803">
        <w:rPr>
          <w:rFonts w:ascii="Arial" w:eastAsia="Times New Roman" w:hAnsi="Arial" w:cs="Arial"/>
          <w:b/>
          <w:bCs/>
          <w:kern w:val="0"/>
          <w:sz w:val="24"/>
          <w:szCs w:val="24"/>
          <w:lang w:eastAsia="it-IT"/>
          <w14:ligatures w14:val="none"/>
        </w:rPr>
        <w:t>di non indicare il metodo di calcolo negli atti di gara sorteggiandolo</w:t>
      </w:r>
      <w:r w:rsidRPr="007B3803">
        <w:rPr>
          <w:rFonts w:ascii="Arial" w:eastAsia="Times New Roman" w:hAnsi="Arial" w:cs="Arial"/>
          <w:kern w:val="0"/>
          <w:sz w:val="24"/>
          <w:szCs w:val="24"/>
          <w:lang w:eastAsia="it-IT"/>
          <w14:ligatures w14:val="none"/>
        </w:rPr>
        <w:t>, tra quelli compatibili, in sede di valutazione delle offerte.</w:t>
      </w:r>
    </w:p>
    <w:p w14:paraId="2CFA170F" w14:textId="77777777" w:rsidR="005D119D" w:rsidRPr="007B3803" w:rsidRDefault="005D119D" w:rsidP="005D119D">
      <w:pPr>
        <w:shd w:val="clear" w:color="auto" w:fill="FFFFFF"/>
        <w:spacing w:after="100" w:afterAutospacing="1" w:line="348" w:lineRule="atLeast"/>
        <w:outlineLvl w:val="1"/>
        <w:rPr>
          <w:rFonts w:ascii="Arial" w:eastAsia="Times New Roman" w:hAnsi="Arial" w:cs="Arial"/>
          <w:b/>
          <w:bCs/>
          <w:kern w:val="0"/>
          <w:sz w:val="24"/>
          <w:szCs w:val="24"/>
          <w:lang w:eastAsia="it-IT"/>
          <w14:ligatures w14:val="none"/>
        </w:rPr>
      </w:pPr>
      <w:r w:rsidRPr="007B3803">
        <w:rPr>
          <w:rFonts w:ascii="Arial" w:eastAsia="Times New Roman" w:hAnsi="Arial" w:cs="Arial"/>
          <w:b/>
          <w:bCs/>
          <w:kern w:val="0"/>
          <w:sz w:val="24"/>
          <w:szCs w:val="24"/>
          <w:lang w:eastAsia="it-IT"/>
          <w14:ligatures w14:val="none"/>
        </w:rPr>
        <w:t>Adeguamento al nuovo Codice Appalti: le novità di Acquisti Telematici 10.7</w:t>
      </w:r>
    </w:p>
    <w:p w14:paraId="115364EE"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D.Lgs. 36/2023 dedica uno specifico articolo, l’art. 25, all</w:t>
      </w:r>
      <w:hyperlink r:id="rId10" w:history="1">
        <w:r w:rsidRPr="007B3803">
          <w:rPr>
            <w:rFonts w:ascii="Arial" w:eastAsia="Times New Roman" w:hAnsi="Arial" w:cs="Arial"/>
            <w:b/>
            <w:bCs/>
            <w:kern w:val="0"/>
            <w:sz w:val="24"/>
            <w:szCs w:val="24"/>
            <w:lang w:eastAsia="it-IT"/>
            <w14:ligatures w14:val="none"/>
          </w:rPr>
          <w:t>’obbligo di utilizzare piattaforme di approvvigionamento digitale</w:t>
        </w:r>
      </w:hyperlink>
      <w:r w:rsidRPr="007B3803">
        <w:rPr>
          <w:rFonts w:ascii="Arial" w:eastAsia="Times New Roman" w:hAnsi="Arial" w:cs="Arial"/>
          <w:kern w:val="0"/>
          <w:sz w:val="24"/>
          <w:szCs w:val="24"/>
          <w:lang w:eastAsia="it-IT"/>
          <w14:ligatures w14:val="none"/>
        </w:rPr>
        <w:t> da parte delle Pubbliche Amministrazioni per gestire e monitorare le fasi di programmazione, progettazione, pubblicazione, affidamento ed esecuzione dei contratti pubblici. Tale obbligo viene confermato anche dal nuovo Codice degli Appalti, con il duplice obiettivo di costruire l’ecosistema nazionale di e-procurement e di consentire la piena attuazione del sistema di qualificazione delle Stazioni Appaltanti.</w:t>
      </w:r>
    </w:p>
    <w:p w14:paraId="4E316BF7" w14:textId="4B180A9B" w:rsidR="00E26289" w:rsidRPr="007B3803" w:rsidRDefault="00C31FB7"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SUBAPPALTO</w:t>
      </w:r>
    </w:p>
    <w:p w14:paraId="4F5916A7" w14:textId="77777777" w:rsidR="00C31FB7" w:rsidRPr="007B3803" w:rsidRDefault="00C31FB7" w:rsidP="00C31FB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L’art. 119 del Dlgs 36/2023 definisce subappalto “il contratto con il quale l’appaltatore affida a terzi l’esecuzione di parte delle prestazioni o lavorazioni oggetto del contratto di appalto, con organizzazione di mezzi e rischi a carico del subappaltatore. Costituisce, comunque, subappalto di lavori qualsiasi contratto stipulato dall’appaltatore con terzi avente ad oggetto attività ovunque espletate che richiedono l’impiego di manodopera, quali le forniture con posa in opera e i noli a caldo, se singolarmente di importo superiore al 2 per cento dell’importo delle prestazioni affidate o di importo superiore a 100.000 euro e qualora l’incidenza del costo della manodopera e del personale sia superiore al 50 per cento dell’importo del contratto da affidare…” Si tratta, dunque, di un contratto “derivato” che – rientrando nella più ampia categoria del “subcontratto” –  ha ad oggetto una parte delle prestazioni del contratto principale, ovvero del contratto di appalto. Da notare, inoltre, che al comma 2 del summenzionato articolo è stato inserito un inciso volto proprio a differenziale il subappalto dalle oltre tipologie contrattuali, laddove si ribadisce che l’organizzazione di mezzi e di rischi a è carico del subappaltatore. </w:t>
      </w:r>
    </w:p>
    <w:p w14:paraId="4D1C2A77" w14:textId="77777777" w:rsidR="00C31FB7" w:rsidRPr="007B3803" w:rsidRDefault="00C31FB7" w:rsidP="00C31FB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Il primo comma dell’art. 119 precisa che la cessione del contratto è nulla. La disposizione normativa in parola specifica, altresì, che è nullo l’accordo con cui viene affidata a terzi l’integrale esecuzione delle prestazioni/lavorazioni oggetto di appalto (non si può subappaltare il 100% del contratto, sia che si tratti di lavori, forniture o servizi) nonché la prevalente esecuzione delle lavorazioni (riferito agli appalti di lavori) relative alla categoria prevalente e dei contratti ad alta intensità di manodopera. Vediamo come permangano, comunque, alcune limitazioni per la categoria prevalente nel caso di lavori e per i servizi se caratterizzati dalla presenza di manodopera superiore al 50%. </w:t>
      </w:r>
    </w:p>
    <w:p w14:paraId="42BDF109" w14:textId="25A885A7" w:rsidR="00C31FB7" w:rsidRPr="007B3803" w:rsidRDefault="00C31FB7" w:rsidP="00C31FB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In riferimento a contratti per l’acquisto di beni e di servizi, il comma 3 dell’art. 119 stabilisce che non configurano subappalto:</w:t>
      </w:r>
    </w:p>
    <w:p w14:paraId="7DB50E80" w14:textId="77777777" w:rsidR="00C31FB7" w:rsidRPr="007B3803" w:rsidRDefault="00C31FB7" w:rsidP="00D05ABB">
      <w:pPr>
        <w:pStyle w:val="Paragrafoelenco"/>
        <w:numPr>
          <w:ilvl w:val="0"/>
          <w:numId w:val="37"/>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L’affidamento di attività secondarie, accessorie o sussidiarie a lavoratori autonomi;</w:t>
      </w:r>
    </w:p>
    <w:p w14:paraId="25FA4ED2" w14:textId="77777777" w:rsidR="00C31FB7" w:rsidRPr="007B3803" w:rsidRDefault="00C31FB7" w:rsidP="00D05ABB">
      <w:pPr>
        <w:pStyle w:val="Paragrafoelenco"/>
        <w:numPr>
          <w:ilvl w:val="0"/>
          <w:numId w:val="37"/>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Subfornitura a catalogo di prodotti informatici; </w:t>
      </w:r>
    </w:p>
    <w:p w14:paraId="0EAE8DC2" w14:textId="77777777" w:rsidR="00C31FB7" w:rsidRPr="007B3803" w:rsidRDefault="00C31FB7" w:rsidP="00D05ABB">
      <w:pPr>
        <w:pStyle w:val="Paragrafoelenco"/>
        <w:numPr>
          <w:ilvl w:val="0"/>
          <w:numId w:val="37"/>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l’affidamento di servizi di importo inferiore a 20.000 euro annui a imprenditori agricoli nei comuni classificati totalmente montani di cui all’elenco dei comuni italiani predisposto dall’ISTAT, oppure ricompresi nella circolare del Ministero delle finanze n. 9 del 14 giugno 1993, nonché nei comuni delle isole minori di cui all’allegato A annesso alla legge 28 dicembre 2001, n. 448;</w:t>
      </w:r>
    </w:p>
    <w:p w14:paraId="5980F92E" w14:textId="77777777" w:rsidR="00C31FB7" w:rsidRPr="007B3803" w:rsidRDefault="00C31FB7" w:rsidP="00D05ABB">
      <w:pPr>
        <w:pStyle w:val="Paragrafoelenco"/>
        <w:numPr>
          <w:ilvl w:val="0"/>
          <w:numId w:val="37"/>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le prestazioni secondarie, accessorie o sussidiarie rese in favore dei soggetti affidatari in forza di contratti continuativi di cooperazione, servizio o fornitura sottoscritti in epoca precedente alla indizione della procedura di gara. </w:t>
      </w:r>
    </w:p>
    <w:p w14:paraId="7F6EC3C7" w14:textId="52C36554" w:rsidR="00D05ABB" w:rsidRPr="007B3803" w:rsidRDefault="00D05ABB" w:rsidP="00D05AB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Al subappaltatore è richiesto che sia qualificato per le lavorazioni da svolgere, o le prestazioni , che non sia soggetto a cause di esclusione e che all’atto di offerta sia ben indicati i lavori, i servizi, o le forniture che si intendono appaltare </w:t>
      </w:r>
    </w:p>
    <w:p w14:paraId="6BDCF2FD" w14:textId="699098F0" w:rsidR="00EA3A5E" w:rsidRPr="007B3803" w:rsidRDefault="00D95483"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GARANZIA</w:t>
      </w:r>
    </w:p>
    <w:p w14:paraId="142A762B" w14:textId="77777777" w:rsidR="00D95483" w:rsidRPr="007B3803" w:rsidRDefault="00D95483" w:rsidP="00D95483">
      <w:pPr>
        <w:pStyle w:val="NormaleWeb"/>
        <w:spacing w:before="0" w:beforeAutospacing="0" w:after="0" w:afterAutospacing="0"/>
        <w:rPr>
          <w:rFonts w:ascii="Arial" w:hAnsi="Arial" w:cs="Arial"/>
        </w:rPr>
      </w:pPr>
      <w:r w:rsidRPr="007B3803">
        <w:rPr>
          <w:rFonts w:ascii="Arial" w:hAnsi="Arial" w:cs="Arial"/>
        </w:rPr>
        <w:t>Con riguardo a questi ultimi, di seguito si riportano le caratteristiche principali della disciplina dettata dal </w:t>
      </w:r>
      <w:r w:rsidRPr="007B3803">
        <w:rPr>
          <w:rFonts w:ascii="Arial" w:hAnsi="Arial" w:cs="Arial"/>
          <w:b/>
          <w:bCs/>
        </w:rPr>
        <w:t>nuovo art. 106</w:t>
      </w:r>
      <w:r w:rsidRPr="007B3803">
        <w:rPr>
          <w:rFonts w:ascii="Arial" w:hAnsi="Arial" w:cs="Arial"/>
        </w:rPr>
        <w:t>.</w:t>
      </w:r>
    </w:p>
    <w:p w14:paraId="3C040F9C" w14:textId="356D1434" w:rsidR="00D95483" w:rsidRPr="007B3803" w:rsidRDefault="00D95483" w:rsidP="00D95483">
      <w:pPr>
        <w:pStyle w:val="NormaleWeb"/>
        <w:spacing w:before="240" w:beforeAutospacing="0" w:after="0" w:afterAutospacing="0"/>
        <w:rPr>
          <w:rFonts w:ascii="Arial" w:hAnsi="Arial" w:cs="Arial"/>
        </w:rPr>
      </w:pPr>
      <w:r w:rsidRPr="007B3803">
        <w:rPr>
          <w:rFonts w:ascii="Arial" w:hAnsi="Arial" w:cs="Arial"/>
        </w:rPr>
        <w:t>La garanzia provvisoria (serve a garantire la stipulazione del contratto), calcolata in relazione al valore complessivo della procedura, può essere costituita sotto forma di cauzione oppure di fideiussione. Ai sensi dell’art. 106 c. 2, la </w:t>
      </w:r>
      <w:r w:rsidRPr="007B3803">
        <w:rPr>
          <w:rFonts w:ascii="Arial" w:hAnsi="Arial" w:cs="Arial"/>
          <w:b/>
          <w:bCs/>
        </w:rPr>
        <w:t>cauzione</w:t>
      </w:r>
      <w:r w:rsidRPr="007B3803">
        <w:rPr>
          <w:rFonts w:ascii="Arial" w:hAnsi="Arial" w:cs="Arial"/>
        </w:rPr>
        <w:t> è costituita, presso l’istituto incaricato del servizio di tesoreria o presso le aziende autorizzate, a titolo di pegno a favore della stazione appaltante, </w:t>
      </w:r>
      <w:r w:rsidRPr="007B3803">
        <w:rPr>
          <w:rFonts w:ascii="Arial" w:hAnsi="Arial" w:cs="Arial"/>
          <w:b/>
          <w:bCs/>
        </w:rPr>
        <w:t>esclusivamente con bonifico o con altri strumenti e canali di pagamento elettronici</w:t>
      </w:r>
      <w:r w:rsidRPr="007B3803">
        <w:rPr>
          <w:rFonts w:ascii="Arial" w:hAnsi="Arial" w:cs="Arial"/>
        </w:rPr>
        <w:t> previsti dall’ordinamento vigente. Si recepisce quindi quanto già previsto dalla legge 122/2022.</w:t>
      </w:r>
    </w:p>
    <w:p w14:paraId="02D7B229" w14:textId="77777777" w:rsidR="00D95483" w:rsidRPr="007B3803" w:rsidRDefault="00D95483" w:rsidP="00D95483">
      <w:pPr>
        <w:pStyle w:val="NormaleWeb"/>
        <w:spacing w:before="240" w:beforeAutospacing="0" w:after="0" w:afterAutospacing="0"/>
        <w:rPr>
          <w:rFonts w:ascii="Arial" w:hAnsi="Arial" w:cs="Arial"/>
        </w:rPr>
      </w:pPr>
      <w:r w:rsidRPr="007B3803">
        <w:rPr>
          <w:rFonts w:ascii="Arial" w:hAnsi="Arial" w:cs="Arial"/>
        </w:rPr>
        <w:t>Se costituita sotto forma di </w:t>
      </w:r>
      <w:r w:rsidRPr="007B3803">
        <w:rPr>
          <w:rFonts w:ascii="Arial" w:hAnsi="Arial" w:cs="Arial"/>
          <w:b/>
          <w:bCs/>
        </w:rPr>
        <w:t>fideiussione</w:t>
      </w:r>
      <w:r w:rsidRPr="007B3803">
        <w:rPr>
          <w:rFonts w:ascii="Arial" w:hAnsi="Arial" w:cs="Arial"/>
        </w:rPr>
        <w:t>, tale garanzia deve obbligatoriamente essere </w:t>
      </w:r>
      <w:r w:rsidRPr="007B3803">
        <w:rPr>
          <w:rFonts w:ascii="Arial" w:hAnsi="Arial" w:cs="Arial"/>
          <w:b/>
          <w:bCs/>
        </w:rPr>
        <w:t>emessa e firmata digitalmente</w:t>
      </w:r>
      <w:r w:rsidRPr="007B3803">
        <w:rPr>
          <w:rFonts w:ascii="Arial" w:hAnsi="Arial" w:cs="Arial"/>
        </w:rPr>
        <w:t>, nonché verificabile telematicamente presso l’emittente, ovvero gestita mediante ricorso alle piattaforme di cui all’art.106 c.3 del codice.</w:t>
      </w:r>
    </w:p>
    <w:p w14:paraId="27DA843F" w14:textId="77777777" w:rsidR="00D95483" w:rsidRPr="007B3803" w:rsidRDefault="00D95483" w:rsidP="00D95483">
      <w:pPr>
        <w:pStyle w:val="NormaleWeb"/>
        <w:spacing w:before="0" w:beforeAutospacing="0" w:after="0" w:afterAutospacing="0"/>
        <w:rPr>
          <w:rFonts w:ascii="Arial" w:hAnsi="Arial" w:cs="Arial"/>
        </w:rPr>
      </w:pPr>
      <w:r w:rsidRPr="007B3803">
        <w:rPr>
          <w:rFonts w:ascii="Arial" w:hAnsi="Arial" w:cs="Arial"/>
        </w:rPr>
        <w:t>La garanzia provvisoria dell’aggiudicatario è svincolata automaticamente al momento della stipula del contratto, mentre quella degli altri concorrenti è svincolata con il provvedimento di aggiudicazione e perde in ogni caso efficacia alla scadenza del termine di 30 (trenta) giorni dall’aggiudicazione stessa.</w:t>
      </w:r>
    </w:p>
    <w:p w14:paraId="55EF086C" w14:textId="6C1149D6" w:rsidR="00D95483" w:rsidRPr="007B3803" w:rsidRDefault="00D95483" w:rsidP="00D95483">
      <w:pPr>
        <w:shd w:val="clear" w:color="auto" w:fill="F4F4F4"/>
        <w:spacing w:after="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L’art. 53 del nuovo codice prevede che nelle procedure di </w:t>
      </w:r>
      <w:r w:rsidRPr="007B3803">
        <w:rPr>
          <w:rFonts w:ascii="Arial" w:eastAsia="Times New Roman" w:hAnsi="Arial" w:cs="Arial"/>
          <w:b/>
          <w:bCs/>
          <w:kern w:val="0"/>
          <w:sz w:val="24"/>
          <w:szCs w:val="24"/>
          <w:lang w:eastAsia="it-IT"/>
          <w14:ligatures w14:val="none"/>
        </w:rPr>
        <w:t>affidamento sotto-soglia</w:t>
      </w:r>
      <w:r w:rsidRPr="007B3803">
        <w:rPr>
          <w:rFonts w:ascii="Arial" w:eastAsia="Times New Roman" w:hAnsi="Arial" w:cs="Arial"/>
          <w:kern w:val="0"/>
          <w:sz w:val="24"/>
          <w:szCs w:val="24"/>
          <w:lang w:eastAsia="it-IT"/>
          <w14:ligatures w14:val="none"/>
        </w:rPr>
        <w:t> </w:t>
      </w:r>
      <w:r w:rsidRPr="007B3803">
        <w:rPr>
          <w:rFonts w:ascii="Arial" w:eastAsia="Times New Roman" w:hAnsi="Arial" w:cs="Arial"/>
          <w:b/>
          <w:bCs/>
          <w:kern w:val="0"/>
          <w:sz w:val="24"/>
          <w:szCs w:val="24"/>
          <w:lang w:eastAsia="it-IT"/>
          <w14:ligatures w14:val="none"/>
        </w:rPr>
        <w:t>di cui all’art. 50 c.1</w:t>
      </w:r>
      <w:r w:rsidRPr="007B3803">
        <w:rPr>
          <w:rFonts w:ascii="Arial" w:eastAsia="Times New Roman" w:hAnsi="Arial" w:cs="Arial"/>
          <w:kern w:val="0"/>
          <w:sz w:val="24"/>
          <w:szCs w:val="24"/>
          <w:lang w:eastAsia="it-IT"/>
          <w14:ligatures w14:val="none"/>
        </w:rPr>
        <w:t>, la stazione appaltante non richiede al concorrente la garanzia a corredo dell’offerta (c.d. </w:t>
      </w:r>
      <w:r w:rsidRPr="007B3803">
        <w:rPr>
          <w:rFonts w:ascii="Arial" w:eastAsia="Times New Roman" w:hAnsi="Arial" w:cs="Arial"/>
          <w:b/>
          <w:bCs/>
          <w:kern w:val="0"/>
          <w:sz w:val="24"/>
          <w:szCs w:val="24"/>
          <w:lang w:eastAsia="it-IT"/>
          <w14:ligatures w14:val="none"/>
        </w:rPr>
        <w:t>garanzia provvisoria</w:t>
      </w:r>
      <w:r w:rsidRPr="007B3803">
        <w:rPr>
          <w:rFonts w:ascii="Arial" w:eastAsia="Times New Roman" w:hAnsi="Arial" w:cs="Arial"/>
          <w:kern w:val="0"/>
          <w:sz w:val="24"/>
          <w:szCs w:val="24"/>
          <w:lang w:eastAsia="it-IT"/>
          <w14:ligatures w14:val="none"/>
        </w:rPr>
        <w:t>). In deroga a quanto previsto, lo stesso art. 53 c.1 fa salva la possibilità, in caso di procedure negoziate, di richiedere la garanzia provvisoria alle seguenti condizioni:</w:t>
      </w:r>
    </w:p>
    <w:p w14:paraId="4E22E89B" w14:textId="77777777" w:rsidR="00D95483" w:rsidRPr="007B3803" w:rsidRDefault="00D95483" w:rsidP="00D95483">
      <w:pPr>
        <w:numPr>
          <w:ilvl w:val="0"/>
          <w:numId w:val="32"/>
        </w:numPr>
        <w:shd w:val="clear" w:color="auto" w:fill="F4F4F4"/>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richiesta deve essere giustificata dalla tipologia e specificità della singola procedura;</w:t>
      </w:r>
    </w:p>
    <w:p w14:paraId="2C426631" w14:textId="77777777" w:rsidR="00D95483" w:rsidRPr="007B3803" w:rsidRDefault="00D95483" w:rsidP="00D95483">
      <w:pPr>
        <w:numPr>
          <w:ilvl w:val="0"/>
          <w:numId w:val="32"/>
        </w:numPr>
        <w:shd w:val="clear" w:color="auto" w:fill="F4F4F4"/>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le particolari esigenze devono essere indicate nella decisione a contrarre, nell’avviso di indizione della procedura oppure in altro atto equivalente;</w:t>
      </w:r>
    </w:p>
    <w:p w14:paraId="0A571E27" w14:textId="77777777" w:rsidR="00D95483" w:rsidRPr="007B3803" w:rsidRDefault="00D95483" w:rsidP="00D95483">
      <w:pPr>
        <w:numPr>
          <w:ilvl w:val="0"/>
          <w:numId w:val="32"/>
        </w:numPr>
        <w:shd w:val="clear" w:color="auto" w:fill="F4F4F4"/>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relativo ammontare deve essere al massimo pari all’1% dell’importo previsto nell’avviso o nell’invito per il contratto oggetto di affidamento. In questi casi, la garanzia provvisoria è costituita nelle medesime modalità che l’art. 106 prescrive per gli affidamenti sopra-soglia.</w:t>
      </w:r>
    </w:p>
    <w:p w14:paraId="2AFB5719" w14:textId="54532E42" w:rsidR="00D95483" w:rsidRPr="007B3803" w:rsidRDefault="00D95483" w:rsidP="00D95483">
      <w:pPr>
        <w:shd w:val="clear" w:color="auto" w:fill="FFFFFF"/>
        <w:spacing w:after="0" w:line="720" w:lineRule="atLeast"/>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Anche per quanto attiene la </w:t>
      </w:r>
      <w:r w:rsidRPr="007B3803">
        <w:rPr>
          <w:rFonts w:ascii="Arial" w:eastAsia="Times New Roman" w:hAnsi="Arial" w:cs="Arial"/>
          <w:b/>
          <w:bCs/>
          <w:kern w:val="0"/>
          <w:sz w:val="24"/>
          <w:szCs w:val="24"/>
          <w:lang w:eastAsia="it-IT"/>
          <w14:ligatures w14:val="none"/>
        </w:rPr>
        <w:t>garanzia definitiva</w:t>
      </w:r>
      <w:r w:rsidRPr="007B3803">
        <w:rPr>
          <w:rFonts w:ascii="Arial" w:eastAsia="Times New Roman" w:hAnsi="Arial" w:cs="Arial"/>
          <w:kern w:val="0"/>
          <w:sz w:val="24"/>
          <w:szCs w:val="24"/>
          <w:lang w:eastAsia="it-IT"/>
          <w14:ligatures w14:val="none"/>
        </w:rPr>
        <w:t>  (serve a garantire l’esecuzione)il nuovo codice prevede due discipline diverse a seconda del tipo di procedura.</w:t>
      </w:r>
    </w:p>
    <w:p w14:paraId="07492251" w14:textId="77777777" w:rsidR="00D95483" w:rsidRPr="007B3803" w:rsidRDefault="00D95483" w:rsidP="00D95483">
      <w:pPr>
        <w:shd w:val="clear" w:color="auto" w:fill="FFFFFF"/>
        <w:spacing w:after="0" w:line="0" w:lineRule="auto"/>
        <w:jc w:val="right"/>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w:t>
      </w:r>
    </w:p>
    <w:p w14:paraId="1BB634CD" w14:textId="77777777" w:rsidR="00D95483" w:rsidRPr="007B3803" w:rsidRDefault="00D95483" w:rsidP="00D95483">
      <w:pPr>
        <w:spacing w:after="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In particolare, per gli </w:t>
      </w:r>
      <w:r w:rsidRPr="007B3803">
        <w:rPr>
          <w:rFonts w:ascii="Arial" w:eastAsia="Times New Roman" w:hAnsi="Arial" w:cs="Arial"/>
          <w:b/>
          <w:bCs/>
          <w:kern w:val="0"/>
          <w:sz w:val="24"/>
          <w:szCs w:val="24"/>
          <w:lang w:eastAsia="it-IT"/>
          <w14:ligatures w14:val="none"/>
        </w:rPr>
        <w:t>appalti sotto-soglia</w:t>
      </w:r>
      <w:r w:rsidRPr="007B3803">
        <w:rPr>
          <w:rFonts w:ascii="Arial" w:eastAsia="Times New Roman" w:hAnsi="Arial" w:cs="Arial"/>
          <w:kern w:val="0"/>
          <w:sz w:val="24"/>
          <w:szCs w:val="24"/>
          <w:lang w:eastAsia="it-IT"/>
          <w14:ligatures w14:val="none"/>
        </w:rPr>
        <w:t>, l’art. 53 c.4 prevede che:</w:t>
      </w:r>
    </w:p>
    <w:p w14:paraId="381458DE" w14:textId="77777777" w:rsidR="00D95483" w:rsidRPr="007B3803" w:rsidRDefault="00D95483" w:rsidP="00D95483">
      <w:pPr>
        <w:numPr>
          <w:ilvl w:val="0"/>
          <w:numId w:val="33"/>
        </w:numPr>
        <w:spacing w:before="100" w:beforeAutospacing="1" w:after="100" w:afterAutospacing="1" w:line="240" w:lineRule="auto"/>
        <w:ind w:left="360"/>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garanzia definitiva è pari al 5% dell’importo contrattuale;</w:t>
      </w:r>
    </w:p>
    <w:p w14:paraId="7FA1FF8E" w14:textId="77777777" w:rsidR="00D95483" w:rsidRPr="007B3803" w:rsidRDefault="00D95483" w:rsidP="00D95483">
      <w:pPr>
        <w:numPr>
          <w:ilvl w:val="0"/>
          <w:numId w:val="33"/>
        </w:numPr>
        <w:spacing w:before="100" w:beforeAutospacing="1" w:after="100" w:afterAutospacing="1" w:line="240" w:lineRule="auto"/>
        <w:ind w:left="360"/>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stazione appaltante può non richiedere la garanzia definitiva, anche in caso di affidamenti sotto-soglia in Accordo Quadro, previa debita motivazione.</w:t>
      </w:r>
    </w:p>
    <w:p w14:paraId="04D5F2A9" w14:textId="77777777" w:rsidR="00D95483" w:rsidRPr="007B3803" w:rsidRDefault="00D95483" w:rsidP="00D95483">
      <w:pPr>
        <w:spacing w:after="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quanto attiene invece agli appalti </w:t>
      </w:r>
      <w:r w:rsidRPr="007B3803">
        <w:rPr>
          <w:rFonts w:ascii="Arial" w:eastAsia="Times New Roman" w:hAnsi="Arial" w:cs="Arial"/>
          <w:b/>
          <w:bCs/>
          <w:kern w:val="0"/>
          <w:sz w:val="24"/>
          <w:szCs w:val="24"/>
          <w:lang w:eastAsia="it-IT"/>
          <w14:ligatures w14:val="none"/>
        </w:rPr>
        <w:t>sopra-soglia</w:t>
      </w:r>
      <w:r w:rsidRPr="007B3803">
        <w:rPr>
          <w:rFonts w:ascii="Arial" w:eastAsia="Times New Roman" w:hAnsi="Arial" w:cs="Arial"/>
          <w:kern w:val="0"/>
          <w:sz w:val="24"/>
          <w:szCs w:val="24"/>
          <w:lang w:eastAsia="it-IT"/>
          <w14:ligatures w14:val="none"/>
        </w:rPr>
        <w:t>, l’art. 117 del nuovo codice introduce le seguenti principali novità:</w:t>
      </w:r>
    </w:p>
    <w:p w14:paraId="1ECAEB7A" w14:textId="77777777" w:rsidR="00D95483" w:rsidRPr="007B3803" w:rsidRDefault="00D95483" w:rsidP="00D95483">
      <w:pPr>
        <w:numPr>
          <w:ilvl w:val="0"/>
          <w:numId w:val="34"/>
        </w:numPr>
        <w:spacing w:before="100" w:beforeAutospacing="1" w:after="100" w:afterAutospacing="1" w:line="240" w:lineRule="auto"/>
        <w:ind w:left="360"/>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nelle procedure ad oggetto Accordi Quadro l’importo della garanzia definitiva non può superare il 2% del valore dell’Accordo Quadro stesso;</w:t>
      </w:r>
    </w:p>
    <w:p w14:paraId="69B875FE" w14:textId="77777777" w:rsidR="00D95483" w:rsidRPr="007B3803" w:rsidRDefault="00D95483" w:rsidP="00D95483">
      <w:pPr>
        <w:numPr>
          <w:ilvl w:val="0"/>
          <w:numId w:val="34"/>
        </w:numPr>
        <w:spacing w:before="100" w:beforeAutospacing="1" w:after="100" w:afterAutospacing="1" w:line="240" w:lineRule="auto"/>
        <w:ind w:left="360"/>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negli appalti di lavori l’aggiudicatario può richiedere – prima della stipulazione del contratto -di sostituire la garanzia definitiva con l’applicazione di una ritenuta a valere sugli stati di avanzamento pari al 10 % degli stessi; tuttavia per motivate ragioni la stazione appaltante può opporsi a tale richiesta.</w:t>
      </w:r>
    </w:p>
    <w:p w14:paraId="5FD76B54" w14:textId="6CA8DBFE" w:rsidR="005A6B16" w:rsidRPr="007B3803" w:rsidRDefault="005A6B16" w:rsidP="005A6B16">
      <w:pPr>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STIPULAZIONE DEL CONTRATTO</w:t>
      </w:r>
    </w:p>
    <w:p w14:paraId="0134E8C2" w14:textId="77777777" w:rsidR="005A6B16" w:rsidRPr="007B3803" w:rsidRDefault="005A6B16" w:rsidP="005A6B16">
      <w:pPr>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contratto deve esser redatto:</w:t>
      </w:r>
    </w:p>
    <w:p w14:paraId="7062FC3C" w14:textId="7F1B95EC" w:rsidR="005A6B16" w:rsidRPr="007B3803" w:rsidRDefault="005A6B16" w:rsidP="005A6B16">
      <w:pPr>
        <w:pStyle w:val="Paragrafoelenco"/>
        <w:numPr>
          <w:ilvl w:val="0"/>
          <w:numId w:val="38"/>
        </w:numPr>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in forma scritta </w:t>
      </w:r>
    </w:p>
    <w:p w14:paraId="29969441" w14:textId="2BE92898" w:rsidR="005A6B16" w:rsidRPr="007B3803" w:rsidRDefault="005A6B16" w:rsidP="005A6B16">
      <w:pPr>
        <w:pStyle w:val="Paragrafoelenco"/>
        <w:numPr>
          <w:ilvl w:val="0"/>
          <w:numId w:val="38"/>
        </w:numPr>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in modalità elettronica</w:t>
      </w:r>
    </w:p>
    <w:p w14:paraId="33BBAA6D" w14:textId="664CB2AD" w:rsidR="005A6B16" w:rsidRPr="007B3803" w:rsidRDefault="005A6B16" w:rsidP="005A6B16">
      <w:pPr>
        <w:pStyle w:val="Paragrafoelenco"/>
        <w:numPr>
          <w:ilvl w:val="0"/>
          <w:numId w:val="38"/>
        </w:numPr>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in forma pubblica amministrativa a cura dell’Ufficiale Rogante</w:t>
      </w:r>
    </w:p>
    <w:p w14:paraId="70743E85" w14:textId="7C15AAF7" w:rsidR="005A6B16" w:rsidRPr="007B3803" w:rsidRDefault="005A6B16" w:rsidP="005A6B16">
      <w:pPr>
        <w:pStyle w:val="Paragrafoelenco"/>
        <w:numPr>
          <w:ilvl w:val="0"/>
          <w:numId w:val="38"/>
        </w:numPr>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con atto pubblico notarile informatico</w:t>
      </w:r>
    </w:p>
    <w:p w14:paraId="79E3DA5D" w14:textId="59239CAA" w:rsidR="005A6B16" w:rsidRPr="007B3803" w:rsidRDefault="005A6B16" w:rsidP="005A6B16">
      <w:pPr>
        <w:pStyle w:val="Paragrafoelenco"/>
        <w:numPr>
          <w:ilvl w:val="0"/>
          <w:numId w:val="38"/>
        </w:numPr>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con scrittura privata</w:t>
      </w:r>
    </w:p>
    <w:p w14:paraId="072D337E" w14:textId="0FB6E92C" w:rsidR="005A6B16" w:rsidRPr="007B3803" w:rsidRDefault="005A6B16" w:rsidP="005A6B16">
      <w:pPr>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in caso di procedura negoziata o in caso di affidamneto diretto è previsto uno scambio  di lettere, anche attraverso sistemi elettronici di recapito certificato</w:t>
      </w:r>
    </w:p>
    <w:p w14:paraId="3B5C2949" w14:textId="77777777" w:rsidR="005A6B16" w:rsidRPr="007B3803" w:rsidRDefault="005A6B16" w:rsidP="005A6B16">
      <w:pPr>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prima della stipulazione del contratto occorre osservare il termine dilatorio di 35 giorni (clausola dello stand still)in modo da consentire agli operatori interessati non aggiudicatari di proporre eventuali ricorsi . questa clausola non opera quando a seguito della pubblicazione degli atti di indizione di gara è stata presentata o ammessa una sola offerta, nel caso di appalti basati su accordi quadro o su sdapa, nel caso di acquisto su MEPA, nel caso di affidamenti diretti .</w:t>
      </w:r>
    </w:p>
    <w:p w14:paraId="048BC010" w14:textId="34BCA007" w:rsidR="005A6B16" w:rsidRPr="007B3803" w:rsidRDefault="005A6B16" w:rsidP="005A6B16">
      <w:pPr>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La stipulazione del contratto deve comunque avvenire entro 60 g dalla aggiudicazione  </w:t>
      </w:r>
    </w:p>
    <w:p w14:paraId="6819F229" w14:textId="17F88EF8" w:rsidR="00EA3A5E" w:rsidRPr="007B3803" w:rsidRDefault="00EA3A5E" w:rsidP="005A6B16">
      <w:pPr>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ESECUZIONE</w:t>
      </w:r>
      <w:r w:rsidR="005A6B16" w:rsidRPr="007B3803">
        <w:rPr>
          <w:rFonts w:ascii="Arial" w:eastAsia="Times New Roman" w:hAnsi="Arial" w:cs="Arial"/>
          <w:kern w:val="0"/>
          <w:sz w:val="24"/>
          <w:szCs w:val="24"/>
          <w:lang w:eastAsia="it-IT"/>
          <w14:ligatures w14:val="none"/>
        </w:rPr>
        <w:t xml:space="preserve"> </w:t>
      </w:r>
    </w:p>
    <w:p w14:paraId="16B465C6"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Il contratto di appalto è un contratto con il quale una parte, detta committente, incarica un’altra, l’appaltatore, per l’esecuzione di un’opera dietro corrispettivo. Sull’appaltatore ricadono il rischio e il compito di organizzare i mezzi necessari per l’adempimento. Salvo che non sia disposto diversamente, l’appaltatore non può dare l’esecuzione dell’opera in subappalto.</w:t>
      </w:r>
    </w:p>
    <w:p w14:paraId="21B10924" w14:textId="690974AE"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I mezzi necessari per eseguire l’opera devono essere forniti dall’appaltatore, tranne che non sia stabilito diversamente dal contratto o che sia previsto altrimenti dalle convenzioni o dagli usi.</w:t>
      </w:r>
    </w:p>
    <w:p w14:paraId="1FB86400"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L’appaltatore non può apportare variazioni al modo in cui l’opera viene eseguita, tranne che non sia stato autorizzato dal committente e in modo scritto. Anche nel caso in cui egli abbia ricevuto la dovuta autorizzazione, non ha diritto a maggiore compenso per le variazioni o aggiunte, salvo diversa pattuizione, qualora il prezzo sia stato determinato globalmente. Nel caso in cui per l’esecuzione di un’opera a regola d’arte sia necessario apportare variazioni e le parti non si accordino sulle condizioni, spetterà a un giudice determinare le eventuali variazioni del prezzo. Se il costo delle variazioni apportate supera il sesto del prezzo complessivamente concordato, l’appaltatore può recedere dal contratto e, a seconda delle circostanze, può richiedere un’equa indennità. Se dette variazioni risultano di notevole entità, il committente può recedere dal contratto e risulta essere tenuto a indennizzare equamente l’appaltatore.</w:t>
      </w:r>
    </w:p>
    <w:p w14:paraId="7FE11722"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Anche il committente può apportare variazioni al progetto, sempre che il loro costo non superi il sesto del prezzo precedentemente e globalmente concordato. L’appaltatore ha diritto al compenso per le aggiunte eseguite, anche se il prezzo dell’opera era stato determinato globalmente.</w:t>
      </w:r>
    </w:p>
    <w:p w14:paraId="794169F6"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Il committente ha diritto di controllare l’esecuzione dei lavori a proprie spese e, se accerta che lo svolgimento non procede nelle condizioni stipulate, ha diritto di fissare un congruo termine entro il quale l’appaltatore dovrà adeguarsi, superato il quale infruttuosamente il contratto può essere risolto, fermo restando che il committente mantiene il diritto al risarcimento del danno. Allo stesso tempo l’appaltatore è tenuto a comunicare al committente il difetto dei mezzi forniti per l’esecuzione dell’opera, se scopre che ciò possa comprometterne lo svolgimento regolare e alle condizioni stipulate.</w:t>
      </w:r>
    </w:p>
    <w:p w14:paraId="5D8AF0E3"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Se per l’avvenimento di circostanze imprevedibili si verificano variazioni nel costo dei materiali o della mano d’opera, i quali incidono per oltre un decimo del prezzo globalmente convenuto, l’appaltatore o il committente possono chiedere la revisione del prezzo concordato. La revisione può essere accordata solo per la parte del maggiore al decimo del prezzo precedentemente pattuito. Se, invece, nel corso dell’esecuzione dell’opera si materializzano difficoltà di natura geologica, idrica e simile, che non erano state previste dalle parti e che possono rendere molto più costosa la prestazione, l’appaltatore ha diritto a un equo compenso.</w:t>
      </w:r>
    </w:p>
    <w:p w14:paraId="36480B4F"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Prima della consegna dei lavori, il committente ha il diritto di verificare l’opera. La verifica deve essere eseguita dal committente non appena l’appaltatore lo mette nelle condizioni di farlo. Se il committente rifiuta di eseguire la verifica senza un valido motivo o se la esegue, ma non comunica i risultati entro un tempo breve, l’opera si considera accettata. Lo stesso dicasi se il committente riceva la consegna e non la contesta, anche nel caso in cui non abbia proceduto ad effettuare la verifica.</w:t>
      </w:r>
    </w:p>
    <w:p w14:paraId="04E69D2F"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In genere, salvo diversa pattuizione, l’appaltatore ha diritto al compenso all’accettazione della consegna, mentre se l’appalto viene eseguito per partite, la verifica può essere prevista al termine di ciascuna partita e di conseguenza anche il pagamento del corrispettivo si ha al termine di ogni fase, in proporzione all’opera eseguita. Il pagamento fa presumere l’accettazione dell’opera e non è da intendersi quale acconto rispetto al prezzo complessivo pattuito.</w:t>
      </w:r>
    </w:p>
    <w:p w14:paraId="1E28D27E" w14:textId="2750F63B"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L’appaltatore</w:t>
      </w:r>
      <w:r w:rsidR="00DC3176" w:rsidRPr="007B3803">
        <w:rPr>
          <w:rFonts w:ascii="Arial" w:hAnsi="Arial" w:cs="Arial"/>
        </w:rPr>
        <w:t xml:space="preserve"> come abbiamo visto</w:t>
      </w:r>
      <w:r w:rsidRPr="007B3803">
        <w:rPr>
          <w:rFonts w:ascii="Arial" w:hAnsi="Arial" w:cs="Arial"/>
        </w:rPr>
        <w:t xml:space="preserve"> è tenuto ad offrire una garanzia per le difformità e i vizi dell’opera, tranne che nel caso in cui il committente abbia accettato l’opera e le difformità e i vizi fossero a lui noti. A pena di decadenza, il committente è tenuto a denunziare i vizi e le difformità entro i 60 giorni dalla scoperta. La denuncia non è necessaria se l’appaltatore ha riconosciuti i vizi o le difformità o se li ha taciuti in malafede. L’azione contro l’appaltatore è esperibile entro i due anni dalla data di consegna dell’opera. Il committente può fare valere, dunque, la garanzia, entro il termine di 60 giorni dalla scoperta e sempre che non siano trascorsi due anni dalla consegna, salvo le eccezioni sopra citate per i casi di riconoscimento dei vizi e delle difformità da parte dell’appaltatore o di loro tacimento in malafede.</w:t>
      </w:r>
    </w:p>
    <w:p w14:paraId="1F1FEB04"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Il committente può chiedere che tali vizi e difformità vengano rimossi a spese dell’appaltatore, oppure che il prezzo stipulato per l’esecuzione dell’opera venga ridotto proporzionalmente, salvo il risarcimento del danno per i casi di colpa dell’appaltatore. Se i vizi e le difformità sono tali da rendere l’opera non usufruibile, il committente ha diritto alla risoluzione del contratto. Nel caso di edifici o altre cose immobili, se l’opera presenta vizi del suolo o per difetto della costruzione, rovinando in tutto o in parte l’opera eseguita o se presenta il pericolo di rovina o altri gravi difetti, l’appaltatore è responsabile verso il committente per il periodo di dieci anni, sempre che questo faccia denuncia entro un anno dalla scoperta. L’appaltatore può agire nei confronti degli eventuali subappaltatori, sempre che comunichi loro la denuncia entro 60 giorni dal ricevimento.</w:t>
      </w:r>
    </w:p>
    <w:p w14:paraId="2687B79F"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Il committente ha il diritto di recedere dal contratto di appalto anche quando l’esecuzione dell’opera sia stata iniziata, fermo restando l’obbligo di rimborsare all’appaltatore le spese sostenute e il mancato guadagno. Se, invece, il contratto viene sciolto a causa dell’impossibilità sopravvenuta per causa non imputabile alle parti, il committente deve versare all’appaltatore la parte dell’opera compiuta, in proporzione al prezzo pattuito complessivamente e all’utilità.</w:t>
      </w:r>
    </w:p>
    <w:p w14:paraId="3F9C06F5"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Se l’opera eseguita si deteriora per cause non imputabili alle parti e prima che venga accettata dal committente o che egli l’abbia verificata, il perimento o il deterioramento è a carico dell’appaltatore, se la materia è stata da lui fornita. Se la materia è stata fornita, invece, in tutto o in parte dal committente, il perimento o il deterioramento è a suo carico per la materia da lui fornita, per il resto è a carico dell’appaltatore.</w:t>
      </w:r>
    </w:p>
    <w:p w14:paraId="157CC34C" w14:textId="4DDFE9AA" w:rsidR="00EA3A5E" w:rsidRPr="007B3803" w:rsidRDefault="00DC3176"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COLLAUDO E VERIFICA DI CONFORMITA’</w:t>
      </w:r>
    </w:p>
    <w:p w14:paraId="5638AA8C" w14:textId="77777777"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contratti sono soggetti a collaudo per i lavori e a verifica di conformità per i servizi e per le forniture per certificare il rispetto delle caratteristiche tecniche, economiche e qualitative dei lavori e delle prestazioni, nonché degli obiettivi e dei tempi, in conformità delle previsioni e pattuizioni contrattuali.</w:t>
      </w:r>
    </w:p>
    <w:p w14:paraId="38EF4CCC" w14:textId="77777777"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Entrambi devono essere completati non oltre sei mesi dall’ultimazione dei lavori o delle prestazioni, salvi i casi, di particolare complessità, per i quali il termine può essere elevato sino ad un anno. Nella lettera d’incarico, in presenza di opere o servizi di limitata complessità, i tempi possono essere ridotti. </w:t>
      </w:r>
    </w:p>
    <w:p w14:paraId="56F39DD1" w14:textId="02D177D8"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certificato di collaudo ha carattere provvisorio e assume carattere definitivo dopo due anni dalla sua emissione. Decorso tale termine, il collaudo si intende tacitamente approvato ancorché l’atto formale di approvazione non sia stato emesso entro due mesi dalla scadenza del medesimo termine.</w:t>
      </w:r>
    </w:p>
    <w:p w14:paraId="4C065208" w14:textId="2746A438"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Salvo quanto disposto dall’articolo 1669 del codice civile, l’appaltatore risponde per la difformità e i vizi dell’opera, ancorché riconoscibili, purché denunciati dalla stazione appaltante prima che il certificato di collaudo assuma carattere definitivo.</w:t>
      </w:r>
    </w:p>
    <w:p w14:paraId="0C6447E5" w14:textId="2364B3AF"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 Per effettuare le attività di collaudo dei lavori le stazioni appaltanti che sono amministrazioni pubbliche nominano da uno a tre collaudatori scelti tra i propri dipendenti o tra i dipendenti di altre amministrazioni pubbliche, con qualificazione rapportata alla tipologia e caratteristica del contratto, in possesso dei requisiti di moralità, competenza e professionalità. </w:t>
      </w:r>
    </w:p>
    <w:p w14:paraId="1E919122" w14:textId="694E0A14"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Per i contratti di servizi e forniture la verifica di conformità è effettuata dal RUP o, se nominato, dal direttore dell’esecuzione. Per servizi e forniture caratterizzati da elevato contenuto tecnologico oppure da elevata complessità o innovazione, le stazioni appaltanti possono prevedere la nomina di uno o più verificatori della conformità diversi dal RUP o dal direttore dell’esecuzione del contratto. </w:t>
      </w:r>
    </w:p>
    <w:p w14:paraId="1B89BDF0" w14:textId="77777777"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RISOLUZIONE DEL CONTRATTO</w:t>
      </w:r>
    </w:p>
    <w:p w14:paraId="69380E5A" w14:textId="77777777"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le stazioni appaltanti possono risolvere un contratto di appalto senza limiti di tempo, se si verificano una o più delle seguenti condizioni: </w:t>
      </w:r>
    </w:p>
    <w:p w14:paraId="513C4DFF" w14:textId="77777777"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a) modifica sostanziale del contratto, che richiede una nuova procedura di appalto ai sensi dell’articolo 120; </w:t>
      </w:r>
    </w:p>
    <w:p w14:paraId="5287F01E" w14:textId="77777777"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b) con riferimento alle modificazioni di cui all’articolo 120, comma 1, lettere b) e c), superamento delle soglie di cui al comma 2 del predetto articolo 120 e, con riferimento alle modificazioni di cui all’articolo 120, comma 3, superamento delle soglie di cui al medesimo articolo 120, comma 3, lettere a) e b); </w:t>
      </w:r>
    </w:p>
    <w:p w14:paraId="4017C24D" w14:textId="77777777"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c) l’aggiudicatario si è trovato, al momento dell’aggiudicazione dell’appalto, in una delle situazioni di cui all’articolo 94, comma 1, e avrebbe dovuto pertanto essere escluso dalla procedura di gara; </w:t>
      </w:r>
    </w:p>
    <w:p w14:paraId="535D7D60" w14:textId="4413A117"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d) l’appalto non avrebbe dovuto essere aggiudicato in considerazione di una grave violazione degli obblighi derivanti dai trattati, come riconosciuto dalla Corte di giustizia dell’Unione europea in un procedimento ai sensi dell’articolo 258 del Trattato sul funzionamento dell’Unione europea.</w:t>
      </w:r>
    </w:p>
    <w:p w14:paraId="3D293DB2" w14:textId="289C66ED"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Le stazioni appaltanti risolvono un contratto di appalto qualora nei confronti dell’appaltatore: a) sia intervenuta la decadenza dell’attestazione di qualificazione per aver prodotto falsa documentazione o dichiarazioni mendaci; b) sia intervenuto un provvedimento definitivo che dispone l’applicazione di una o più misure di prevenzione di cui al codice delle leggi antimafia e delle relative misure di prevenzione, di cui al decreto legislativo 6 settembre 2011, n. 159, ovvero sia intervenuta sentenza di condanna passata in giudicato per i reati di cui al Capo II del Titolo IV della Parte V del presente Libro.</w:t>
      </w:r>
    </w:p>
    <w:p w14:paraId="4DD5BB8C" w14:textId="65233FEB"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contratto di appalto può inoltre essere risolto per grave inadempimento delle obbligazioni contrattuali da parte dell’appaltatore, tale da compromettere la buona riuscita delle prestazioni. Il direttore dei lavori o il direttore dell’esecuzione, se nominato, quando accerta un grave inadempimento ai sensi del primo periodo avvia in contraddittorio con l’appaltatore il procedimento disciplinato dall’articolo 10 dell’allegato II.14. All’esito del procedimento, la stazione appaltante, su proposta del RUP, dichiara risolto il contratto con atto scritto comunicato all’appaltatore.</w:t>
      </w:r>
    </w:p>
    <w:p w14:paraId="0CC75FF0" w14:textId="4D22A649"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In tutti i casi di risoluzione del contratto l’appaltatore ha diritto soltanto al pagamento delle prestazioni relative ai lavori, servizi o forniture regolarmente eseguiti, le somme sono decurtate degli oneri aggiuntivi derivanti dallo scioglimento del contratto, e in sede di liquidazione finale dei lavori, servizi o forniture riferita all’appalto risolto, l’onere da porre a carico dell’appaltatore è determinato anche in relazione alla maggiore spesa sostenuta per il nuovo affidamento </w:t>
      </w:r>
    </w:p>
    <w:p w14:paraId="751B1A33" w14:textId="71019B4E" w:rsidR="00D1315B" w:rsidRPr="007B3803" w:rsidRDefault="00D1315B"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APPALTO INTEGRATO</w:t>
      </w:r>
    </w:p>
    <w:p w14:paraId="340BEEC6" w14:textId="71E27333"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L’appalto integrato è l’affidamento della progettazione e dell’esecuzione dei lavori allo stesso operatore economico. Nasce con lo scopo di accelerare il procedimento di aggiudicazione dei lavori e, allo stesso tempo, garantirne l’esecuzione corretta sulla base di tecniche-operative (progetto esecutivo) avanzate dall’impresa appaltatrice.</w:t>
      </w:r>
    </w:p>
    <w:p w14:paraId="48D3F0C1" w14:textId="77777777"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quanto riguarda il nuovo codice dobbiamo far riferimento all’articolo 44. Secondo il comma 1:</w:t>
      </w:r>
    </w:p>
    <w:p w14:paraId="63B1DD9F" w14:textId="77777777"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negli appalti di lavori, con la decisione di contrarre, la stazione appaltante o l’ente concedente, se qualificati, possono stabilire che il contratto abbia per oggetto la progettazione esecutiva e l’esecuzione dei lavori sulla base di un progetto di fattibilità tecnico-economica approvato. Tale facoltà non può essere esercitata per gli appalti di opere di manutenzione ordinaria.</w:t>
      </w:r>
    </w:p>
    <w:p w14:paraId="64757249" w14:textId="77777777"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Appare subito evidente, quindi, che al netto delle opere di manutenzione ordinaria, non si delineano limitazioni e/o divieti.</w:t>
      </w:r>
    </w:p>
    <w:p w14:paraId="218557C8" w14:textId="77777777"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stazione appaltante da un lato deve motivare adeguatamente la scelta, inserendo specifici riferimenti alle esigenze tecniche, dall’altro deve tener conto del rischio di variazione di costo tra quanto preventivato e la fase esecutiva.</w:t>
      </w:r>
    </w:p>
    <w:p w14:paraId="7CEF5F09" w14:textId="77777777"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Se si sceglie l’appalto integrato, gli operatori economici devono avere una delle seguenti opzioni:</w:t>
      </w:r>
    </w:p>
    <w:p w14:paraId="410D71CF" w14:textId="77777777"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possedere i requisiti prescritti per i progettisti;</w:t>
      </w:r>
    </w:p>
    <w:p w14:paraId="3BD3F40E" w14:textId="77777777"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avvalersi di progettisti qualificati (da indicare nell’offerta);</w:t>
      </w:r>
    </w:p>
    <w:p w14:paraId="4D469F77" w14:textId="77777777"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partecipare in raggruppamento con soggetti qualificati per la progettazione.</w:t>
      </w:r>
    </w:p>
    <w:p w14:paraId="29608507" w14:textId="77777777" w:rsidR="00D1315B"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L’offerta è valutata con il criterio dell’O.E.P.V. (offerta economicamente più vantaggiosa) individuata sulla base del miglior rapporto qualità/prezzo. L’offerta deve indicare il corrispettivo richiesto per la progettazione e per l’esecuzione dei lavori.</w:t>
      </w:r>
    </w:p>
    <w:p w14:paraId="4255C88B" w14:textId="07FF6074" w:rsidR="00F212FA" w:rsidRDefault="00F212FA"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E-PROCUREMENT</w:t>
      </w:r>
    </w:p>
    <w:p w14:paraId="24FBF0D6" w14:textId="285773B1" w:rsidR="00F212FA" w:rsidRDefault="00F212FA"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È un processo di approvvigionamento elettronico per il cui tramite vengono acquistati prodotti e servizi. Sarà necessario tanto alle imprese private quanto dalla Pubblica amministrazione. Un processo completamente digitale, senza più l’intermediazione di moduli, cataloghi e listini prezzi cartacei: i fornitori autorizzati aderiscono alla piattaforma mediante la quale imprese e PA si approvvigionano.</w:t>
      </w:r>
    </w:p>
    <w:p w14:paraId="00829F50" w14:textId="77777777" w:rsidR="00F212FA" w:rsidRPr="00F212FA" w:rsidRDefault="00F212FA" w:rsidP="00F212F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L'e-procurement promuove la domanda pubblica di innovazione mirando alla semplificazione, digitalizzazione e trasparenza delle procedure di aggiudicazione e gestione dei contratti pubblici.</w:t>
      </w:r>
    </w:p>
    <w:p w14:paraId="133F916A" w14:textId="77777777" w:rsidR="00F212FA" w:rsidRPr="00F212FA" w:rsidRDefault="00F212FA" w:rsidP="00F212F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L’e-procurement rappresenta una fondamentale leva per la crescita dell’economia, per la modernizzazione ed una maggiore efficienza dei processi amministrativi, per il controllo e la riduzione della spesa pubblica.</w:t>
      </w:r>
    </w:p>
    <w:p w14:paraId="6D36D8D1" w14:textId="77777777" w:rsidR="00F212FA" w:rsidRPr="00F212FA" w:rsidRDefault="00F212FA" w:rsidP="00F212F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La digitalizzazione dei processi di approvvigionamento di beni e servizi delle pubbliche amministrazioni (electronic public procurement) è uno dei principali driver delle politiche della Commissione Europea; l’obiettivo, nel medio periodo, è quello di digitalizzare l’intero processo di approvvigionamento delle pubbliche amministrazioni nelle due fasi di pre e post aggiudicazione, ovvero dalla pubblicazione dei bandi fino al pagamento (appalti elettronici end-to-end).</w:t>
      </w:r>
    </w:p>
    <w:p w14:paraId="6F1AECAB" w14:textId="77777777" w:rsidR="00F212FA" w:rsidRDefault="00F212FA" w:rsidP="00F212F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Il Programma per la Razionalizzazione degli acquisti nella P.A prevede che la spesa pubblica per beni e servizi, che si stima pari a circa 87 miliardi di euro,  dovrà essere gradualmente razionalizzata indirizzando  le 32.000 stazioni appaltanti verso l’utilizzo delle procedure di acquisto fornite dai soggetti aggregatori, che costituiscono un "sistema a rete" per il perseguimento dei piani di razionalizzazione della spesa pubblica e per la realizzazione di sinergie nell’utilizzo di strumenti informatici per l’acquisto di beni e servizi.</w:t>
      </w:r>
    </w:p>
    <w:p w14:paraId="14AB6E8D" w14:textId="77777777" w:rsidR="00F212FA" w:rsidRPr="00F212FA" w:rsidRDefault="00F212FA" w:rsidP="00F212F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Il nuovo Codice appalti, introdotto dal decreto legislativo 36/2023 e, in vigore dal primo aprile, si concentra anche sulla digitalizzazione del ciclo di vita dei contratti, aprendo così di fatto le porte a un sistema di e-procurement nazionale, ossia un sistema formato dalle piattaforme e dai servizi digitali abilitati alla gestione dei contratti pubblici. Il nuovo Codice appalti e l’infrastruttura digitale hanno principalmente tre obiettivi:</w:t>
      </w:r>
    </w:p>
    <w:p w14:paraId="591222B0" w14:textId="77777777" w:rsidR="00F212FA" w:rsidRPr="00F212FA" w:rsidRDefault="00F212FA" w:rsidP="00F212FA">
      <w:pPr>
        <w:pStyle w:val="Paragrafoelenco"/>
        <w:numPr>
          <w:ilvl w:val="0"/>
          <w:numId w:val="40"/>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tempestività negli approvvigionamenti rispettando la ratio tra qualità e prezzo</w:t>
      </w:r>
    </w:p>
    <w:p w14:paraId="27C9AD07" w14:textId="77777777" w:rsidR="00F212FA" w:rsidRPr="00F212FA" w:rsidRDefault="00F212FA" w:rsidP="00F212FA">
      <w:pPr>
        <w:pStyle w:val="Paragrafoelenco"/>
        <w:numPr>
          <w:ilvl w:val="0"/>
          <w:numId w:val="40"/>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legalità, trasparenza e concorrenza</w:t>
      </w:r>
    </w:p>
    <w:p w14:paraId="7EFFBF61" w14:textId="77777777" w:rsidR="00F212FA" w:rsidRPr="00F212FA" w:rsidRDefault="00F212FA" w:rsidP="00F212FA">
      <w:pPr>
        <w:pStyle w:val="Paragrafoelenco"/>
        <w:numPr>
          <w:ilvl w:val="0"/>
          <w:numId w:val="40"/>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fiducia nel rapporto tra Pa e operatori economici.</w:t>
      </w:r>
    </w:p>
    <w:p w14:paraId="345DE446" w14:textId="77777777" w:rsidR="00F212FA" w:rsidRPr="00F212FA" w:rsidRDefault="00F212FA" w:rsidP="00F212F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Spostando il focus soltanto sulla digitalizzazione degli approvvigionamenti, gli obiettivi principali sono:</w:t>
      </w:r>
    </w:p>
    <w:p w14:paraId="747C4841" w14:textId="77777777" w:rsidR="00F212FA" w:rsidRPr="00F212FA" w:rsidRDefault="00F212FA" w:rsidP="00F212FA">
      <w:pPr>
        <w:pStyle w:val="Paragrafoelenco"/>
        <w:numPr>
          <w:ilvl w:val="0"/>
          <w:numId w:val="41"/>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allestimento del fascicolo virtuale di chi partecipa ai bandi pubblici</w:t>
      </w:r>
    </w:p>
    <w:p w14:paraId="5EECCF7C" w14:textId="77777777" w:rsidR="00F212FA" w:rsidRPr="00F212FA" w:rsidRDefault="00F212FA" w:rsidP="00F212FA">
      <w:pPr>
        <w:pStyle w:val="Paragrafoelenco"/>
        <w:numPr>
          <w:ilvl w:val="0"/>
          <w:numId w:val="41"/>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aggiornamento continuo della Banca dati nazionale dei contratti pubblici</w:t>
      </w:r>
    </w:p>
    <w:p w14:paraId="3DE0BB36" w14:textId="77777777" w:rsidR="00F212FA" w:rsidRPr="00F212FA" w:rsidRDefault="00F212FA" w:rsidP="00F212FA">
      <w:pPr>
        <w:pStyle w:val="Paragrafoelenco"/>
        <w:numPr>
          <w:ilvl w:val="0"/>
          <w:numId w:val="41"/>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introduzione di piattaforme per l’approvvigionamento digitale</w:t>
      </w:r>
    </w:p>
    <w:p w14:paraId="717AE76C" w14:textId="77777777" w:rsidR="00F212FA" w:rsidRPr="00F212FA" w:rsidRDefault="00F212FA" w:rsidP="00F212FA">
      <w:pPr>
        <w:pStyle w:val="Paragrafoelenco"/>
        <w:numPr>
          <w:ilvl w:val="0"/>
          <w:numId w:val="41"/>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procedure automatizzate del ciclo di vita dei contratti pubblici</w:t>
      </w:r>
    </w:p>
    <w:p w14:paraId="39565D5D" w14:textId="52BD2163" w:rsidR="00B50687" w:rsidRDefault="00F212FA" w:rsidP="00860F2D">
      <w:pPr>
        <w:pStyle w:val="Paragrafoelenco"/>
        <w:numPr>
          <w:ilvl w:val="0"/>
          <w:numId w:val="41"/>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diritto di accesso per i cittadini che possono richiedere dati e comunicazioni relativi ai bandi</w:t>
      </w:r>
    </w:p>
    <w:p w14:paraId="0C612A1F" w14:textId="107D018B" w:rsid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XXXXXXXXXXXXXXXXXXXXXXXXXXXXXXXXXXXXXXXXXXXXXXXXXXXXXXXXXXXXXXXXXXXXXXXXXXXXXXXXXXXXXXXXXXXXXXXXXXXXXXXXXXXXXXXXXXXXXXXX</w:t>
      </w:r>
    </w:p>
    <w:p w14:paraId="50BA2047" w14:textId="434239A1"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L’operatore economico che intende partecipare ad una procedura per l’aggiudicazione di un appalto utilizza la piattaforma di approvvigionamento digitale messa a disposizione dalla stazione appaltante per compilare i seguenti atti:</w:t>
      </w:r>
    </w:p>
    <w:p w14:paraId="1C6E90F9"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 la domanda di partecipazione;</w:t>
      </w:r>
    </w:p>
    <w:p w14:paraId="58BC5D1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b) il documento di gara unico europeo;</w:t>
      </w:r>
    </w:p>
    <w:p w14:paraId="4D4B79B8"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 l’offerta;</w:t>
      </w:r>
    </w:p>
    <w:p w14:paraId="63895D2F"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d) ogni altro documento richiesto per la partecipazione alla procedura di gara.</w:t>
      </w:r>
    </w:p>
    <w:p w14:paraId="296600D8" w14:textId="77777777" w:rsid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 xml:space="preserve">La domanda di partecipazione contiene gli elementi di identificazione del concorrente e l’indicazione della forma giuridica con la quale si presenta in gara, l’eventuale dichiarazione della volontà di avvalersi di impresa ausiliaria, nonché l’indicazione dei dati e dei documenti relativi ai requisiti speciali di partecipazione </w:t>
      </w:r>
      <w:r>
        <w:rPr>
          <w:rFonts w:ascii="Arial" w:eastAsia="Times New Roman" w:hAnsi="Arial" w:cs="Arial"/>
          <w:kern w:val="0"/>
          <w:sz w:val="24"/>
          <w:szCs w:val="24"/>
          <w:lang w:eastAsia="it-IT"/>
          <w14:ligatures w14:val="none"/>
        </w:rPr>
        <w:t>.</w:t>
      </w:r>
    </w:p>
    <w:p w14:paraId="5BE3ABE4" w14:textId="07B8BEAE"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Con il documento di gara unico europeo, redatto in forma digitale in conformità al modello di formulario approvato con regolamento della Commissione europea, , l’operatore economico e le imprese ausiliarie dichiarano:</w:t>
      </w:r>
    </w:p>
    <w:p w14:paraId="4731D904"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a) di essere in possesso dei requisiti di ordine generale di cui al Titolo IV, Capo II, della presente Parte;</w:t>
      </w:r>
    </w:p>
    <w:p w14:paraId="6B7AF40F" w14:textId="5E5F43CC" w:rsidR="00B50687"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b) di essere in possesso dei requisiti di ordine speciale di cui all’articolo 100 e, se richiesto, dei requisiti di cui all’articolo 10</w:t>
      </w:r>
      <w:r w:rsidR="00B50687" w:rsidRPr="00B50687">
        <w:rPr>
          <w:rFonts w:ascii="Arial" w:eastAsia="Times New Roman" w:hAnsi="Arial" w:cs="Arial"/>
          <w:kern w:val="0"/>
          <w:sz w:val="24"/>
          <w:szCs w:val="24"/>
          <w:lang w:eastAsia="it-IT"/>
          <w14:ligatures w14:val="none"/>
        </w:rPr>
        <w:t xml:space="preserve"> </w:t>
      </w:r>
    </w:p>
    <w:p w14:paraId="461EB75F" w14:textId="3253623A" w:rsidR="00B50687" w:rsidRDefault="000442C0"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REQUISITI DI PARTECIPAZIONE GENERALI</w:t>
      </w:r>
    </w:p>
    <w:p w14:paraId="7FCE1351"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 seguito dell’entrata in vigore del d. lgs. n. 36/23, gli operatori economici, al fine della partecipazione ad una procedura di selezione per l’affidamento di contratti pubblici, devono dimostrare di essere in possesso di precisi requisiti, idonei a comprovare il possesso di moralità adeguata (requisiti generali).</w:t>
      </w:r>
    </w:p>
    <w:p w14:paraId="29C9754B"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I requisiti di prescritti dalla legge devono essere posseduti dai candidati non solo alla data di scadenza del termine per la presentazione della richiesta di partecipazione alla procedura di affidamento, ma anche per tutta la durata della procedura, fino all’aggiudicazione definitiva ed alla stipula del contratto, nonché per tutto il periodo di esecuzione del contratto, senza soluzione di continuità.</w:t>
      </w:r>
    </w:p>
    <w:p w14:paraId="3ED7A0B1"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Il nuovo Codice. a differenza del Codice abrogato, che prevedeva una disciplina molto  scarna al riguardo, regolamenta i requisiti generali in maniera più ampia e articolata, attraverso i seguenti articoli:</w:t>
      </w:r>
    </w:p>
    <w:p w14:paraId="3B207ED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art. 94 - Cause di esclusione “automatica”;</w:t>
      </w:r>
    </w:p>
    <w:p w14:paraId="004CB1B1"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art. 95 - Cause di esclusione “non automatica”;</w:t>
      </w:r>
    </w:p>
    <w:p w14:paraId="3223B03B"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art. 96 - Disciplina dell’esclusione;</w:t>
      </w:r>
    </w:p>
    <w:p w14:paraId="2E53354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art. 97 – Cause di esclusione di partecipanti a raggruppamenti;</w:t>
      </w:r>
    </w:p>
    <w:p w14:paraId="2E2B647C"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art. 98 - Illecito professionale grave.</w:t>
      </w:r>
    </w:p>
    <w:p w14:paraId="0EB25ACB"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Cause di esclusione “automatiche” (art. 94)</w:t>
      </w:r>
    </w:p>
    <w:p w14:paraId="400D444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L’art. 94 disciplina le cause di esclusione “automatiche”, cioè quelle che impongono all’Amministrazione l’esclusione del partecipante, all’esito del mero accertamento del fatto previsto dalla norma.</w:t>
      </w:r>
    </w:p>
    <w:p w14:paraId="2AC6A3C8"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Fra gli eventi rilevanti (commi 1-4), rientra, in estrema sintesi, una serie di reati penali di una certa gravità (es. Associazione a delinquere di stampo mafioso, contrabbando, corruzione, concussione, etc.), rispetto ai quali non c’è alcuna discrezionalità circa l’esclusione – o meno – dell’operatore economico.</w:t>
      </w:r>
    </w:p>
    <w:p w14:paraId="13B00DEC"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Per i reati sopra elencati, con una innovazione rispetto alla norma previgente, il nuovo Codice prevede che il patteggiamento non impedisca più la partecipazione ad una gara pubblica e non costituisca causa di esclusione dalla medesima.</w:t>
      </w:r>
    </w:p>
    <w:p w14:paraId="40F83EE0"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Un’ulteriore novità è rappresentata dall’eliminazione di ogni riferimento ai soggetti c.d. “cessati” dalla carica.</w:t>
      </w:r>
    </w:p>
    <w:p w14:paraId="67A5721E"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Nel caso in cui il socio sia una persona giuridica l’esclusione va disposta se la sentenza o il decreto ovvero la misura interdittiva sono stati emessi nei confronti degli amministratori di quest’ultima.</w:t>
      </w:r>
    </w:p>
    <w:p w14:paraId="42C24674" w14:textId="508F5D42"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 xml:space="preserve">L’art. 94, al comma 3, lett. f), inserisce poi, tra i nuovi soggetti nei cui confronti viene effettuato l’accertamento, anche il c.d. “amministratore di fatto”, allargando il campo di indagine in </w:t>
      </w:r>
      <w:r>
        <w:rPr>
          <w:rFonts w:ascii="Arial" w:eastAsia="Times New Roman" w:hAnsi="Arial" w:cs="Arial"/>
          <w:kern w:val="0"/>
          <w:sz w:val="24"/>
          <w:szCs w:val="24"/>
          <w:lang w:eastAsia="it-IT"/>
          <w14:ligatures w14:val="none"/>
        </w:rPr>
        <w:t>MA</w:t>
      </w:r>
      <w:r w:rsidRPr="00B50687">
        <w:rPr>
          <w:rFonts w:ascii="Arial" w:eastAsia="Times New Roman" w:hAnsi="Arial" w:cs="Arial"/>
          <w:kern w:val="0"/>
          <w:sz w:val="24"/>
          <w:szCs w:val="24"/>
          <w:lang w:eastAsia="it-IT"/>
          <w14:ligatures w14:val="none"/>
        </w:rPr>
        <w:t>niera non facilmente determinata o determinabile.</w:t>
      </w:r>
    </w:p>
    <w:p w14:paraId="37D31AA2"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Cause di esclusione “non automatiche” (art. 95)</w:t>
      </w:r>
    </w:p>
    <w:p w14:paraId="47004F40"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L’art. 95 del nuovo Codice disciplina le cause di esclusione “non automatiche”. Tale dicitura trae spunto dalla giurisprudenza amministrativa (cfr. Consiglio di Stato ad. plen., 27 maggio 2021, n. 9) In precedenza, tali cause di esclusione erano normate dal comma 5 dell’art. 80 del d.lgs. n. 50/2016.</w:t>
      </w:r>
    </w:p>
    <w:p w14:paraId="6CA746AF"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La stazione appaltante esclude dalla partecipazione alla procedura un operatore economico qualora accerti:</w:t>
      </w:r>
    </w:p>
    <w:p w14:paraId="75985A91"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 sussistere gravi infrazioni, debitamente accertate con qualunque mezzo adeguato, alle norme in materia di salute e di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 febbraio 2014;</w:t>
      </w:r>
    </w:p>
    <w:p w14:paraId="19342571"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b) che la partecipazione dell'operatore economico determini una situazione di conflitto di interesse di cui all’articolo 16 non diversamente risolvibile;</w:t>
      </w:r>
    </w:p>
    <w:p w14:paraId="6190E1CB"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 sussistere una distorsione della concorrenza derivante dal precedente coinvolgimento degli operatori economici nella preparazione della procedura d'appalto che non possa essere risolta con misure meno intrusive;</w:t>
      </w:r>
    </w:p>
    <w:p w14:paraId="684D277D"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d) sussistere rilevanti indizi tali da far ritenere che le offerte degli operatori economici siano imputabili ad un unico centro decisionale a cagione di accordi intercorsi con altri operatori economici partecipanti alla stessa gara;</w:t>
      </w:r>
    </w:p>
    <w:p w14:paraId="72F0DC45"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e) che l’offerente abbia commesso un illecito professionale grave, tale da rendere dubbia la sua integrità o affidabilità, dimostrato dalla stazione appaltante con mezzi adeguati. All’articolo 98 sono indicati, in modo tassativo, i gravi illeciti professionali, nonché i mezzi adeguati a dimostrare i medesimi.</w:t>
      </w:r>
    </w:p>
    <w:p w14:paraId="715028AF"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La stazione appaltante esclude altresì un operatore economico qualora ritenga, sulla base di qualunque mezzo di prova adeguato, che lo stesso abbia commesso gravi violazioni non definitivamente accertate agli obblighi relativi al pagamento di imposte e tasse o contributi previdenziali. Costituiscono gravi violazioni non definitivamente accertate in materia fiscale quelle indicate nell’Allegato II.10. La gravità va in ogni caso valutata anche tenendo conto del valore dell’appalto.</w:t>
      </w:r>
    </w:p>
    <w:p w14:paraId="4452AF57"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L’esclusione non opera quando l’operatore economico ha adempiuto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14:paraId="5C4FC519"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Disciplina dell’esclusione (art. 96)</w:t>
      </w:r>
    </w:p>
    <w:p w14:paraId="41CE696A"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Le stazioni appaltanti escludono un operatore economico in qualunque momento della procedura d’appalto, qualora risulti che questi si trovi, a causa di atti compiuti od omessi prima o nel corso della procedura, in una delle situazioni di cui agli articoli 94 e 95 sopra menzionati.</w:t>
      </w:r>
    </w:p>
    <w:p w14:paraId="1D38EE51"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Il nuovo Codice introduce per la prima volta una disposizione di “self cleaning” per mezzo della quale i concorrenti possono sempre dimostrare di aver posto in essere misure atte a garantire la loro affidabilità, anche con riferimento alle cause di esclusione automatiche, a patto che tali misure siano state tempestivamente adottate e siano idonee. In tali casi, non si verifica l’esclusione.</w:t>
      </w:r>
    </w:p>
    <w:p w14:paraId="017B1F24"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In caso di violazioni definitivamente accertate in materia fiscale e tributaria, non è possibile l’applicazione delle dette misure di “self cleaning”.</w:t>
      </w:r>
    </w:p>
    <w:p w14:paraId="26DED099"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Cause di esclusione di partecipanti a raggruppamenti (art. 97)</w:t>
      </w:r>
    </w:p>
    <w:p w14:paraId="7B2036D4"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Il raggruppamento temporaneo di imprese non è escluso qualora un suo partecipante sia interessato da una causa automatica o non automatica di esclusione o dal venir meno di un requisito di qualificazione, se si sono verificate le condizioni di cui al comma 2 e ha adempiuto ai seguenti oneri:</w:t>
      </w:r>
    </w:p>
    <w:p w14:paraId="60D50E7A"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 in sede di presentazione dell’offerta:</w:t>
      </w:r>
    </w:p>
    <w:p w14:paraId="0B09402A"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1) ha comunicato alla stazione appaltante la causa escludente verificatasi prima della presentazione dell’offerta e il venir meno, prima della presentazione dell’offerta, del requisito di qualificazione, nonché il soggetto che ne è interessato;</w:t>
      </w:r>
    </w:p>
    <w:p w14:paraId="0291151A"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2) ha comprovato le misure adottate ai sensi del comma 2 o l’impossibilità di adottarle prima di quella data;</w:t>
      </w:r>
    </w:p>
    <w:p w14:paraId="2561EFCB"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b) ha adottato e comunicato le misure di cui al comma 2 prima dell’aggiudicazione, se la causa escludente si è verificata successivamente alla presentazione dell’offerta o il requisito di qualificazione è venuto meno successivamente alla presentazione dell’offerta.</w:t>
      </w:r>
    </w:p>
    <w:p w14:paraId="507E19D8"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Illecito professionale grave (art. 98)</w:t>
      </w:r>
    </w:p>
    <w:p w14:paraId="2009F96D"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L’art. 98, comma 3, stabilisce quali siano le fattispecie che danno luogo all’esclusione per illecito professionale grave.</w:t>
      </w:r>
    </w:p>
    <w:p w14:paraId="136704DD" w14:textId="71C62EF1"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I</w:t>
      </w:r>
      <w:r w:rsidRPr="00B50687">
        <w:rPr>
          <w:rFonts w:ascii="Arial" w:eastAsia="Times New Roman" w:hAnsi="Arial" w:cs="Arial"/>
          <w:kern w:val="0"/>
          <w:sz w:val="24"/>
          <w:szCs w:val="24"/>
          <w:lang w:eastAsia="it-IT"/>
          <w14:ligatures w14:val="none"/>
        </w:rPr>
        <w:t>n particolare:</w:t>
      </w:r>
    </w:p>
    <w:p w14:paraId="11936E82"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 sanzione esecutiva irrogata dall’Autorità garante della concorrenza e del mercato o da altra autorità di settore, rilevante in relazione all’oggetto specifico dell’appalto;</w:t>
      </w:r>
    </w:p>
    <w:p w14:paraId="60033C14"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b) condotta dell’operatore economico che abbia tentato di influenzare indebitamente il processo decisionale della stazione appaltante o di ottenere informazioni riservate a proprio vantaggio oppure che abbia fornito, anche per negligenza, informazioni false o fuorvianti suscettibili di influenzare le decisioni sull’esclusione, la selezione o l’aggiudicazione;</w:t>
      </w:r>
    </w:p>
    <w:p w14:paraId="7724B6B6"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 condotta dell’operatore economico che abbia dimostrato significative o persistenti carenze nell'esecuzione di un precedente contratto di appalto o di concessione che ne hanno causato la risoluzione per inadempimento oppure la condanna al risarcimento del danno o altre sanzioni comparabili, derivanti da inadempienze particolarmente gravi o la cui ripetizione sia indice di una persistente carenza professionale;</w:t>
      </w:r>
    </w:p>
    <w:p w14:paraId="56825016"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d) condotta dell’operatore economico che abbia commesso grave inadempimento nei confronti di uno o più subappaltatori;</w:t>
      </w:r>
    </w:p>
    <w:p w14:paraId="60475274"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e) condotta dell’operatore economico che abbia violato il divieto di intestazione fiduciaria di cui all'articolo 17 della legge 19 marzo 1990, n. 55, laddove la violazione non sia stata rimossa;</w:t>
      </w:r>
    </w:p>
    <w:p w14:paraId="2B330CA6"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f) omessa denuncia all’autorità giudiziaria da parte dell'operatore economico persona offesa dei reati previsti e puniti dagli articoli 317 e 629 del codice penale aggravati ai sensi dell’articolo 416-bis.1 del medesimo codice salvo che ricorrano i casi previsti dall'articolo 4, primo comma, della legge 24 novembre 1981, n. 689. Tale circostanza deve emergere dagli indizi a base della richiesta di rinvio a giudizio formulata nei confronti dell'imputato per i reati di cui al primo periodo nell'anno antecedente alla pubblicazione del bando e deve essere comunicata, unitamente alle generalità del soggetto che ha omesso la predetta denuncia, dal procuratore della Repubblica procedente all'ANAC, la quale ne cura la pubblicazione;</w:t>
      </w:r>
    </w:p>
    <w:p w14:paraId="60791458"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g) contestata commissione da parte dell’operatore economico, ovvero dei soggetti di cui al comma 3 dell’articolo 94 di taluno dei reati consumati o tentati di cui al comma 1 del medesimo articolo 94;</w:t>
      </w:r>
    </w:p>
    <w:p w14:paraId="200E5E38"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h) contestata o accertata commissione, da parte dell’operatore economico oppure dei soggetti di cui al comma 3 dell’articolo 94, di taluno dei seguenti reati consumati:</w:t>
      </w:r>
    </w:p>
    <w:p w14:paraId="4B24150C"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1) abusivo esercizio di una professione, ai sensi dell’articolo 348 del codice penale;</w:t>
      </w:r>
    </w:p>
    <w:p w14:paraId="6CEE1E05"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2) bancarotta semplice, bancarotta fraudolenta, omessa dichiarazione di beni da comprendere nell’inventario fallimentare o ricorso abusivo al credito, di cui agli articoli 216, 217, 218 e 220 del regio decreto 16 marzo 1942, n. 267;</w:t>
      </w:r>
    </w:p>
    <w:p w14:paraId="2D54AED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3) i reati tributari ai sensi del decreto legislativo 10 marzo 2000, n. 74, i delitti societari di cui agli articoli 2621 e seguenti del codice civile o i delitti contro l’industria e il commercio di cui agli articoli da 513 a 517 del codice penale;</w:t>
      </w:r>
    </w:p>
    <w:p w14:paraId="0126D3AB"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4) i reati urbanistici di cui all’articolo 44, comma 1, lettere b) e c), del testo unico delle disposizioni legislative e regolamentari in materia di edilizia, di cui al decreto del Presidente della Repubblica 6 giugno 2001, n. 380, con riferimento agli affidamenti aventi ad oggetto lavori o servizi di architettura e ingegneria.</w:t>
      </w:r>
    </w:p>
    <w:p w14:paraId="239F540C"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L’esclusione di un operatore economico ai sensi dell’articolo 95, comma 1, lettera e) è disposta e comunicata dalla stazione appaltante quando ricorrono tutte le seguenti condizioni:</w:t>
      </w:r>
    </w:p>
    <w:p w14:paraId="7C9BF1D6"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 elementi sufficienti ad integrare il grave illecito professionale;</w:t>
      </w:r>
    </w:p>
    <w:p w14:paraId="71793B66"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b) idoneità del grave illecito professionale ad incidere sull’affidabilità e integrità dell’operatore;</w:t>
      </w:r>
    </w:p>
    <w:p w14:paraId="44AF709F"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 adeguati mezzi di prova di cui al comma 6.</w:t>
      </w:r>
    </w:p>
    <w:p w14:paraId="03CAFF4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Il comma 6 menzionato prevede, quali mezzi di prova adeguati, in relazione al comma 3:</w:t>
      </w:r>
    </w:p>
    <w:p w14:paraId="6CBE1DF7"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 quanto alla lettera a), i provvedimenti sanzionatori esecutivi resi dall’Autorità garante della concorrenza e del mercato o da altra autorità di settore;</w:t>
      </w:r>
    </w:p>
    <w:p w14:paraId="47422CBE"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b) quanto alla lettera b), la presenza di indizi gravi, precisi e concordanti che rendano evidente il ricorrere della situazione escludente;</w:t>
      </w:r>
    </w:p>
    <w:p w14:paraId="3D2661F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 quanto alla lettera c), l’intervenuta risoluzione per inadempimento o la condanna al risarcimento del danno o ad altre conseguenze comparabili;</w:t>
      </w:r>
    </w:p>
    <w:p w14:paraId="01D72435"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d) quanto alla lettera d), la emissione di provvedimenti giurisdizionali anche non definitivi;</w:t>
      </w:r>
    </w:p>
    <w:p w14:paraId="24465DB5"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e) quanto alla lettera e), l'accertamento definitivo della violazione;</w:t>
      </w:r>
    </w:p>
    <w:p w14:paraId="347C417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f) quanto alla lettera f), gli elementi ivi indicati;</w:t>
      </w:r>
    </w:p>
    <w:p w14:paraId="5AC7FF92"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g) quanto alla lettera g), gli atti di cui all’articolo 407-bis, comma 1, del codice di procedura penale, il decreto che dispone il giudizio ai sensi dell’articolo 429 del codice di procedura penale, o eventuali provvedimenti cautelari reali o personali emessi dal giudice penale, la sentenza di condanna non definitiva, il decreto penale di condanna non irrevocabile, la sentenza non irrevocabile di applicazione della pena su richiesta ai sensi dell'articolo 444 del codice di procedura penale;</w:t>
      </w:r>
    </w:p>
    <w:p w14:paraId="19B87A07" w14:textId="519AA567" w:rsid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h) quanto alla lettera h), la sentenza di condanna definitiva, il decreto penale di condanna irrevocabile, e la condanna non definitiva, i provvedimenti cautelari reali o personali, ove emessi dal giudice penale.</w:t>
      </w:r>
    </w:p>
    <w:p w14:paraId="52349424" w14:textId="017293D5" w:rsidR="000442C0" w:rsidRDefault="000442C0"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REQUISITI DI ORDINE SPECIALE</w:t>
      </w:r>
    </w:p>
    <w:p w14:paraId="15079A62" w14:textId="0C3BD0EC"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Sono requisiti di ordine speciale:</w:t>
      </w:r>
    </w:p>
    <w:p w14:paraId="0A2254A8"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a) l’idoneità professionale;</w:t>
      </w:r>
    </w:p>
    <w:p w14:paraId="62166DDF"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b) la capacità economica e finanziaria;</w:t>
      </w:r>
    </w:p>
    <w:p w14:paraId="1181F0BC"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c) le capacità tecniche e professionali.</w:t>
      </w:r>
    </w:p>
    <w:p w14:paraId="4A8BEB7C" w14:textId="77DEA706"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Le stazioni appaltanti richiedono requisiti di partecipazione proporzionati e attinenti all’oggetto dell’appalto.</w:t>
      </w:r>
    </w:p>
    <w:p w14:paraId="111589AD" w14:textId="77777777" w:rsid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P</w:t>
      </w:r>
      <w:r w:rsidRPr="000442C0">
        <w:rPr>
          <w:rFonts w:ascii="Arial" w:eastAsia="Times New Roman" w:hAnsi="Arial" w:cs="Arial"/>
          <w:kern w:val="0"/>
          <w:sz w:val="24"/>
          <w:szCs w:val="24"/>
          <w:lang w:eastAsia="it-IT"/>
          <w14:ligatures w14:val="none"/>
        </w:rPr>
        <w:t>er le procedure di aggiudicazione di appalti di servizi e forniture le stazioni appaltanti richiedono l’iscrizione nel registro della camera di commercio, industria, artigianato e agricoltura o nel registro delle commissioni provinciali per l’artigianato (le commissioni provinciali per l’artigianato e il relativo registro sono stati soppressi dalle leggi regionali in attuazione della legge 8 agosto 1985 , n. 443, ora l'unica iscrizione è quella al registro delle imprese delle CCIAA - n.d.r.) o presso i competenti ordini professionali per un’attività pertinente anche se non coincidente con l’oggetto dell’appalto.</w:t>
      </w:r>
    </w:p>
    <w:p w14:paraId="4A3124A9" w14:textId="024F5DFC"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 xml:space="preserve"> All’operatore economico di altro Stato membro non residente in Italia è richiesto di dichiarare ai sensi del testo unico delle disposizioni legislative e regolamentari in materia di documentazione amministrativa, di essere iscritto in uno dei registri professionali o commerciali di cui all’allegato II.11. In sede di prima applicazione del codice, l’allegato II.11 è abrogato a decorrere dalla data di entrata in vigore di un corrispondente regolamento adottato ai sensi dell’articolo 17, comma 3, della legge 23 agosto 1988, n. 400, con decreto del Presidente del Consiglio dei ministri su proposta del Ministro per gli affari europei, ove nominato, che lo sostituisce integralmente anche in qualità di allegato al codice.</w:t>
      </w:r>
    </w:p>
    <w:p w14:paraId="0874D955" w14:textId="05494495" w:rsidR="00BE0EA6" w:rsidRPr="000442C0" w:rsidRDefault="000442C0" w:rsidP="00BE0EA6">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 xml:space="preserve">Per le procedure di aggiudicazione di appalti di lavori </w:t>
      </w:r>
      <w:r w:rsidRPr="000442C0">
        <w:rPr>
          <w:rFonts w:ascii="Arial" w:eastAsia="Times New Roman" w:hAnsi="Arial" w:cs="Arial"/>
          <w:b/>
          <w:bCs/>
          <w:kern w:val="0"/>
          <w:sz w:val="24"/>
          <w:szCs w:val="24"/>
          <w:lang w:eastAsia="it-IT"/>
          <w14:ligatures w14:val="none"/>
        </w:rPr>
        <w:t>di importo pari o superiore a 150.000 euro</w:t>
      </w:r>
      <w:r w:rsidRPr="000442C0">
        <w:rPr>
          <w:rFonts w:ascii="Arial" w:eastAsia="Times New Roman" w:hAnsi="Arial" w:cs="Arial"/>
          <w:kern w:val="0"/>
          <w:sz w:val="24"/>
          <w:szCs w:val="24"/>
          <w:lang w:eastAsia="it-IT"/>
          <w14:ligatures w14:val="none"/>
        </w:rPr>
        <w:t xml:space="preserve"> le stazioni appaltanti richiedono che gli </w:t>
      </w:r>
      <w:r w:rsidRPr="000442C0">
        <w:rPr>
          <w:rFonts w:ascii="Arial" w:eastAsia="Times New Roman" w:hAnsi="Arial" w:cs="Arial"/>
          <w:color w:val="FF0000"/>
          <w:kern w:val="0"/>
          <w:sz w:val="24"/>
          <w:szCs w:val="24"/>
          <w:lang w:eastAsia="it-IT"/>
          <w14:ligatures w14:val="none"/>
        </w:rPr>
        <w:t>operatori economici siano qualificati</w:t>
      </w:r>
      <w:r w:rsidRPr="000442C0">
        <w:rPr>
          <w:rFonts w:ascii="Arial" w:eastAsia="Times New Roman" w:hAnsi="Arial" w:cs="Arial"/>
          <w:kern w:val="0"/>
          <w:sz w:val="24"/>
          <w:szCs w:val="24"/>
          <w:lang w:eastAsia="it-IT"/>
          <w14:ligatures w14:val="none"/>
        </w:rPr>
        <w:t xml:space="preserve">. </w:t>
      </w:r>
      <w:r w:rsidRPr="000442C0">
        <w:rPr>
          <w:rFonts w:ascii="Arial" w:eastAsia="Times New Roman" w:hAnsi="Arial" w:cs="Arial"/>
          <w:kern w:val="0"/>
          <w:sz w:val="24"/>
          <w:szCs w:val="24"/>
          <w:u w:val="single"/>
          <w:lang w:eastAsia="it-IT"/>
          <w14:ligatures w14:val="none"/>
        </w:rPr>
        <w:t>L’attestazione di qualificazione è rilasciata da organismi di diritto privato autorizzati dall’ANAC.</w:t>
      </w:r>
      <w:r w:rsidRPr="000442C0">
        <w:rPr>
          <w:rFonts w:ascii="Arial" w:eastAsia="Times New Roman" w:hAnsi="Arial" w:cs="Arial"/>
          <w:kern w:val="0"/>
          <w:sz w:val="24"/>
          <w:szCs w:val="24"/>
          <w:lang w:eastAsia="it-IT"/>
          <w14:ligatures w14:val="none"/>
        </w:rPr>
        <w:t xml:space="preserve"> Il sistema di qualificazione per gli esecutori di lavori pubblici, articolato in rapporto alle categorie di opere ed all'importo delle stesse è disciplinato dall’allegato II.12. </w:t>
      </w:r>
    </w:p>
    <w:p w14:paraId="1F1D374C" w14:textId="235A7110"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Per ottenere o rinnovare l’attestazione di qualificazione gli operatori economici devono:</w:t>
      </w:r>
    </w:p>
    <w:p w14:paraId="0F9D3DF8"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a) essere iscritti nel registro della camera di commercio, industria, artigianato e agricoltura o nel registro delle commissioni provinciali per l’artigianato o presso i competenti ordini professionali per un’attività, prevista dall’oggetto sociale e compresa nella categoria per la quale è richiesta l’attestazione;</w:t>
      </w:r>
    </w:p>
    <w:p w14:paraId="1E5F03F3"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b) non essere incorsi nelle cause di esclusione di cui al Capo II del presente Titolo nel triennio precedente alla data della domanda di rilascio o di rinnovo dell’attestazione di qualificazione;</w:t>
      </w:r>
    </w:p>
    <w:p w14:paraId="3E27453D"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c) essere in possesso di certificazioni di sistemi di qualità conformi alle norme europee e alla vigente normativa nazionale, rilasciate da soggetti accreditati.</w:t>
      </w:r>
    </w:p>
    <w:p w14:paraId="7A11755A" w14:textId="16204768"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L’organismo di attestazione rilascia l’attestazione di qualificazione per la categoria di opere generali o specializzate per l’esecuzione delle quali l’operatore economico risulti essere in possesso di adeguata capacità economica e finanziaria, di adeguata dotazione di attrezzature tecniche e risorse umane, e dispone la classificazione per importi in ragione della documentata pregressa esperienza professionale.</w:t>
      </w:r>
    </w:p>
    <w:p w14:paraId="0ACFF7FB"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p>
    <w:p w14:paraId="64045D2F" w14:textId="4FB70BC9"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Soccorso istruttorio</w:t>
      </w:r>
    </w:p>
    <w:p w14:paraId="1677B376" w14:textId="3B0C910B"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Salvo che al momento della scadenza del termine per la presentazione dell’offerta il documento sia presente nel fascicolo virtuale dell’operatore economico, la stazione appaltante assegna un termine non inferiore a cinque giorni e non superiore a dieci giorni per:</w:t>
      </w:r>
    </w:p>
    <w:p w14:paraId="09227783"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a) integrare di ogni elemento mancante la documentazione trasmessa alla stazione appaltante nel termine per la presentazione delle offerte con la domanda di partecipazione alla procedura di gara o con il documento di gara unico europeo, con esclusione della documentazione che compone l’offerta tecnica e l’offerta economica; la mancata presentazione della garanzia provvisoria, del contratto di avvalimento e dell’impegno a conferire mandato collettivo speciale in caso di raggruppamenti di concorrenti non ancora costituiti è sanabile mediante documenti aventi data certa anteriore al termine fissato per la presentazione delle offerte;</w:t>
      </w:r>
    </w:p>
    <w:p w14:paraId="0A4FA02E"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b) sanare ogni omissione, inesattezza o irregolarità della domanda di partecipazione, del documento di gara unico europeo e di ogni altro documento richiesto dalla stazione appaltante per la partecipazione alla procedura di gara, con esclusione della documentazione che compone l’offerta tecnica e l’offerta economica. Non sono sanabili le omissioni, inesattezze e irregolarità che rendono assolutamente incerta l’identità del concorrente.</w:t>
      </w:r>
    </w:p>
    <w:p w14:paraId="1A7B25B7" w14:textId="1FE0381B"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L’operatore economico che non adempie alle richieste della stazione appaltante nel termine stabilito è escluso dalla procedura di gara.</w:t>
      </w:r>
    </w:p>
    <w:p w14:paraId="41F4A3E9" w14:textId="006F7A34"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La stazione appaltante può sempre richiedere chiarimenti sui contenuti dell’offerta tecnica e dell’offerta economica e su ogni loro allegato. L’operatore economico è tenuto a fornire risposta nel termine fissato dalla stazione appaltante, che non può essere inferiore a cinque giorni e superiore a dieci giorni. I chiarimenti resi dall’operatore economico non possono modificare il contenuto dell’offerta tecnica e dell’offerta economica.</w:t>
      </w:r>
    </w:p>
    <w:p w14:paraId="15E85695" w14:textId="70805A86"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Fino al giorno fissato per la loro apertura, l’operatore economico, con le stesse modalità di presentazione della domanda di partecipazione, può richiedere la rettifica di un errore materiale contenuto nell’offerta tecnica o nell’offerta economica di cui si sia avveduto dopo la scadenza del termine per la loro presentazione a condizione che la rettifica non comporti la presentazione di una nuova offerta, o comunque la sua modifica sostanziale, e che resti comunque assicurato l’anonimato.</w:t>
      </w:r>
    </w:p>
    <w:p w14:paraId="0D4E447C"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p>
    <w:p w14:paraId="0D662FFF" w14:textId="186CEB94" w:rsidR="000442C0" w:rsidRPr="00BE0EA6" w:rsidRDefault="000442C0" w:rsidP="000442C0">
      <w:pPr>
        <w:shd w:val="clear" w:color="auto" w:fill="FFFFFF"/>
        <w:spacing w:after="100" w:afterAutospacing="1" w:line="240" w:lineRule="auto"/>
        <w:rPr>
          <w:rFonts w:ascii="Arial" w:eastAsia="Times New Roman" w:hAnsi="Arial" w:cs="Arial"/>
          <w:b/>
          <w:bCs/>
          <w:kern w:val="0"/>
          <w:sz w:val="24"/>
          <w:szCs w:val="24"/>
          <w:lang w:eastAsia="it-IT"/>
          <w14:ligatures w14:val="none"/>
        </w:rPr>
      </w:pPr>
      <w:r w:rsidRPr="00BE0EA6">
        <w:rPr>
          <w:rFonts w:ascii="Arial" w:eastAsia="Times New Roman" w:hAnsi="Arial" w:cs="Arial"/>
          <w:b/>
          <w:bCs/>
          <w:kern w:val="0"/>
          <w:sz w:val="24"/>
          <w:szCs w:val="24"/>
          <w:lang w:eastAsia="it-IT"/>
          <w14:ligatures w14:val="none"/>
        </w:rPr>
        <w:t>Requisiti di partecipazione a procedure di lavori di rilevante importo</w:t>
      </w:r>
    </w:p>
    <w:p w14:paraId="14E6346E" w14:textId="4AB8425B"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Per gli appalti di lavori di importo pari o superiore ai 20 milioni di euro, oltre ai requisiti di cui all'articolo 100, la stazione appaltante può richiedere requisiti aggiuntivi:</w:t>
      </w:r>
    </w:p>
    <w:p w14:paraId="7541656C"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a) per verificare la capacità economico-finanziaria dell’operatore economico; in tal caso quest’ultimo fornisce i parametri economico-finanziari significativi richiesti, certificati da società di revisione ovvero da altri soggetti preposti che si affianchino alle valutazioni tecniche proprie dell'organismo di certificazione, da cui emerga in modo inequivoco l’esposizione finanziaria dell’operatore economico al momento in cui partecipa a una gara di appalto; in alternativa, la stazione appaltante può richiedere un volume d'affari in lavori pari a due volte l'importo a base di gara, che l’operatore economico deve aver realizzato nei migliori cinque dei dieci anni antecedenti alla data di pubblicazione del bando;</w:t>
      </w:r>
    </w:p>
    <w:p w14:paraId="68DCD831"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b) per verificare la capacità professionale per gli appalti per i quali è richiesta la classifica illimitata; in tal caso l’operatore economico fornisce prova di aver eseguito lavori per entità e tipologia compresi nella categoria individuata come prevalente a quelli posti in appalto opportunamente certificati dalle rispettive stazioni appaltanti, tramite presentazione del certificato di esecuzione lavori; tale requisito si applica solo agli appalti di lavori di importo pari o superiore a 100 milioni di euro.</w:t>
      </w:r>
    </w:p>
    <w:p w14:paraId="7E44D4B5" w14:textId="370C5938" w:rsidR="000442C0" w:rsidRPr="00BE0EA6" w:rsidRDefault="000442C0" w:rsidP="000442C0">
      <w:pPr>
        <w:shd w:val="clear" w:color="auto" w:fill="FFFFFF"/>
        <w:spacing w:after="100" w:afterAutospacing="1" w:line="240" w:lineRule="auto"/>
        <w:rPr>
          <w:rFonts w:ascii="Arial" w:eastAsia="Times New Roman" w:hAnsi="Arial" w:cs="Arial"/>
          <w:b/>
          <w:bCs/>
          <w:kern w:val="0"/>
          <w:sz w:val="24"/>
          <w:szCs w:val="24"/>
          <w:lang w:eastAsia="it-IT"/>
          <w14:ligatures w14:val="none"/>
        </w:rPr>
      </w:pPr>
      <w:r w:rsidRPr="00BE0EA6">
        <w:rPr>
          <w:rFonts w:ascii="Arial" w:eastAsia="Times New Roman" w:hAnsi="Arial" w:cs="Arial"/>
          <w:b/>
          <w:bCs/>
          <w:kern w:val="0"/>
          <w:sz w:val="24"/>
          <w:szCs w:val="24"/>
          <w:lang w:eastAsia="it-IT"/>
          <w14:ligatures w14:val="none"/>
        </w:rPr>
        <w:t>Avvalimento</w:t>
      </w:r>
    </w:p>
    <w:p w14:paraId="0B245FD4" w14:textId="7366626D"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L’avvalimento è il contratto con il quale una o più imprese ausiliarie si obbligano a mettere a disposizione di un operatore economico che concorre in una procedura di gara dotazioni tecniche e risorse umane e strumentali per tutta la durata dell’appalto. Il contratto di avvalimento è concluso in forma scritta a pena di nullità con indicazione specifica delle risorse messe a disposizione dell’operatore economico. Il contratto di avvalimento è normalmente oneroso, salvo che risponda anche a un interesse dell’impresa ausiliaria, e può essere concluso a prescindere dalla natura giuridica dei legami tra le parti.</w:t>
      </w:r>
    </w:p>
    <w:p w14:paraId="0DB20EFE" w14:textId="1BAAA5C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 xml:space="preserve"> Qualora il contratto di avvalimento sia concluso per acquisire un requisito necessario alla partecipazione a una procedura di aggiudicazione di un appalto di lavori di importo pari o superiore a euro 150.000, o di un appalto di servizi e forniture, esso ha per oggetto le dotazioni tecniche e le risorse che avrebbero consentito all’operatore economico di ottenere l’attestazione di qualificazione richiesta.</w:t>
      </w:r>
    </w:p>
    <w:p w14:paraId="2F083165" w14:textId="1901D6EC"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 xml:space="preserve"> Qualora il contratto di avvalimento sia stipulato con impresa ausiliaria in possesso di autorizzazione o altro titolo abilitativo richiesto per la partecipazione alla procedura di aggiudicazione ai sensi dell’articolo 100, comma 3, o con un soggetto in possesso di titoli di studio o professionali necessari all’esecuzione della prestazione oggetto dell’appalto, i lavori o i servizi sono eseguiti direttamente dall’impresa ausiliaria. Si applicano le disposizioni in materia di subappalto.</w:t>
      </w:r>
    </w:p>
    <w:p w14:paraId="21A60DBC" w14:textId="5A593179" w:rsidR="00BE0EA6" w:rsidRPr="000442C0" w:rsidRDefault="000442C0" w:rsidP="00BE0EA6">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L’operatore economico allega alla domanda di partecipazione il contratto di avvalimento in originale o copia autentica, specificando se intende avvalersi delle risorse altrui per acquisire un requisito di partecipazione o per migliorare la propria offerta, e allega, nel caso di cui al comma 2, la certificazione rilasciata dalla SOA o dall’ANAC</w:t>
      </w:r>
    </w:p>
    <w:p w14:paraId="4F28493B" w14:textId="7E4B667B" w:rsidR="00BE0EA6" w:rsidRPr="000442C0" w:rsidRDefault="000442C0" w:rsidP="00BE0EA6">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La stazione appaltante verifica se l’impresa ausiliaria è in possesso dei requisiti dichiarati</w:t>
      </w:r>
      <w:r w:rsidR="00BE0EA6">
        <w:rPr>
          <w:rFonts w:ascii="Arial" w:eastAsia="Times New Roman" w:hAnsi="Arial" w:cs="Arial"/>
          <w:kern w:val="0"/>
          <w:sz w:val="24"/>
          <w:szCs w:val="24"/>
          <w:lang w:eastAsia="it-IT"/>
          <w14:ligatures w14:val="none"/>
        </w:rPr>
        <w:t xml:space="preserve"> </w:t>
      </w:r>
    </w:p>
    <w:p w14:paraId="06858471" w14:textId="3F67C5A8" w:rsid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L’operatore economico e l'impresa ausiliaria sono responsabili in solido nei confronti della stazione appaltante in relazione alle prestazioni oggetto del contratto. Gli obblighi previsti dalla normativa antimafia a carico dell’operatore economico si applicano anche nei confronti del soggetto ausiliario, in ragione dell'importo dell'appalto posto a base di gara.</w:t>
      </w:r>
    </w:p>
    <w:p w14:paraId="6D4ABFE0" w14:textId="568DB392" w:rsidR="00127C6D" w:rsidRDefault="00127C6D"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CONFLITTO DI INTERESSI ART 16</w:t>
      </w:r>
    </w:p>
    <w:p w14:paraId="46F35C1B" w14:textId="757A870F" w:rsidR="00127C6D" w:rsidRPr="00127C6D" w:rsidRDefault="00127C6D" w:rsidP="00127C6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127C6D">
        <w:rPr>
          <w:rFonts w:ascii="Arial" w:eastAsia="Times New Roman" w:hAnsi="Arial" w:cs="Arial"/>
          <w:kern w:val="0"/>
          <w:sz w:val="24"/>
          <w:szCs w:val="24"/>
          <w:lang w:eastAsia="it-IT"/>
          <w14:ligatures w14:val="none"/>
        </w:rPr>
        <w:t>Si ha conflitto di interessi quando un soggetto che, a qualsiasi titolo, interviene con compiti funzionali nella procedura di aggiudicazione o nella fase di esecuzione degli appalti o delle concessioni e ne può influenzare, in qualsiasi modo, il risultato, gli esiti e la gestione, ha direttamente o indirettamente un interesse finanziario, economico o altro interesse personale che può essere percepito come una minaccia alla sua imparzialità e indipendenza nel contesto della procedura di aggiudicazione o nella fase di esecuzione.</w:t>
      </w:r>
    </w:p>
    <w:p w14:paraId="124F3E4D" w14:textId="44D86D13" w:rsidR="00127C6D" w:rsidRPr="00127C6D" w:rsidRDefault="00127C6D" w:rsidP="00127C6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127C6D">
        <w:rPr>
          <w:rFonts w:ascii="Arial" w:eastAsia="Times New Roman" w:hAnsi="Arial" w:cs="Arial"/>
          <w:kern w:val="0"/>
          <w:sz w:val="24"/>
          <w:szCs w:val="24"/>
          <w:lang w:eastAsia="it-IT"/>
          <w14:ligatures w14:val="none"/>
        </w:rPr>
        <w:t>In coerenza con il principio della fiducia e per preservare la funzionalità dell’azione amministrativa, la percepita minaccia all’imparzialità e indipendenza deve essere provata da chi invoca il conflitto sulla base di presupposti specifici e documentati e deve riferirsi a interessi effettivi, la cui soddisfazione sia conseguibile solo subordinando un interesse all’altro.</w:t>
      </w:r>
    </w:p>
    <w:p w14:paraId="30C3CFC2" w14:textId="3A2168F9" w:rsidR="00127C6D" w:rsidRPr="00127C6D" w:rsidRDefault="00127C6D" w:rsidP="00127C6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127C6D">
        <w:rPr>
          <w:rFonts w:ascii="Arial" w:eastAsia="Times New Roman" w:hAnsi="Arial" w:cs="Arial"/>
          <w:kern w:val="0"/>
          <w:sz w:val="24"/>
          <w:szCs w:val="24"/>
          <w:lang w:eastAsia="it-IT"/>
          <w14:ligatures w14:val="none"/>
        </w:rPr>
        <w:t xml:space="preserve">Il personale che versa nelle ipotesi di </w:t>
      </w:r>
      <w:r>
        <w:rPr>
          <w:rFonts w:ascii="Arial" w:eastAsia="Times New Roman" w:hAnsi="Arial" w:cs="Arial"/>
          <w:kern w:val="0"/>
          <w:sz w:val="24"/>
          <w:szCs w:val="24"/>
          <w:lang w:eastAsia="it-IT"/>
          <w14:ligatures w14:val="none"/>
        </w:rPr>
        <w:t>conflitto di interessi</w:t>
      </w:r>
      <w:r w:rsidRPr="00127C6D">
        <w:rPr>
          <w:rFonts w:ascii="Arial" w:eastAsia="Times New Roman" w:hAnsi="Arial" w:cs="Arial"/>
          <w:kern w:val="0"/>
          <w:sz w:val="24"/>
          <w:szCs w:val="24"/>
          <w:lang w:eastAsia="it-IT"/>
          <w14:ligatures w14:val="none"/>
        </w:rPr>
        <w:t xml:space="preserve"> ne dà comunicazione alla stazione appaltante o all’ente concedente e si astiene dal partecipare alla procedura di aggiudicazione e all’esecuzione.</w:t>
      </w:r>
    </w:p>
    <w:p w14:paraId="406B8868" w14:textId="4B3FB220" w:rsidR="00127C6D" w:rsidRPr="000442C0" w:rsidRDefault="00127C6D" w:rsidP="00127C6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127C6D">
        <w:rPr>
          <w:rFonts w:ascii="Arial" w:eastAsia="Times New Roman" w:hAnsi="Arial" w:cs="Arial"/>
          <w:kern w:val="0"/>
          <w:sz w:val="24"/>
          <w:szCs w:val="24"/>
          <w:lang w:eastAsia="it-IT"/>
          <w14:ligatures w14:val="none"/>
        </w:rPr>
        <w:t>Le stazioni appaltanti adottano misure adeguate per individuare, prevenire e risolvere in modo efficace ogni ipotesi di conflitto di interesse nello svolgimento delle procedure di aggiudicazione ed esecuzione degli appalti e delle concessioni e vigilano affinché gli adempimenti di cui al comma 3 siano rispettati.</w:t>
      </w:r>
    </w:p>
    <w:p w14:paraId="792C4A6F" w14:textId="77777777" w:rsidR="00F212FA" w:rsidRPr="00F212FA" w:rsidRDefault="00F212FA" w:rsidP="00F212FA">
      <w:pPr>
        <w:shd w:val="clear" w:color="auto" w:fill="FFFFFF"/>
        <w:spacing w:after="100" w:afterAutospacing="1" w:line="240" w:lineRule="auto"/>
        <w:rPr>
          <w:rFonts w:ascii="Arial" w:eastAsia="Times New Roman" w:hAnsi="Arial" w:cs="Arial"/>
          <w:kern w:val="0"/>
          <w:sz w:val="24"/>
          <w:szCs w:val="24"/>
          <w:lang w:eastAsia="it-IT"/>
          <w14:ligatures w14:val="none"/>
        </w:rPr>
      </w:pPr>
    </w:p>
    <w:sectPr w:rsidR="00F212FA" w:rsidRPr="00F212F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A1D93"/>
    <w:multiLevelType w:val="multilevel"/>
    <w:tmpl w:val="8BB05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924CD9"/>
    <w:multiLevelType w:val="multilevel"/>
    <w:tmpl w:val="A60CB5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7194D52"/>
    <w:multiLevelType w:val="hybridMultilevel"/>
    <w:tmpl w:val="F392D0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9F32D37"/>
    <w:multiLevelType w:val="multilevel"/>
    <w:tmpl w:val="B04CC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544CD8"/>
    <w:multiLevelType w:val="multilevel"/>
    <w:tmpl w:val="6CA68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E311BD"/>
    <w:multiLevelType w:val="multilevel"/>
    <w:tmpl w:val="6A642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940FF3"/>
    <w:multiLevelType w:val="hybridMultilevel"/>
    <w:tmpl w:val="1C2888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4255AB6"/>
    <w:multiLevelType w:val="multilevel"/>
    <w:tmpl w:val="69183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EC1272"/>
    <w:multiLevelType w:val="multilevel"/>
    <w:tmpl w:val="B96E3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5E0A80"/>
    <w:multiLevelType w:val="multilevel"/>
    <w:tmpl w:val="1A5A4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227BC8"/>
    <w:multiLevelType w:val="multilevel"/>
    <w:tmpl w:val="F5AA2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577660"/>
    <w:multiLevelType w:val="multilevel"/>
    <w:tmpl w:val="4B383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3110D5"/>
    <w:multiLevelType w:val="hybridMultilevel"/>
    <w:tmpl w:val="D3723B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7685097"/>
    <w:multiLevelType w:val="multilevel"/>
    <w:tmpl w:val="CA68961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A160ED0"/>
    <w:multiLevelType w:val="multilevel"/>
    <w:tmpl w:val="CED8A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AEF1C9F"/>
    <w:multiLevelType w:val="multilevel"/>
    <w:tmpl w:val="73449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8C0915"/>
    <w:multiLevelType w:val="multilevel"/>
    <w:tmpl w:val="2632D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B0657C"/>
    <w:multiLevelType w:val="multilevel"/>
    <w:tmpl w:val="0EB80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E047C1"/>
    <w:multiLevelType w:val="multilevel"/>
    <w:tmpl w:val="A4B07F4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917428"/>
    <w:multiLevelType w:val="multilevel"/>
    <w:tmpl w:val="12D49B8A"/>
    <w:lvl w:ilvl="0">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1375B3"/>
    <w:multiLevelType w:val="multilevel"/>
    <w:tmpl w:val="3A5A1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A13A2D"/>
    <w:multiLevelType w:val="multilevel"/>
    <w:tmpl w:val="44200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B431015"/>
    <w:multiLevelType w:val="multilevel"/>
    <w:tmpl w:val="4F40B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DE51B6D"/>
    <w:multiLevelType w:val="multilevel"/>
    <w:tmpl w:val="C92E5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813FD9"/>
    <w:multiLevelType w:val="multilevel"/>
    <w:tmpl w:val="6D76D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1456CA"/>
    <w:multiLevelType w:val="multilevel"/>
    <w:tmpl w:val="853A9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7D4351"/>
    <w:multiLevelType w:val="multilevel"/>
    <w:tmpl w:val="69F44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2D7FF7"/>
    <w:multiLevelType w:val="multilevel"/>
    <w:tmpl w:val="D5525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6361AF7"/>
    <w:multiLevelType w:val="hybridMultilevel"/>
    <w:tmpl w:val="449EB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E3904AC"/>
    <w:multiLevelType w:val="multilevel"/>
    <w:tmpl w:val="E7CC1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0480744"/>
    <w:multiLevelType w:val="hybridMultilevel"/>
    <w:tmpl w:val="F22286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2094B34"/>
    <w:multiLevelType w:val="multilevel"/>
    <w:tmpl w:val="94B2E56E"/>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37C47E5"/>
    <w:multiLevelType w:val="multilevel"/>
    <w:tmpl w:val="E2AC6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0A12F5"/>
    <w:multiLevelType w:val="multilevel"/>
    <w:tmpl w:val="F0EAC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7296370"/>
    <w:multiLevelType w:val="hybridMultilevel"/>
    <w:tmpl w:val="124C4E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A603072"/>
    <w:multiLevelType w:val="multilevel"/>
    <w:tmpl w:val="959AB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B6F482C"/>
    <w:multiLevelType w:val="multilevel"/>
    <w:tmpl w:val="12D49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4A6C5F"/>
    <w:multiLevelType w:val="multilevel"/>
    <w:tmpl w:val="7EEE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E06CE3"/>
    <w:multiLevelType w:val="multilevel"/>
    <w:tmpl w:val="2E96A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DEA54FB"/>
    <w:multiLevelType w:val="multilevel"/>
    <w:tmpl w:val="BEC4D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E956C83"/>
    <w:multiLevelType w:val="multilevel"/>
    <w:tmpl w:val="6F62A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6350960">
    <w:abstractNumId w:val="40"/>
  </w:num>
  <w:num w:numId="2" w16cid:durableId="1578976513">
    <w:abstractNumId w:val="17"/>
  </w:num>
  <w:num w:numId="3" w16cid:durableId="1863862850">
    <w:abstractNumId w:val="37"/>
  </w:num>
  <w:num w:numId="4" w16cid:durableId="329067826">
    <w:abstractNumId w:val="0"/>
  </w:num>
  <w:num w:numId="5" w16cid:durableId="931160676">
    <w:abstractNumId w:val="15"/>
  </w:num>
  <w:num w:numId="6" w16cid:durableId="2041203736">
    <w:abstractNumId w:val="39"/>
  </w:num>
  <w:num w:numId="7" w16cid:durableId="2042633017">
    <w:abstractNumId w:val="22"/>
  </w:num>
  <w:num w:numId="8" w16cid:durableId="2099015361">
    <w:abstractNumId w:val="14"/>
  </w:num>
  <w:num w:numId="9" w16cid:durableId="847866095">
    <w:abstractNumId w:val="38"/>
  </w:num>
  <w:num w:numId="10" w16cid:durableId="811825687">
    <w:abstractNumId w:val="33"/>
  </w:num>
  <w:num w:numId="11" w16cid:durableId="365327993">
    <w:abstractNumId w:val="29"/>
  </w:num>
  <w:num w:numId="12" w16cid:durableId="1134105391">
    <w:abstractNumId w:val="8"/>
  </w:num>
  <w:num w:numId="13" w16cid:durableId="929199526">
    <w:abstractNumId w:val="3"/>
  </w:num>
  <w:num w:numId="14" w16cid:durableId="1072191039">
    <w:abstractNumId w:val="10"/>
  </w:num>
  <w:num w:numId="15" w16cid:durableId="1854883230">
    <w:abstractNumId w:val="35"/>
  </w:num>
  <w:num w:numId="16" w16cid:durableId="2050642359">
    <w:abstractNumId w:val="23"/>
  </w:num>
  <w:num w:numId="17" w16cid:durableId="267659905">
    <w:abstractNumId w:val="20"/>
  </w:num>
  <w:num w:numId="18" w16cid:durableId="1219821974">
    <w:abstractNumId w:val="9"/>
  </w:num>
  <w:num w:numId="19" w16cid:durableId="286011913">
    <w:abstractNumId w:val="7"/>
  </w:num>
  <w:num w:numId="20" w16cid:durableId="1510025649">
    <w:abstractNumId w:val="5"/>
  </w:num>
  <w:num w:numId="21" w16cid:durableId="1700739657">
    <w:abstractNumId w:val="26"/>
  </w:num>
  <w:num w:numId="22" w16cid:durableId="1196970253">
    <w:abstractNumId w:val="18"/>
  </w:num>
  <w:num w:numId="23" w16cid:durableId="419450180">
    <w:abstractNumId w:val="16"/>
  </w:num>
  <w:num w:numId="24" w16cid:durableId="1039011995">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25" w16cid:durableId="1574773409">
    <w:abstractNumId w:val="36"/>
    <w:lvlOverride w:ilvl="0">
      <w:lvl w:ilvl="0">
        <w:numFmt w:val="bullet"/>
        <w:lvlText w:val=""/>
        <w:lvlJc w:val="left"/>
        <w:pPr>
          <w:tabs>
            <w:tab w:val="num" w:pos="720"/>
          </w:tabs>
          <w:ind w:left="720" w:hanging="360"/>
        </w:pPr>
        <w:rPr>
          <w:rFonts w:ascii="Wingdings" w:hAnsi="Wingdings" w:hint="default"/>
          <w:sz w:val="20"/>
        </w:rPr>
      </w:lvl>
    </w:lvlOverride>
    <w:lvlOverride w:ilvl="1">
      <w:lvl w:ilvl="1" w:tentative="1">
        <w:start w:val="1"/>
        <w:numFmt w:val="bullet"/>
        <w:lvlText w:val="o"/>
        <w:lvlJc w:val="left"/>
        <w:pPr>
          <w:tabs>
            <w:tab w:val="num" w:pos="1440"/>
          </w:tabs>
          <w:ind w:left="1440" w:hanging="360"/>
        </w:pPr>
        <w:rPr>
          <w:rFonts w:ascii="Courier New" w:hAnsi="Courier New" w:hint="default"/>
          <w:sz w:val="20"/>
        </w:rPr>
      </w:lvl>
    </w:lvlOverride>
    <w:lvlOverride w:ilvl="2">
      <w:lvl w:ilvl="2" w:tentative="1">
        <w:start w:val="1"/>
        <w:numFmt w:val="bullet"/>
        <w:lvlText w:val=""/>
        <w:lvlJc w:val="left"/>
        <w:pPr>
          <w:tabs>
            <w:tab w:val="num" w:pos="2160"/>
          </w:tabs>
          <w:ind w:left="2160" w:hanging="360"/>
        </w:pPr>
        <w:rPr>
          <w:rFonts w:ascii="Wingdings" w:hAnsi="Wingdings" w:hint="default"/>
          <w:sz w:val="20"/>
        </w:rPr>
      </w:lvl>
    </w:lvlOverride>
    <w:lvlOverride w:ilvl="3">
      <w:lvl w:ilvl="3" w:tentative="1">
        <w:start w:val="1"/>
        <w:numFmt w:val="bullet"/>
        <w:lvlText w:val=""/>
        <w:lvlJc w:val="left"/>
        <w:pPr>
          <w:tabs>
            <w:tab w:val="num" w:pos="2880"/>
          </w:tabs>
          <w:ind w:left="2880" w:hanging="360"/>
        </w:pPr>
        <w:rPr>
          <w:rFonts w:ascii="Wingdings" w:hAnsi="Wingdings" w:hint="default"/>
          <w:sz w:val="20"/>
        </w:rPr>
      </w:lvl>
    </w:lvlOverride>
    <w:lvlOverride w:ilvl="4">
      <w:lvl w:ilvl="4" w:tentative="1">
        <w:start w:val="1"/>
        <w:numFmt w:val="bullet"/>
        <w:lvlText w:val=""/>
        <w:lvlJc w:val="left"/>
        <w:pPr>
          <w:tabs>
            <w:tab w:val="num" w:pos="3600"/>
          </w:tabs>
          <w:ind w:left="3600" w:hanging="360"/>
        </w:pPr>
        <w:rPr>
          <w:rFonts w:ascii="Wingdings" w:hAnsi="Wingdings" w:hint="default"/>
          <w:sz w:val="20"/>
        </w:rPr>
      </w:lvl>
    </w:lvlOverride>
    <w:lvlOverride w:ilvl="5">
      <w:lvl w:ilvl="5" w:tentative="1">
        <w:start w:val="1"/>
        <w:numFmt w:val="bullet"/>
        <w:lvlText w:val=""/>
        <w:lvlJc w:val="left"/>
        <w:pPr>
          <w:tabs>
            <w:tab w:val="num" w:pos="4320"/>
          </w:tabs>
          <w:ind w:left="4320" w:hanging="360"/>
        </w:pPr>
        <w:rPr>
          <w:rFonts w:ascii="Wingdings" w:hAnsi="Wingdings" w:hint="default"/>
          <w:sz w:val="20"/>
        </w:rPr>
      </w:lvl>
    </w:lvlOverride>
    <w:lvlOverride w:ilvl="6">
      <w:lvl w:ilvl="6" w:tentative="1">
        <w:start w:val="1"/>
        <w:numFmt w:val="bullet"/>
        <w:lvlText w:val=""/>
        <w:lvlJc w:val="left"/>
        <w:pPr>
          <w:tabs>
            <w:tab w:val="num" w:pos="5040"/>
          </w:tabs>
          <w:ind w:left="5040" w:hanging="360"/>
        </w:pPr>
        <w:rPr>
          <w:rFonts w:ascii="Wingdings" w:hAnsi="Wingdings" w:hint="default"/>
          <w:sz w:val="20"/>
        </w:rPr>
      </w:lvl>
    </w:lvlOverride>
    <w:lvlOverride w:ilvl="7">
      <w:lvl w:ilvl="7" w:tentative="1">
        <w:start w:val="1"/>
        <w:numFmt w:val="bullet"/>
        <w:lvlText w:val=""/>
        <w:lvlJc w:val="left"/>
        <w:pPr>
          <w:tabs>
            <w:tab w:val="num" w:pos="5760"/>
          </w:tabs>
          <w:ind w:left="5760" w:hanging="360"/>
        </w:pPr>
        <w:rPr>
          <w:rFonts w:ascii="Wingdings" w:hAnsi="Wingdings" w:hint="default"/>
          <w:sz w:val="20"/>
        </w:rPr>
      </w:lvl>
    </w:lvlOverride>
    <w:lvlOverride w:ilvl="8">
      <w:lvl w:ilvl="8" w:tentative="1">
        <w:start w:val="1"/>
        <w:numFmt w:val="bullet"/>
        <w:lvlText w:val=""/>
        <w:lvlJc w:val="left"/>
        <w:pPr>
          <w:tabs>
            <w:tab w:val="num" w:pos="6480"/>
          </w:tabs>
          <w:ind w:left="6480" w:hanging="360"/>
        </w:pPr>
        <w:rPr>
          <w:rFonts w:ascii="Wingdings" w:hAnsi="Wingdings" w:hint="default"/>
          <w:sz w:val="20"/>
        </w:rPr>
      </w:lvl>
    </w:lvlOverride>
  </w:num>
  <w:num w:numId="26" w16cid:durableId="1195539105">
    <w:abstractNumId w:val="25"/>
  </w:num>
  <w:num w:numId="27" w16cid:durableId="920405473">
    <w:abstractNumId w:val="31"/>
  </w:num>
  <w:num w:numId="28" w16cid:durableId="69893128">
    <w:abstractNumId w:val="1"/>
  </w:num>
  <w:num w:numId="29" w16cid:durableId="1703164975">
    <w:abstractNumId w:val="13"/>
  </w:num>
  <w:num w:numId="30" w16cid:durableId="458039551">
    <w:abstractNumId w:val="21"/>
  </w:num>
  <w:num w:numId="31" w16cid:durableId="1641839418">
    <w:abstractNumId w:val="32"/>
  </w:num>
  <w:num w:numId="32" w16cid:durableId="1992588345">
    <w:abstractNumId w:val="27"/>
  </w:num>
  <w:num w:numId="33" w16cid:durableId="1676107957">
    <w:abstractNumId w:val="24"/>
  </w:num>
  <w:num w:numId="34" w16cid:durableId="1135636901">
    <w:abstractNumId w:val="11"/>
  </w:num>
  <w:num w:numId="35" w16cid:durableId="775713927">
    <w:abstractNumId w:val="6"/>
  </w:num>
  <w:num w:numId="36" w16cid:durableId="367031214">
    <w:abstractNumId w:val="12"/>
  </w:num>
  <w:num w:numId="37" w16cid:durableId="1421683093">
    <w:abstractNumId w:val="34"/>
  </w:num>
  <w:num w:numId="38" w16cid:durableId="395589066">
    <w:abstractNumId w:val="19"/>
  </w:num>
  <w:num w:numId="39" w16cid:durableId="1754937039">
    <w:abstractNumId w:val="30"/>
  </w:num>
  <w:num w:numId="40" w16cid:durableId="1733040389">
    <w:abstractNumId w:val="2"/>
  </w:num>
  <w:num w:numId="41" w16cid:durableId="21432343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1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4EC"/>
    <w:rsid w:val="000442C0"/>
    <w:rsid w:val="00127C6D"/>
    <w:rsid w:val="0015399E"/>
    <w:rsid w:val="001842B1"/>
    <w:rsid w:val="0022425F"/>
    <w:rsid w:val="002C5369"/>
    <w:rsid w:val="002D5FB3"/>
    <w:rsid w:val="00402716"/>
    <w:rsid w:val="00485CCA"/>
    <w:rsid w:val="005A1514"/>
    <w:rsid w:val="005A6B16"/>
    <w:rsid w:val="005D119D"/>
    <w:rsid w:val="0066405B"/>
    <w:rsid w:val="007B3803"/>
    <w:rsid w:val="00880308"/>
    <w:rsid w:val="0088307E"/>
    <w:rsid w:val="008C4AF4"/>
    <w:rsid w:val="009A5311"/>
    <w:rsid w:val="00A334EC"/>
    <w:rsid w:val="00A87C2D"/>
    <w:rsid w:val="00AD7E6A"/>
    <w:rsid w:val="00B10465"/>
    <w:rsid w:val="00B50687"/>
    <w:rsid w:val="00B8638E"/>
    <w:rsid w:val="00BE0EA6"/>
    <w:rsid w:val="00C20B0F"/>
    <w:rsid w:val="00C27333"/>
    <w:rsid w:val="00C31FB7"/>
    <w:rsid w:val="00CA3C2A"/>
    <w:rsid w:val="00D05ABB"/>
    <w:rsid w:val="00D1315B"/>
    <w:rsid w:val="00D67433"/>
    <w:rsid w:val="00D95483"/>
    <w:rsid w:val="00DC3176"/>
    <w:rsid w:val="00E126D7"/>
    <w:rsid w:val="00E22716"/>
    <w:rsid w:val="00E26289"/>
    <w:rsid w:val="00EA3A5E"/>
    <w:rsid w:val="00F11BF7"/>
    <w:rsid w:val="00F212F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CED70"/>
  <w15:chartTrackingRefBased/>
  <w15:docId w15:val="{CD4ABDF8-5737-4E13-BAC5-9BB9D6E43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A5311"/>
    <w:pPr>
      <w:keepNext/>
      <w:keepLines/>
      <w:spacing w:before="480" w:after="0" w:line="276" w:lineRule="auto"/>
      <w:outlineLvl w:val="0"/>
    </w:pPr>
    <w:rPr>
      <w:rFonts w:asciiTheme="majorHAnsi" w:eastAsiaTheme="majorEastAsia" w:hAnsiTheme="majorHAnsi" w:cstheme="majorBidi"/>
      <w:b/>
      <w:bCs/>
      <w:color w:val="2F5496" w:themeColor="accent1" w:themeShade="BF"/>
      <w:kern w:val="0"/>
      <w:sz w:val="28"/>
      <w:szCs w:val="28"/>
      <w14:ligatures w14:val="none"/>
    </w:rPr>
  </w:style>
  <w:style w:type="paragraph" w:styleId="Titolo2">
    <w:name w:val="heading 2"/>
    <w:basedOn w:val="Normale"/>
    <w:link w:val="Titolo2Carattere"/>
    <w:uiPriority w:val="9"/>
    <w:qFormat/>
    <w:rsid w:val="009A5311"/>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it-IT"/>
      <w14:ligatures w14:val="none"/>
    </w:rPr>
  </w:style>
  <w:style w:type="paragraph" w:styleId="Titolo3">
    <w:name w:val="heading 3"/>
    <w:basedOn w:val="Normale"/>
    <w:next w:val="Normale"/>
    <w:link w:val="Titolo3Carattere"/>
    <w:uiPriority w:val="9"/>
    <w:semiHidden/>
    <w:unhideWhenUsed/>
    <w:qFormat/>
    <w:rsid w:val="009A5311"/>
    <w:pPr>
      <w:keepNext/>
      <w:keepLines/>
      <w:spacing w:before="200" w:after="0" w:line="276" w:lineRule="auto"/>
      <w:outlineLvl w:val="2"/>
    </w:pPr>
    <w:rPr>
      <w:rFonts w:asciiTheme="majorHAnsi" w:eastAsiaTheme="majorEastAsia" w:hAnsiTheme="majorHAnsi" w:cstheme="majorBidi"/>
      <w:b/>
      <w:bCs/>
      <w:color w:val="4472C4" w:themeColor="accent1"/>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C27333"/>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Titolo1Carattere">
    <w:name w:val="Titolo 1 Carattere"/>
    <w:basedOn w:val="Carpredefinitoparagrafo"/>
    <w:link w:val="Titolo1"/>
    <w:uiPriority w:val="9"/>
    <w:rsid w:val="009A5311"/>
    <w:rPr>
      <w:rFonts w:asciiTheme="majorHAnsi" w:eastAsiaTheme="majorEastAsia" w:hAnsiTheme="majorHAnsi" w:cstheme="majorBidi"/>
      <w:b/>
      <w:bCs/>
      <w:color w:val="2F5496" w:themeColor="accent1" w:themeShade="BF"/>
      <w:kern w:val="0"/>
      <w:sz w:val="28"/>
      <w:szCs w:val="28"/>
      <w14:ligatures w14:val="none"/>
    </w:rPr>
  </w:style>
  <w:style w:type="character" w:customStyle="1" w:styleId="Titolo2Carattere">
    <w:name w:val="Titolo 2 Carattere"/>
    <w:basedOn w:val="Carpredefinitoparagrafo"/>
    <w:link w:val="Titolo2"/>
    <w:uiPriority w:val="9"/>
    <w:rsid w:val="009A5311"/>
    <w:rPr>
      <w:rFonts w:ascii="Times New Roman" w:eastAsia="Times New Roman" w:hAnsi="Times New Roman" w:cs="Times New Roman"/>
      <w:b/>
      <w:bCs/>
      <w:kern w:val="0"/>
      <w:sz w:val="36"/>
      <w:szCs w:val="36"/>
      <w:lang w:eastAsia="it-IT"/>
      <w14:ligatures w14:val="none"/>
    </w:rPr>
  </w:style>
  <w:style w:type="character" w:customStyle="1" w:styleId="Titolo3Carattere">
    <w:name w:val="Titolo 3 Carattere"/>
    <w:basedOn w:val="Carpredefinitoparagrafo"/>
    <w:link w:val="Titolo3"/>
    <w:uiPriority w:val="9"/>
    <w:semiHidden/>
    <w:rsid w:val="009A5311"/>
    <w:rPr>
      <w:rFonts w:asciiTheme="majorHAnsi" w:eastAsiaTheme="majorEastAsia" w:hAnsiTheme="majorHAnsi" w:cstheme="majorBidi"/>
      <w:b/>
      <w:bCs/>
      <w:color w:val="4472C4" w:themeColor="accent1"/>
      <w:kern w:val="0"/>
      <w14:ligatures w14:val="none"/>
    </w:rPr>
  </w:style>
  <w:style w:type="character" w:styleId="Collegamentoipertestuale">
    <w:name w:val="Hyperlink"/>
    <w:basedOn w:val="Carpredefinitoparagrafo"/>
    <w:uiPriority w:val="99"/>
    <w:semiHidden/>
    <w:unhideWhenUsed/>
    <w:rsid w:val="009A5311"/>
    <w:rPr>
      <w:color w:val="0000FF"/>
      <w:u w:val="single"/>
    </w:rPr>
  </w:style>
  <w:style w:type="character" w:styleId="Enfasigrassetto">
    <w:name w:val="Strong"/>
    <w:basedOn w:val="Carpredefinitoparagrafo"/>
    <w:uiPriority w:val="22"/>
    <w:qFormat/>
    <w:rsid w:val="009A5311"/>
    <w:rPr>
      <w:b/>
      <w:bCs/>
    </w:rPr>
  </w:style>
  <w:style w:type="paragraph" w:customStyle="1" w:styleId="has-text-align-justify">
    <w:name w:val="has-text-align-justify"/>
    <w:basedOn w:val="Normale"/>
    <w:rsid w:val="009A5311"/>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Paragrafoelenco">
    <w:name w:val="List Paragraph"/>
    <w:basedOn w:val="Normale"/>
    <w:uiPriority w:val="34"/>
    <w:qFormat/>
    <w:rsid w:val="006640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794871">
      <w:bodyDiv w:val="1"/>
      <w:marLeft w:val="0"/>
      <w:marRight w:val="0"/>
      <w:marTop w:val="0"/>
      <w:marBottom w:val="0"/>
      <w:divBdr>
        <w:top w:val="none" w:sz="0" w:space="0" w:color="auto"/>
        <w:left w:val="none" w:sz="0" w:space="0" w:color="auto"/>
        <w:bottom w:val="none" w:sz="0" w:space="0" w:color="auto"/>
        <w:right w:val="none" w:sz="0" w:space="0" w:color="auto"/>
      </w:divBdr>
    </w:div>
    <w:div w:id="504395743">
      <w:bodyDiv w:val="1"/>
      <w:marLeft w:val="0"/>
      <w:marRight w:val="0"/>
      <w:marTop w:val="0"/>
      <w:marBottom w:val="0"/>
      <w:divBdr>
        <w:top w:val="none" w:sz="0" w:space="0" w:color="auto"/>
        <w:left w:val="none" w:sz="0" w:space="0" w:color="auto"/>
        <w:bottom w:val="none" w:sz="0" w:space="0" w:color="auto"/>
        <w:right w:val="none" w:sz="0" w:space="0" w:color="auto"/>
      </w:divBdr>
    </w:div>
    <w:div w:id="545259696">
      <w:bodyDiv w:val="1"/>
      <w:marLeft w:val="0"/>
      <w:marRight w:val="0"/>
      <w:marTop w:val="0"/>
      <w:marBottom w:val="0"/>
      <w:divBdr>
        <w:top w:val="none" w:sz="0" w:space="0" w:color="auto"/>
        <w:left w:val="none" w:sz="0" w:space="0" w:color="auto"/>
        <w:bottom w:val="none" w:sz="0" w:space="0" w:color="auto"/>
        <w:right w:val="none" w:sz="0" w:space="0" w:color="auto"/>
      </w:divBdr>
    </w:div>
    <w:div w:id="669260819">
      <w:bodyDiv w:val="1"/>
      <w:marLeft w:val="0"/>
      <w:marRight w:val="0"/>
      <w:marTop w:val="0"/>
      <w:marBottom w:val="0"/>
      <w:divBdr>
        <w:top w:val="none" w:sz="0" w:space="0" w:color="auto"/>
        <w:left w:val="none" w:sz="0" w:space="0" w:color="auto"/>
        <w:bottom w:val="none" w:sz="0" w:space="0" w:color="auto"/>
        <w:right w:val="none" w:sz="0" w:space="0" w:color="auto"/>
      </w:divBdr>
    </w:div>
    <w:div w:id="780958886">
      <w:bodyDiv w:val="1"/>
      <w:marLeft w:val="0"/>
      <w:marRight w:val="0"/>
      <w:marTop w:val="0"/>
      <w:marBottom w:val="0"/>
      <w:divBdr>
        <w:top w:val="none" w:sz="0" w:space="0" w:color="auto"/>
        <w:left w:val="none" w:sz="0" w:space="0" w:color="auto"/>
        <w:bottom w:val="none" w:sz="0" w:space="0" w:color="auto"/>
        <w:right w:val="none" w:sz="0" w:space="0" w:color="auto"/>
      </w:divBdr>
    </w:div>
    <w:div w:id="807937298">
      <w:bodyDiv w:val="1"/>
      <w:marLeft w:val="0"/>
      <w:marRight w:val="0"/>
      <w:marTop w:val="0"/>
      <w:marBottom w:val="0"/>
      <w:divBdr>
        <w:top w:val="none" w:sz="0" w:space="0" w:color="auto"/>
        <w:left w:val="none" w:sz="0" w:space="0" w:color="auto"/>
        <w:bottom w:val="none" w:sz="0" w:space="0" w:color="auto"/>
        <w:right w:val="none" w:sz="0" w:space="0" w:color="auto"/>
      </w:divBdr>
      <w:divsChild>
        <w:div w:id="182205999">
          <w:marLeft w:val="0"/>
          <w:marRight w:val="0"/>
          <w:marTop w:val="0"/>
          <w:marBottom w:val="0"/>
          <w:divBdr>
            <w:top w:val="none" w:sz="0" w:space="0" w:color="auto"/>
            <w:left w:val="none" w:sz="0" w:space="0" w:color="auto"/>
            <w:bottom w:val="none" w:sz="0" w:space="0" w:color="auto"/>
            <w:right w:val="none" w:sz="0" w:space="0" w:color="auto"/>
          </w:divBdr>
        </w:div>
        <w:div w:id="1883402192">
          <w:marLeft w:val="0"/>
          <w:marRight w:val="0"/>
          <w:marTop w:val="0"/>
          <w:marBottom w:val="0"/>
          <w:divBdr>
            <w:top w:val="none" w:sz="0" w:space="0" w:color="auto"/>
            <w:left w:val="none" w:sz="0" w:space="0" w:color="auto"/>
            <w:bottom w:val="none" w:sz="0" w:space="0" w:color="auto"/>
            <w:right w:val="none" w:sz="0" w:space="0" w:color="auto"/>
          </w:divBdr>
          <w:divsChild>
            <w:div w:id="1175000232">
              <w:marLeft w:val="0"/>
              <w:marRight w:val="0"/>
              <w:marTop w:val="75"/>
              <w:marBottom w:val="150"/>
              <w:divBdr>
                <w:top w:val="single" w:sz="6" w:space="0" w:color="E1E1E1"/>
                <w:left w:val="single" w:sz="6" w:space="0" w:color="E1E1E1"/>
                <w:bottom w:val="single" w:sz="6" w:space="0" w:color="E1E1E1"/>
                <w:right w:val="single" w:sz="6" w:space="0" w:color="E1E1E1"/>
              </w:divBdr>
            </w:div>
          </w:divsChild>
        </w:div>
      </w:divsChild>
    </w:div>
    <w:div w:id="934823860">
      <w:bodyDiv w:val="1"/>
      <w:marLeft w:val="0"/>
      <w:marRight w:val="0"/>
      <w:marTop w:val="0"/>
      <w:marBottom w:val="0"/>
      <w:divBdr>
        <w:top w:val="none" w:sz="0" w:space="0" w:color="auto"/>
        <w:left w:val="none" w:sz="0" w:space="0" w:color="auto"/>
        <w:bottom w:val="none" w:sz="0" w:space="0" w:color="auto"/>
        <w:right w:val="none" w:sz="0" w:space="0" w:color="auto"/>
      </w:divBdr>
    </w:div>
    <w:div w:id="969288496">
      <w:bodyDiv w:val="1"/>
      <w:marLeft w:val="0"/>
      <w:marRight w:val="0"/>
      <w:marTop w:val="0"/>
      <w:marBottom w:val="0"/>
      <w:divBdr>
        <w:top w:val="none" w:sz="0" w:space="0" w:color="auto"/>
        <w:left w:val="none" w:sz="0" w:space="0" w:color="auto"/>
        <w:bottom w:val="none" w:sz="0" w:space="0" w:color="auto"/>
        <w:right w:val="none" w:sz="0" w:space="0" w:color="auto"/>
      </w:divBdr>
    </w:div>
    <w:div w:id="1021124547">
      <w:bodyDiv w:val="1"/>
      <w:marLeft w:val="0"/>
      <w:marRight w:val="0"/>
      <w:marTop w:val="0"/>
      <w:marBottom w:val="0"/>
      <w:divBdr>
        <w:top w:val="none" w:sz="0" w:space="0" w:color="auto"/>
        <w:left w:val="none" w:sz="0" w:space="0" w:color="auto"/>
        <w:bottom w:val="none" w:sz="0" w:space="0" w:color="auto"/>
        <w:right w:val="none" w:sz="0" w:space="0" w:color="auto"/>
      </w:divBdr>
      <w:divsChild>
        <w:div w:id="2015915268">
          <w:marLeft w:val="0"/>
          <w:marRight w:val="0"/>
          <w:marTop w:val="0"/>
          <w:marBottom w:val="0"/>
          <w:divBdr>
            <w:top w:val="none" w:sz="0" w:space="0" w:color="auto"/>
            <w:left w:val="none" w:sz="0" w:space="0" w:color="auto"/>
            <w:bottom w:val="none" w:sz="0" w:space="0" w:color="auto"/>
            <w:right w:val="none" w:sz="0" w:space="0" w:color="auto"/>
          </w:divBdr>
          <w:divsChild>
            <w:div w:id="1473910735">
              <w:marLeft w:val="-600"/>
              <w:marRight w:val="0"/>
              <w:marTop w:val="0"/>
              <w:marBottom w:val="0"/>
              <w:divBdr>
                <w:top w:val="none" w:sz="0" w:space="0" w:color="auto"/>
                <w:left w:val="none" w:sz="0" w:space="0" w:color="auto"/>
                <w:bottom w:val="none" w:sz="0" w:space="0" w:color="auto"/>
                <w:right w:val="none" w:sz="0" w:space="0" w:color="auto"/>
              </w:divBdr>
              <w:divsChild>
                <w:div w:id="1274095097">
                  <w:marLeft w:val="0"/>
                  <w:marRight w:val="0"/>
                  <w:marTop w:val="0"/>
                  <w:marBottom w:val="0"/>
                  <w:divBdr>
                    <w:top w:val="none" w:sz="0" w:space="0" w:color="auto"/>
                    <w:left w:val="none" w:sz="0" w:space="0" w:color="auto"/>
                    <w:bottom w:val="none" w:sz="0" w:space="0" w:color="auto"/>
                    <w:right w:val="none" w:sz="0" w:space="0" w:color="auto"/>
                  </w:divBdr>
                  <w:divsChild>
                    <w:div w:id="28576267">
                      <w:marLeft w:val="0"/>
                      <w:marRight w:val="0"/>
                      <w:marTop w:val="0"/>
                      <w:marBottom w:val="0"/>
                      <w:divBdr>
                        <w:top w:val="none" w:sz="0" w:space="0" w:color="auto"/>
                        <w:left w:val="none" w:sz="0" w:space="0" w:color="auto"/>
                        <w:bottom w:val="none" w:sz="0" w:space="0" w:color="auto"/>
                        <w:right w:val="none" w:sz="0" w:space="0" w:color="auto"/>
                      </w:divBdr>
                      <w:divsChild>
                        <w:div w:id="572666376">
                          <w:marLeft w:val="0"/>
                          <w:marRight w:val="0"/>
                          <w:marTop w:val="0"/>
                          <w:marBottom w:val="0"/>
                          <w:divBdr>
                            <w:top w:val="none" w:sz="0" w:space="0" w:color="auto"/>
                            <w:left w:val="none" w:sz="0" w:space="0" w:color="auto"/>
                            <w:bottom w:val="none" w:sz="0" w:space="0" w:color="auto"/>
                            <w:right w:val="none" w:sz="0" w:space="0" w:color="auto"/>
                          </w:divBdr>
                          <w:divsChild>
                            <w:div w:id="2044742268">
                              <w:marLeft w:val="0"/>
                              <w:marRight w:val="0"/>
                              <w:marTop w:val="0"/>
                              <w:marBottom w:val="0"/>
                              <w:divBdr>
                                <w:top w:val="none" w:sz="0" w:space="0" w:color="auto"/>
                                <w:left w:val="none" w:sz="0" w:space="0" w:color="auto"/>
                                <w:bottom w:val="none" w:sz="0" w:space="0" w:color="auto"/>
                                <w:right w:val="none" w:sz="0" w:space="0" w:color="auto"/>
                              </w:divBdr>
                              <w:divsChild>
                                <w:div w:id="850951904">
                                  <w:marLeft w:val="0"/>
                                  <w:marRight w:val="0"/>
                                  <w:marTop w:val="0"/>
                                  <w:marBottom w:val="0"/>
                                  <w:divBdr>
                                    <w:top w:val="none" w:sz="0" w:space="0" w:color="auto"/>
                                    <w:left w:val="none" w:sz="0" w:space="0" w:color="auto"/>
                                    <w:bottom w:val="none" w:sz="0" w:space="0" w:color="auto"/>
                                    <w:right w:val="none" w:sz="0" w:space="0" w:color="auto"/>
                                  </w:divBdr>
                                  <w:divsChild>
                                    <w:div w:id="98648922">
                                      <w:marLeft w:val="0"/>
                                      <w:marRight w:val="0"/>
                                      <w:marTop w:val="0"/>
                                      <w:marBottom w:val="0"/>
                                      <w:divBdr>
                                        <w:top w:val="none" w:sz="0" w:space="0" w:color="auto"/>
                                        <w:left w:val="none" w:sz="0" w:space="0" w:color="auto"/>
                                        <w:bottom w:val="none" w:sz="0" w:space="0" w:color="auto"/>
                                        <w:right w:val="none" w:sz="0" w:space="0" w:color="auto"/>
                                      </w:divBdr>
                                    </w:div>
                                    <w:div w:id="78714719">
                                      <w:marLeft w:val="0"/>
                                      <w:marRight w:val="0"/>
                                      <w:marTop w:val="0"/>
                                      <w:marBottom w:val="0"/>
                                      <w:divBdr>
                                        <w:top w:val="none" w:sz="0" w:space="0" w:color="auto"/>
                                        <w:left w:val="none" w:sz="0" w:space="0" w:color="auto"/>
                                        <w:bottom w:val="none" w:sz="0" w:space="0" w:color="auto"/>
                                        <w:right w:val="none" w:sz="0" w:space="0" w:color="auto"/>
                                      </w:divBdr>
                                      <w:divsChild>
                                        <w:div w:id="18775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6885037">
          <w:marLeft w:val="0"/>
          <w:marRight w:val="0"/>
          <w:marTop w:val="0"/>
          <w:marBottom w:val="0"/>
          <w:divBdr>
            <w:top w:val="none" w:sz="0" w:space="0" w:color="auto"/>
            <w:left w:val="none" w:sz="0" w:space="0" w:color="auto"/>
            <w:bottom w:val="none" w:sz="0" w:space="0" w:color="auto"/>
            <w:right w:val="none" w:sz="0" w:space="0" w:color="auto"/>
          </w:divBdr>
          <w:divsChild>
            <w:div w:id="803423745">
              <w:marLeft w:val="-360"/>
              <w:marRight w:val="0"/>
              <w:marTop w:val="0"/>
              <w:marBottom w:val="0"/>
              <w:divBdr>
                <w:top w:val="none" w:sz="0" w:space="0" w:color="auto"/>
                <w:left w:val="none" w:sz="0" w:space="0" w:color="auto"/>
                <w:bottom w:val="none" w:sz="0" w:space="0" w:color="auto"/>
                <w:right w:val="none" w:sz="0" w:space="0" w:color="auto"/>
              </w:divBdr>
              <w:divsChild>
                <w:div w:id="671614264">
                  <w:marLeft w:val="0"/>
                  <w:marRight w:val="0"/>
                  <w:marTop w:val="0"/>
                  <w:marBottom w:val="0"/>
                  <w:divBdr>
                    <w:top w:val="none" w:sz="0" w:space="0" w:color="auto"/>
                    <w:left w:val="none" w:sz="0" w:space="0" w:color="auto"/>
                    <w:bottom w:val="none" w:sz="0" w:space="0" w:color="auto"/>
                    <w:right w:val="none" w:sz="0" w:space="0" w:color="auto"/>
                  </w:divBdr>
                  <w:divsChild>
                    <w:div w:id="122016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922873">
          <w:marLeft w:val="0"/>
          <w:marRight w:val="0"/>
          <w:marTop w:val="0"/>
          <w:marBottom w:val="0"/>
          <w:divBdr>
            <w:top w:val="none" w:sz="0" w:space="0" w:color="auto"/>
            <w:left w:val="none" w:sz="0" w:space="0" w:color="auto"/>
            <w:bottom w:val="none" w:sz="0" w:space="0" w:color="auto"/>
            <w:right w:val="none" w:sz="0" w:space="0" w:color="auto"/>
          </w:divBdr>
          <w:divsChild>
            <w:div w:id="1158424631">
              <w:marLeft w:val="-360"/>
              <w:marRight w:val="0"/>
              <w:marTop w:val="0"/>
              <w:marBottom w:val="0"/>
              <w:divBdr>
                <w:top w:val="none" w:sz="0" w:space="0" w:color="auto"/>
                <w:left w:val="none" w:sz="0" w:space="0" w:color="auto"/>
                <w:bottom w:val="none" w:sz="0" w:space="0" w:color="auto"/>
                <w:right w:val="none" w:sz="0" w:space="0" w:color="auto"/>
              </w:divBdr>
              <w:divsChild>
                <w:div w:id="1330215753">
                  <w:marLeft w:val="0"/>
                  <w:marRight w:val="0"/>
                  <w:marTop w:val="0"/>
                  <w:marBottom w:val="0"/>
                  <w:divBdr>
                    <w:top w:val="none" w:sz="0" w:space="0" w:color="auto"/>
                    <w:left w:val="none" w:sz="0" w:space="0" w:color="auto"/>
                    <w:bottom w:val="none" w:sz="0" w:space="0" w:color="auto"/>
                    <w:right w:val="none" w:sz="0" w:space="0" w:color="auto"/>
                  </w:divBdr>
                  <w:divsChild>
                    <w:div w:id="69527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126278">
      <w:bodyDiv w:val="1"/>
      <w:marLeft w:val="0"/>
      <w:marRight w:val="0"/>
      <w:marTop w:val="0"/>
      <w:marBottom w:val="0"/>
      <w:divBdr>
        <w:top w:val="none" w:sz="0" w:space="0" w:color="auto"/>
        <w:left w:val="none" w:sz="0" w:space="0" w:color="auto"/>
        <w:bottom w:val="none" w:sz="0" w:space="0" w:color="auto"/>
        <w:right w:val="none" w:sz="0" w:space="0" w:color="auto"/>
      </w:divBdr>
      <w:divsChild>
        <w:div w:id="1512449040">
          <w:marLeft w:val="0"/>
          <w:marRight w:val="0"/>
          <w:marTop w:val="0"/>
          <w:marBottom w:val="0"/>
          <w:divBdr>
            <w:top w:val="none" w:sz="0" w:space="0" w:color="auto"/>
            <w:left w:val="none" w:sz="0" w:space="0" w:color="auto"/>
            <w:bottom w:val="none" w:sz="0" w:space="0" w:color="auto"/>
            <w:right w:val="none" w:sz="0" w:space="0" w:color="auto"/>
          </w:divBdr>
        </w:div>
        <w:div w:id="771777254">
          <w:marLeft w:val="0"/>
          <w:marRight w:val="0"/>
          <w:marTop w:val="0"/>
          <w:marBottom w:val="0"/>
          <w:divBdr>
            <w:top w:val="none" w:sz="0" w:space="0" w:color="auto"/>
            <w:left w:val="none" w:sz="0" w:space="0" w:color="auto"/>
            <w:bottom w:val="none" w:sz="0" w:space="0" w:color="auto"/>
            <w:right w:val="none" w:sz="0" w:space="0" w:color="auto"/>
          </w:divBdr>
          <w:divsChild>
            <w:div w:id="1949702774">
              <w:marLeft w:val="0"/>
              <w:marRight w:val="0"/>
              <w:marTop w:val="75"/>
              <w:marBottom w:val="150"/>
              <w:divBdr>
                <w:top w:val="single" w:sz="6" w:space="0" w:color="E1E1E1"/>
                <w:left w:val="single" w:sz="6" w:space="0" w:color="E1E1E1"/>
                <w:bottom w:val="single" w:sz="6" w:space="0" w:color="E1E1E1"/>
                <w:right w:val="single" w:sz="6" w:space="0" w:color="E1E1E1"/>
              </w:divBdr>
            </w:div>
          </w:divsChild>
        </w:div>
      </w:divsChild>
    </w:div>
    <w:div w:id="1156143480">
      <w:bodyDiv w:val="1"/>
      <w:marLeft w:val="0"/>
      <w:marRight w:val="0"/>
      <w:marTop w:val="0"/>
      <w:marBottom w:val="0"/>
      <w:divBdr>
        <w:top w:val="none" w:sz="0" w:space="0" w:color="auto"/>
        <w:left w:val="none" w:sz="0" w:space="0" w:color="auto"/>
        <w:bottom w:val="none" w:sz="0" w:space="0" w:color="auto"/>
        <w:right w:val="none" w:sz="0" w:space="0" w:color="auto"/>
      </w:divBdr>
      <w:divsChild>
        <w:div w:id="415522171">
          <w:marLeft w:val="0"/>
          <w:marRight w:val="0"/>
          <w:marTop w:val="0"/>
          <w:marBottom w:val="0"/>
          <w:divBdr>
            <w:top w:val="none" w:sz="0" w:space="0" w:color="auto"/>
            <w:left w:val="none" w:sz="0" w:space="0" w:color="auto"/>
            <w:bottom w:val="none" w:sz="0" w:space="0" w:color="auto"/>
            <w:right w:val="none" w:sz="0" w:space="0" w:color="auto"/>
          </w:divBdr>
        </w:div>
        <w:div w:id="1446925523">
          <w:marLeft w:val="0"/>
          <w:marRight w:val="0"/>
          <w:marTop w:val="0"/>
          <w:marBottom w:val="0"/>
          <w:divBdr>
            <w:top w:val="none" w:sz="0" w:space="0" w:color="auto"/>
            <w:left w:val="none" w:sz="0" w:space="0" w:color="auto"/>
            <w:bottom w:val="none" w:sz="0" w:space="0" w:color="auto"/>
            <w:right w:val="none" w:sz="0" w:space="0" w:color="auto"/>
          </w:divBdr>
          <w:divsChild>
            <w:div w:id="272906032">
              <w:marLeft w:val="0"/>
              <w:marRight w:val="0"/>
              <w:marTop w:val="0"/>
              <w:marBottom w:val="0"/>
              <w:divBdr>
                <w:top w:val="none" w:sz="0" w:space="0" w:color="auto"/>
                <w:left w:val="none" w:sz="0" w:space="0" w:color="auto"/>
                <w:bottom w:val="none" w:sz="0" w:space="0" w:color="auto"/>
                <w:right w:val="none" w:sz="0" w:space="0" w:color="auto"/>
              </w:divBdr>
              <w:divsChild>
                <w:div w:id="1243904609">
                  <w:marLeft w:val="0"/>
                  <w:marRight w:val="0"/>
                  <w:marTop w:val="150"/>
                  <w:marBottom w:val="150"/>
                  <w:divBdr>
                    <w:top w:val="none" w:sz="0" w:space="0" w:color="auto"/>
                    <w:left w:val="none" w:sz="0" w:space="0" w:color="auto"/>
                    <w:bottom w:val="none" w:sz="0" w:space="0" w:color="auto"/>
                    <w:right w:val="none" w:sz="0" w:space="0" w:color="auto"/>
                  </w:divBdr>
                  <w:divsChild>
                    <w:div w:id="122529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111457">
          <w:marLeft w:val="0"/>
          <w:marRight w:val="0"/>
          <w:marTop w:val="0"/>
          <w:marBottom w:val="0"/>
          <w:divBdr>
            <w:top w:val="none" w:sz="0" w:space="0" w:color="auto"/>
            <w:left w:val="none" w:sz="0" w:space="0" w:color="auto"/>
            <w:bottom w:val="none" w:sz="0" w:space="0" w:color="auto"/>
            <w:right w:val="none" w:sz="0" w:space="0" w:color="auto"/>
          </w:divBdr>
        </w:div>
      </w:divsChild>
    </w:div>
    <w:div w:id="1343556234">
      <w:bodyDiv w:val="1"/>
      <w:marLeft w:val="0"/>
      <w:marRight w:val="0"/>
      <w:marTop w:val="0"/>
      <w:marBottom w:val="0"/>
      <w:divBdr>
        <w:top w:val="none" w:sz="0" w:space="0" w:color="auto"/>
        <w:left w:val="none" w:sz="0" w:space="0" w:color="auto"/>
        <w:bottom w:val="none" w:sz="0" w:space="0" w:color="auto"/>
        <w:right w:val="none" w:sz="0" w:space="0" w:color="auto"/>
      </w:divBdr>
      <w:divsChild>
        <w:div w:id="1106776375">
          <w:marLeft w:val="0"/>
          <w:marRight w:val="0"/>
          <w:marTop w:val="0"/>
          <w:marBottom w:val="360"/>
          <w:divBdr>
            <w:top w:val="none" w:sz="0" w:space="0" w:color="auto"/>
            <w:left w:val="none" w:sz="0" w:space="0" w:color="auto"/>
            <w:bottom w:val="none" w:sz="0" w:space="0" w:color="auto"/>
            <w:right w:val="none" w:sz="0" w:space="0" w:color="auto"/>
          </w:divBdr>
          <w:divsChild>
            <w:div w:id="1174996230">
              <w:marLeft w:val="-150"/>
              <w:marRight w:val="-150"/>
              <w:marTop w:val="0"/>
              <w:marBottom w:val="0"/>
              <w:divBdr>
                <w:top w:val="none" w:sz="0" w:space="0" w:color="auto"/>
                <w:left w:val="none" w:sz="0" w:space="0" w:color="auto"/>
                <w:bottom w:val="none" w:sz="0" w:space="0" w:color="auto"/>
                <w:right w:val="none" w:sz="0" w:space="0" w:color="auto"/>
              </w:divBdr>
              <w:divsChild>
                <w:div w:id="1939021084">
                  <w:marLeft w:val="0"/>
                  <w:marRight w:val="0"/>
                  <w:marTop w:val="0"/>
                  <w:marBottom w:val="0"/>
                  <w:divBdr>
                    <w:top w:val="none" w:sz="0" w:space="0" w:color="auto"/>
                    <w:left w:val="none" w:sz="0" w:space="0" w:color="auto"/>
                    <w:bottom w:val="none" w:sz="0" w:space="0" w:color="auto"/>
                    <w:right w:val="none" w:sz="0" w:space="0" w:color="auto"/>
                  </w:divBdr>
                  <w:divsChild>
                    <w:div w:id="1824659083">
                      <w:marLeft w:val="0"/>
                      <w:marRight w:val="0"/>
                      <w:marTop w:val="0"/>
                      <w:marBottom w:val="0"/>
                      <w:divBdr>
                        <w:top w:val="none" w:sz="0" w:space="0" w:color="auto"/>
                        <w:left w:val="none" w:sz="0" w:space="0" w:color="auto"/>
                        <w:bottom w:val="none" w:sz="0" w:space="0" w:color="auto"/>
                        <w:right w:val="none" w:sz="0" w:space="0" w:color="auto"/>
                      </w:divBdr>
                      <w:divsChild>
                        <w:div w:id="1549150664">
                          <w:marLeft w:val="0"/>
                          <w:marRight w:val="0"/>
                          <w:marTop w:val="0"/>
                          <w:marBottom w:val="0"/>
                          <w:divBdr>
                            <w:top w:val="none" w:sz="0" w:space="0" w:color="auto"/>
                            <w:left w:val="none" w:sz="0" w:space="0" w:color="auto"/>
                            <w:bottom w:val="none" w:sz="0" w:space="0" w:color="auto"/>
                            <w:right w:val="none" w:sz="0" w:space="0" w:color="auto"/>
                          </w:divBdr>
                          <w:divsChild>
                            <w:div w:id="1695764064">
                              <w:marLeft w:val="0"/>
                              <w:marRight w:val="0"/>
                              <w:marTop w:val="0"/>
                              <w:marBottom w:val="0"/>
                              <w:divBdr>
                                <w:top w:val="none" w:sz="0" w:space="0" w:color="auto"/>
                                <w:left w:val="none" w:sz="0" w:space="0" w:color="auto"/>
                                <w:bottom w:val="none" w:sz="0" w:space="0" w:color="auto"/>
                                <w:right w:val="none" w:sz="0" w:space="0" w:color="auto"/>
                              </w:divBdr>
                              <w:divsChild>
                                <w:div w:id="179201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518337">
          <w:marLeft w:val="0"/>
          <w:marRight w:val="0"/>
          <w:marTop w:val="0"/>
          <w:marBottom w:val="360"/>
          <w:divBdr>
            <w:top w:val="none" w:sz="0" w:space="0" w:color="auto"/>
            <w:left w:val="none" w:sz="0" w:space="0" w:color="auto"/>
            <w:bottom w:val="none" w:sz="0" w:space="0" w:color="auto"/>
            <w:right w:val="none" w:sz="0" w:space="0" w:color="auto"/>
          </w:divBdr>
          <w:divsChild>
            <w:div w:id="564296860">
              <w:marLeft w:val="-150"/>
              <w:marRight w:val="-150"/>
              <w:marTop w:val="0"/>
              <w:marBottom w:val="0"/>
              <w:divBdr>
                <w:top w:val="none" w:sz="0" w:space="0" w:color="auto"/>
                <w:left w:val="none" w:sz="0" w:space="0" w:color="auto"/>
                <w:bottom w:val="none" w:sz="0" w:space="0" w:color="auto"/>
                <w:right w:val="none" w:sz="0" w:space="0" w:color="auto"/>
              </w:divBdr>
              <w:divsChild>
                <w:div w:id="1353145191">
                  <w:marLeft w:val="0"/>
                  <w:marRight w:val="0"/>
                  <w:marTop w:val="0"/>
                  <w:marBottom w:val="0"/>
                  <w:divBdr>
                    <w:top w:val="none" w:sz="0" w:space="0" w:color="auto"/>
                    <w:left w:val="none" w:sz="0" w:space="0" w:color="auto"/>
                    <w:bottom w:val="none" w:sz="0" w:space="0" w:color="auto"/>
                    <w:right w:val="none" w:sz="0" w:space="0" w:color="auto"/>
                  </w:divBdr>
                  <w:divsChild>
                    <w:div w:id="2030914274">
                      <w:marLeft w:val="0"/>
                      <w:marRight w:val="0"/>
                      <w:marTop w:val="0"/>
                      <w:marBottom w:val="0"/>
                      <w:divBdr>
                        <w:top w:val="none" w:sz="0" w:space="0" w:color="auto"/>
                        <w:left w:val="none" w:sz="0" w:space="0" w:color="auto"/>
                        <w:bottom w:val="none" w:sz="0" w:space="0" w:color="auto"/>
                        <w:right w:val="none" w:sz="0" w:space="0" w:color="auto"/>
                      </w:divBdr>
                      <w:divsChild>
                        <w:div w:id="1047217427">
                          <w:marLeft w:val="0"/>
                          <w:marRight w:val="0"/>
                          <w:marTop w:val="0"/>
                          <w:marBottom w:val="0"/>
                          <w:divBdr>
                            <w:top w:val="none" w:sz="0" w:space="0" w:color="auto"/>
                            <w:left w:val="none" w:sz="0" w:space="0" w:color="auto"/>
                            <w:bottom w:val="none" w:sz="0" w:space="0" w:color="auto"/>
                            <w:right w:val="none" w:sz="0" w:space="0" w:color="auto"/>
                          </w:divBdr>
                          <w:divsChild>
                            <w:div w:id="763570884">
                              <w:marLeft w:val="0"/>
                              <w:marRight w:val="0"/>
                              <w:marTop w:val="0"/>
                              <w:marBottom w:val="0"/>
                              <w:divBdr>
                                <w:top w:val="none" w:sz="0" w:space="0" w:color="auto"/>
                                <w:left w:val="none" w:sz="0" w:space="0" w:color="auto"/>
                                <w:bottom w:val="none" w:sz="0" w:space="0" w:color="auto"/>
                                <w:right w:val="none" w:sz="0" w:space="0" w:color="auto"/>
                              </w:divBdr>
                              <w:divsChild>
                                <w:div w:id="157712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0588198">
          <w:marLeft w:val="0"/>
          <w:marRight w:val="0"/>
          <w:marTop w:val="0"/>
          <w:marBottom w:val="360"/>
          <w:divBdr>
            <w:top w:val="none" w:sz="0" w:space="0" w:color="auto"/>
            <w:left w:val="none" w:sz="0" w:space="0" w:color="auto"/>
            <w:bottom w:val="none" w:sz="0" w:space="0" w:color="auto"/>
            <w:right w:val="none" w:sz="0" w:space="0" w:color="auto"/>
          </w:divBdr>
          <w:divsChild>
            <w:div w:id="844396269">
              <w:marLeft w:val="-150"/>
              <w:marRight w:val="-150"/>
              <w:marTop w:val="0"/>
              <w:marBottom w:val="0"/>
              <w:divBdr>
                <w:top w:val="none" w:sz="0" w:space="0" w:color="auto"/>
                <w:left w:val="none" w:sz="0" w:space="0" w:color="auto"/>
                <w:bottom w:val="none" w:sz="0" w:space="0" w:color="auto"/>
                <w:right w:val="none" w:sz="0" w:space="0" w:color="auto"/>
              </w:divBdr>
              <w:divsChild>
                <w:div w:id="1961914214">
                  <w:marLeft w:val="0"/>
                  <w:marRight w:val="0"/>
                  <w:marTop w:val="0"/>
                  <w:marBottom w:val="0"/>
                  <w:divBdr>
                    <w:top w:val="none" w:sz="0" w:space="0" w:color="auto"/>
                    <w:left w:val="none" w:sz="0" w:space="0" w:color="auto"/>
                    <w:bottom w:val="none" w:sz="0" w:space="0" w:color="auto"/>
                    <w:right w:val="none" w:sz="0" w:space="0" w:color="auto"/>
                  </w:divBdr>
                  <w:divsChild>
                    <w:div w:id="851918468">
                      <w:marLeft w:val="0"/>
                      <w:marRight w:val="0"/>
                      <w:marTop w:val="0"/>
                      <w:marBottom w:val="0"/>
                      <w:divBdr>
                        <w:top w:val="none" w:sz="0" w:space="0" w:color="auto"/>
                        <w:left w:val="none" w:sz="0" w:space="0" w:color="auto"/>
                        <w:bottom w:val="none" w:sz="0" w:space="0" w:color="auto"/>
                        <w:right w:val="none" w:sz="0" w:space="0" w:color="auto"/>
                      </w:divBdr>
                      <w:divsChild>
                        <w:div w:id="51315116">
                          <w:marLeft w:val="0"/>
                          <w:marRight w:val="0"/>
                          <w:marTop w:val="0"/>
                          <w:marBottom w:val="0"/>
                          <w:divBdr>
                            <w:top w:val="none" w:sz="0" w:space="0" w:color="auto"/>
                            <w:left w:val="none" w:sz="0" w:space="0" w:color="auto"/>
                            <w:bottom w:val="none" w:sz="0" w:space="0" w:color="auto"/>
                            <w:right w:val="none" w:sz="0" w:space="0" w:color="auto"/>
                          </w:divBdr>
                          <w:divsChild>
                            <w:div w:id="1223983029">
                              <w:marLeft w:val="0"/>
                              <w:marRight w:val="0"/>
                              <w:marTop w:val="0"/>
                              <w:marBottom w:val="0"/>
                              <w:divBdr>
                                <w:top w:val="none" w:sz="0" w:space="0" w:color="auto"/>
                                <w:left w:val="none" w:sz="0" w:space="0" w:color="auto"/>
                                <w:bottom w:val="none" w:sz="0" w:space="0" w:color="auto"/>
                                <w:right w:val="none" w:sz="0" w:space="0" w:color="auto"/>
                              </w:divBdr>
                              <w:divsChild>
                                <w:div w:id="17099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397228">
      <w:bodyDiv w:val="1"/>
      <w:marLeft w:val="0"/>
      <w:marRight w:val="0"/>
      <w:marTop w:val="0"/>
      <w:marBottom w:val="0"/>
      <w:divBdr>
        <w:top w:val="none" w:sz="0" w:space="0" w:color="auto"/>
        <w:left w:val="none" w:sz="0" w:space="0" w:color="auto"/>
        <w:bottom w:val="none" w:sz="0" w:space="0" w:color="auto"/>
        <w:right w:val="none" w:sz="0" w:space="0" w:color="auto"/>
      </w:divBdr>
      <w:divsChild>
        <w:div w:id="1726564895">
          <w:marLeft w:val="0"/>
          <w:marRight w:val="0"/>
          <w:marTop w:val="0"/>
          <w:marBottom w:val="0"/>
          <w:divBdr>
            <w:top w:val="none" w:sz="0" w:space="0" w:color="auto"/>
            <w:left w:val="none" w:sz="0" w:space="0" w:color="auto"/>
            <w:bottom w:val="none" w:sz="0" w:space="0" w:color="auto"/>
            <w:right w:val="none" w:sz="0" w:space="0" w:color="auto"/>
          </w:divBdr>
        </w:div>
        <w:div w:id="17126235">
          <w:marLeft w:val="0"/>
          <w:marRight w:val="0"/>
          <w:marTop w:val="0"/>
          <w:marBottom w:val="0"/>
          <w:divBdr>
            <w:top w:val="none" w:sz="0" w:space="0" w:color="auto"/>
            <w:left w:val="none" w:sz="0" w:space="0" w:color="auto"/>
            <w:bottom w:val="none" w:sz="0" w:space="0" w:color="auto"/>
            <w:right w:val="none" w:sz="0" w:space="0" w:color="auto"/>
          </w:divBdr>
          <w:divsChild>
            <w:div w:id="428236546">
              <w:marLeft w:val="0"/>
              <w:marRight w:val="0"/>
              <w:marTop w:val="0"/>
              <w:marBottom w:val="0"/>
              <w:divBdr>
                <w:top w:val="none" w:sz="0" w:space="0" w:color="auto"/>
                <w:left w:val="none" w:sz="0" w:space="0" w:color="auto"/>
                <w:bottom w:val="none" w:sz="0" w:space="0" w:color="auto"/>
                <w:right w:val="none" w:sz="0" w:space="0" w:color="auto"/>
              </w:divBdr>
              <w:divsChild>
                <w:div w:id="548151966">
                  <w:marLeft w:val="0"/>
                  <w:marRight w:val="0"/>
                  <w:marTop w:val="150"/>
                  <w:marBottom w:val="150"/>
                  <w:divBdr>
                    <w:top w:val="none" w:sz="0" w:space="0" w:color="auto"/>
                    <w:left w:val="none" w:sz="0" w:space="0" w:color="auto"/>
                    <w:bottom w:val="none" w:sz="0" w:space="0" w:color="auto"/>
                    <w:right w:val="none" w:sz="0" w:space="0" w:color="auto"/>
                  </w:divBdr>
                  <w:divsChild>
                    <w:div w:id="43721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5465">
          <w:marLeft w:val="0"/>
          <w:marRight w:val="0"/>
          <w:marTop w:val="0"/>
          <w:marBottom w:val="0"/>
          <w:divBdr>
            <w:top w:val="none" w:sz="0" w:space="0" w:color="auto"/>
            <w:left w:val="none" w:sz="0" w:space="0" w:color="auto"/>
            <w:bottom w:val="none" w:sz="0" w:space="0" w:color="auto"/>
            <w:right w:val="none" w:sz="0" w:space="0" w:color="auto"/>
          </w:divBdr>
        </w:div>
      </w:divsChild>
    </w:div>
    <w:div w:id="1472208061">
      <w:bodyDiv w:val="1"/>
      <w:marLeft w:val="0"/>
      <w:marRight w:val="0"/>
      <w:marTop w:val="0"/>
      <w:marBottom w:val="0"/>
      <w:divBdr>
        <w:top w:val="none" w:sz="0" w:space="0" w:color="auto"/>
        <w:left w:val="none" w:sz="0" w:space="0" w:color="auto"/>
        <w:bottom w:val="none" w:sz="0" w:space="0" w:color="auto"/>
        <w:right w:val="none" w:sz="0" w:space="0" w:color="auto"/>
      </w:divBdr>
      <w:divsChild>
        <w:div w:id="784235959">
          <w:marLeft w:val="0"/>
          <w:marRight w:val="0"/>
          <w:marTop w:val="0"/>
          <w:marBottom w:val="0"/>
          <w:divBdr>
            <w:top w:val="none" w:sz="0" w:space="0" w:color="auto"/>
            <w:left w:val="none" w:sz="0" w:space="0" w:color="auto"/>
            <w:bottom w:val="none" w:sz="0" w:space="0" w:color="auto"/>
            <w:right w:val="none" w:sz="0" w:space="0" w:color="auto"/>
          </w:divBdr>
          <w:divsChild>
            <w:div w:id="1278833710">
              <w:marLeft w:val="-360"/>
              <w:marRight w:val="0"/>
              <w:marTop w:val="0"/>
              <w:marBottom w:val="0"/>
              <w:divBdr>
                <w:top w:val="none" w:sz="0" w:space="0" w:color="auto"/>
                <w:left w:val="none" w:sz="0" w:space="0" w:color="auto"/>
                <w:bottom w:val="none" w:sz="0" w:space="0" w:color="auto"/>
                <w:right w:val="none" w:sz="0" w:space="0" w:color="auto"/>
              </w:divBdr>
              <w:divsChild>
                <w:div w:id="1800755371">
                  <w:marLeft w:val="0"/>
                  <w:marRight w:val="0"/>
                  <w:marTop w:val="0"/>
                  <w:marBottom w:val="0"/>
                  <w:divBdr>
                    <w:top w:val="none" w:sz="0" w:space="0" w:color="auto"/>
                    <w:left w:val="none" w:sz="0" w:space="0" w:color="auto"/>
                    <w:bottom w:val="none" w:sz="0" w:space="0" w:color="auto"/>
                    <w:right w:val="none" w:sz="0" w:space="0" w:color="auto"/>
                  </w:divBdr>
                  <w:divsChild>
                    <w:div w:id="154286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551730">
          <w:marLeft w:val="0"/>
          <w:marRight w:val="0"/>
          <w:marTop w:val="0"/>
          <w:marBottom w:val="0"/>
          <w:divBdr>
            <w:top w:val="none" w:sz="0" w:space="0" w:color="auto"/>
            <w:left w:val="none" w:sz="0" w:space="0" w:color="auto"/>
            <w:bottom w:val="none" w:sz="0" w:space="0" w:color="auto"/>
            <w:right w:val="none" w:sz="0" w:space="0" w:color="auto"/>
          </w:divBdr>
          <w:divsChild>
            <w:div w:id="535123056">
              <w:marLeft w:val="-600"/>
              <w:marRight w:val="0"/>
              <w:marTop w:val="0"/>
              <w:marBottom w:val="0"/>
              <w:divBdr>
                <w:top w:val="none" w:sz="0" w:space="0" w:color="auto"/>
                <w:left w:val="none" w:sz="0" w:space="0" w:color="auto"/>
                <w:bottom w:val="none" w:sz="0" w:space="0" w:color="auto"/>
                <w:right w:val="none" w:sz="0" w:space="0" w:color="auto"/>
              </w:divBdr>
              <w:divsChild>
                <w:div w:id="1083456417">
                  <w:marLeft w:val="0"/>
                  <w:marRight w:val="0"/>
                  <w:marTop w:val="0"/>
                  <w:marBottom w:val="0"/>
                  <w:divBdr>
                    <w:top w:val="none" w:sz="0" w:space="0" w:color="auto"/>
                    <w:left w:val="none" w:sz="0" w:space="0" w:color="auto"/>
                    <w:bottom w:val="none" w:sz="0" w:space="0" w:color="auto"/>
                    <w:right w:val="none" w:sz="0" w:space="0" w:color="auto"/>
                  </w:divBdr>
                  <w:divsChild>
                    <w:div w:id="1898852420">
                      <w:marLeft w:val="0"/>
                      <w:marRight w:val="0"/>
                      <w:marTop w:val="0"/>
                      <w:marBottom w:val="0"/>
                      <w:divBdr>
                        <w:top w:val="none" w:sz="0" w:space="0" w:color="E05828"/>
                        <w:left w:val="single" w:sz="36" w:space="30" w:color="E05828"/>
                        <w:bottom w:val="none" w:sz="0" w:space="0" w:color="E05828"/>
                        <w:right w:val="none" w:sz="0" w:space="0" w:color="E05828"/>
                      </w:divBdr>
                    </w:div>
                  </w:divsChild>
                </w:div>
              </w:divsChild>
            </w:div>
          </w:divsChild>
        </w:div>
      </w:divsChild>
    </w:div>
    <w:div w:id="1505559418">
      <w:bodyDiv w:val="1"/>
      <w:marLeft w:val="0"/>
      <w:marRight w:val="0"/>
      <w:marTop w:val="0"/>
      <w:marBottom w:val="0"/>
      <w:divBdr>
        <w:top w:val="none" w:sz="0" w:space="0" w:color="auto"/>
        <w:left w:val="none" w:sz="0" w:space="0" w:color="auto"/>
        <w:bottom w:val="none" w:sz="0" w:space="0" w:color="auto"/>
        <w:right w:val="none" w:sz="0" w:space="0" w:color="auto"/>
      </w:divBdr>
    </w:div>
    <w:div w:id="1508860259">
      <w:bodyDiv w:val="1"/>
      <w:marLeft w:val="0"/>
      <w:marRight w:val="0"/>
      <w:marTop w:val="0"/>
      <w:marBottom w:val="0"/>
      <w:divBdr>
        <w:top w:val="none" w:sz="0" w:space="0" w:color="auto"/>
        <w:left w:val="none" w:sz="0" w:space="0" w:color="auto"/>
        <w:bottom w:val="none" w:sz="0" w:space="0" w:color="auto"/>
        <w:right w:val="none" w:sz="0" w:space="0" w:color="auto"/>
      </w:divBdr>
      <w:divsChild>
        <w:div w:id="1774324212">
          <w:blockQuote w:val="1"/>
          <w:marLeft w:val="0"/>
          <w:marRight w:val="0"/>
          <w:marTop w:val="0"/>
          <w:marBottom w:val="435"/>
          <w:divBdr>
            <w:top w:val="none" w:sz="0" w:space="11" w:color="B51111"/>
            <w:left w:val="single" w:sz="12" w:space="17" w:color="B51111"/>
            <w:bottom w:val="none" w:sz="0" w:space="0" w:color="B51111"/>
            <w:right w:val="none" w:sz="0" w:space="17" w:color="B51111"/>
          </w:divBdr>
        </w:div>
        <w:div w:id="1654217520">
          <w:blockQuote w:val="1"/>
          <w:marLeft w:val="0"/>
          <w:marRight w:val="0"/>
          <w:marTop w:val="0"/>
          <w:marBottom w:val="435"/>
          <w:divBdr>
            <w:top w:val="none" w:sz="0" w:space="11" w:color="B51111"/>
            <w:left w:val="single" w:sz="12" w:space="17" w:color="B51111"/>
            <w:bottom w:val="none" w:sz="0" w:space="0" w:color="B51111"/>
            <w:right w:val="none" w:sz="0" w:space="17" w:color="B51111"/>
          </w:divBdr>
        </w:div>
      </w:divsChild>
    </w:div>
    <w:div w:id="1568417382">
      <w:bodyDiv w:val="1"/>
      <w:marLeft w:val="0"/>
      <w:marRight w:val="0"/>
      <w:marTop w:val="0"/>
      <w:marBottom w:val="0"/>
      <w:divBdr>
        <w:top w:val="none" w:sz="0" w:space="0" w:color="auto"/>
        <w:left w:val="none" w:sz="0" w:space="0" w:color="auto"/>
        <w:bottom w:val="none" w:sz="0" w:space="0" w:color="auto"/>
        <w:right w:val="none" w:sz="0" w:space="0" w:color="auto"/>
      </w:divBdr>
    </w:div>
    <w:div w:id="1742367049">
      <w:bodyDiv w:val="1"/>
      <w:marLeft w:val="0"/>
      <w:marRight w:val="0"/>
      <w:marTop w:val="0"/>
      <w:marBottom w:val="0"/>
      <w:divBdr>
        <w:top w:val="none" w:sz="0" w:space="0" w:color="auto"/>
        <w:left w:val="none" w:sz="0" w:space="0" w:color="auto"/>
        <w:bottom w:val="none" w:sz="0" w:space="0" w:color="auto"/>
        <w:right w:val="none" w:sz="0" w:space="0" w:color="auto"/>
      </w:divBdr>
    </w:div>
    <w:div w:id="2097628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us.acca.it/nuovo-codice-appalti-2023/" TargetMode="External"/><Relationship Id="rId3" Type="http://schemas.openxmlformats.org/officeDocument/2006/relationships/settings" Target="settings.xml"/><Relationship Id="rId7" Type="http://schemas.openxmlformats.org/officeDocument/2006/relationships/hyperlink" Target="https://rup.altervista.org/esecuzione-degli-appalti-pubblic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up.altervista.org/la-progettazione/" TargetMode="External"/><Relationship Id="rId11" Type="http://schemas.openxmlformats.org/officeDocument/2006/relationships/fontTable" Target="fontTable.xml"/><Relationship Id="rId5" Type="http://schemas.openxmlformats.org/officeDocument/2006/relationships/hyperlink" Target="https://rup.altervista.org/la-programmazione-degli-appalti-pubblici/" TargetMode="External"/><Relationship Id="rId10" Type="http://schemas.openxmlformats.org/officeDocument/2006/relationships/hyperlink" Target="https://www.acquistitelematici.it/e-procurement-pubblica-amministrazione?mtm_campaign=lentepubblica-release-af-soglia-anomalia-giu2023&amp;mtm_kwd=txt" TargetMode="External"/><Relationship Id="rId4" Type="http://schemas.openxmlformats.org/officeDocument/2006/relationships/webSettings" Target="webSettings.xml"/><Relationship Id="rId9" Type="http://schemas.openxmlformats.org/officeDocument/2006/relationships/hyperlink" Target="https://biblus.acca.it/appalto-integrato/"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878</TotalTime>
  <Pages>1</Pages>
  <Words>15253</Words>
  <Characters>86948</Characters>
  <Application>Microsoft Office Word</Application>
  <DocSecurity>0</DocSecurity>
  <Lines>724</Lines>
  <Paragraphs>203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GUARDUCCI</dc:creator>
  <cp:keywords/>
  <dc:description/>
  <cp:lastModifiedBy>SERENA GUARDUCCI</cp:lastModifiedBy>
  <cp:revision>3</cp:revision>
  <dcterms:created xsi:type="dcterms:W3CDTF">2024-03-11T07:03:00Z</dcterms:created>
  <dcterms:modified xsi:type="dcterms:W3CDTF">2024-03-17T11:39:00Z</dcterms:modified>
</cp:coreProperties>
</file>