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103" w:rsidRDefault="00FF4103">
      <w:r>
        <w:t>Irregolarità del provvedimento</w:t>
      </w:r>
    </w:p>
    <w:p w:rsidR="00FF4103" w:rsidRDefault="00FF4103">
      <w:r>
        <w:t xml:space="preserve">Il silenzio della </w:t>
      </w:r>
      <w:proofErr w:type="spellStart"/>
      <w:r>
        <w:t>pa</w:t>
      </w:r>
      <w:proofErr w:type="spellEnd"/>
    </w:p>
    <w:p w:rsidR="00FF4103" w:rsidRDefault="00FF4103">
      <w:r>
        <w:t>Accesso formale  e informale</w:t>
      </w:r>
    </w:p>
    <w:p w:rsidR="00FF4103" w:rsidRDefault="00FF4103">
      <w:r>
        <w:t>Elementi essenziali del provvedimento amministrativo soffermando sull’istituto controverso della motivazione</w:t>
      </w:r>
    </w:p>
    <w:p w:rsidR="00FF4103" w:rsidRDefault="00FF4103">
      <w:r>
        <w:t>All’interno del tema dell’invalidità dell’atto il candidato distingua i concetti di vizio di legittimità e di merito</w:t>
      </w:r>
    </w:p>
    <w:p w:rsidR="00FF4103" w:rsidRDefault="00FF4103">
      <w:r>
        <w:t>Il candidato esprima il concetto e i principali istituti di giustizia amministrativa prevista dal nostro ordinamento</w:t>
      </w:r>
    </w:p>
    <w:p w:rsidR="00FF4103" w:rsidRPr="0051606A" w:rsidRDefault="00FF4103" w:rsidP="00FF4103">
      <w:pPr>
        <w:pStyle w:val="NormaleWeb"/>
        <w:spacing w:before="54" w:beforeAutospacing="0" w:after="11" w:afterAutospacing="0" w:line="183" w:lineRule="atLeast"/>
        <w:jc w:val="both"/>
        <w:rPr>
          <w:rFonts w:ascii="Verdana" w:hAnsi="Verdana"/>
          <w:color w:val="333333"/>
          <w:sz w:val="16"/>
          <w:szCs w:val="16"/>
        </w:rPr>
      </w:pPr>
      <w:r>
        <w:t xml:space="preserve">Il principio di legittimo affidamento: </w:t>
      </w:r>
      <w:r w:rsidRPr="0051606A">
        <w:rPr>
          <w:rFonts w:ascii="Verdana" w:hAnsi="Verdana"/>
          <w:color w:val="333333"/>
          <w:sz w:val="16"/>
          <w:szCs w:val="16"/>
        </w:rPr>
        <w:t>Capire se il privato possa o meno fare affidamento sull’azione della P.A. è di fondamentale importanza, soprattutto ai fini risarcitori, nel caso in cui tale affidamento venga deluso.</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Style w:val="Enfasigrassetto"/>
          <w:rFonts w:ascii="Verdana" w:hAnsi="Verdana"/>
          <w:color w:val="333333"/>
          <w:sz w:val="16"/>
          <w:szCs w:val="16"/>
        </w:rPr>
        <w:t>Il principio del legittimo affidamento rappresenta l’interesse alla tutela di chi confida in una certa situazione che si è definita nella realtà giuridica. Affinché tale condizione possa ottenere tutela è necessario che origini dall’atteggiamento altrui</w:t>
      </w:r>
      <w:r w:rsidRPr="0051606A">
        <w:rPr>
          <w:rFonts w:ascii="Verdana" w:hAnsi="Verdana"/>
          <w:color w:val="333333"/>
          <w:sz w:val="16"/>
          <w:szCs w:val="16"/>
        </w:rPr>
        <w:t>.</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Si tratta di una tematica che trova punti di contatto con quella dell’apparenza del diritto, da sempre discussa in  giurisprudenza. In altri termini, spesso </w:t>
      </w:r>
      <w:r w:rsidRPr="0051606A">
        <w:rPr>
          <w:rStyle w:val="Enfasigrassetto"/>
          <w:rFonts w:ascii="Verdana" w:hAnsi="Verdana"/>
          <w:color w:val="333333"/>
          <w:sz w:val="16"/>
          <w:szCs w:val="16"/>
        </w:rPr>
        <w:t>si pone il problema di capire se si possa accordare tutela a chi fa affidamento su una situazione che appare conforme al diritto ma che, tuttavia, non lo è</w:t>
      </w:r>
      <w:r w:rsidRPr="0051606A">
        <w:rPr>
          <w:rFonts w:ascii="Verdana" w:hAnsi="Verdana"/>
          <w:color w:val="333333"/>
          <w:sz w:val="16"/>
          <w:szCs w:val="16"/>
        </w:rPr>
        <w:t>.</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Non qualsiasi affidamento, infatti, si può definire legittimo: perché ciò avvenga è necessario che siano cumulativamente presenti </w:t>
      </w:r>
      <w:r w:rsidRPr="0051606A">
        <w:rPr>
          <w:rStyle w:val="Enfasigrassetto"/>
          <w:rFonts w:ascii="Verdana" w:hAnsi="Verdana"/>
          <w:color w:val="333333"/>
          <w:sz w:val="16"/>
          <w:szCs w:val="16"/>
        </w:rPr>
        <w:t>tre elementi</w:t>
      </w:r>
      <w:r w:rsidRPr="0051606A">
        <w:rPr>
          <w:rFonts w:ascii="Verdana" w:hAnsi="Verdana"/>
          <w:color w:val="333333"/>
          <w:sz w:val="16"/>
          <w:szCs w:val="16"/>
        </w:rPr>
        <w:t>.</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Il primo è di natura oggettiva, e consiste nel </w:t>
      </w:r>
      <w:r w:rsidRPr="0051606A">
        <w:rPr>
          <w:rStyle w:val="Enfasigrassetto"/>
          <w:rFonts w:ascii="Verdana" w:hAnsi="Verdana"/>
          <w:color w:val="333333"/>
          <w:sz w:val="16"/>
          <w:szCs w:val="16"/>
        </w:rPr>
        <w:t>vantaggio che il terzo consegue dalla situazione giuridica apparente</w:t>
      </w:r>
      <w:r w:rsidRPr="0051606A">
        <w:rPr>
          <w:rFonts w:ascii="Verdana" w:hAnsi="Verdana"/>
          <w:color w:val="333333"/>
          <w:sz w:val="16"/>
          <w:szCs w:val="16"/>
        </w:rPr>
        <w:t>: tale vantaggio deve essere chiaro ed univoco, e va esercitato attraverso un comportamento attivo.</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In secondo luogo, occorre che </w:t>
      </w:r>
      <w:r w:rsidRPr="0051606A">
        <w:rPr>
          <w:rStyle w:val="Enfasigrassetto"/>
          <w:rFonts w:ascii="Verdana" w:hAnsi="Verdana"/>
          <w:color w:val="333333"/>
          <w:sz w:val="16"/>
          <w:szCs w:val="16"/>
        </w:rPr>
        <w:t>il privato pretenda di difendere un’utilità ottenuta in buona fede</w:t>
      </w:r>
      <w:r w:rsidRPr="0051606A">
        <w:rPr>
          <w:rFonts w:ascii="Verdana" w:hAnsi="Verdana"/>
          <w:color w:val="333333"/>
          <w:sz w:val="16"/>
          <w:szCs w:val="16"/>
        </w:rPr>
        <w:t>: questo perché l’ordinamento non può accordare tutela ad una situazione giuridica vantaggiosa conseguita, però, attraverso comportamenti fraudolenti o ingannevoli.</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Infine, affinché l’affidamento possa essere tutelato, è necessario che questo </w:t>
      </w:r>
      <w:r w:rsidRPr="0051606A">
        <w:rPr>
          <w:rStyle w:val="Enfasigrassetto"/>
          <w:rFonts w:ascii="Verdana" w:hAnsi="Verdana"/>
          <w:color w:val="333333"/>
          <w:sz w:val="16"/>
          <w:szCs w:val="16"/>
        </w:rPr>
        <w:t>si sia consolidato nel tempo</w:t>
      </w:r>
      <w:r w:rsidRPr="0051606A">
        <w:rPr>
          <w:rFonts w:ascii="Verdana" w:hAnsi="Verdana"/>
          <w:color w:val="333333"/>
          <w:sz w:val="16"/>
          <w:szCs w:val="16"/>
        </w:rPr>
        <w:t>, ovvero che l’utilità sia stata conservata per un orizzonte temporale talmente lungo da convincere il beneficiario della sua stabilità.</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Il tema del legittimo affidamento nei confronti della Pubblica Amministrazione pone la necessità di </w:t>
      </w:r>
      <w:r w:rsidRPr="0051606A">
        <w:rPr>
          <w:rStyle w:val="Enfasigrassetto"/>
          <w:rFonts w:ascii="Verdana" w:hAnsi="Verdana"/>
          <w:color w:val="333333"/>
          <w:sz w:val="16"/>
          <w:szCs w:val="16"/>
        </w:rPr>
        <w:t>contemperare due interessi spesso contrapposti. Da una parte, quello del privato, che vuole mantenere quel vantaggio che l’azione amministrativa gli ha garantito; dall’altra parte, quello vantato dalla stessa P.A. alla realizzazione dei principi di buon andamento ed imparzialità, a cui deve essere ispirata l’azione amministrativa in base all’articolo 97 della Costituzione</w:t>
      </w:r>
      <w:r w:rsidRPr="0051606A">
        <w:rPr>
          <w:rFonts w:ascii="Verdana" w:hAnsi="Verdana"/>
          <w:color w:val="333333"/>
          <w:sz w:val="16"/>
          <w:szCs w:val="16"/>
        </w:rPr>
        <w:t>.</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In tale tematica, un ruolo fondamentale è stato svolto dalla giurisprudenza sovranazionale, tanto che oggi il principio del legittimo affidamento, pur non essendo espressamente contemplato nei trattati dell’Unione Europea, viene ritenuto un principio cardine del diritto europeo; in ciò è risultata decisiva l’opera della Corte di Giustizia (tra le altre  Corte di Giustizia, sentenza 3 Maggio 1978, causa C-12/77) che, ispirata soprattutto dall’elaborazione della giurisprudenza tedesca, ormai afferma pacificamente che il principio della tutela dell’affidamento costituisce </w:t>
      </w:r>
      <w:proofErr w:type="spellStart"/>
      <w:r w:rsidRPr="0051606A">
        <w:rPr>
          <w:rStyle w:val="Enfasicorsivo"/>
          <w:rFonts w:ascii="Verdana" w:hAnsi="Verdana"/>
          <w:color w:val="333333"/>
          <w:sz w:val="16"/>
          <w:szCs w:val="16"/>
        </w:rPr>
        <w:t>jus</w:t>
      </w:r>
      <w:proofErr w:type="spellEnd"/>
      <w:r w:rsidRPr="0051606A">
        <w:rPr>
          <w:rStyle w:val="Enfasicorsivo"/>
          <w:rFonts w:ascii="Verdana" w:hAnsi="Verdana"/>
          <w:color w:val="333333"/>
          <w:sz w:val="16"/>
          <w:szCs w:val="16"/>
        </w:rPr>
        <w:t xml:space="preserve"> </w:t>
      </w:r>
      <w:proofErr w:type="spellStart"/>
      <w:r w:rsidRPr="0051606A">
        <w:rPr>
          <w:rStyle w:val="Enfasicorsivo"/>
          <w:rFonts w:ascii="Verdana" w:hAnsi="Verdana"/>
          <w:color w:val="333333"/>
          <w:sz w:val="16"/>
          <w:szCs w:val="16"/>
        </w:rPr>
        <w:t>receptum</w:t>
      </w:r>
      <w:proofErr w:type="spellEnd"/>
      <w:r w:rsidRPr="0051606A">
        <w:rPr>
          <w:rFonts w:ascii="Verdana" w:hAnsi="Verdana"/>
          <w:color w:val="333333"/>
          <w:sz w:val="16"/>
          <w:szCs w:val="16"/>
        </w:rPr>
        <w:t> a livello sovranazionale.</w:t>
      </w:r>
    </w:p>
    <w:p w:rsidR="00FF4103" w:rsidRPr="0051606A" w:rsidRDefault="00FF4103" w:rsidP="00FF4103">
      <w:pPr>
        <w:pStyle w:val="NormaleWeb"/>
        <w:spacing w:before="54" w:beforeAutospacing="0" w:after="11" w:afterAutospacing="0" w:line="183" w:lineRule="atLeast"/>
        <w:jc w:val="both"/>
        <w:rPr>
          <w:rFonts w:ascii="Verdana" w:hAnsi="Verdana"/>
          <w:color w:val="333333"/>
          <w:sz w:val="16"/>
          <w:szCs w:val="16"/>
        </w:rPr>
      </w:pPr>
      <w:r w:rsidRPr="0051606A">
        <w:rPr>
          <w:rFonts w:ascii="Verdana" w:hAnsi="Verdana"/>
          <w:color w:val="333333"/>
          <w:sz w:val="16"/>
          <w:szCs w:val="16"/>
        </w:rPr>
        <w:t>Nel nostro ordinamento il legittimo affidamento trova origine nella clausola generale di buona fede. La buona fede è un dovere che impone a qualunque individuo l’obbligo di comportarsi lealmente nel compimento di atti giuridicamente rilevanti, in modo da tutelare la posizione del soggetto con cui si entra in contatto.</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Style w:val="Enfasigrassetto"/>
          <w:rFonts w:ascii="Verdana" w:hAnsi="Verdana"/>
          <w:color w:val="333333"/>
          <w:sz w:val="16"/>
          <w:szCs w:val="16"/>
        </w:rPr>
        <w:t>Il codice civile richiama più volte il principio di buona fede: lo fa nell’articolo 1375 con riferimento ai contratti; nell’articolo 1337 in tema di responsabilità pre-contrattuale; nell’articolo 1175 nell’ambito dei doveri di comportamento delle parti nei rapporti obbligatori</w:t>
      </w:r>
      <w:r w:rsidRPr="0051606A">
        <w:rPr>
          <w:rFonts w:ascii="Verdana" w:hAnsi="Verdana"/>
          <w:color w:val="333333"/>
          <w:sz w:val="16"/>
          <w:szCs w:val="16"/>
        </w:rPr>
        <w:t>.</w:t>
      </w:r>
    </w:p>
    <w:p w:rsidR="00FF4103" w:rsidRPr="0051606A" w:rsidRDefault="00FF4103" w:rsidP="00FF4103">
      <w:pPr>
        <w:pStyle w:val="NormaleWeb"/>
        <w:spacing w:before="54" w:beforeAutospacing="0" w:after="11" w:afterAutospacing="0" w:line="183" w:lineRule="atLeast"/>
        <w:jc w:val="both"/>
        <w:rPr>
          <w:rFonts w:ascii="Verdana" w:hAnsi="Verdana"/>
          <w:color w:val="333333"/>
          <w:sz w:val="16"/>
          <w:szCs w:val="16"/>
        </w:rPr>
      </w:pPr>
      <w:r w:rsidRPr="0051606A">
        <w:rPr>
          <w:rFonts w:ascii="Verdana" w:hAnsi="Verdana"/>
          <w:color w:val="333333"/>
          <w:sz w:val="16"/>
          <w:szCs w:val="16"/>
        </w:rPr>
        <w:t>Inoltre, secondo la tesi prevalente, il principio di buona fede troverebbe copertura costituzionale nell’articolo 2 della Carta fondamentale, nella parte in cui stabilisce che la Repubblica riconosce e garantisce i diritti inviolabili dell’uomo, sia come singolo, sia nelle formazioni sociali ove si svolge la sua personalità.</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Style w:val="Enfasigrassetto"/>
          <w:rFonts w:ascii="Verdana" w:hAnsi="Verdana"/>
          <w:color w:val="333333"/>
          <w:sz w:val="16"/>
          <w:szCs w:val="16"/>
        </w:rPr>
        <w:t>La necessità di tutelare l’affidamento ingenerato dalla propria condotta costituisce una delle più importanti applicazioni del principio di buona fede: ne consegue, pertanto, che il legittimo affidamento non necessita di copertura legislativa espressa, proprio perché è espressione di uno dei principi più importanti riconosciuti nel nostro ordinamento</w:t>
      </w:r>
      <w:r w:rsidRPr="0051606A">
        <w:rPr>
          <w:rFonts w:ascii="Verdana" w:hAnsi="Verdana"/>
          <w:color w:val="333333"/>
          <w:sz w:val="16"/>
          <w:szCs w:val="16"/>
        </w:rPr>
        <w:t>.</w:t>
      </w:r>
    </w:p>
    <w:p w:rsidR="00FF4103" w:rsidRPr="0051606A" w:rsidRDefault="00FF4103" w:rsidP="00FF4103">
      <w:pPr>
        <w:pStyle w:val="NormaleWeb"/>
        <w:spacing w:before="54" w:beforeAutospacing="0" w:after="11" w:afterAutospacing="0" w:line="183" w:lineRule="atLeast"/>
        <w:jc w:val="both"/>
        <w:rPr>
          <w:rFonts w:ascii="Verdana" w:hAnsi="Verdana"/>
          <w:color w:val="333333"/>
          <w:sz w:val="16"/>
          <w:szCs w:val="16"/>
        </w:rPr>
      </w:pPr>
      <w:r w:rsidRPr="0051606A">
        <w:rPr>
          <w:rFonts w:ascii="Verdana" w:hAnsi="Verdana"/>
          <w:color w:val="333333"/>
          <w:sz w:val="16"/>
          <w:szCs w:val="16"/>
        </w:rPr>
        <w:t>Una tale conclusione non è, però, sempre stata così pacifica all’interno del settore amministrativo. Anzi, la tesi prevalente negava con forza la possibilità che il privato potesse vantare un legittimo affidamento nei confronti dell’azione amministrativa che, se disatteso, potesse garantirgli tutela risarcitoria.</w:t>
      </w:r>
    </w:p>
    <w:p w:rsidR="00FF4103" w:rsidRPr="0051606A" w:rsidRDefault="00FF4103" w:rsidP="00FF4103">
      <w:pPr>
        <w:pStyle w:val="NormaleWeb"/>
        <w:spacing w:before="54" w:beforeAutospacing="0" w:after="11" w:afterAutospacing="0" w:line="183" w:lineRule="atLeast"/>
        <w:jc w:val="both"/>
        <w:rPr>
          <w:rFonts w:ascii="Verdana" w:hAnsi="Verdana"/>
          <w:color w:val="333333"/>
          <w:sz w:val="16"/>
          <w:szCs w:val="16"/>
        </w:rPr>
      </w:pPr>
      <w:r w:rsidRPr="0051606A">
        <w:rPr>
          <w:rFonts w:ascii="Verdana" w:hAnsi="Verdana"/>
          <w:color w:val="333333"/>
          <w:sz w:val="16"/>
          <w:szCs w:val="16"/>
        </w:rPr>
        <w:t xml:space="preserve">La ragione principale che conduceva alla negazione del legittimo affidamento del privato, era la posizione assolutamente </w:t>
      </w:r>
      <w:proofErr w:type="spellStart"/>
      <w:r w:rsidRPr="0051606A">
        <w:rPr>
          <w:rFonts w:ascii="Verdana" w:hAnsi="Verdana"/>
          <w:color w:val="333333"/>
          <w:sz w:val="16"/>
          <w:szCs w:val="16"/>
        </w:rPr>
        <w:t>sovraordinata</w:t>
      </w:r>
      <w:proofErr w:type="spellEnd"/>
      <w:r w:rsidRPr="0051606A">
        <w:rPr>
          <w:rFonts w:ascii="Verdana" w:hAnsi="Verdana"/>
          <w:color w:val="333333"/>
          <w:sz w:val="16"/>
          <w:szCs w:val="16"/>
        </w:rPr>
        <w:t xml:space="preserve"> della pubblica amministrazione rispetto al privato stesso.</w:t>
      </w:r>
    </w:p>
    <w:p w:rsidR="00FF4103" w:rsidRPr="0051606A" w:rsidRDefault="00FF4103" w:rsidP="00FF4103">
      <w:pPr>
        <w:pStyle w:val="NormaleWeb"/>
        <w:spacing w:before="54" w:beforeAutospacing="0" w:after="11" w:afterAutospacing="0" w:line="183" w:lineRule="atLeast"/>
        <w:jc w:val="both"/>
        <w:rPr>
          <w:rFonts w:ascii="Verdana" w:hAnsi="Verdana"/>
          <w:color w:val="333333"/>
          <w:sz w:val="16"/>
          <w:szCs w:val="16"/>
        </w:rPr>
      </w:pPr>
      <w:r w:rsidRPr="0051606A">
        <w:rPr>
          <w:rFonts w:ascii="Verdana" w:hAnsi="Verdana"/>
          <w:color w:val="333333"/>
          <w:sz w:val="16"/>
          <w:szCs w:val="16"/>
        </w:rPr>
        <w:t xml:space="preserve">Si riteneva, infatti, che la Pubblica Amministrazione potesse agire esclusivamente attraverso la </w:t>
      </w:r>
      <w:proofErr w:type="spellStart"/>
      <w:r w:rsidRPr="0051606A">
        <w:rPr>
          <w:rFonts w:ascii="Verdana" w:hAnsi="Verdana"/>
          <w:color w:val="333333"/>
          <w:sz w:val="16"/>
          <w:szCs w:val="16"/>
        </w:rPr>
        <w:t>spendita</w:t>
      </w:r>
      <w:proofErr w:type="spellEnd"/>
      <w:r w:rsidRPr="0051606A">
        <w:rPr>
          <w:rFonts w:ascii="Verdana" w:hAnsi="Verdana"/>
          <w:color w:val="333333"/>
          <w:sz w:val="16"/>
          <w:szCs w:val="16"/>
        </w:rPr>
        <w:t xml:space="preserve"> di poteri pubblicistici, il cui esercizio in alcun modo poteva giustificare un legittimo affidamento del privato. Questo perché il rapporto di fiducia, posto alla base del legittimo affidamento, non può dirsi integrato quando il vantaggio è conseguito dal privato in seguito all’esercizio di un potere </w:t>
      </w:r>
      <w:proofErr w:type="spellStart"/>
      <w:r w:rsidRPr="0051606A">
        <w:rPr>
          <w:rFonts w:ascii="Verdana" w:hAnsi="Verdana"/>
          <w:color w:val="333333"/>
          <w:sz w:val="16"/>
          <w:szCs w:val="16"/>
        </w:rPr>
        <w:t>autoritativo</w:t>
      </w:r>
      <w:proofErr w:type="spellEnd"/>
      <w:r w:rsidRPr="0051606A">
        <w:rPr>
          <w:rFonts w:ascii="Verdana" w:hAnsi="Verdana"/>
          <w:color w:val="333333"/>
          <w:sz w:val="16"/>
          <w:szCs w:val="16"/>
        </w:rPr>
        <w:t xml:space="preserve"> da parte della pubblica amministrazione.</w:t>
      </w:r>
    </w:p>
    <w:p w:rsidR="00FF4103" w:rsidRPr="0051606A" w:rsidRDefault="00FF4103" w:rsidP="00FF4103">
      <w:pPr>
        <w:pStyle w:val="NormaleWeb"/>
        <w:spacing w:before="54" w:beforeAutospacing="0" w:after="11" w:afterAutospacing="0" w:line="183" w:lineRule="atLeast"/>
        <w:jc w:val="both"/>
        <w:rPr>
          <w:rFonts w:ascii="Verdana" w:hAnsi="Verdana"/>
          <w:color w:val="333333"/>
          <w:sz w:val="16"/>
          <w:szCs w:val="16"/>
        </w:rPr>
      </w:pPr>
      <w:r w:rsidRPr="0051606A">
        <w:rPr>
          <w:rFonts w:ascii="Verdana" w:hAnsi="Verdana"/>
          <w:color w:val="333333"/>
          <w:sz w:val="16"/>
          <w:szCs w:val="16"/>
        </w:rPr>
        <w:lastRenderedPageBreak/>
        <w:t>Inoltre, sotto il profilo della giurisdizione, si faceva fatica ad ammettere un sindacato del Giudice Ordinario sulla discrezionalità degli atti posti in essere dalla Pubblica Amministrazione.</w:t>
      </w:r>
    </w:p>
    <w:p w:rsidR="00FF4103" w:rsidRPr="0051606A" w:rsidRDefault="00FF4103" w:rsidP="00FF4103">
      <w:pPr>
        <w:pStyle w:val="NormaleWeb"/>
        <w:spacing w:before="54" w:beforeAutospacing="0" w:after="11" w:afterAutospacing="0" w:line="183" w:lineRule="atLeast"/>
        <w:jc w:val="both"/>
        <w:rPr>
          <w:rFonts w:ascii="Verdana" w:hAnsi="Verdana"/>
          <w:color w:val="333333"/>
          <w:sz w:val="16"/>
          <w:szCs w:val="16"/>
        </w:rPr>
      </w:pPr>
      <w:r w:rsidRPr="0051606A">
        <w:rPr>
          <w:rFonts w:ascii="Verdana" w:hAnsi="Verdana"/>
          <w:color w:val="333333"/>
          <w:sz w:val="16"/>
          <w:szCs w:val="16"/>
        </w:rPr>
        <w:t>Successivamente queste critiche vennero superate nel momento in cui si ammise che la Pubblica Amministrazione potesse utilizzare anche strumenti di natura privatistica.</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Quando la pubblica amministrazione agisce </w:t>
      </w:r>
      <w:r w:rsidRPr="0051606A">
        <w:rPr>
          <w:rStyle w:val="Enfasicorsivo"/>
          <w:rFonts w:ascii="Verdana" w:hAnsi="Verdana"/>
          <w:color w:val="333333"/>
          <w:sz w:val="16"/>
          <w:szCs w:val="16"/>
        </w:rPr>
        <w:t xml:space="preserve">iure </w:t>
      </w:r>
      <w:proofErr w:type="spellStart"/>
      <w:r w:rsidRPr="0051606A">
        <w:rPr>
          <w:rStyle w:val="Enfasicorsivo"/>
          <w:rFonts w:ascii="Verdana" w:hAnsi="Verdana"/>
          <w:color w:val="333333"/>
          <w:sz w:val="16"/>
          <w:szCs w:val="16"/>
        </w:rPr>
        <w:t>privatorum</w:t>
      </w:r>
      <w:proofErr w:type="spellEnd"/>
      <w:r w:rsidRPr="0051606A">
        <w:rPr>
          <w:rFonts w:ascii="Verdana" w:hAnsi="Verdana"/>
          <w:color w:val="333333"/>
          <w:sz w:val="16"/>
          <w:szCs w:val="16"/>
        </w:rPr>
        <w:t>, infatti, si spoglia della discrezionalità che contraddistingue la sua azione, e si pone allo stesso livello del privato con tutto ciò che ne consegue sotto il profilo della responsabilità.</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Pertanto, </w:t>
      </w:r>
      <w:r w:rsidRPr="0051606A">
        <w:rPr>
          <w:rStyle w:val="Enfasigrassetto"/>
          <w:rFonts w:ascii="Verdana" w:hAnsi="Verdana"/>
          <w:color w:val="333333"/>
          <w:sz w:val="16"/>
          <w:szCs w:val="16"/>
        </w:rPr>
        <w:t xml:space="preserve">oggi è possibile affermare che il privato può vantare una posizione giuridicamente tutelata di affidamento anche nei confronti dell’azione amministrativa. Tale principio merita sicuramente protezione in uno Stato di diritto, qual è il nostro, in cui al cittadino deve essere garantita la possibilità di porre la sua fiducia nel perdurare di un determinato assetto giuridico vantaggioso prodotto dalla </w:t>
      </w:r>
      <w:proofErr w:type="spellStart"/>
      <w:r w:rsidRPr="0051606A">
        <w:rPr>
          <w:rStyle w:val="Enfasigrassetto"/>
          <w:rFonts w:ascii="Verdana" w:hAnsi="Verdana"/>
          <w:color w:val="333333"/>
          <w:sz w:val="16"/>
          <w:szCs w:val="16"/>
        </w:rPr>
        <w:t>P.A</w:t>
      </w:r>
      <w:proofErr w:type="spellEnd"/>
      <w:r w:rsidRPr="0051606A">
        <w:rPr>
          <w:rStyle w:val="Enfasigrassetto"/>
          <w:rFonts w:ascii="Verdana" w:hAnsi="Verdana"/>
          <w:color w:val="333333"/>
          <w:sz w:val="16"/>
          <w:szCs w:val="16"/>
        </w:rPr>
        <w:t>.</w:t>
      </w:r>
      <w:r w:rsidRPr="0051606A">
        <w:rPr>
          <w:rFonts w:ascii="Verdana" w:hAnsi="Verdana"/>
          <w:color w:val="333333"/>
          <w:sz w:val="16"/>
          <w:szCs w:val="16"/>
        </w:rPr>
        <w:t>.</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In primo luogo, occorre che l’affidamento sia sorto in presenza di un atto favorevole per il destinatario, in quanto, di fronte ad un atto sfavorevole, il privato può solo vantare il diritto di agire in sede giurisdizionale per la sua rimozione. Ciò che è fondamentale sottolineare, è il fatto che il legittimo affidamento prescinde dalla legittimità o meno dell’azione amministrativa: in altri termini, </w:t>
      </w:r>
      <w:r w:rsidRPr="0051606A">
        <w:rPr>
          <w:rStyle w:val="Enfasigrassetto"/>
          <w:rFonts w:ascii="Verdana" w:hAnsi="Verdana"/>
          <w:color w:val="333333"/>
          <w:sz w:val="16"/>
          <w:szCs w:val="16"/>
        </w:rPr>
        <w:t>il privato ha diritto al risarcimento del danno subito anche se, per ipotesi, il provvedimento amministrativo favorevole fosse fin dall’origine illegittimo perché contrastante con il paradigma normativo previsto dalla legge</w:t>
      </w:r>
      <w:r w:rsidRPr="0051606A">
        <w:rPr>
          <w:rFonts w:ascii="Verdana" w:hAnsi="Verdana"/>
          <w:color w:val="333333"/>
          <w:sz w:val="16"/>
          <w:szCs w:val="16"/>
        </w:rPr>
        <w:t>.</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Il secondo elemento che deve essere presente è quello soggettivo, ovvero la buona fede del privato: questo significa che </w:t>
      </w:r>
      <w:r w:rsidRPr="0051606A">
        <w:rPr>
          <w:rStyle w:val="Enfasigrassetto"/>
          <w:rFonts w:ascii="Verdana" w:hAnsi="Verdana"/>
          <w:color w:val="333333"/>
          <w:sz w:val="16"/>
          <w:szCs w:val="16"/>
        </w:rPr>
        <w:t xml:space="preserve">la tutela del legittimo affidamento non è assoluta, e non opera quando l’affidamento è riconducibile ad una condotta negligente, imprudente o, addirittura, fraudolenta del cittadino o dell’operatore economico che entra in contatto con la </w:t>
      </w:r>
      <w:proofErr w:type="spellStart"/>
      <w:r w:rsidRPr="0051606A">
        <w:rPr>
          <w:rStyle w:val="Enfasigrassetto"/>
          <w:rFonts w:ascii="Verdana" w:hAnsi="Verdana"/>
          <w:color w:val="333333"/>
          <w:sz w:val="16"/>
          <w:szCs w:val="16"/>
        </w:rPr>
        <w:t>P.A</w:t>
      </w:r>
      <w:proofErr w:type="spellEnd"/>
      <w:r w:rsidRPr="0051606A">
        <w:rPr>
          <w:rStyle w:val="Enfasigrassetto"/>
          <w:rFonts w:ascii="Verdana" w:hAnsi="Verdana"/>
          <w:color w:val="333333"/>
          <w:sz w:val="16"/>
          <w:szCs w:val="16"/>
        </w:rPr>
        <w:t>.</w:t>
      </w:r>
      <w:r w:rsidRPr="0051606A">
        <w:rPr>
          <w:rFonts w:ascii="Verdana" w:hAnsi="Verdana"/>
          <w:color w:val="333333"/>
          <w:sz w:val="16"/>
          <w:szCs w:val="16"/>
        </w:rPr>
        <w:t>.</w:t>
      </w:r>
    </w:p>
    <w:p w:rsidR="00FF4103" w:rsidRPr="0051606A" w:rsidRDefault="00FF4103" w:rsidP="00FF4103">
      <w:pPr>
        <w:pStyle w:val="NormaleWeb"/>
        <w:spacing w:before="54" w:beforeAutospacing="0" w:after="11" w:afterAutospacing="0" w:line="183" w:lineRule="atLeast"/>
        <w:jc w:val="both"/>
        <w:rPr>
          <w:rFonts w:ascii="Verdana" w:hAnsi="Verdana"/>
          <w:color w:val="333333"/>
          <w:sz w:val="16"/>
          <w:szCs w:val="16"/>
        </w:rPr>
      </w:pPr>
      <w:r w:rsidRPr="0051606A">
        <w:rPr>
          <w:rFonts w:ascii="Verdana" w:hAnsi="Verdana"/>
          <w:color w:val="333333"/>
          <w:sz w:val="16"/>
          <w:szCs w:val="16"/>
        </w:rPr>
        <w:t>Ciò significa che, se la situazione di vantaggio è conseguita dal privato attraverso l’utilizzo di dichiarazioni false o mendaci oppure per il tramite di comportamenti posti in essere in malafede, non si può formare quell’affidamento legittimo che giustifica il risarcimento del danno subito dal privato in seguito alla rimozione del provvedimento da parte della P.A.</w:t>
      </w:r>
    </w:p>
    <w:p w:rsidR="00FF4103" w:rsidRPr="0051606A" w:rsidRDefault="00FF4103" w:rsidP="00FF4103">
      <w:pPr>
        <w:pStyle w:val="NormaleWeb"/>
        <w:spacing w:before="0" w:beforeAutospacing="0" w:after="0" w:afterAutospacing="0" w:line="183" w:lineRule="atLeast"/>
        <w:jc w:val="both"/>
        <w:rPr>
          <w:rFonts w:ascii="Verdana" w:hAnsi="Verdana"/>
          <w:color w:val="333333"/>
          <w:sz w:val="16"/>
          <w:szCs w:val="16"/>
        </w:rPr>
      </w:pPr>
      <w:r w:rsidRPr="0051606A">
        <w:rPr>
          <w:rFonts w:ascii="Verdana" w:hAnsi="Verdana"/>
          <w:color w:val="333333"/>
          <w:sz w:val="16"/>
          <w:szCs w:val="16"/>
        </w:rPr>
        <w:t>Infine, l’ultimo tratto distintivo che rende l’affidamento stabile, è quello cronologico. </w:t>
      </w:r>
      <w:r w:rsidRPr="0051606A">
        <w:rPr>
          <w:rStyle w:val="Enfasigrassetto"/>
          <w:rFonts w:ascii="Verdana" w:hAnsi="Verdana"/>
          <w:color w:val="333333"/>
          <w:sz w:val="16"/>
          <w:szCs w:val="16"/>
        </w:rPr>
        <w:t xml:space="preserve">L’affidamento diventa pienamente tutelabile solo quando il vantaggio viene mantenuto per un arco di tempo tale da convincere il beneficiario della sua stabilità e </w:t>
      </w:r>
      <w:proofErr w:type="spellStart"/>
      <w:r w:rsidRPr="0051606A">
        <w:rPr>
          <w:rStyle w:val="Enfasigrassetto"/>
          <w:rFonts w:ascii="Verdana" w:hAnsi="Verdana"/>
          <w:color w:val="333333"/>
          <w:sz w:val="16"/>
          <w:szCs w:val="16"/>
        </w:rPr>
        <w:t>definitività</w:t>
      </w:r>
      <w:proofErr w:type="spellEnd"/>
      <w:r w:rsidRPr="0051606A">
        <w:rPr>
          <w:rFonts w:ascii="Verdana" w:hAnsi="Verdana"/>
          <w:color w:val="333333"/>
          <w:sz w:val="16"/>
          <w:szCs w:val="16"/>
        </w:rPr>
        <w:t>.</w:t>
      </w:r>
    </w:p>
    <w:p w:rsidR="005675DB" w:rsidRPr="0051606A" w:rsidRDefault="00141986">
      <w:pPr>
        <w:rPr>
          <w:sz w:val="18"/>
          <w:szCs w:val="18"/>
        </w:rPr>
      </w:pPr>
      <w:r w:rsidRPr="0051606A">
        <w:rPr>
          <w:sz w:val="18"/>
          <w:szCs w:val="18"/>
        </w:rPr>
        <w:t>.</w:t>
      </w:r>
    </w:p>
    <w:p w:rsidR="00141986" w:rsidRDefault="00141986">
      <w:r>
        <w:t>Il procedimento e le sue fasi</w:t>
      </w:r>
    </w:p>
    <w:p w:rsidR="00141986" w:rsidRDefault="00141986">
      <w:r>
        <w:t>Il responsabile del procedimento e dell’istruttoria</w:t>
      </w:r>
      <w:r w:rsidR="00014C27">
        <w:t xml:space="preserve"> nomina e compiti</w:t>
      </w:r>
    </w:p>
    <w:p w:rsidR="00141986" w:rsidRDefault="00141986">
      <w:r>
        <w:t>Invalidità dell’atto</w:t>
      </w:r>
    </w:p>
    <w:p w:rsidR="00141986" w:rsidRDefault="00141986">
      <w:r>
        <w:t>Illegittimità del provvedimento</w:t>
      </w:r>
    </w:p>
    <w:p w:rsidR="00141986" w:rsidRDefault="00141986">
      <w:r>
        <w:t xml:space="preserve">Atti di natura </w:t>
      </w:r>
      <w:proofErr w:type="spellStart"/>
      <w:r>
        <w:t>endo</w:t>
      </w:r>
      <w:proofErr w:type="spellEnd"/>
      <w:r>
        <w:t xml:space="preserve"> e  </w:t>
      </w:r>
      <w:proofErr w:type="spellStart"/>
      <w:r>
        <w:t>eso</w:t>
      </w:r>
      <w:proofErr w:type="spellEnd"/>
      <w:r>
        <w:t xml:space="preserve"> procedimentale</w:t>
      </w:r>
    </w:p>
    <w:p w:rsidR="00141986" w:rsidRDefault="00141986">
      <w:proofErr w:type="spellStart"/>
      <w:r>
        <w:t>eLementi</w:t>
      </w:r>
      <w:proofErr w:type="spellEnd"/>
      <w:r>
        <w:t xml:space="preserve"> costitutivi del provvedimento </w:t>
      </w:r>
      <w:proofErr w:type="spellStart"/>
      <w:r>
        <w:t>ammnistrativo</w:t>
      </w:r>
      <w:proofErr w:type="spellEnd"/>
    </w:p>
    <w:p w:rsidR="00141986" w:rsidRDefault="00141986">
      <w:r>
        <w:t xml:space="preserve">fatti brevi cenni sulla trasparenza, diritto di accesso e protezione dei dati, il candidato si soffermi sulla trasparenza totale </w:t>
      </w:r>
    </w:p>
    <w:p w:rsidR="00141986" w:rsidRDefault="00141986">
      <w:r>
        <w:t xml:space="preserve">il candidato illustri il concetto di annullamento di ufficio del prov. </w:t>
      </w:r>
      <w:proofErr w:type="spellStart"/>
      <w:r>
        <w:t>Amm.vo</w:t>
      </w:r>
      <w:proofErr w:type="spellEnd"/>
      <w:r>
        <w:t xml:space="preserve"> e ne descriva le principali casistiche</w:t>
      </w:r>
    </w:p>
    <w:p w:rsidR="00014C27" w:rsidRDefault="00014C27">
      <w:r>
        <w:t>gli istituti di semplificazione amministrativa</w:t>
      </w:r>
    </w:p>
    <w:p w:rsidR="00141986" w:rsidRDefault="00014C27">
      <w:r>
        <w:t xml:space="preserve">la comunicazione di avvio al procedimento </w:t>
      </w:r>
      <w:r w:rsidR="00141986">
        <w:t xml:space="preserve"> </w:t>
      </w:r>
    </w:p>
    <w:p w:rsidR="00014C27" w:rsidRDefault="00014C27">
      <w:r>
        <w:t>diritto di accesso documentale,civico e generalizzato</w:t>
      </w:r>
    </w:p>
    <w:p w:rsidR="00014C27" w:rsidRDefault="00014C27">
      <w:r>
        <w:t>elementi essenziali dell’atto amministrativo e la nullità</w:t>
      </w:r>
    </w:p>
    <w:p w:rsidR="00014C27" w:rsidRDefault="00014C27">
      <w:r>
        <w:t>l’autotutela della Pa, analisi dei vari istituti</w:t>
      </w:r>
    </w:p>
    <w:p w:rsidR="00014C27" w:rsidRDefault="00014C27">
      <w:r>
        <w:t>differenza tra autorizzazione e concessione</w:t>
      </w:r>
    </w:p>
    <w:p w:rsidR="00014C27" w:rsidRDefault="00014C27">
      <w:r>
        <w:t>il provvedimento amministrativo differenza con l’atto amministrativo</w:t>
      </w:r>
    </w:p>
    <w:p w:rsidR="00014C27" w:rsidRDefault="00014C27">
      <w:r>
        <w:t>il candidato illustri i vizi di illegittimità soffermandosi sull’eccesso di potere</w:t>
      </w:r>
    </w:p>
    <w:p w:rsidR="00014C27" w:rsidRDefault="00014C27">
      <w:r>
        <w:t>la motivazione del provvedimento</w:t>
      </w:r>
    </w:p>
    <w:p w:rsidR="00014C27" w:rsidRDefault="00014C27">
      <w:r>
        <w:t>il candidato illustri l’istituto dell’accesso civico</w:t>
      </w:r>
    </w:p>
    <w:p w:rsidR="00014C27" w:rsidRDefault="00014C27">
      <w:r>
        <w:t xml:space="preserve">il candidato illustri i principi dell’attività amministrativa </w:t>
      </w:r>
    </w:p>
    <w:p w:rsidR="00141986" w:rsidRDefault="00141986"/>
    <w:sectPr w:rsidR="00141986" w:rsidSect="0019031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283"/>
  <w:characterSpacingControl w:val="doNotCompress"/>
  <w:compat/>
  <w:rsids>
    <w:rsidRoot w:val="00141986"/>
    <w:rsid w:val="00014C27"/>
    <w:rsid w:val="00141986"/>
    <w:rsid w:val="001452D6"/>
    <w:rsid w:val="0019031D"/>
    <w:rsid w:val="0051606A"/>
    <w:rsid w:val="005E69F5"/>
    <w:rsid w:val="009C6018"/>
    <w:rsid w:val="00FF410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9031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F410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F4103"/>
    <w:rPr>
      <w:b/>
      <w:bCs/>
    </w:rPr>
  </w:style>
  <w:style w:type="character" w:styleId="Enfasicorsivo">
    <w:name w:val="Emphasis"/>
    <w:basedOn w:val="Carpredefinitoparagrafo"/>
    <w:uiPriority w:val="20"/>
    <w:qFormat/>
    <w:rsid w:val="00FF4103"/>
    <w:rPr>
      <w:i/>
      <w:iCs/>
    </w:rPr>
  </w:style>
</w:styles>
</file>

<file path=word/webSettings.xml><?xml version="1.0" encoding="utf-8"?>
<w:webSettings xmlns:r="http://schemas.openxmlformats.org/officeDocument/2006/relationships" xmlns:w="http://schemas.openxmlformats.org/wordprocessingml/2006/main">
  <w:divs>
    <w:div w:id="26538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1368</Words>
  <Characters>7803</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2018-07-01T08:30:00Z</dcterms:created>
  <dcterms:modified xsi:type="dcterms:W3CDTF">2018-07-01T08:30:00Z</dcterms:modified>
</cp:coreProperties>
</file>