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72C" w:rsidRPr="00CD4EF7" w:rsidRDefault="002F072C" w:rsidP="004B1FE1">
      <w:pPr>
        <w:pStyle w:val="NormaleWeb"/>
        <w:shd w:val="clear" w:color="auto" w:fill="FFFFFF"/>
        <w:spacing w:before="150" w:beforeAutospacing="0" w:after="150" w:afterAutospacing="0"/>
        <w:rPr>
          <w:rFonts w:ascii="Arial" w:hAnsi="Arial" w:cs="Arial"/>
          <w:color w:val="19191A"/>
        </w:rPr>
      </w:pPr>
      <w:r w:rsidRPr="00CD4EF7">
        <w:rPr>
          <w:rFonts w:ascii="Arial" w:hAnsi="Arial" w:cs="Arial"/>
          <w:color w:val="19191A"/>
        </w:rPr>
        <w:t>CON LA RIFORMA DELLA COSTITUZIONE la finanza lolca ha visto aumentare notevolmente le entrate proprie. Gli articoli 114, 117 e 119 prevedono un modelo di autonomia finanziaria basato sul principio di perequazione delle risorse disponibili.</w:t>
      </w:r>
    </w:p>
    <w:p w:rsidR="00F70C0D" w:rsidRPr="00CD4EF7" w:rsidRDefault="00F70C0D" w:rsidP="004B1FE1">
      <w:pPr>
        <w:pStyle w:val="NormaleWeb"/>
        <w:shd w:val="clear" w:color="auto" w:fill="FFFFFF"/>
        <w:spacing w:before="150" w:beforeAutospacing="0" w:after="150" w:afterAutospacing="0"/>
        <w:rPr>
          <w:rFonts w:ascii="Arial" w:hAnsi="Arial" w:cs="Arial"/>
          <w:color w:val="19191A"/>
        </w:rPr>
      </w:pPr>
      <w:r w:rsidRPr="00CD4EF7">
        <w:rPr>
          <w:rFonts w:ascii="Arial" w:hAnsi="Arial" w:cs="Arial"/>
          <w:color w:val="19191A"/>
        </w:rPr>
        <w:t>I comuni hanno autonomia statutaria e finanziaria fondata su entrate proprie e trasferite</w:t>
      </w:r>
      <w:r w:rsidRPr="00CD4EF7">
        <w:rPr>
          <w:rFonts w:ascii="Arial" w:hAnsi="Arial" w:cs="Arial"/>
          <w:color w:val="19191A"/>
        </w:rPr>
        <w:sym w:font="Wingdings" w:char="F0E0"/>
      </w:r>
      <w:r w:rsidRPr="00CD4EF7">
        <w:rPr>
          <w:rFonts w:ascii="Arial" w:hAnsi="Arial" w:cs="Arial"/>
          <w:color w:val="19191A"/>
        </w:rPr>
        <w:t xml:space="preserve"> quindi hanno autonomia impositiva nei limiti della legislazione tributaria vigente.</w:t>
      </w:r>
    </w:p>
    <w:p w:rsidR="002F072C" w:rsidRPr="00CD4EF7" w:rsidRDefault="00F70C0D" w:rsidP="004B1FE1">
      <w:pPr>
        <w:pStyle w:val="NormaleWeb"/>
        <w:shd w:val="clear" w:color="auto" w:fill="FFFFFF"/>
        <w:spacing w:before="150" w:beforeAutospacing="0" w:after="150" w:afterAutospacing="0"/>
        <w:rPr>
          <w:rFonts w:ascii="Arial" w:hAnsi="Arial" w:cs="Arial"/>
          <w:color w:val="19191A"/>
        </w:rPr>
      </w:pPr>
      <w:r w:rsidRPr="00CD4EF7">
        <w:rPr>
          <w:rFonts w:ascii="Arial" w:hAnsi="Arial" w:cs="Arial"/>
          <w:color w:val="19191A"/>
        </w:rPr>
        <w:t>La scelta di istituitre l’ICI era stata dettata dalla volontà di sostituire la maggior parte  dei trasferimenti erariali  con le entrate derivanti da uqesto nuovo tributo in osservanza del princpio di auotnomia finanziaria e impositiva del comune.. nel corso degli ani succesivi furono poi disciplinati ulteriori tributi tra cui ricordiamo l’IRAP e le varie addizionali all’IRPEF.</w:t>
      </w:r>
    </w:p>
    <w:p w:rsidR="00F70C0D" w:rsidRPr="00CD4EF7" w:rsidRDefault="00F70C0D" w:rsidP="00F70C0D">
      <w:pPr>
        <w:pStyle w:val="NormaleWeb"/>
        <w:shd w:val="clear" w:color="auto" w:fill="F5FDFE"/>
        <w:rPr>
          <w:rFonts w:ascii="Arial" w:hAnsi="Arial" w:cs="Arial"/>
          <w:color w:val="000000"/>
        </w:rPr>
      </w:pPr>
      <w:r w:rsidRPr="00CD4EF7">
        <w:rPr>
          <w:rFonts w:ascii="Arial" w:hAnsi="Arial" w:cs="Arial"/>
          <w:color w:val="000000"/>
        </w:rPr>
        <w:t>ART 149 TUEL</w:t>
      </w:r>
    </w:p>
    <w:p w:rsidR="00F70C0D" w:rsidRPr="00CD4EF7" w:rsidRDefault="00F70C0D" w:rsidP="00F70C0D">
      <w:pPr>
        <w:pStyle w:val="NormaleWeb"/>
        <w:shd w:val="clear" w:color="auto" w:fill="F5FDFE"/>
        <w:rPr>
          <w:rFonts w:ascii="Arial" w:hAnsi="Arial" w:cs="Arial"/>
          <w:color w:val="000000"/>
        </w:rPr>
      </w:pPr>
      <w:r w:rsidRPr="00CD4EF7">
        <w:rPr>
          <w:rFonts w:ascii="Arial" w:hAnsi="Arial" w:cs="Arial"/>
          <w:color w:val="000000"/>
        </w:rPr>
        <w:t>2.Ai comuni e alle province la legge riconosce, nell'ambito della finanza pubblica, autonomia finanziaria fondata su certezza di risorse proprie e trasferite.</w:t>
      </w:r>
    </w:p>
    <w:p w:rsidR="00F70C0D" w:rsidRPr="00CD4EF7" w:rsidRDefault="00F70C0D" w:rsidP="00F70C0D">
      <w:pPr>
        <w:pStyle w:val="NormaleWeb"/>
        <w:shd w:val="clear" w:color="auto" w:fill="F5FDFE"/>
        <w:rPr>
          <w:rFonts w:ascii="Arial" w:hAnsi="Arial" w:cs="Arial"/>
          <w:color w:val="000000"/>
        </w:rPr>
      </w:pPr>
      <w:r w:rsidRPr="00CD4EF7">
        <w:rPr>
          <w:rFonts w:ascii="Arial" w:hAnsi="Arial" w:cs="Arial"/>
          <w:color w:val="000000"/>
        </w:rPr>
        <w:t>3. La legge assicura, altresì, agli enti locali potestà impositiva autonoma nel campo delle imposte, delle tasse e delle tariffe, con conseguente adeguamento della legislazione tributaria vigente. A tal fine i comuni e le province in forza dell'articolo 52 del decreto legislativo 15 dicembre 1997, n. 446 e successive modificazioni possono disciplinare con regolamento le proprie entrate, anche tributarie, salvo per quanto attiene alla individuazione e definizione delle fattispecie imponibili, dei soggetti passivi e dell'aliquota massima dei singoli tributi, nel rispetto delle esigenze di semplificazione degli adempimenti dei contribuenti. Per quanto non regolamentato si applicano le disposizioni di legge vigenti.</w:t>
      </w:r>
    </w:p>
    <w:p w:rsidR="00F70C0D" w:rsidRPr="00F70C0D" w:rsidRDefault="00F70C0D" w:rsidP="00F70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44444"/>
          <w:sz w:val="24"/>
          <w:szCs w:val="24"/>
          <w:lang w:eastAsia="it-IT"/>
        </w:rPr>
      </w:pPr>
      <w:r w:rsidRPr="00F70C0D">
        <w:rPr>
          <w:rFonts w:ascii="Arial" w:eastAsia="Times New Roman" w:hAnsi="Arial" w:cs="Arial"/>
          <w:color w:val="444444"/>
          <w:sz w:val="24"/>
          <w:szCs w:val="24"/>
          <w:lang w:eastAsia="it-IT"/>
        </w:rPr>
        <w:t>Le province ed i comuni possono disciplinare con regolamento  le</w:t>
      </w:r>
    </w:p>
    <w:p w:rsidR="00F70C0D" w:rsidRPr="00CD4EF7" w:rsidRDefault="00F70C0D" w:rsidP="00F70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44444"/>
          <w:sz w:val="24"/>
          <w:szCs w:val="24"/>
          <w:lang w:eastAsia="it-IT"/>
        </w:rPr>
      </w:pPr>
      <w:r w:rsidRPr="00F70C0D">
        <w:rPr>
          <w:rFonts w:ascii="Arial" w:eastAsia="Times New Roman" w:hAnsi="Arial" w:cs="Arial"/>
          <w:color w:val="444444"/>
          <w:sz w:val="24"/>
          <w:szCs w:val="24"/>
          <w:lang w:eastAsia="it-IT"/>
        </w:rPr>
        <w:t>proprie entrate, anche tributarie,  salvo  per  quanto  attiene  alla</w:t>
      </w:r>
      <w:r w:rsidRPr="00CD4EF7">
        <w:rPr>
          <w:rFonts w:ascii="Arial" w:eastAsia="Times New Roman" w:hAnsi="Arial" w:cs="Arial"/>
          <w:color w:val="444444"/>
          <w:sz w:val="24"/>
          <w:szCs w:val="24"/>
          <w:lang w:eastAsia="it-IT"/>
        </w:rPr>
        <w:t xml:space="preserve"> </w:t>
      </w:r>
      <w:r w:rsidRPr="00F70C0D">
        <w:rPr>
          <w:rFonts w:ascii="Arial" w:eastAsia="Times New Roman" w:hAnsi="Arial" w:cs="Arial"/>
          <w:color w:val="444444"/>
          <w:sz w:val="24"/>
          <w:szCs w:val="24"/>
          <w:lang w:eastAsia="it-IT"/>
        </w:rPr>
        <w:t>individuazione  e  definizione  delle  fattispecie  imponibili,   dei</w:t>
      </w:r>
      <w:r w:rsidRPr="00CD4EF7">
        <w:rPr>
          <w:rFonts w:ascii="Arial" w:eastAsia="Times New Roman" w:hAnsi="Arial" w:cs="Arial"/>
          <w:color w:val="444444"/>
          <w:sz w:val="24"/>
          <w:szCs w:val="24"/>
          <w:lang w:eastAsia="it-IT"/>
        </w:rPr>
        <w:t xml:space="preserve"> </w:t>
      </w:r>
      <w:r w:rsidRPr="00F70C0D">
        <w:rPr>
          <w:rFonts w:ascii="Arial" w:eastAsia="Times New Roman" w:hAnsi="Arial" w:cs="Arial"/>
          <w:color w:val="444444"/>
          <w:sz w:val="24"/>
          <w:szCs w:val="24"/>
          <w:lang w:eastAsia="it-IT"/>
        </w:rPr>
        <w:t>soggetti passivi e della aliquota massima dei  singoli  tributi,  nel</w:t>
      </w:r>
      <w:r w:rsidRPr="00CD4EF7">
        <w:rPr>
          <w:rFonts w:ascii="Arial" w:eastAsia="Times New Roman" w:hAnsi="Arial" w:cs="Arial"/>
          <w:color w:val="444444"/>
          <w:sz w:val="24"/>
          <w:szCs w:val="24"/>
          <w:lang w:eastAsia="it-IT"/>
        </w:rPr>
        <w:t xml:space="preserve"> </w:t>
      </w:r>
      <w:r w:rsidRPr="00F70C0D">
        <w:rPr>
          <w:rFonts w:ascii="Arial" w:eastAsia="Times New Roman" w:hAnsi="Arial" w:cs="Arial"/>
          <w:color w:val="444444"/>
          <w:sz w:val="24"/>
          <w:szCs w:val="24"/>
          <w:lang w:eastAsia="it-IT"/>
        </w:rPr>
        <w:t>rispetto delle esigenze  di  semplificazione  degli adempimenti  dei</w:t>
      </w:r>
      <w:r w:rsidRPr="00CD4EF7">
        <w:rPr>
          <w:rFonts w:ascii="Arial" w:eastAsia="Times New Roman" w:hAnsi="Arial" w:cs="Arial"/>
          <w:color w:val="444444"/>
          <w:sz w:val="24"/>
          <w:szCs w:val="24"/>
          <w:lang w:eastAsia="it-IT"/>
        </w:rPr>
        <w:t xml:space="preserve"> </w:t>
      </w:r>
      <w:r w:rsidRPr="00F70C0D">
        <w:rPr>
          <w:rFonts w:ascii="Arial" w:eastAsia="Times New Roman" w:hAnsi="Arial" w:cs="Arial"/>
          <w:color w:val="444444"/>
          <w:sz w:val="24"/>
          <w:szCs w:val="24"/>
          <w:lang w:eastAsia="it-IT"/>
        </w:rPr>
        <w:t>contribuenti.  Per  quanto  non   regolamentato   si   applicano   le</w:t>
      </w:r>
      <w:r w:rsidRPr="00CD4EF7">
        <w:rPr>
          <w:rFonts w:ascii="Arial" w:eastAsia="Times New Roman" w:hAnsi="Arial" w:cs="Arial"/>
          <w:color w:val="444444"/>
          <w:sz w:val="24"/>
          <w:szCs w:val="24"/>
          <w:lang w:eastAsia="it-IT"/>
        </w:rPr>
        <w:t xml:space="preserve"> </w:t>
      </w:r>
      <w:r w:rsidRPr="00F70C0D">
        <w:rPr>
          <w:rFonts w:ascii="Arial" w:eastAsia="Times New Roman" w:hAnsi="Arial" w:cs="Arial"/>
          <w:color w:val="444444"/>
          <w:sz w:val="24"/>
          <w:szCs w:val="24"/>
          <w:lang w:eastAsia="it-IT"/>
        </w:rPr>
        <w:t>disposizioni di legge vigenti.</w:t>
      </w:r>
    </w:p>
    <w:p w:rsidR="00F70C0D" w:rsidRPr="00CD4EF7" w:rsidRDefault="00F70C0D" w:rsidP="00F70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44444"/>
          <w:sz w:val="24"/>
          <w:szCs w:val="24"/>
          <w:lang w:eastAsia="it-IT"/>
        </w:rPr>
      </w:pPr>
    </w:p>
    <w:p w:rsidR="00F70C0D" w:rsidRPr="00CD4EF7" w:rsidRDefault="00F70C0D" w:rsidP="00F70C0D">
      <w:pPr>
        <w:pStyle w:val="PreformattatoHTML"/>
        <w:rPr>
          <w:rFonts w:ascii="Arial" w:hAnsi="Arial" w:cs="Arial"/>
          <w:color w:val="444444"/>
          <w:sz w:val="24"/>
          <w:szCs w:val="24"/>
        </w:rPr>
      </w:pPr>
      <w:r w:rsidRPr="00CD4EF7">
        <w:rPr>
          <w:rFonts w:ascii="Arial" w:hAnsi="Arial" w:cs="Arial"/>
          <w:color w:val="444444"/>
          <w:sz w:val="24"/>
          <w:szCs w:val="24"/>
        </w:rPr>
        <w:t>I regolamenti sono approvati  con  deliberazione  del  comune  e</w:t>
      </w:r>
    </w:p>
    <w:p w:rsidR="00F70C0D" w:rsidRPr="00CD4EF7" w:rsidRDefault="00F70C0D" w:rsidP="00F70C0D">
      <w:pPr>
        <w:pStyle w:val="PreformattatoHTML"/>
        <w:rPr>
          <w:rFonts w:ascii="Arial" w:hAnsi="Arial" w:cs="Arial"/>
          <w:color w:val="444444"/>
          <w:sz w:val="24"/>
          <w:szCs w:val="24"/>
        </w:rPr>
      </w:pPr>
      <w:r w:rsidRPr="00CD4EF7">
        <w:rPr>
          <w:rFonts w:ascii="Arial" w:hAnsi="Arial" w:cs="Arial"/>
          <w:color w:val="444444"/>
          <w:sz w:val="24"/>
          <w:szCs w:val="24"/>
        </w:rPr>
        <w:t>della provincia non oltre il termine di approvazione del bilancio  di previsione  e  non  hanno  effetto  prima  del  1  gennaio  dell'anno successivo. I regolamenti sulle entrate tributarie  sono  comunicati, unitamente alla relativa delibera comunale o provinciale al Ministero delle finanze, entro trenta giorni dalla data in  cui  sono  divenuti esecutivi  e  sono  resi  pubblici  mediante  avviso  nella  Gazzetta Ufficiale.</w:t>
      </w:r>
    </w:p>
    <w:p w:rsidR="004C217B" w:rsidRPr="00CD4EF7" w:rsidRDefault="004C217B" w:rsidP="00F70C0D">
      <w:pPr>
        <w:pStyle w:val="PreformattatoHTML"/>
        <w:rPr>
          <w:rFonts w:ascii="Arial" w:hAnsi="Arial" w:cs="Arial"/>
          <w:color w:val="444444"/>
          <w:sz w:val="24"/>
          <w:szCs w:val="24"/>
        </w:rPr>
      </w:pPr>
    </w:p>
    <w:p w:rsidR="00F70C0D" w:rsidRPr="00CD4EF7" w:rsidRDefault="004C217B" w:rsidP="00F70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44444"/>
          <w:sz w:val="24"/>
          <w:szCs w:val="24"/>
          <w:lang w:eastAsia="it-IT"/>
        </w:rPr>
      </w:pPr>
      <w:r w:rsidRPr="00CD4EF7">
        <w:rPr>
          <w:rFonts w:ascii="Arial" w:eastAsia="Times New Roman" w:hAnsi="Arial" w:cs="Arial"/>
          <w:color w:val="444444"/>
          <w:sz w:val="24"/>
          <w:szCs w:val="24"/>
          <w:lang w:eastAsia="it-IT"/>
        </w:rPr>
        <w:t>IRAP</w:t>
      </w:r>
    </w:p>
    <w:p w:rsidR="004C217B" w:rsidRPr="00CD4EF7" w:rsidRDefault="004C217B" w:rsidP="00F70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color w:val="19191A"/>
          <w:sz w:val="24"/>
          <w:szCs w:val="24"/>
          <w:shd w:val="clear" w:color="auto" w:fill="FFFFFF"/>
        </w:rPr>
      </w:pPr>
      <w:r w:rsidRPr="00CD4EF7">
        <w:rPr>
          <w:rFonts w:ascii="Arial" w:hAnsi="Arial" w:cs="Arial"/>
          <w:color w:val="19191A"/>
          <w:sz w:val="24"/>
          <w:szCs w:val="24"/>
          <w:shd w:val="clear" w:color="auto" w:fill="FFFFFF"/>
        </w:rPr>
        <w:t>L’imposta regionale sulle attività produttive - IRAP è dovuta per l'esercizio abituale di una attività autonomamente organizzata diretta alla produzione o allo scambio di beni ovvero alla prestazione di servizi. Costituisce in ogni caso presupposto di imposta l’attività esercitata dalle società e dagli enti, compresi gli organi e le amministrazioni dello Stato.</w:t>
      </w:r>
    </w:p>
    <w:p w:rsidR="004C217B" w:rsidRPr="004C217B" w:rsidRDefault="004C217B" w:rsidP="004C217B">
      <w:pPr>
        <w:shd w:val="clear" w:color="auto" w:fill="FFFFFF"/>
        <w:spacing w:before="150" w:after="150" w:line="240" w:lineRule="auto"/>
        <w:rPr>
          <w:rFonts w:ascii="Arial" w:eastAsia="Times New Roman" w:hAnsi="Arial" w:cs="Arial"/>
          <w:color w:val="19191A"/>
          <w:sz w:val="24"/>
          <w:szCs w:val="24"/>
          <w:lang w:eastAsia="it-IT"/>
        </w:rPr>
      </w:pPr>
      <w:r w:rsidRPr="004C217B">
        <w:rPr>
          <w:rFonts w:ascii="Arial" w:eastAsia="Times New Roman" w:hAnsi="Arial" w:cs="Arial"/>
          <w:color w:val="19191A"/>
          <w:sz w:val="24"/>
          <w:szCs w:val="24"/>
          <w:lang w:eastAsia="it-IT"/>
        </w:rPr>
        <w:t>La disciplina del tributo, contenuta negli artt. da 1 a 45 del D.Lgs. 15 dicembre 1997, n. 446, individua come soggetti passivi dell'IRAP gli esercenti attività d’impresa e lavoro autonomo, operanti sia in forma individuale che associata, gli enti non commerciali privati nonché le amministrazioni ed enti pubblici.</w:t>
      </w:r>
      <w:r w:rsidRPr="004C217B">
        <w:rPr>
          <w:rFonts w:ascii="Arial" w:eastAsia="Times New Roman" w:hAnsi="Arial" w:cs="Arial"/>
          <w:color w:val="19191A"/>
          <w:sz w:val="24"/>
          <w:szCs w:val="24"/>
          <w:lang w:eastAsia="it-IT"/>
        </w:rPr>
        <w:br/>
        <w:t>Non sono soggetti passivi IRAP:</w:t>
      </w:r>
    </w:p>
    <w:p w:rsidR="004C217B" w:rsidRPr="004C217B" w:rsidRDefault="004C217B" w:rsidP="004C217B">
      <w:pPr>
        <w:numPr>
          <w:ilvl w:val="0"/>
          <w:numId w:val="18"/>
        </w:numPr>
        <w:shd w:val="clear" w:color="auto" w:fill="FFFFFF"/>
        <w:spacing w:before="100" w:beforeAutospacing="1" w:after="100" w:afterAutospacing="1" w:line="240" w:lineRule="auto"/>
        <w:ind w:left="375" w:right="150"/>
        <w:rPr>
          <w:rFonts w:ascii="Arial" w:eastAsia="Times New Roman" w:hAnsi="Arial" w:cs="Arial"/>
          <w:color w:val="19191A"/>
          <w:sz w:val="24"/>
          <w:szCs w:val="24"/>
          <w:lang w:eastAsia="it-IT"/>
        </w:rPr>
      </w:pPr>
      <w:r w:rsidRPr="004C217B">
        <w:rPr>
          <w:rFonts w:ascii="Arial" w:eastAsia="Times New Roman" w:hAnsi="Arial" w:cs="Arial"/>
          <w:color w:val="19191A"/>
          <w:sz w:val="24"/>
          <w:szCs w:val="24"/>
          <w:lang w:eastAsia="it-IT"/>
        </w:rPr>
        <w:lastRenderedPageBreak/>
        <w:t>gli organismi di investimento collettivo del risparmio ad esclusione delle società di investimento a capitale variabile;</w:t>
      </w:r>
    </w:p>
    <w:p w:rsidR="004C217B" w:rsidRPr="004C217B" w:rsidRDefault="004C217B" w:rsidP="004C217B">
      <w:pPr>
        <w:numPr>
          <w:ilvl w:val="0"/>
          <w:numId w:val="18"/>
        </w:numPr>
        <w:shd w:val="clear" w:color="auto" w:fill="FFFFFF"/>
        <w:spacing w:before="100" w:beforeAutospacing="1" w:after="100" w:afterAutospacing="1" w:line="240" w:lineRule="auto"/>
        <w:ind w:left="375" w:right="150"/>
        <w:rPr>
          <w:rFonts w:ascii="Arial" w:eastAsia="Times New Roman" w:hAnsi="Arial" w:cs="Arial"/>
          <w:color w:val="19191A"/>
          <w:sz w:val="24"/>
          <w:szCs w:val="24"/>
          <w:lang w:eastAsia="it-IT"/>
        </w:rPr>
      </w:pPr>
      <w:r w:rsidRPr="004C217B">
        <w:rPr>
          <w:rFonts w:ascii="Arial" w:eastAsia="Times New Roman" w:hAnsi="Arial" w:cs="Arial"/>
          <w:color w:val="19191A"/>
          <w:sz w:val="24"/>
          <w:szCs w:val="24"/>
          <w:lang w:eastAsia="it-IT"/>
        </w:rPr>
        <w:t>i fondi pensione di cui al D.Lgs. 21 aprile 1993, n. 124;</w:t>
      </w:r>
    </w:p>
    <w:p w:rsidR="004C217B" w:rsidRPr="004C217B" w:rsidRDefault="004C217B" w:rsidP="004C217B">
      <w:pPr>
        <w:numPr>
          <w:ilvl w:val="0"/>
          <w:numId w:val="18"/>
        </w:numPr>
        <w:shd w:val="clear" w:color="auto" w:fill="FFFFFF"/>
        <w:spacing w:before="100" w:beforeAutospacing="1" w:after="100" w:afterAutospacing="1" w:line="240" w:lineRule="auto"/>
        <w:ind w:left="375" w:right="150"/>
        <w:rPr>
          <w:rFonts w:ascii="Arial" w:eastAsia="Times New Roman" w:hAnsi="Arial" w:cs="Arial"/>
          <w:color w:val="19191A"/>
          <w:sz w:val="24"/>
          <w:szCs w:val="24"/>
          <w:lang w:eastAsia="it-IT"/>
        </w:rPr>
      </w:pPr>
      <w:r w:rsidRPr="004C217B">
        <w:rPr>
          <w:rFonts w:ascii="Arial" w:eastAsia="Times New Roman" w:hAnsi="Arial" w:cs="Arial"/>
          <w:color w:val="19191A"/>
          <w:sz w:val="24"/>
          <w:szCs w:val="24"/>
          <w:lang w:eastAsia="it-IT"/>
        </w:rPr>
        <w:t>i gruppi economici di interesse europeo (GEIE) di cui al  D.Lgs. 23 luglio 1991, n. 240, salvo quanto disposto nell'art. 13 del D.Lgs n. 446 del 1997;</w:t>
      </w:r>
    </w:p>
    <w:p w:rsidR="004C217B" w:rsidRPr="004C217B" w:rsidRDefault="004C217B" w:rsidP="004C217B">
      <w:pPr>
        <w:numPr>
          <w:ilvl w:val="0"/>
          <w:numId w:val="18"/>
        </w:numPr>
        <w:shd w:val="clear" w:color="auto" w:fill="FFFFFF"/>
        <w:spacing w:before="100" w:beforeAutospacing="1" w:after="100" w:afterAutospacing="1" w:line="240" w:lineRule="auto"/>
        <w:ind w:left="375" w:right="150"/>
        <w:rPr>
          <w:rFonts w:ascii="Arial" w:eastAsia="Times New Roman" w:hAnsi="Arial" w:cs="Arial"/>
          <w:color w:val="19191A"/>
          <w:sz w:val="24"/>
          <w:szCs w:val="24"/>
          <w:lang w:eastAsia="it-IT"/>
        </w:rPr>
      </w:pPr>
      <w:r w:rsidRPr="004C217B">
        <w:rPr>
          <w:rFonts w:ascii="Arial" w:eastAsia="Times New Roman" w:hAnsi="Arial" w:cs="Arial"/>
          <w:color w:val="19191A"/>
          <w:sz w:val="24"/>
          <w:szCs w:val="24"/>
          <w:lang w:eastAsia="it-IT"/>
        </w:rPr>
        <w:t>i soggetti che esercitano una attività agricola ai sensi dell'art. 32 del D.P.R.  22 dicembre 1986, n. 917, i soggetti di cui all'art. 8 del  D.Lgs.  18 maggio 2001, n. 227, nonché le cooperative e loro consorzi di cui all'art. 10 del D.P.R. 29 settembre 1973, n. 601.</w:t>
      </w:r>
      <w:r w:rsidRPr="004C217B">
        <w:rPr>
          <w:rFonts w:ascii="Arial" w:eastAsia="Times New Roman" w:hAnsi="Arial" w:cs="Arial"/>
          <w:color w:val="19191A"/>
          <w:sz w:val="24"/>
          <w:szCs w:val="24"/>
          <w:lang w:eastAsia="it-IT"/>
        </w:rPr>
        <w:br/>
        <w:t>Sono, altresì, esclusi dal campo di applicazione dell’IRAP le persone fisiche esercenti attività d'impresa, arti o professioni che applicano il regime forfetario previsto dall’art. 1, commi da 54 a 89 della Legge 23 dicembre 2014, n. 190</w:t>
      </w:r>
    </w:p>
    <w:p w:rsidR="004C217B" w:rsidRPr="004C217B" w:rsidRDefault="004C217B" w:rsidP="004C217B">
      <w:pPr>
        <w:shd w:val="clear" w:color="auto" w:fill="FFFFFF"/>
        <w:spacing w:before="150" w:after="150" w:line="240" w:lineRule="auto"/>
        <w:rPr>
          <w:rFonts w:ascii="Arial" w:eastAsia="Times New Roman" w:hAnsi="Arial" w:cs="Arial"/>
          <w:color w:val="19191A"/>
          <w:sz w:val="24"/>
          <w:szCs w:val="24"/>
          <w:lang w:eastAsia="it-IT"/>
        </w:rPr>
      </w:pPr>
      <w:r w:rsidRPr="004C217B">
        <w:rPr>
          <w:rFonts w:ascii="Arial" w:eastAsia="Times New Roman" w:hAnsi="Arial" w:cs="Arial"/>
          <w:color w:val="19191A"/>
          <w:sz w:val="24"/>
          <w:szCs w:val="24"/>
          <w:lang w:eastAsia="it-IT"/>
        </w:rPr>
        <w:t>L’IRAP si applica sul “valore della produzione netta” derivante dall’attività esercitata nel territorio della regione o provincia autonoma, calcolato in maniera differenziata in base alla  tipologia dei soggetti e delle attività esercitate.</w:t>
      </w:r>
      <w:r w:rsidRPr="004C217B">
        <w:rPr>
          <w:rFonts w:ascii="Arial" w:eastAsia="Times New Roman" w:hAnsi="Arial" w:cs="Arial"/>
          <w:color w:val="19191A"/>
          <w:sz w:val="24"/>
          <w:szCs w:val="24"/>
          <w:lang w:eastAsia="it-IT"/>
        </w:rPr>
        <w:br/>
        <w:t>A decorrere dal periodo d’imposta in corso al 31 dicembre 2015 è stata prevista la possibilità di dedurre integralmente dal calcolo della base imponibile </w:t>
      </w:r>
      <w:r w:rsidRPr="00CD4EF7">
        <w:rPr>
          <w:rFonts w:ascii="Arial" w:eastAsia="Times New Roman" w:hAnsi="Arial" w:cs="Arial"/>
          <w:b/>
          <w:bCs/>
          <w:color w:val="19191A"/>
          <w:sz w:val="24"/>
          <w:szCs w:val="24"/>
          <w:lang w:eastAsia="it-IT"/>
        </w:rPr>
        <w:t>l’intero costo sostenuto per i lavoratori dipendenti con contratto a tempo indeterminato</w:t>
      </w:r>
      <w:r w:rsidRPr="004C217B">
        <w:rPr>
          <w:rFonts w:ascii="Arial" w:eastAsia="Times New Roman" w:hAnsi="Arial" w:cs="Arial"/>
          <w:color w:val="19191A"/>
          <w:sz w:val="24"/>
          <w:szCs w:val="24"/>
          <w:lang w:eastAsia="it-IT"/>
        </w:rPr>
        <w:t>. La misura opera nei confronti dei soggetti passivi IRAP ad esclusione degli enti non commerciali, delle amministrazioni e degli enti pubblici relativamente alle attività istituzionali. Detta deduzione è stata poi estesa, seppure entro specifici limiti, anche ai </w:t>
      </w:r>
      <w:r w:rsidRPr="00CD4EF7">
        <w:rPr>
          <w:rFonts w:ascii="Arial" w:eastAsia="Times New Roman" w:hAnsi="Arial" w:cs="Arial"/>
          <w:b/>
          <w:bCs/>
          <w:color w:val="19191A"/>
          <w:sz w:val="24"/>
          <w:szCs w:val="24"/>
          <w:lang w:eastAsia="it-IT"/>
        </w:rPr>
        <w:t>costi sostenuti per l’assunzione di lavoratori stagionali</w:t>
      </w:r>
      <w:r w:rsidRPr="004C217B">
        <w:rPr>
          <w:rFonts w:ascii="Arial" w:eastAsia="Times New Roman" w:hAnsi="Arial" w:cs="Arial"/>
          <w:color w:val="19191A"/>
          <w:sz w:val="24"/>
          <w:szCs w:val="24"/>
          <w:lang w:eastAsia="it-IT"/>
        </w:rPr>
        <w:t>, a condizione che questi ultimi siano impiegati per almeno centoventi giorni per due periodi d'imposta, a decorrere dal secondo contratto stipulato con lo stesso datore di lavoro nell'arco temporale di due anni dalla data di cessazione del precedente contratto.</w:t>
      </w:r>
    </w:p>
    <w:p w:rsidR="004C217B" w:rsidRPr="004C217B" w:rsidRDefault="004C217B" w:rsidP="004C217B">
      <w:pPr>
        <w:shd w:val="clear" w:color="auto" w:fill="FFFFFF"/>
        <w:spacing w:before="150" w:after="150" w:line="240" w:lineRule="auto"/>
        <w:rPr>
          <w:rFonts w:ascii="Arial" w:eastAsia="Times New Roman" w:hAnsi="Arial" w:cs="Arial"/>
          <w:color w:val="19191A"/>
          <w:sz w:val="24"/>
          <w:szCs w:val="24"/>
          <w:lang w:eastAsia="it-IT"/>
        </w:rPr>
      </w:pPr>
      <w:r w:rsidRPr="004C217B">
        <w:rPr>
          <w:rFonts w:ascii="Arial" w:eastAsia="Times New Roman" w:hAnsi="Arial" w:cs="Arial"/>
          <w:color w:val="19191A"/>
          <w:sz w:val="24"/>
          <w:szCs w:val="24"/>
          <w:lang w:eastAsia="it-IT"/>
        </w:rPr>
        <w:t>L’imposta è determinata applicando al valore della produzione netta le seguenti aliquote:</w:t>
      </w:r>
    </w:p>
    <w:tbl>
      <w:tblPr>
        <w:tblW w:w="4935" w:type="dxa"/>
        <w:tblBorders>
          <w:top w:val="single" w:sz="6" w:space="0" w:color="CCCCCC"/>
          <w:left w:val="single" w:sz="6" w:space="0" w:color="CCCCCC"/>
          <w:bottom w:val="single" w:sz="6" w:space="0" w:color="CCCCCC"/>
          <w:right w:val="single" w:sz="6" w:space="0" w:color="CCCCCC"/>
        </w:tblBorders>
        <w:shd w:val="clear" w:color="auto" w:fill="FFFFFF"/>
        <w:tblCellMar>
          <w:left w:w="0" w:type="dxa"/>
          <w:right w:w="0" w:type="dxa"/>
        </w:tblCellMar>
        <w:tblLook w:val="04A0"/>
      </w:tblPr>
      <w:tblGrid>
        <w:gridCol w:w="433"/>
        <w:gridCol w:w="3724"/>
        <w:gridCol w:w="778"/>
      </w:tblGrid>
      <w:tr w:rsidR="004C217B" w:rsidRPr="004C217B" w:rsidTr="004C217B">
        <w:tc>
          <w:tcPr>
            <w:tcW w:w="570"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C217B" w:rsidRPr="004C217B" w:rsidRDefault="004C217B" w:rsidP="004C217B">
            <w:pPr>
              <w:spacing w:after="375" w:line="240" w:lineRule="auto"/>
              <w:rPr>
                <w:rFonts w:ascii="Arial" w:eastAsia="Times New Roman" w:hAnsi="Arial" w:cs="Arial"/>
                <w:color w:val="000000"/>
                <w:sz w:val="24"/>
                <w:szCs w:val="24"/>
                <w:lang w:eastAsia="it-IT"/>
              </w:rPr>
            </w:pPr>
            <w:r w:rsidRPr="004C217B">
              <w:rPr>
                <w:rFonts w:ascii="Arial" w:eastAsia="Times New Roman" w:hAnsi="Arial" w:cs="Arial"/>
                <w:color w:val="000000"/>
                <w:sz w:val="24"/>
                <w:szCs w:val="24"/>
                <w:lang w:eastAsia="it-IT"/>
              </w:rPr>
              <w:t>a)</w:t>
            </w:r>
          </w:p>
        </w:tc>
        <w:tc>
          <w:tcPr>
            <w:tcW w:w="7515"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C217B" w:rsidRPr="004C217B" w:rsidRDefault="004C217B" w:rsidP="004C217B">
            <w:pPr>
              <w:spacing w:after="375" w:line="240" w:lineRule="auto"/>
              <w:rPr>
                <w:rFonts w:ascii="Arial" w:eastAsia="Times New Roman" w:hAnsi="Arial" w:cs="Arial"/>
                <w:color w:val="000000"/>
                <w:sz w:val="24"/>
                <w:szCs w:val="24"/>
                <w:lang w:eastAsia="it-IT"/>
              </w:rPr>
            </w:pPr>
            <w:r w:rsidRPr="004C217B">
              <w:rPr>
                <w:rFonts w:ascii="Arial" w:eastAsia="Times New Roman" w:hAnsi="Arial" w:cs="Arial"/>
                <w:color w:val="000000"/>
                <w:sz w:val="24"/>
                <w:szCs w:val="24"/>
                <w:lang w:eastAsia="it-IT"/>
              </w:rPr>
              <w:t>aliquota ordinaria</w:t>
            </w:r>
          </w:p>
        </w:tc>
        <w:tc>
          <w:tcPr>
            <w:tcW w:w="1095"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C217B" w:rsidRPr="004C217B" w:rsidRDefault="004C217B" w:rsidP="004C217B">
            <w:pPr>
              <w:spacing w:after="375" w:line="240" w:lineRule="auto"/>
              <w:rPr>
                <w:rFonts w:ascii="Arial" w:eastAsia="Times New Roman" w:hAnsi="Arial" w:cs="Arial"/>
                <w:color w:val="000000"/>
                <w:sz w:val="24"/>
                <w:szCs w:val="24"/>
                <w:lang w:eastAsia="it-IT"/>
              </w:rPr>
            </w:pPr>
            <w:r w:rsidRPr="004C217B">
              <w:rPr>
                <w:rFonts w:ascii="Arial" w:eastAsia="Times New Roman" w:hAnsi="Arial" w:cs="Arial"/>
                <w:color w:val="000000"/>
                <w:sz w:val="24"/>
                <w:szCs w:val="24"/>
                <w:lang w:eastAsia="it-IT"/>
              </w:rPr>
              <w:t>3,90 %</w:t>
            </w:r>
          </w:p>
        </w:tc>
      </w:tr>
      <w:tr w:rsidR="004C217B" w:rsidRPr="004C217B" w:rsidTr="004C217B">
        <w:tc>
          <w:tcPr>
            <w:tcW w:w="57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C217B" w:rsidRPr="004C217B" w:rsidRDefault="004C217B" w:rsidP="004C217B">
            <w:pPr>
              <w:spacing w:after="375" w:line="240" w:lineRule="auto"/>
              <w:rPr>
                <w:rFonts w:ascii="Arial" w:eastAsia="Times New Roman" w:hAnsi="Arial" w:cs="Arial"/>
                <w:color w:val="000000"/>
                <w:sz w:val="24"/>
                <w:szCs w:val="24"/>
                <w:lang w:eastAsia="it-IT"/>
              </w:rPr>
            </w:pPr>
            <w:r w:rsidRPr="004C217B">
              <w:rPr>
                <w:rFonts w:ascii="Arial" w:eastAsia="Times New Roman" w:hAnsi="Arial" w:cs="Arial"/>
                <w:color w:val="000000"/>
                <w:sz w:val="24"/>
                <w:szCs w:val="24"/>
                <w:lang w:eastAsia="it-IT"/>
              </w:rPr>
              <w:t>b)</w:t>
            </w:r>
          </w:p>
        </w:tc>
        <w:tc>
          <w:tcPr>
            <w:tcW w:w="751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C217B" w:rsidRPr="004C217B" w:rsidRDefault="004C217B" w:rsidP="004C217B">
            <w:pPr>
              <w:spacing w:after="375" w:line="240" w:lineRule="auto"/>
              <w:rPr>
                <w:rFonts w:ascii="Arial" w:eastAsia="Times New Roman" w:hAnsi="Arial" w:cs="Arial"/>
                <w:color w:val="000000"/>
                <w:sz w:val="24"/>
                <w:szCs w:val="24"/>
                <w:lang w:eastAsia="it-IT"/>
              </w:rPr>
            </w:pPr>
            <w:r w:rsidRPr="004C217B">
              <w:rPr>
                <w:rFonts w:ascii="Arial" w:eastAsia="Times New Roman" w:hAnsi="Arial" w:cs="Arial"/>
                <w:color w:val="000000"/>
                <w:sz w:val="24"/>
                <w:szCs w:val="24"/>
                <w:lang w:eastAsia="it-IT"/>
              </w:rPr>
              <w:t>aliquota per le imprese concessionarie diverse da quelle di costruzione e gestione di autostrade e trafori</w:t>
            </w:r>
          </w:p>
        </w:tc>
        <w:tc>
          <w:tcPr>
            <w:tcW w:w="109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C217B" w:rsidRPr="004C217B" w:rsidRDefault="004C217B" w:rsidP="004C217B">
            <w:pPr>
              <w:spacing w:after="375" w:line="240" w:lineRule="auto"/>
              <w:rPr>
                <w:rFonts w:ascii="Arial" w:eastAsia="Times New Roman" w:hAnsi="Arial" w:cs="Arial"/>
                <w:color w:val="000000"/>
                <w:sz w:val="24"/>
                <w:szCs w:val="24"/>
                <w:lang w:eastAsia="it-IT"/>
              </w:rPr>
            </w:pPr>
            <w:r w:rsidRPr="004C217B">
              <w:rPr>
                <w:rFonts w:ascii="Arial" w:eastAsia="Times New Roman" w:hAnsi="Arial" w:cs="Arial"/>
                <w:color w:val="000000"/>
                <w:sz w:val="24"/>
                <w:szCs w:val="24"/>
                <w:lang w:eastAsia="it-IT"/>
              </w:rPr>
              <w:t>4,20 %</w:t>
            </w:r>
          </w:p>
        </w:tc>
      </w:tr>
      <w:tr w:rsidR="004C217B" w:rsidRPr="004C217B" w:rsidTr="004C217B">
        <w:tc>
          <w:tcPr>
            <w:tcW w:w="570"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C217B" w:rsidRPr="004C217B" w:rsidRDefault="004C217B" w:rsidP="004C217B">
            <w:pPr>
              <w:spacing w:after="375" w:line="240" w:lineRule="auto"/>
              <w:rPr>
                <w:rFonts w:ascii="Arial" w:eastAsia="Times New Roman" w:hAnsi="Arial" w:cs="Arial"/>
                <w:color w:val="000000"/>
                <w:sz w:val="24"/>
                <w:szCs w:val="24"/>
                <w:lang w:eastAsia="it-IT"/>
              </w:rPr>
            </w:pPr>
            <w:r w:rsidRPr="004C217B">
              <w:rPr>
                <w:rFonts w:ascii="Arial" w:eastAsia="Times New Roman" w:hAnsi="Arial" w:cs="Arial"/>
                <w:color w:val="000000"/>
                <w:sz w:val="24"/>
                <w:szCs w:val="24"/>
                <w:lang w:eastAsia="it-IT"/>
              </w:rPr>
              <w:t>c)</w:t>
            </w:r>
          </w:p>
        </w:tc>
        <w:tc>
          <w:tcPr>
            <w:tcW w:w="7515"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C217B" w:rsidRPr="004C217B" w:rsidRDefault="004C217B" w:rsidP="004C217B">
            <w:pPr>
              <w:spacing w:after="375" w:line="240" w:lineRule="auto"/>
              <w:rPr>
                <w:rFonts w:ascii="Arial" w:eastAsia="Times New Roman" w:hAnsi="Arial" w:cs="Arial"/>
                <w:color w:val="000000"/>
                <w:sz w:val="24"/>
                <w:szCs w:val="24"/>
                <w:lang w:eastAsia="it-IT"/>
              </w:rPr>
            </w:pPr>
            <w:r w:rsidRPr="004C217B">
              <w:rPr>
                <w:rFonts w:ascii="Arial" w:eastAsia="Times New Roman" w:hAnsi="Arial" w:cs="Arial"/>
                <w:color w:val="000000"/>
                <w:sz w:val="24"/>
                <w:szCs w:val="24"/>
                <w:lang w:eastAsia="it-IT"/>
              </w:rPr>
              <w:t>aliquota per banche, altri enti e società finanziarie</w:t>
            </w:r>
          </w:p>
        </w:tc>
        <w:tc>
          <w:tcPr>
            <w:tcW w:w="1095"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C217B" w:rsidRPr="004C217B" w:rsidRDefault="004C217B" w:rsidP="004C217B">
            <w:pPr>
              <w:spacing w:after="375" w:line="240" w:lineRule="auto"/>
              <w:rPr>
                <w:rFonts w:ascii="Arial" w:eastAsia="Times New Roman" w:hAnsi="Arial" w:cs="Arial"/>
                <w:color w:val="000000"/>
                <w:sz w:val="24"/>
                <w:szCs w:val="24"/>
                <w:lang w:eastAsia="it-IT"/>
              </w:rPr>
            </w:pPr>
            <w:r w:rsidRPr="004C217B">
              <w:rPr>
                <w:rFonts w:ascii="Arial" w:eastAsia="Times New Roman" w:hAnsi="Arial" w:cs="Arial"/>
                <w:color w:val="000000"/>
                <w:sz w:val="24"/>
                <w:szCs w:val="24"/>
                <w:lang w:eastAsia="it-IT"/>
              </w:rPr>
              <w:t>4,65 %</w:t>
            </w:r>
          </w:p>
        </w:tc>
      </w:tr>
      <w:tr w:rsidR="004C217B" w:rsidRPr="004C217B" w:rsidTr="004C217B">
        <w:tc>
          <w:tcPr>
            <w:tcW w:w="57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C217B" w:rsidRPr="004C217B" w:rsidRDefault="004C217B" w:rsidP="004C217B">
            <w:pPr>
              <w:spacing w:after="375" w:line="240" w:lineRule="auto"/>
              <w:rPr>
                <w:rFonts w:ascii="Arial" w:eastAsia="Times New Roman" w:hAnsi="Arial" w:cs="Arial"/>
                <w:color w:val="000000"/>
                <w:sz w:val="24"/>
                <w:szCs w:val="24"/>
                <w:lang w:eastAsia="it-IT"/>
              </w:rPr>
            </w:pPr>
            <w:r w:rsidRPr="004C217B">
              <w:rPr>
                <w:rFonts w:ascii="Arial" w:eastAsia="Times New Roman" w:hAnsi="Arial" w:cs="Arial"/>
                <w:color w:val="000000"/>
                <w:sz w:val="24"/>
                <w:szCs w:val="24"/>
                <w:lang w:eastAsia="it-IT"/>
              </w:rPr>
              <w:t>d)</w:t>
            </w:r>
          </w:p>
        </w:tc>
        <w:tc>
          <w:tcPr>
            <w:tcW w:w="751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C217B" w:rsidRPr="004C217B" w:rsidRDefault="004C217B" w:rsidP="004C217B">
            <w:pPr>
              <w:spacing w:after="375" w:line="240" w:lineRule="auto"/>
              <w:rPr>
                <w:rFonts w:ascii="Arial" w:eastAsia="Times New Roman" w:hAnsi="Arial" w:cs="Arial"/>
                <w:color w:val="000000"/>
                <w:sz w:val="24"/>
                <w:szCs w:val="24"/>
                <w:lang w:eastAsia="it-IT"/>
              </w:rPr>
            </w:pPr>
            <w:r w:rsidRPr="004C217B">
              <w:rPr>
                <w:rFonts w:ascii="Arial" w:eastAsia="Times New Roman" w:hAnsi="Arial" w:cs="Arial"/>
                <w:color w:val="000000"/>
                <w:sz w:val="24"/>
                <w:szCs w:val="24"/>
                <w:lang w:eastAsia="it-IT"/>
              </w:rPr>
              <w:t>aliquota per imprese di assicurazione</w:t>
            </w:r>
          </w:p>
        </w:tc>
        <w:tc>
          <w:tcPr>
            <w:tcW w:w="109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C217B" w:rsidRPr="004C217B" w:rsidRDefault="004C217B" w:rsidP="004C217B">
            <w:pPr>
              <w:spacing w:after="375" w:line="240" w:lineRule="auto"/>
              <w:rPr>
                <w:rFonts w:ascii="Arial" w:eastAsia="Times New Roman" w:hAnsi="Arial" w:cs="Arial"/>
                <w:color w:val="000000"/>
                <w:sz w:val="24"/>
                <w:szCs w:val="24"/>
                <w:lang w:eastAsia="it-IT"/>
              </w:rPr>
            </w:pPr>
            <w:r w:rsidRPr="004C217B">
              <w:rPr>
                <w:rFonts w:ascii="Arial" w:eastAsia="Times New Roman" w:hAnsi="Arial" w:cs="Arial"/>
                <w:color w:val="000000"/>
                <w:sz w:val="24"/>
                <w:szCs w:val="24"/>
                <w:lang w:eastAsia="it-IT"/>
              </w:rPr>
              <w:t>5,90 %</w:t>
            </w:r>
          </w:p>
        </w:tc>
      </w:tr>
      <w:tr w:rsidR="004C217B" w:rsidRPr="004C217B" w:rsidTr="004C217B">
        <w:tc>
          <w:tcPr>
            <w:tcW w:w="570"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C217B" w:rsidRPr="004C217B" w:rsidRDefault="004C217B" w:rsidP="004C217B">
            <w:pPr>
              <w:spacing w:after="375" w:line="240" w:lineRule="auto"/>
              <w:rPr>
                <w:rFonts w:ascii="Arial" w:eastAsia="Times New Roman" w:hAnsi="Arial" w:cs="Arial"/>
                <w:color w:val="000000"/>
                <w:sz w:val="24"/>
                <w:szCs w:val="24"/>
                <w:lang w:eastAsia="it-IT"/>
              </w:rPr>
            </w:pPr>
            <w:r w:rsidRPr="004C217B">
              <w:rPr>
                <w:rFonts w:ascii="Arial" w:eastAsia="Times New Roman" w:hAnsi="Arial" w:cs="Arial"/>
                <w:color w:val="000000"/>
                <w:sz w:val="24"/>
                <w:szCs w:val="24"/>
                <w:lang w:eastAsia="it-IT"/>
              </w:rPr>
              <w:t>e)</w:t>
            </w:r>
          </w:p>
        </w:tc>
        <w:tc>
          <w:tcPr>
            <w:tcW w:w="7515"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C217B" w:rsidRPr="004C217B" w:rsidRDefault="004C217B" w:rsidP="004C217B">
            <w:pPr>
              <w:spacing w:after="375" w:line="240" w:lineRule="auto"/>
              <w:rPr>
                <w:rFonts w:ascii="Arial" w:eastAsia="Times New Roman" w:hAnsi="Arial" w:cs="Arial"/>
                <w:color w:val="000000"/>
                <w:sz w:val="24"/>
                <w:szCs w:val="24"/>
                <w:lang w:eastAsia="it-IT"/>
              </w:rPr>
            </w:pPr>
            <w:r w:rsidRPr="004C217B">
              <w:rPr>
                <w:rFonts w:ascii="Arial" w:eastAsia="Times New Roman" w:hAnsi="Arial" w:cs="Arial"/>
                <w:color w:val="000000"/>
                <w:sz w:val="24"/>
                <w:szCs w:val="24"/>
                <w:lang w:eastAsia="it-IT"/>
              </w:rPr>
              <w:t>aliquota per amministrazioni ed enti pubblici</w:t>
            </w:r>
          </w:p>
        </w:tc>
        <w:tc>
          <w:tcPr>
            <w:tcW w:w="1095"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C217B" w:rsidRPr="004C217B" w:rsidRDefault="004C217B" w:rsidP="004C217B">
            <w:pPr>
              <w:spacing w:after="375" w:line="240" w:lineRule="auto"/>
              <w:rPr>
                <w:rFonts w:ascii="Arial" w:eastAsia="Times New Roman" w:hAnsi="Arial" w:cs="Arial"/>
                <w:color w:val="000000"/>
                <w:sz w:val="24"/>
                <w:szCs w:val="24"/>
                <w:lang w:eastAsia="it-IT"/>
              </w:rPr>
            </w:pPr>
            <w:r w:rsidRPr="004C217B">
              <w:rPr>
                <w:rFonts w:ascii="Arial" w:eastAsia="Times New Roman" w:hAnsi="Arial" w:cs="Arial"/>
                <w:color w:val="000000"/>
                <w:sz w:val="24"/>
                <w:szCs w:val="24"/>
                <w:lang w:eastAsia="it-IT"/>
              </w:rPr>
              <w:t>8,50 %</w:t>
            </w:r>
          </w:p>
        </w:tc>
      </w:tr>
    </w:tbl>
    <w:p w:rsidR="004C217B" w:rsidRPr="004C217B" w:rsidRDefault="004C217B" w:rsidP="004C217B">
      <w:pPr>
        <w:shd w:val="clear" w:color="auto" w:fill="FFFFFF"/>
        <w:spacing w:before="150" w:after="150" w:line="240" w:lineRule="auto"/>
        <w:rPr>
          <w:rFonts w:ascii="Arial" w:eastAsia="Times New Roman" w:hAnsi="Arial" w:cs="Arial"/>
          <w:color w:val="19191A"/>
          <w:sz w:val="24"/>
          <w:szCs w:val="24"/>
          <w:lang w:eastAsia="it-IT"/>
        </w:rPr>
      </w:pPr>
      <w:r w:rsidRPr="004C217B">
        <w:rPr>
          <w:rFonts w:ascii="Arial" w:eastAsia="Times New Roman" w:hAnsi="Arial" w:cs="Arial"/>
          <w:color w:val="19191A"/>
          <w:sz w:val="24"/>
          <w:szCs w:val="24"/>
          <w:lang w:eastAsia="it-IT"/>
        </w:rPr>
        <w:lastRenderedPageBreak/>
        <w:t>Le Regioni e le Province autonome, con propria legge, a norma dell’art. 16, comma 3, del D.Lgs. n. 446 del 1997, hanno facoltà di variare le aliquote di cui alle lettere a), b), c) e d) della tabella fino ad un massimo di</w:t>
      </w:r>
      <w:r w:rsidRPr="00CD4EF7">
        <w:rPr>
          <w:rFonts w:ascii="Arial" w:eastAsia="Times New Roman" w:hAnsi="Arial" w:cs="Arial"/>
          <w:b/>
          <w:bCs/>
          <w:color w:val="19191A"/>
          <w:sz w:val="24"/>
          <w:szCs w:val="24"/>
          <w:lang w:eastAsia="it-IT"/>
        </w:rPr>
        <w:t> 0,92 punti percentuali</w:t>
      </w:r>
      <w:r w:rsidRPr="004C217B">
        <w:rPr>
          <w:rFonts w:ascii="Arial" w:eastAsia="Times New Roman" w:hAnsi="Arial" w:cs="Arial"/>
          <w:color w:val="19191A"/>
          <w:sz w:val="24"/>
          <w:szCs w:val="24"/>
          <w:lang w:eastAsia="it-IT"/>
        </w:rPr>
        <w:t>, differenziandole per settori di attività e per categorie di soggetti passivi.</w:t>
      </w:r>
      <w:r w:rsidRPr="004C217B">
        <w:rPr>
          <w:rFonts w:ascii="Arial" w:eastAsia="Times New Roman" w:hAnsi="Arial" w:cs="Arial"/>
          <w:color w:val="19191A"/>
          <w:sz w:val="24"/>
          <w:szCs w:val="24"/>
          <w:lang w:eastAsia="it-IT"/>
        </w:rPr>
        <w:br/>
        <w:t>La disciplina dell’IRAP è stata integrata dall’art. 5 del D.Lgs. 6 maggio 2011, n. 68 - recante disposizioni sul federalismo fiscale provinciale e regionale - che detta norme valide solo per le Regioni ordinarie le quali possono ridurre le aliquote fino ad azzerarle, nonché disporre deduzioni dalla base imponibile nel rispetto della normativa dell'Unione europea e degli orientamenti giurisprudenziali della Corte di giustizia dell'Unione europea. La norma precisa, inoltre che:</w:t>
      </w:r>
    </w:p>
    <w:p w:rsidR="004C217B" w:rsidRPr="004C217B" w:rsidRDefault="004C217B" w:rsidP="004C217B">
      <w:pPr>
        <w:numPr>
          <w:ilvl w:val="0"/>
          <w:numId w:val="19"/>
        </w:numPr>
        <w:shd w:val="clear" w:color="auto" w:fill="FFFFFF"/>
        <w:spacing w:before="100" w:beforeAutospacing="1" w:after="100" w:afterAutospacing="1" w:line="240" w:lineRule="auto"/>
        <w:ind w:left="375" w:right="150"/>
        <w:rPr>
          <w:rFonts w:ascii="Arial" w:eastAsia="Times New Roman" w:hAnsi="Arial" w:cs="Arial"/>
          <w:color w:val="19191A"/>
          <w:sz w:val="24"/>
          <w:szCs w:val="24"/>
          <w:lang w:eastAsia="it-IT"/>
        </w:rPr>
      </w:pPr>
      <w:r w:rsidRPr="004C217B">
        <w:rPr>
          <w:rFonts w:ascii="Arial" w:eastAsia="Times New Roman" w:hAnsi="Arial" w:cs="Arial"/>
          <w:color w:val="19191A"/>
          <w:sz w:val="24"/>
          <w:szCs w:val="24"/>
          <w:lang w:eastAsia="it-IT"/>
        </w:rPr>
        <w:t>la riduzione dell'IRAP non può essere disposta se la maggiorazione all’addizionale regionale all’IRPEF di cui all'art. 6, comma 1, del medesimo D.Lgs. n. 68 del 2011, è superiore a 0,5 punti percentuali;</w:t>
      </w:r>
    </w:p>
    <w:p w:rsidR="004C217B" w:rsidRPr="004C217B" w:rsidRDefault="004C217B" w:rsidP="004C217B">
      <w:pPr>
        <w:numPr>
          <w:ilvl w:val="0"/>
          <w:numId w:val="19"/>
        </w:numPr>
        <w:shd w:val="clear" w:color="auto" w:fill="FFFFFF"/>
        <w:spacing w:before="100" w:beforeAutospacing="1" w:after="100" w:afterAutospacing="1" w:line="240" w:lineRule="auto"/>
        <w:ind w:left="375" w:right="150"/>
        <w:rPr>
          <w:rFonts w:ascii="Arial" w:eastAsia="Times New Roman" w:hAnsi="Arial" w:cs="Arial"/>
          <w:color w:val="19191A"/>
          <w:sz w:val="24"/>
          <w:szCs w:val="24"/>
          <w:lang w:eastAsia="it-IT"/>
        </w:rPr>
      </w:pPr>
      <w:r w:rsidRPr="004C217B">
        <w:rPr>
          <w:rFonts w:ascii="Arial" w:eastAsia="Times New Roman" w:hAnsi="Arial" w:cs="Arial"/>
          <w:color w:val="19191A"/>
          <w:sz w:val="24"/>
          <w:szCs w:val="24"/>
          <w:lang w:eastAsia="it-IT"/>
        </w:rPr>
        <w:t>restano fermi gli automatismi fiscali previsti dalla vigente legislazione nel settore sanitario nei casi di squilibrio economico, nonché le disposizioni in materia di applicazione di incrementi delle aliquote fiscali per le regioni sottoposte ai piani di rientro dai deficit sanitari.</w:t>
      </w:r>
    </w:p>
    <w:p w:rsidR="004C217B" w:rsidRPr="004C217B" w:rsidRDefault="004C217B" w:rsidP="004C217B">
      <w:pPr>
        <w:shd w:val="clear" w:color="auto" w:fill="FFFFFF"/>
        <w:spacing w:before="150" w:after="150" w:line="240" w:lineRule="auto"/>
        <w:rPr>
          <w:rFonts w:ascii="Arial" w:eastAsia="Times New Roman" w:hAnsi="Arial" w:cs="Arial"/>
          <w:color w:val="19191A"/>
          <w:sz w:val="24"/>
          <w:szCs w:val="24"/>
          <w:lang w:eastAsia="it-IT"/>
        </w:rPr>
      </w:pPr>
      <w:r w:rsidRPr="004C217B">
        <w:rPr>
          <w:rFonts w:ascii="Arial" w:eastAsia="Times New Roman" w:hAnsi="Arial" w:cs="Arial"/>
          <w:color w:val="19191A"/>
          <w:sz w:val="24"/>
          <w:szCs w:val="24"/>
          <w:lang w:eastAsia="it-IT"/>
        </w:rPr>
        <w:t>La possibilità di azzeramento delle aliquote è consentita, altresì,</w:t>
      </w:r>
      <w:r w:rsidRPr="00CD4EF7">
        <w:rPr>
          <w:rFonts w:ascii="Arial" w:eastAsia="Times New Roman" w:hAnsi="Arial" w:cs="Arial"/>
          <w:b/>
          <w:bCs/>
          <w:color w:val="19191A"/>
          <w:sz w:val="24"/>
          <w:szCs w:val="24"/>
          <w:lang w:eastAsia="it-IT"/>
        </w:rPr>
        <w:t> alle Regioni a statuto speciale ed alle Province autonome di Trento e di Bolzano</w:t>
      </w:r>
      <w:r w:rsidRPr="004C217B">
        <w:rPr>
          <w:rFonts w:ascii="Arial" w:eastAsia="Times New Roman" w:hAnsi="Arial" w:cs="Arial"/>
          <w:color w:val="19191A"/>
          <w:sz w:val="24"/>
          <w:szCs w:val="24"/>
          <w:lang w:eastAsia="it-IT"/>
        </w:rPr>
        <w:t>, in virtù di specifiche norme contenute negli Statuti speciali o nelle disposizioni di attuazione statutaria.</w:t>
      </w:r>
    </w:p>
    <w:p w:rsidR="004C217B" w:rsidRPr="004C217B" w:rsidRDefault="004C217B" w:rsidP="004C217B">
      <w:pPr>
        <w:shd w:val="clear" w:color="auto" w:fill="FFFFFF"/>
        <w:spacing w:before="150" w:after="150" w:line="240" w:lineRule="auto"/>
        <w:rPr>
          <w:rFonts w:ascii="Arial" w:eastAsia="Times New Roman" w:hAnsi="Arial" w:cs="Arial"/>
          <w:color w:val="19191A"/>
          <w:sz w:val="24"/>
          <w:szCs w:val="24"/>
          <w:lang w:eastAsia="it-IT"/>
        </w:rPr>
      </w:pPr>
      <w:r w:rsidRPr="004C217B">
        <w:rPr>
          <w:rFonts w:ascii="Arial" w:eastAsia="Times New Roman" w:hAnsi="Arial" w:cs="Arial"/>
          <w:color w:val="19191A"/>
          <w:sz w:val="24"/>
          <w:szCs w:val="24"/>
          <w:lang w:eastAsia="it-IT"/>
        </w:rPr>
        <w:t>Per ogni periodo d’imposta i soggetti passivi IRAP sono tenuti a presentare la dichiarazione di imposta compilando il modello Irap predisposto dall’Agenzia delle entrate.</w:t>
      </w:r>
      <w:r w:rsidRPr="004C217B">
        <w:rPr>
          <w:rFonts w:ascii="Arial" w:eastAsia="Times New Roman" w:hAnsi="Arial" w:cs="Arial"/>
          <w:color w:val="19191A"/>
          <w:sz w:val="24"/>
          <w:szCs w:val="24"/>
          <w:lang w:eastAsia="it-IT"/>
        </w:rPr>
        <w:br/>
        <w:t>L’imposta è riscossa tramite </w:t>
      </w:r>
      <w:r w:rsidRPr="00CD4EF7">
        <w:rPr>
          <w:rFonts w:ascii="Arial" w:eastAsia="Times New Roman" w:hAnsi="Arial" w:cs="Arial"/>
          <w:b/>
          <w:bCs/>
          <w:color w:val="19191A"/>
          <w:sz w:val="24"/>
          <w:szCs w:val="24"/>
          <w:lang w:eastAsia="it-IT"/>
        </w:rPr>
        <w:t>autoliquidazione</w:t>
      </w:r>
      <w:r w:rsidRPr="004C217B">
        <w:rPr>
          <w:rFonts w:ascii="Arial" w:eastAsia="Times New Roman" w:hAnsi="Arial" w:cs="Arial"/>
          <w:color w:val="19191A"/>
          <w:sz w:val="24"/>
          <w:szCs w:val="24"/>
          <w:lang w:eastAsia="it-IT"/>
        </w:rPr>
        <w:t> secondo la stessa disciplina applicabile per le imposte sui redditi. Il contribuente attraverso il modello F24, provvede al versamento del tributo attraverso il pagamento:</w:t>
      </w:r>
    </w:p>
    <w:p w:rsidR="004C217B" w:rsidRPr="004C217B" w:rsidRDefault="004C217B" w:rsidP="004C217B">
      <w:pPr>
        <w:numPr>
          <w:ilvl w:val="0"/>
          <w:numId w:val="20"/>
        </w:numPr>
        <w:shd w:val="clear" w:color="auto" w:fill="FFFFFF"/>
        <w:spacing w:before="100" w:beforeAutospacing="1" w:after="100" w:afterAutospacing="1" w:line="240" w:lineRule="auto"/>
        <w:ind w:left="375" w:right="150"/>
        <w:rPr>
          <w:rFonts w:ascii="Arial" w:eastAsia="Times New Roman" w:hAnsi="Arial" w:cs="Arial"/>
          <w:color w:val="19191A"/>
          <w:sz w:val="24"/>
          <w:szCs w:val="24"/>
          <w:lang w:eastAsia="it-IT"/>
        </w:rPr>
      </w:pPr>
      <w:r w:rsidRPr="004C217B">
        <w:rPr>
          <w:rFonts w:ascii="Arial" w:eastAsia="Times New Roman" w:hAnsi="Arial" w:cs="Arial"/>
          <w:color w:val="19191A"/>
          <w:sz w:val="24"/>
          <w:szCs w:val="24"/>
          <w:lang w:eastAsia="it-IT"/>
        </w:rPr>
        <w:t>di un acconto (da ripartire in due rate nel corso dell’anno) pressoché commisurato alla totalità dell’imposta dovuta per il periodo precedente o a quella che si presume di pagare per l’anno successivo;</w:t>
      </w:r>
    </w:p>
    <w:p w:rsidR="004C217B" w:rsidRPr="004C217B" w:rsidRDefault="004C217B" w:rsidP="004C217B">
      <w:pPr>
        <w:numPr>
          <w:ilvl w:val="0"/>
          <w:numId w:val="20"/>
        </w:numPr>
        <w:shd w:val="clear" w:color="auto" w:fill="FFFFFF"/>
        <w:spacing w:before="100" w:beforeAutospacing="1" w:after="100" w:afterAutospacing="1" w:line="240" w:lineRule="auto"/>
        <w:ind w:left="375" w:right="150"/>
        <w:rPr>
          <w:rFonts w:ascii="Arial" w:eastAsia="Times New Roman" w:hAnsi="Arial" w:cs="Arial"/>
          <w:color w:val="19191A"/>
          <w:sz w:val="24"/>
          <w:szCs w:val="24"/>
          <w:lang w:eastAsia="it-IT"/>
        </w:rPr>
      </w:pPr>
      <w:r w:rsidRPr="004C217B">
        <w:rPr>
          <w:rFonts w:ascii="Arial" w:eastAsia="Times New Roman" w:hAnsi="Arial" w:cs="Arial"/>
          <w:color w:val="19191A"/>
          <w:sz w:val="24"/>
          <w:szCs w:val="24"/>
          <w:lang w:eastAsia="it-IT"/>
        </w:rPr>
        <w:t>e di un saldo da corrispondere nell’anno successivo a quello di riferimento in seguito alla presentazione della dichiarazione IRAP.</w:t>
      </w:r>
    </w:p>
    <w:p w:rsidR="004C217B" w:rsidRPr="004C217B" w:rsidRDefault="004C217B" w:rsidP="004C217B">
      <w:pPr>
        <w:shd w:val="clear" w:color="auto" w:fill="FFFFFF"/>
        <w:spacing w:before="150" w:after="150" w:line="240" w:lineRule="auto"/>
        <w:rPr>
          <w:rFonts w:ascii="Arial" w:eastAsia="Times New Roman" w:hAnsi="Arial" w:cs="Arial"/>
          <w:color w:val="19191A"/>
          <w:sz w:val="24"/>
          <w:szCs w:val="24"/>
          <w:lang w:eastAsia="it-IT"/>
        </w:rPr>
      </w:pPr>
      <w:r w:rsidRPr="004C217B">
        <w:rPr>
          <w:rFonts w:ascii="Arial" w:eastAsia="Times New Roman" w:hAnsi="Arial" w:cs="Arial"/>
          <w:color w:val="19191A"/>
          <w:sz w:val="24"/>
          <w:szCs w:val="24"/>
          <w:lang w:eastAsia="it-IT"/>
        </w:rPr>
        <w:t>L’IRAP è un “</w:t>
      </w:r>
      <w:r w:rsidRPr="00CD4EF7">
        <w:rPr>
          <w:rFonts w:ascii="Arial" w:eastAsia="Times New Roman" w:hAnsi="Arial" w:cs="Arial"/>
          <w:b/>
          <w:bCs/>
          <w:color w:val="19191A"/>
          <w:sz w:val="24"/>
          <w:szCs w:val="24"/>
          <w:lang w:eastAsia="it-IT"/>
        </w:rPr>
        <w:t>tributo proprio derivato</w:t>
      </w:r>
      <w:r w:rsidRPr="004C217B">
        <w:rPr>
          <w:rFonts w:ascii="Arial" w:eastAsia="Times New Roman" w:hAnsi="Arial" w:cs="Arial"/>
          <w:color w:val="19191A"/>
          <w:sz w:val="24"/>
          <w:szCs w:val="24"/>
          <w:lang w:eastAsia="it-IT"/>
        </w:rPr>
        <w:t>”, vale a dire un tributo istituito e regolato dalla legge dello Stato, il cui gettito è attribuito alle regioni, le quali devono, pertanto, esercitare la propria autonomia impositiva entro i limiti stabiliti dalla legge statale.</w:t>
      </w:r>
    </w:p>
    <w:p w:rsidR="004C217B" w:rsidRPr="00CD4EF7" w:rsidRDefault="004C217B" w:rsidP="004C217B">
      <w:pPr>
        <w:shd w:val="clear" w:color="auto" w:fill="FFFFFF"/>
        <w:spacing w:before="150" w:after="150" w:line="240" w:lineRule="auto"/>
        <w:rPr>
          <w:rFonts w:ascii="Arial" w:eastAsia="Times New Roman" w:hAnsi="Arial" w:cs="Arial"/>
          <w:color w:val="19191A"/>
          <w:sz w:val="24"/>
          <w:szCs w:val="24"/>
          <w:lang w:eastAsia="it-IT"/>
        </w:rPr>
      </w:pPr>
      <w:r w:rsidRPr="004C217B">
        <w:rPr>
          <w:rFonts w:ascii="Arial" w:eastAsia="Times New Roman" w:hAnsi="Arial" w:cs="Arial"/>
          <w:color w:val="19191A"/>
          <w:sz w:val="24"/>
          <w:szCs w:val="24"/>
          <w:lang w:eastAsia="it-IT"/>
        </w:rPr>
        <w:t>Il gettito dell’IRAP concorre, nella misura e nelle forme stabilite dalla legge, al finanziamento del Servizio sanitario nazionale.</w:t>
      </w:r>
    </w:p>
    <w:p w:rsidR="004C217B" w:rsidRPr="004C217B" w:rsidRDefault="004C217B" w:rsidP="004C217B">
      <w:pPr>
        <w:shd w:val="clear" w:color="auto" w:fill="FFFFFF"/>
        <w:spacing w:before="150" w:after="150" w:line="240" w:lineRule="auto"/>
        <w:rPr>
          <w:rFonts w:ascii="Arial" w:eastAsia="Times New Roman" w:hAnsi="Arial" w:cs="Arial"/>
          <w:color w:val="19191A"/>
          <w:sz w:val="24"/>
          <w:szCs w:val="24"/>
          <w:lang w:eastAsia="it-IT"/>
        </w:rPr>
      </w:pPr>
    </w:p>
    <w:p w:rsidR="004C217B" w:rsidRPr="00F70C0D" w:rsidRDefault="004C217B" w:rsidP="00F70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444444"/>
          <w:sz w:val="24"/>
          <w:szCs w:val="24"/>
          <w:lang w:eastAsia="it-IT"/>
        </w:rPr>
      </w:pPr>
    </w:p>
    <w:p w:rsidR="00F70C0D" w:rsidRPr="00CD4EF7" w:rsidRDefault="00F70C0D" w:rsidP="004B1FE1">
      <w:pPr>
        <w:pStyle w:val="NormaleWeb"/>
        <w:shd w:val="clear" w:color="auto" w:fill="FFFFFF"/>
        <w:spacing w:before="150" w:beforeAutospacing="0" w:after="150" w:afterAutospacing="0"/>
        <w:rPr>
          <w:rFonts w:ascii="Arial" w:hAnsi="Arial" w:cs="Arial"/>
          <w:color w:val="19191A"/>
        </w:rPr>
      </w:pPr>
    </w:p>
    <w:p w:rsidR="002F072C" w:rsidRPr="00CD4EF7" w:rsidRDefault="004C217B" w:rsidP="004B1FE1">
      <w:pPr>
        <w:pStyle w:val="NormaleWeb"/>
        <w:shd w:val="clear" w:color="auto" w:fill="FFFFFF"/>
        <w:spacing w:before="150" w:beforeAutospacing="0" w:after="150" w:afterAutospacing="0"/>
        <w:rPr>
          <w:rFonts w:ascii="Arial" w:hAnsi="Arial" w:cs="Arial"/>
          <w:color w:val="19191A"/>
        </w:rPr>
      </w:pPr>
      <w:r w:rsidRPr="00CD4EF7">
        <w:rPr>
          <w:rFonts w:ascii="Arial" w:hAnsi="Arial" w:cs="Arial"/>
          <w:color w:val="19191A"/>
        </w:rPr>
        <w:t>IMU</w:t>
      </w:r>
    </w:p>
    <w:p w:rsidR="004B1FE1" w:rsidRPr="00CD4EF7" w:rsidRDefault="004B1FE1" w:rsidP="004B1FE1">
      <w:pPr>
        <w:pStyle w:val="NormaleWeb"/>
        <w:shd w:val="clear" w:color="auto" w:fill="FFFFFF"/>
        <w:spacing w:before="150" w:beforeAutospacing="0" w:after="150" w:afterAutospacing="0"/>
        <w:rPr>
          <w:rFonts w:ascii="Arial" w:hAnsi="Arial" w:cs="Arial"/>
          <w:color w:val="19191A"/>
        </w:rPr>
      </w:pPr>
      <w:r w:rsidRPr="00CD4EF7">
        <w:rPr>
          <w:rFonts w:ascii="Arial" w:hAnsi="Arial" w:cs="Arial"/>
          <w:color w:val="19191A"/>
        </w:rPr>
        <w:t xml:space="preserve">L’imposta municipale propria (IMU) è l’imposta dovuta per il possesso di fabbricati, escluse le abitazioni principali classificate nelle categorie catastali diverse da A/1, A/8 e A/9, di aree fabbricabili e di terreni agricoli ed è dovuta dal proprietario o dal titolare di altro diritto </w:t>
      </w:r>
      <w:r w:rsidRPr="00CD4EF7">
        <w:rPr>
          <w:rFonts w:ascii="Arial" w:hAnsi="Arial" w:cs="Arial"/>
          <w:color w:val="19191A"/>
        </w:rPr>
        <w:lastRenderedPageBreak/>
        <w:t>reale (usufrutto, uso, abitazione, enfiteusi, superficie), dal concessionario nel caso di concessione di aree demaniali e dal locatario in caso di leasing.</w:t>
      </w:r>
    </w:p>
    <w:p w:rsidR="004B1FE1" w:rsidRPr="00CD4EF7" w:rsidRDefault="004B1FE1" w:rsidP="004B1FE1">
      <w:pPr>
        <w:pStyle w:val="NormaleWeb"/>
        <w:shd w:val="clear" w:color="auto" w:fill="FFFFFF"/>
        <w:spacing w:before="150" w:beforeAutospacing="0" w:after="150" w:afterAutospacing="0"/>
        <w:rPr>
          <w:rFonts w:ascii="Arial" w:hAnsi="Arial" w:cs="Arial"/>
          <w:color w:val="19191A"/>
        </w:rPr>
      </w:pPr>
      <w:r w:rsidRPr="00CD4EF7">
        <w:rPr>
          <w:rFonts w:ascii="Arial" w:hAnsi="Arial" w:cs="Arial"/>
          <w:color w:val="19191A"/>
        </w:rPr>
        <w:t>L’IMU è stata introdotta, a partire dall’anno 2012, sulla base dell’art. 13 del D. L. 6 dicembre 2011, n. 201, convertito dalla legge 22 dicembre 2011, n. 214, in sostituzione dell’imposta comunale sugli immobili (ICI).</w:t>
      </w:r>
    </w:p>
    <w:p w:rsidR="004B1FE1" w:rsidRPr="00CD4EF7" w:rsidRDefault="004B1FE1" w:rsidP="004B1FE1">
      <w:pPr>
        <w:pStyle w:val="NormaleWeb"/>
        <w:shd w:val="clear" w:color="auto" w:fill="FFFFFF"/>
        <w:spacing w:before="150" w:beforeAutospacing="0" w:after="150" w:afterAutospacing="0"/>
        <w:rPr>
          <w:rFonts w:ascii="Arial" w:hAnsi="Arial" w:cs="Arial"/>
          <w:color w:val="19191A"/>
        </w:rPr>
      </w:pPr>
      <w:r w:rsidRPr="00CD4EF7">
        <w:rPr>
          <w:rFonts w:ascii="Arial" w:hAnsi="Arial" w:cs="Arial"/>
          <w:color w:val="19191A"/>
        </w:rPr>
        <w:t>A decorrere dal 2014 e fino al 2019, poi, l’IMU è stata individuata dalla legge 27 dicembre 2013, n. 147 (legge di stabilità per il 2014) quale imposta facente parte, insieme al tributo per i servizi indivisibili (TASI) e alla tassa sui rifiuti (TARI), dell’imposta unica comunale (IUC).</w:t>
      </w:r>
    </w:p>
    <w:p w:rsidR="004B1FE1" w:rsidRPr="00CD4EF7" w:rsidRDefault="004B1FE1" w:rsidP="004B1FE1">
      <w:pPr>
        <w:pStyle w:val="NormaleWeb"/>
        <w:shd w:val="clear" w:color="auto" w:fill="FFFFFF"/>
        <w:spacing w:before="150" w:beforeAutospacing="0" w:after="150" w:afterAutospacing="0"/>
        <w:rPr>
          <w:rFonts w:ascii="Arial" w:hAnsi="Arial" w:cs="Arial"/>
          <w:color w:val="19191A"/>
        </w:rPr>
      </w:pPr>
      <w:r w:rsidRPr="00CD4EF7">
        <w:rPr>
          <w:rFonts w:ascii="Arial" w:hAnsi="Arial" w:cs="Arial"/>
          <w:color w:val="19191A"/>
        </w:rPr>
        <w:t>La legge 27 dicembre 2019, n. 160 (legge di bilancio per il 2020) ha successivamente abolito, a decorrere dall’anno 2020, la IUC e – tra i tributi che ne facevano parte – la TASI. Sono, invece, rimasti in vigore gli altri due tributi che componevano la IUC, vale a dire la TARI e l’IMU, quest’ultima come ridisciplinata dalla stessa legge n. 160 del 2019.</w:t>
      </w:r>
    </w:p>
    <w:p w:rsidR="004B1FE1" w:rsidRPr="00CD4EF7" w:rsidRDefault="004B1FE1" w:rsidP="004B1FE1">
      <w:pPr>
        <w:shd w:val="clear" w:color="auto" w:fill="FFFFFF"/>
        <w:spacing w:before="125" w:after="125"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Il presupposto dell’IMU</w:t>
      </w:r>
      <w:r w:rsidRPr="00CD4EF7">
        <w:rPr>
          <w:rFonts w:ascii="Arial" w:eastAsia="Times New Roman" w:hAnsi="Arial" w:cs="Arial"/>
          <w:i/>
          <w:iCs/>
          <w:color w:val="19191A"/>
          <w:sz w:val="24"/>
          <w:szCs w:val="24"/>
          <w:lang w:eastAsia="it-IT"/>
        </w:rPr>
        <w:t> [art. 1, comma 740, della legge n. 160 del 2019]</w:t>
      </w:r>
      <w:r w:rsidRPr="00CD4EF7">
        <w:rPr>
          <w:rFonts w:ascii="Arial" w:eastAsia="Times New Roman" w:hAnsi="Arial" w:cs="Arial"/>
          <w:color w:val="19191A"/>
          <w:sz w:val="24"/>
          <w:szCs w:val="24"/>
          <w:lang w:eastAsia="it-IT"/>
        </w:rPr>
        <w:t> è il possesso di:</w:t>
      </w:r>
    </w:p>
    <w:p w:rsidR="004B1FE1" w:rsidRPr="00CD4EF7" w:rsidRDefault="004B1FE1" w:rsidP="004B1FE1">
      <w:pPr>
        <w:numPr>
          <w:ilvl w:val="0"/>
          <w:numId w:val="1"/>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fabbricati, esclusa l’abitazione principale (salvo che si tratti di un’unità abitativa classificata nelle categorie catastali A/1, A/8 e A/9);</w:t>
      </w:r>
    </w:p>
    <w:p w:rsidR="004B1FE1" w:rsidRPr="00CD4EF7" w:rsidRDefault="004B1FE1" w:rsidP="004B1FE1">
      <w:pPr>
        <w:numPr>
          <w:ilvl w:val="0"/>
          <w:numId w:val="1"/>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aree fabbricabili;</w:t>
      </w:r>
    </w:p>
    <w:p w:rsidR="004B1FE1" w:rsidRPr="00CD4EF7" w:rsidRDefault="004B1FE1" w:rsidP="004B1FE1">
      <w:pPr>
        <w:numPr>
          <w:ilvl w:val="0"/>
          <w:numId w:val="1"/>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terreni agricoli.</w:t>
      </w:r>
    </w:p>
    <w:p w:rsidR="004B1FE1" w:rsidRPr="00CD4EF7" w:rsidRDefault="004B1FE1" w:rsidP="004B1FE1">
      <w:p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b/>
          <w:bCs/>
          <w:color w:val="19191A"/>
          <w:sz w:val="24"/>
          <w:szCs w:val="24"/>
          <w:lang w:eastAsia="it-IT"/>
        </w:rPr>
        <w:t>regime</w:t>
      </w:r>
      <w:r w:rsidRPr="00CD4EF7">
        <w:rPr>
          <w:rFonts w:ascii="Arial" w:eastAsia="Times New Roman" w:hAnsi="Arial" w:cs="Arial"/>
          <w:color w:val="19191A"/>
          <w:sz w:val="24"/>
          <w:szCs w:val="24"/>
          <w:lang w:eastAsia="it-IT"/>
        </w:rPr>
        <w:br/>
        <w:t>L’IMU per l’abitazione principale non è dovuta. Sono assoggettate all’imposta esclusivamente le abitazioni classificate nelle categorie catastali A/1, A/8 e A/9 (c.d. di lusso).</w:t>
      </w:r>
    </w:p>
    <w:p w:rsidR="004B1FE1" w:rsidRPr="00CD4EF7" w:rsidRDefault="004B1FE1" w:rsidP="004B1FE1">
      <w:p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b/>
          <w:bCs/>
          <w:color w:val="19191A"/>
          <w:sz w:val="24"/>
          <w:szCs w:val="24"/>
          <w:lang w:eastAsia="it-IT"/>
        </w:rPr>
        <w:t>definizione</w:t>
      </w:r>
      <w:r w:rsidRPr="00CD4EF7">
        <w:rPr>
          <w:rFonts w:ascii="Arial" w:eastAsia="Times New Roman" w:hAnsi="Arial" w:cs="Arial"/>
          <w:color w:val="19191A"/>
          <w:sz w:val="24"/>
          <w:szCs w:val="24"/>
          <w:lang w:eastAsia="it-IT"/>
        </w:rPr>
        <w:br/>
        <w:t>L’abitazione principale è definita come l’unità immobiliare in cui il soggetto passivo e i componenti del suo nucleo familiare risiedono anagraficamente e dimorano abitualmente </w:t>
      </w:r>
      <w:r w:rsidRPr="00CD4EF7">
        <w:rPr>
          <w:rFonts w:ascii="Arial" w:eastAsia="Times New Roman" w:hAnsi="Arial" w:cs="Arial"/>
          <w:i/>
          <w:iCs/>
          <w:color w:val="19191A"/>
          <w:sz w:val="24"/>
          <w:szCs w:val="24"/>
          <w:lang w:eastAsia="it-IT"/>
        </w:rPr>
        <w:t>[art. 1, comma 741, lett. b), primo e secondo periodo, della legge n. 160 del 2019]</w:t>
      </w:r>
      <w:r w:rsidRPr="00CD4EF7">
        <w:rPr>
          <w:rFonts w:ascii="Arial" w:eastAsia="Times New Roman" w:hAnsi="Arial" w:cs="Arial"/>
          <w:color w:val="19191A"/>
          <w:sz w:val="24"/>
          <w:szCs w:val="24"/>
          <w:lang w:eastAsia="it-IT"/>
        </w:rPr>
        <w:t>.</w:t>
      </w:r>
      <w:r w:rsidRPr="00CD4EF7">
        <w:rPr>
          <w:rFonts w:ascii="Arial" w:eastAsia="Times New Roman" w:hAnsi="Arial" w:cs="Arial"/>
          <w:color w:val="19191A"/>
          <w:sz w:val="24"/>
          <w:szCs w:val="24"/>
          <w:lang w:eastAsia="it-IT"/>
        </w:rPr>
        <w:br/>
        <w:t>Sono assoggettate al regime IMU dell’abitazione principale le pertinenze della stessa classificate nelle categorie catastali C/2, C/6 e C/7, nella misura massima di un'unità pertinenziale per ciascuna di tali categorie, anche se iscritte in catasto unitamente all'unità ad uso abitativo </w:t>
      </w:r>
      <w:r w:rsidRPr="00CD4EF7">
        <w:rPr>
          <w:rFonts w:ascii="Arial" w:eastAsia="Times New Roman" w:hAnsi="Arial" w:cs="Arial"/>
          <w:i/>
          <w:iCs/>
          <w:color w:val="19191A"/>
          <w:sz w:val="24"/>
          <w:szCs w:val="24"/>
          <w:lang w:eastAsia="it-IT"/>
        </w:rPr>
        <w:t>[art. 1, comma 741, lett. b), terzo periodo della legge n. 160 del 2019]</w:t>
      </w:r>
      <w:r w:rsidRPr="00CD4EF7">
        <w:rPr>
          <w:rFonts w:ascii="Arial" w:eastAsia="Times New Roman" w:hAnsi="Arial" w:cs="Arial"/>
          <w:color w:val="19191A"/>
          <w:sz w:val="24"/>
          <w:szCs w:val="24"/>
          <w:lang w:eastAsia="it-IT"/>
        </w:rPr>
        <w:t>.</w:t>
      </w:r>
    </w:p>
    <w:p w:rsidR="004B1FE1" w:rsidRPr="00CD4EF7" w:rsidRDefault="004B1FE1" w:rsidP="004B1FE1">
      <w:p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b/>
          <w:bCs/>
          <w:color w:val="19191A"/>
          <w:sz w:val="24"/>
          <w:szCs w:val="24"/>
          <w:lang w:eastAsia="it-IT"/>
        </w:rPr>
        <w:t>assimilazioni</w:t>
      </w:r>
      <w:r w:rsidRPr="00CD4EF7">
        <w:rPr>
          <w:rFonts w:ascii="Arial" w:eastAsia="Times New Roman" w:hAnsi="Arial" w:cs="Arial"/>
          <w:color w:val="19191A"/>
          <w:sz w:val="24"/>
          <w:szCs w:val="24"/>
          <w:lang w:eastAsia="it-IT"/>
        </w:rPr>
        <w:br/>
        <w:t>Sono assimilate per legge all’abitazione principale le seguenti fattispecie </w:t>
      </w:r>
      <w:r w:rsidRPr="00CD4EF7">
        <w:rPr>
          <w:rFonts w:ascii="Arial" w:eastAsia="Times New Roman" w:hAnsi="Arial" w:cs="Arial"/>
          <w:i/>
          <w:iCs/>
          <w:color w:val="19191A"/>
          <w:sz w:val="24"/>
          <w:szCs w:val="24"/>
          <w:lang w:eastAsia="it-IT"/>
        </w:rPr>
        <w:t>[art. 1, comma 741, lett. c), n. da 1) a 5), della legge n. 160 del 2019]</w:t>
      </w:r>
      <w:r w:rsidRPr="00CD4EF7">
        <w:rPr>
          <w:rFonts w:ascii="Arial" w:eastAsia="Times New Roman" w:hAnsi="Arial" w:cs="Arial"/>
          <w:color w:val="19191A"/>
          <w:sz w:val="24"/>
          <w:szCs w:val="24"/>
          <w:lang w:eastAsia="it-IT"/>
        </w:rPr>
        <w:t>:  </w:t>
      </w:r>
      <w:r w:rsidRPr="00CD4EF7">
        <w:rPr>
          <w:rFonts w:ascii="Arial" w:eastAsia="Times New Roman" w:hAnsi="Arial" w:cs="Arial"/>
          <w:color w:val="19191A"/>
          <w:sz w:val="24"/>
          <w:szCs w:val="24"/>
          <w:lang w:eastAsia="it-IT"/>
        </w:rPr>
        <w:br/>
        <w:t>- le unità immobiliari appartenenti alle cooperative edilizie a proprietà indivisa adibite ad abitazione principale e relative pertinenze dei soci assegnatari;</w:t>
      </w:r>
      <w:r w:rsidRPr="00CD4EF7">
        <w:rPr>
          <w:rFonts w:ascii="Arial" w:eastAsia="Times New Roman" w:hAnsi="Arial" w:cs="Arial"/>
          <w:color w:val="19191A"/>
          <w:sz w:val="24"/>
          <w:szCs w:val="24"/>
          <w:lang w:eastAsia="it-IT"/>
        </w:rPr>
        <w:br/>
        <w:t>- le unità immobiliari appartenenti alle cooperative edilizie a proprietà indivisa destinate a studenti universitari soci assegnatari, anche in assenza di residenza anagrafica;</w:t>
      </w:r>
      <w:r w:rsidRPr="00CD4EF7">
        <w:rPr>
          <w:rFonts w:ascii="Arial" w:eastAsia="Times New Roman" w:hAnsi="Arial" w:cs="Arial"/>
          <w:color w:val="19191A"/>
          <w:sz w:val="24"/>
          <w:szCs w:val="24"/>
          <w:lang w:eastAsia="it-IT"/>
        </w:rPr>
        <w:br/>
        <w:t>- i fabbricati di civile abitazione destinati ad alloggi sociali come definiti dal decreto del Ministro delle infrastrutture 22 aprile 2008, pubblicato nella Gazzetta Ufficiale n. 146 del 24 giugno 2008, adibiti ad abitazione principale;</w:t>
      </w:r>
      <w:r w:rsidRPr="00CD4EF7">
        <w:rPr>
          <w:rFonts w:ascii="Arial" w:eastAsia="Times New Roman" w:hAnsi="Arial" w:cs="Arial"/>
          <w:color w:val="19191A"/>
          <w:sz w:val="24"/>
          <w:szCs w:val="24"/>
          <w:lang w:eastAsia="it-IT"/>
        </w:rPr>
        <w:br/>
        <w:t xml:space="preserve">- la casa familiare assegnata al genitore affidatario dei figli, a seguito di provvedimento del giudice che costituisce altresì, ai soli fini dell'applicazione dell'imposta, il diritto di </w:t>
      </w:r>
      <w:r w:rsidRPr="00CD4EF7">
        <w:rPr>
          <w:rFonts w:ascii="Arial" w:eastAsia="Times New Roman" w:hAnsi="Arial" w:cs="Arial"/>
          <w:color w:val="19191A"/>
          <w:sz w:val="24"/>
          <w:szCs w:val="24"/>
          <w:lang w:eastAsia="it-IT"/>
        </w:rPr>
        <w:lastRenderedPageBreak/>
        <w:t>abitazione in capo al genitore affidatario stesso;</w:t>
      </w:r>
      <w:r w:rsidRPr="00CD4EF7">
        <w:rPr>
          <w:rFonts w:ascii="Arial" w:eastAsia="Times New Roman" w:hAnsi="Arial" w:cs="Arial"/>
          <w:color w:val="19191A"/>
          <w:sz w:val="24"/>
          <w:szCs w:val="24"/>
          <w:lang w:eastAsia="it-IT"/>
        </w:rPr>
        <w:br/>
        <w:t>- un solo immobile, iscritto o iscrivibile nel catasto edilizio urbano come unica unità immobiliare, posseduto e non concesso in locazione dal personale in servizio permanente appartenente alle Forze armate e alle Forze di polizia ad ordinamento militare e da quello dipendente delle Forze di polizia ad ordinamento civile, nonché dal personale del Corpo nazionale dei vigili del fuoco e, fatto salvo quanto previsto dall'art. 28, comma 1, del D. Lgs. 19 maggio 2000, n. 139, dal personale appartenente alla carriera prefettizia, per il quale non sono richieste le condizioni della dimora abituale e della residenza anagrafica.</w:t>
      </w:r>
    </w:p>
    <w:p w:rsidR="004B1FE1" w:rsidRPr="00CD4EF7" w:rsidRDefault="004B1FE1" w:rsidP="004B1FE1">
      <w:p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br/>
        <w:t>A decorrere dall’anno 2020, non è più assimilata all’abitazione principale, invece, l’unità immobiliare posseduta dai cittadini italiani non residenti nel territorio dello Stato e iscritti all'Anagrafe degli italiani residenti all'estero (AIRE), già pensionati nei rispettivi Paesi di residenza.</w:t>
      </w:r>
    </w:p>
    <w:p w:rsidR="004B1FE1" w:rsidRPr="00CD4EF7" w:rsidRDefault="004B1FE1" w:rsidP="004B1FE1">
      <w:p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br/>
        <w:t>Ferme restando le sopra indicate ipotesi di assimilazione all’abitazione principale, che sono stabilite dalla legge e non possono essere in alcun modo modificate dal comune, quest’ultimo ha la facoltà di prevedere, con proprio atto regolamentare l’assimilazione ad abitazione principale dell'unità immobiliare posseduta da anziani o disabili che acquisiscono la residenza in istituti di ricovero o sanitari a seguito di ricovero permanente, a condizione che la stessa non risulti locata; in caso di più unità immobiliari, l’assimilazione può essere applicata ad una sola di esse [art. 1, comma 741, lett. c), n. 6), legge n. 160 del 2019].</w:t>
      </w:r>
    </w:p>
    <w:p w:rsidR="004B1FE1" w:rsidRPr="00CD4EF7" w:rsidRDefault="004B1FE1" w:rsidP="004B1FE1">
      <w:p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In merito, si precisa che il comune ha esclusivamente la facoltà di introdurre o meno l’assimilazione dell’immobile posseduto da anziani o disabili e non può, quindi, qualora decida di prevederla, restringerne il campo di applicazione stabilendo requisiti ulteriori, come, ad esempio, quello secondo cui l’abitazione, oltre a non essere locata, non deve essere nemmeno occupata ad altro titolo (per maggiori chiarimenti </w:t>
      </w:r>
    </w:p>
    <w:p w:rsidR="004B1FE1" w:rsidRPr="00CD4EF7" w:rsidRDefault="004B1FE1" w:rsidP="004B1FE1">
      <w:pPr>
        <w:shd w:val="clear" w:color="auto" w:fill="FFFFFF"/>
        <w:spacing w:before="125" w:after="125"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L’IMU è dovuta dai seguenti soggetti </w:t>
      </w:r>
      <w:r w:rsidRPr="00CD4EF7">
        <w:rPr>
          <w:rFonts w:ascii="Arial" w:eastAsia="Times New Roman" w:hAnsi="Arial" w:cs="Arial"/>
          <w:i/>
          <w:iCs/>
          <w:color w:val="19191A"/>
          <w:sz w:val="24"/>
          <w:szCs w:val="24"/>
          <w:lang w:eastAsia="it-IT"/>
        </w:rPr>
        <w:t>[art. 1, comma 743, della legge n. 160 del 201</w:t>
      </w:r>
      <w:r w:rsidRPr="00CD4EF7">
        <w:rPr>
          <w:rFonts w:ascii="Arial" w:eastAsia="Times New Roman" w:hAnsi="Arial" w:cs="Arial"/>
          <w:color w:val="19191A"/>
          <w:sz w:val="24"/>
          <w:szCs w:val="24"/>
          <w:lang w:eastAsia="it-IT"/>
        </w:rPr>
        <w:t>9]:</w:t>
      </w:r>
    </w:p>
    <w:p w:rsidR="004B1FE1" w:rsidRPr="00CD4EF7" w:rsidRDefault="004B1FE1" w:rsidP="004B1FE1">
      <w:pPr>
        <w:numPr>
          <w:ilvl w:val="0"/>
          <w:numId w:val="2"/>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proprietario dell’immobile;</w:t>
      </w:r>
    </w:p>
    <w:p w:rsidR="004B1FE1" w:rsidRPr="00CD4EF7" w:rsidRDefault="004B1FE1" w:rsidP="004B1FE1">
      <w:pPr>
        <w:numPr>
          <w:ilvl w:val="0"/>
          <w:numId w:val="2"/>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titolare del diritto reale di usufrutto, uso, abitazione, enfiteusi, superficie sull’immobile;</w:t>
      </w:r>
    </w:p>
    <w:p w:rsidR="004B1FE1" w:rsidRPr="00CD4EF7" w:rsidRDefault="004B1FE1" w:rsidP="004B1FE1">
      <w:pPr>
        <w:numPr>
          <w:ilvl w:val="0"/>
          <w:numId w:val="2"/>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genitore assegnatario della casa familiare a seguito di provvedimento del giudice;</w:t>
      </w:r>
    </w:p>
    <w:p w:rsidR="004B1FE1" w:rsidRPr="00CD4EF7" w:rsidRDefault="004B1FE1" w:rsidP="004B1FE1">
      <w:pPr>
        <w:numPr>
          <w:ilvl w:val="0"/>
          <w:numId w:val="2"/>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concessionario nel caso di concessione di aree demaniali;</w:t>
      </w:r>
      <w:r w:rsidRPr="00CD4EF7">
        <w:rPr>
          <w:rFonts w:ascii="Arial" w:eastAsia="Times New Roman" w:hAnsi="Arial" w:cs="Arial"/>
          <w:color w:val="19191A"/>
          <w:sz w:val="24"/>
          <w:szCs w:val="24"/>
          <w:lang w:eastAsia="it-IT"/>
        </w:rPr>
        <w:br/>
        <w:t>locatario per gli immobili, anche da costruire o in corso di costruzione, concessi in locazione finanziaria.</w:t>
      </w:r>
    </w:p>
    <w:p w:rsidR="004B1FE1" w:rsidRPr="00CD4EF7" w:rsidRDefault="004B1FE1" w:rsidP="004B1FE1">
      <w:pPr>
        <w:shd w:val="clear" w:color="auto" w:fill="FFFFFF"/>
        <w:spacing w:before="125" w:after="125"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L’IMU è dovuta esclusivamente dai suddetti soggetti e non anche dall’occupante dell’immobile (il quale era assoggettato alla TASI, che è stata abolita dalla legge di bilancio 2020).</w:t>
      </w:r>
    </w:p>
    <w:p w:rsidR="004B1FE1" w:rsidRPr="00CD4EF7" w:rsidRDefault="004B1FE1" w:rsidP="004B1FE1">
      <w:pPr>
        <w:shd w:val="clear" w:color="auto" w:fill="FFFFFF"/>
        <w:spacing w:before="125" w:after="125"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L’IMU si calcola applicando alla base imponibile l’aliquota fissata per la particolare fattispecie. La base imponibile è costituita dal valore dell’immobile determinato nei modi previsti dalla legge, come di seguito indicato.</w:t>
      </w:r>
    </w:p>
    <w:p w:rsidR="004B1FE1" w:rsidRPr="00CD4EF7" w:rsidRDefault="004B1FE1" w:rsidP="004B1FE1">
      <w:pPr>
        <w:numPr>
          <w:ilvl w:val="0"/>
          <w:numId w:val="3"/>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fabbricati iscritti in catasto </w:t>
      </w:r>
      <w:r w:rsidRPr="00CD4EF7">
        <w:rPr>
          <w:rFonts w:ascii="Arial" w:eastAsia="Times New Roman" w:hAnsi="Arial" w:cs="Arial"/>
          <w:i/>
          <w:iCs/>
          <w:color w:val="19191A"/>
          <w:sz w:val="24"/>
          <w:szCs w:val="24"/>
          <w:lang w:eastAsia="it-IT"/>
        </w:rPr>
        <w:t>[art. 1, comma 745, della legge n. 160 del 2019]</w:t>
      </w:r>
    </w:p>
    <w:p w:rsidR="004B1FE1" w:rsidRPr="00CD4EF7" w:rsidRDefault="004B1FE1" w:rsidP="004B1FE1">
      <w:pPr>
        <w:shd w:val="clear" w:color="auto" w:fill="FFFFFF"/>
        <w:spacing w:before="125" w:after="125"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lastRenderedPageBreak/>
        <w:t>Per i fabbricati iscritti in catasto, la base imponibile è costituita dal valore dell’immobile, determinato applicando all’ammontare della rendita catastale, rivalutata del 5%, i seguenti moltiplicatori:</w:t>
      </w:r>
    </w:p>
    <w:tbl>
      <w:tblPr>
        <w:tblW w:w="4195" w:type="dxa"/>
        <w:tblBorders>
          <w:top w:val="single" w:sz="4" w:space="0" w:color="CCCCCC"/>
          <w:left w:val="single" w:sz="4" w:space="0" w:color="CCCCCC"/>
          <w:bottom w:val="single" w:sz="4" w:space="0" w:color="CCCCCC"/>
          <w:right w:val="single" w:sz="4" w:space="0" w:color="CCCCCC"/>
        </w:tblBorders>
        <w:shd w:val="clear" w:color="auto" w:fill="FFFFFF"/>
        <w:tblCellMar>
          <w:left w:w="0" w:type="dxa"/>
          <w:right w:w="0" w:type="dxa"/>
        </w:tblCellMar>
        <w:tblLook w:val="04A0"/>
      </w:tblPr>
      <w:tblGrid>
        <w:gridCol w:w="2531"/>
        <w:gridCol w:w="1664"/>
      </w:tblGrid>
      <w:tr w:rsidR="004B1FE1" w:rsidRPr="00CD4EF7" w:rsidTr="00C85020">
        <w:tc>
          <w:tcPr>
            <w:tcW w:w="2685" w:type="dxa"/>
            <w:tcBorders>
              <w:top w:val="single" w:sz="4" w:space="0" w:color="000000"/>
              <w:left w:val="single" w:sz="4" w:space="0" w:color="000000"/>
              <w:bottom w:val="single" w:sz="4" w:space="0" w:color="000000"/>
              <w:right w:val="single" w:sz="4" w:space="0" w:color="000000"/>
            </w:tcBorders>
            <w:shd w:val="clear" w:color="auto" w:fill="D5EAFF"/>
            <w:tcMar>
              <w:top w:w="63" w:type="dxa"/>
              <w:left w:w="63" w:type="dxa"/>
              <w:bottom w:w="63" w:type="dxa"/>
              <w:right w:w="63" w:type="dxa"/>
            </w:tcMar>
            <w:vAlign w:val="center"/>
            <w:hideMark/>
          </w:tcPr>
          <w:p w:rsidR="004B1FE1" w:rsidRPr="00CD4EF7" w:rsidRDefault="004B1FE1" w:rsidP="00C85020">
            <w:pPr>
              <w:spacing w:after="313"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gruppo/categoria catastale</w:t>
            </w:r>
          </w:p>
        </w:tc>
        <w:tc>
          <w:tcPr>
            <w:tcW w:w="1695" w:type="dxa"/>
            <w:tcBorders>
              <w:top w:val="single" w:sz="4" w:space="0" w:color="000000"/>
              <w:left w:val="single" w:sz="4" w:space="0" w:color="000000"/>
              <w:bottom w:val="single" w:sz="4" w:space="0" w:color="000000"/>
              <w:right w:val="single" w:sz="4" w:space="0" w:color="000000"/>
            </w:tcBorders>
            <w:shd w:val="clear" w:color="auto" w:fill="D5EAFF"/>
            <w:tcMar>
              <w:top w:w="63" w:type="dxa"/>
              <w:left w:w="63" w:type="dxa"/>
              <w:bottom w:w="63" w:type="dxa"/>
              <w:right w:w="63" w:type="dxa"/>
            </w:tcMar>
            <w:vAlign w:val="center"/>
            <w:hideMark/>
          </w:tcPr>
          <w:p w:rsidR="004B1FE1" w:rsidRPr="00CD4EF7" w:rsidRDefault="004B1FE1" w:rsidP="00C85020">
            <w:pPr>
              <w:spacing w:after="313"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Moltiplicatore</w:t>
            </w:r>
          </w:p>
        </w:tc>
      </w:tr>
      <w:tr w:rsidR="004B1FE1" w:rsidRPr="00CD4EF7" w:rsidTr="00C85020">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63" w:type="dxa"/>
              <w:left w:w="63" w:type="dxa"/>
              <w:bottom w:w="63" w:type="dxa"/>
              <w:right w:w="63" w:type="dxa"/>
            </w:tcMar>
            <w:vAlign w:val="center"/>
            <w:hideMark/>
          </w:tcPr>
          <w:p w:rsidR="004B1FE1" w:rsidRPr="00CD4EF7" w:rsidRDefault="004B1FE1" w:rsidP="00C85020">
            <w:pPr>
              <w:spacing w:after="313"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A (tranne A/10)</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63" w:type="dxa"/>
              <w:left w:w="63" w:type="dxa"/>
              <w:bottom w:w="63" w:type="dxa"/>
              <w:right w:w="63" w:type="dxa"/>
            </w:tcMar>
            <w:vAlign w:val="center"/>
            <w:hideMark/>
          </w:tcPr>
          <w:p w:rsidR="004B1FE1" w:rsidRPr="00CD4EF7" w:rsidRDefault="004B1FE1" w:rsidP="00C85020">
            <w:pPr>
              <w:spacing w:after="313"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160</w:t>
            </w:r>
          </w:p>
        </w:tc>
      </w:tr>
      <w:tr w:rsidR="004B1FE1" w:rsidRPr="00CD4EF7" w:rsidTr="00C85020">
        <w:tc>
          <w:tcPr>
            <w:tcW w:w="2685" w:type="dxa"/>
            <w:tcBorders>
              <w:top w:val="single" w:sz="4" w:space="0" w:color="000000"/>
              <w:left w:val="single" w:sz="4" w:space="0" w:color="000000"/>
              <w:bottom w:val="single" w:sz="4" w:space="0" w:color="000000"/>
              <w:right w:val="single" w:sz="4" w:space="0" w:color="000000"/>
            </w:tcBorders>
            <w:shd w:val="clear" w:color="auto" w:fill="D5EAFF"/>
            <w:tcMar>
              <w:top w:w="63" w:type="dxa"/>
              <w:left w:w="63" w:type="dxa"/>
              <w:bottom w:w="63" w:type="dxa"/>
              <w:right w:w="63" w:type="dxa"/>
            </w:tcMar>
            <w:vAlign w:val="center"/>
            <w:hideMark/>
          </w:tcPr>
          <w:p w:rsidR="004B1FE1" w:rsidRPr="00CD4EF7" w:rsidRDefault="004B1FE1" w:rsidP="00C85020">
            <w:pPr>
              <w:spacing w:after="313"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A/10</w:t>
            </w:r>
          </w:p>
        </w:tc>
        <w:tc>
          <w:tcPr>
            <w:tcW w:w="1695" w:type="dxa"/>
            <w:tcBorders>
              <w:top w:val="single" w:sz="4" w:space="0" w:color="000000"/>
              <w:left w:val="single" w:sz="4" w:space="0" w:color="000000"/>
              <w:bottom w:val="single" w:sz="4" w:space="0" w:color="000000"/>
              <w:right w:val="single" w:sz="4" w:space="0" w:color="000000"/>
            </w:tcBorders>
            <w:shd w:val="clear" w:color="auto" w:fill="D5EAFF"/>
            <w:tcMar>
              <w:top w:w="63" w:type="dxa"/>
              <w:left w:w="63" w:type="dxa"/>
              <w:bottom w:w="63" w:type="dxa"/>
              <w:right w:w="63" w:type="dxa"/>
            </w:tcMar>
            <w:vAlign w:val="center"/>
            <w:hideMark/>
          </w:tcPr>
          <w:p w:rsidR="004B1FE1" w:rsidRPr="00CD4EF7" w:rsidRDefault="004B1FE1" w:rsidP="00C85020">
            <w:pPr>
              <w:spacing w:after="313"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80</w:t>
            </w:r>
          </w:p>
        </w:tc>
      </w:tr>
      <w:tr w:rsidR="004B1FE1" w:rsidRPr="00CD4EF7" w:rsidTr="00C85020">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63" w:type="dxa"/>
              <w:left w:w="63" w:type="dxa"/>
              <w:bottom w:w="63" w:type="dxa"/>
              <w:right w:w="63" w:type="dxa"/>
            </w:tcMar>
            <w:vAlign w:val="center"/>
            <w:hideMark/>
          </w:tcPr>
          <w:p w:rsidR="004B1FE1" w:rsidRPr="00CD4EF7" w:rsidRDefault="004B1FE1" w:rsidP="00C85020">
            <w:pPr>
              <w:spacing w:after="313"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B</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63" w:type="dxa"/>
              <w:left w:w="63" w:type="dxa"/>
              <w:bottom w:w="63" w:type="dxa"/>
              <w:right w:w="63" w:type="dxa"/>
            </w:tcMar>
            <w:vAlign w:val="center"/>
            <w:hideMark/>
          </w:tcPr>
          <w:p w:rsidR="004B1FE1" w:rsidRPr="00CD4EF7" w:rsidRDefault="004B1FE1" w:rsidP="00C85020">
            <w:pPr>
              <w:spacing w:after="313"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140</w:t>
            </w:r>
          </w:p>
        </w:tc>
      </w:tr>
      <w:tr w:rsidR="004B1FE1" w:rsidRPr="00CD4EF7" w:rsidTr="00C85020">
        <w:tc>
          <w:tcPr>
            <w:tcW w:w="2685" w:type="dxa"/>
            <w:tcBorders>
              <w:top w:val="single" w:sz="4" w:space="0" w:color="000000"/>
              <w:left w:val="single" w:sz="4" w:space="0" w:color="000000"/>
              <w:bottom w:val="single" w:sz="4" w:space="0" w:color="000000"/>
              <w:right w:val="single" w:sz="4" w:space="0" w:color="000000"/>
            </w:tcBorders>
            <w:shd w:val="clear" w:color="auto" w:fill="D5EAFF"/>
            <w:tcMar>
              <w:top w:w="63" w:type="dxa"/>
              <w:left w:w="63" w:type="dxa"/>
              <w:bottom w:w="63" w:type="dxa"/>
              <w:right w:w="63" w:type="dxa"/>
            </w:tcMar>
            <w:vAlign w:val="center"/>
            <w:hideMark/>
          </w:tcPr>
          <w:p w:rsidR="004B1FE1" w:rsidRPr="00CD4EF7" w:rsidRDefault="004B1FE1" w:rsidP="00C85020">
            <w:pPr>
              <w:spacing w:after="313"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C/1</w:t>
            </w:r>
          </w:p>
        </w:tc>
        <w:tc>
          <w:tcPr>
            <w:tcW w:w="1695" w:type="dxa"/>
            <w:tcBorders>
              <w:top w:val="single" w:sz="4" w:space="0" w:color="000000"/>
              <w:left w:val="single" w:sz="4" w:space="0" w:color="000000"/>
              <w:bottom w:val="single" w:sz="4" w:space="0" w:color="000000"/>
              <w:right w:val="single" w:sz="4" w:space="0" w:color="000000"/>
            </w:tcBorders>
            <w:shd w:val="clear" w:color="auto" w:fill="D5EAFF"/>
            <w:tcMar>
              <w:top w:w="63" w:type="dxa"/>
              <w:left w:w="63" w:type="dxa"/>
              <w:bottom w:w="63" w:type="dxa"/>
              <w:right w:w="63" w:type="dxa"/>
            </w:tcMar>
            <w:vAlign w:val="center"/>
            <w:hideMark/>
          </w:tcPr>
          <w:p w:rsidR="004B1FE1" w:rsidRPr="00CD4EF7" w:rsidRDefault="004B1FE1" w:rsidP="00C85020">
            <w:pPr>
              <w:spacing w:after="313"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55</w:t>
            </w:r>
          </w:p>
        </w:tc>
      </w:tr>
      <w:tr w:rsidR="004B1FE1" w:rsidRPr="00CD4EF7" w:rsidTr="00C85020">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63" w:type="dxa"/>
              <w:left w:w="63" w:type="dxa"/>
              <w:bottom w:w="63" w:type="dxa"/>
              <w:right w:w="63" w:type="dxa"/>
            </w:tcMar>
            <w:vAlign w:val="center"/>
            <w:hideMark/>
          </w:tcPr>
          <w:p w:rsidR="004B1FE1" w:rsidRPr="00CD4EF7" w:rsidRDefault="004B1FE1" w:rsidP="00C85020">
            <w:pPr>
              <w:spacing w:after="313"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C/2, C/6 e C/7</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63" w:type="dxa"/>
              <w:left w:w="63" w:type="dxa"/>
              <w:bottom w:w="63" w:type="dxa"/>
              <w:right w:w="63" w:type="dxa"/>
            </w:tcMar>
            <w:vAlign w:val="center"/>
            <w:hideMark/>
          </w:tcPr>
          <w:p w:rsidR="004B1FE1" w:rsidRPr="00CD4EF7" w:rsidRDefault="004B1FE1" w:rsidP="00C85020">
            <w:pPr>
              <w:spacing w:after="313"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160</w:t>
            </w:r>
          </w:p>
        </w:tc>
      </w:tr>
      <w:tr w:rsidR="004B1FE1" w:rsidRPr="00CD4EF7" w:rsidTr="00C85020">
        <w:tc>
          <w:tcPr>
            <w:tcW w:w="2685" w:type="dxa"/>
            <w:tcBorders>
              <w:top w:val="single" w:sz="4" w:space="0" w:color="000000"/>
              <w:left w:val="single" w:sz="4" w:space="0" w:color="000000"/>
              <w:bottom w:val="single" w:sz="4" w:space="0" w:color="000000"/>
              <w:right w:val="single" w:sz="4" w:space="0" w:color="000000"/>
            </w:tcBorders>
            <w:shd w:val="clear" w:color="auto" w:fill="D5EAFF"/>
            <w:tcMar>
              <w:top w:w="63" w:type="dxa"/>
              <w:left w:w="63" w:type="dxa"/>
              <w:bottom w:w="63" w:type="dxa"/>
              <w:right w:w="63" w:type="dxa"/>
            </w:tcMar>
            <w:vAlign w:val="center"/>
            <w:hideMark/>
          </w:tcPr>
          <w:p w:rsidR="004B1FE1" w:rsidRPr="00CD4EF7" w:rsidRDefault="004B1FE1" w:rsidP="00C85020">
            <w:pPr>
              <w:spacing w:after="313"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C/3, C/4 e C/5</w:t>
            </w:r>
          </w:p>
        </w:tc>
        <w:tc>
          <w:tcPr>
            <w:tcW w:w="1695" w:type="dxa"/>
            <w:tcBorders>
              <w:top w:val="single" w:sz="4" w:space="0" w:color="000000"/>
              <w:left w:val="single" w:sz="4" w:space="0" w:color="000000"/>
              <w:bottom w:val="single" w:sz="4" w:space="0" w:color="000000"/>
              <w:right w:val="single" w:sz="4" w:space="0" w:color="000000"/>
            </w:tcBorders>
            <w:shd w:val="clear" w:color="auto" w:fill="D5EAFF"/>
            <w:tcMar>
              <w:top w:w="63" w:type="dxa"/>
              <w:left w:w="63" w:type="dxa"/>
              <w:bottom w:w="63" w:type="dxa"/>
              <w:right w:w="63" w:type="dxa"/>
            </w:tcMar>
            <w:vAlign w:val="center"/>
            <w:hideMark/>
          </w:tcPr>
          <w:p w:rsidR="004B1FE1" w:rsidRPr="00CD4EF7" w:rsidRDefault="004B1FE1" w:rsidP="00C85020">
            <w:pPr>
              <w:spacing w:after="313"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140</w:t>
            </w:r>
          </w:p>
        </w:tc>
      </w:tr>
      <w:tr w:rsidR="004B1FE1" w:rsidRPr="00CD4EF7" w:rsidTr="00C85020">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63" w:type="dxa"/>
              <w:left w:w="63" w:type="dxa"/>
              <w:bottom w:w="63" w:type="dxa"/>
              <w:right w:w="63" w:type="dxa"/>
            </w:tcMar>
            <w:vAlign w:val="center"/>
            <w:hideMark/>
          </w:tcPr>
          <w:p w:rsidR="004B1FE1" w:rsidRPr="00CD4EF7" w:rsidRDefault="004B1FE1" w:rsidP="00C85020">
            <w:pPr>
              <w:spacing w:after="313"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D (tranne D/5)</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Mar>
              <w:top w:w="63" w:type="dxa"/>
              <w:left w:w="63" w:type="dxa"/>
              <w:bottom w:w="63" w:type="dxa"/>
              <w:right w:w="63" w:type="dxa"/>
            </w:tcMar>
            <w:vAlign w:val="center"/>
            <w:hideMark/>
          </w:tcPr>
          <w:p w:rsidR="004B1FE1" w:rsidRPr="00CD4EF7" w:rsidRDefault="004B1FE1" w:rsidP="00C85020">
            <w:pPr>
              <w:spacing w:after="313"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65</w:t>
            </w:r>
          </w:p>
        </w:tc>
      </w:tr>
      <w:tr w:rsidR="004B1FE1" w:rsidRPr="00CD4EF7" w:rsidTr="00C85020">
        <w:tc>
          <w:tcPr>
            <w:tcW w:w="2685" w:type="dxa"/>
            <w:tcBorders>
              <w:top w:val="single" w:sz="4" w:space="0" w:color="000000"/>
              <w:left w:val="single" w:sz="4" w:space="0" w:color="000000"/>
              <w:bottom w:val="single" w:sz="4" w:space="0" w:color="000000"/>
              <w:right w:val="single" w:sz="4" w:space="0" w:color="000000"/>
            </w:tcBorders>
            <w:shd w:val="clear" w:color="auto" w:fill="D5EAFF"/>
            <w:tcMar>
              <w:top w:w="63" w:type="dxa"/>
              <w:left w:w="63" w:type="dxa"/>
              <w:bottom w:w="63" w:type="dxa"/>
              <w:right w:w="63" w:type="dxa"/>
            </w:tcMar>
            <w:vAlign w:val="center"/>
            <w:hideMark/>
          </w:tcPr>
          <w:p w:rsidR="004B1FE1" w:rsidRPr="00CD4EF7" w:rsidRDefault="004B1FE1" w:rsidP="00C85020">
            <w:pPr>
              <w:spacing w:after="313"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D/5</w:t>
            </w:r>
          </w:p>
        </w:tc>
        <w:tc>
          <w:tcPr>
            <w:tcW w:w="1695" w:type="dxa"/>
            <w:tcBorders>
              <w:top w:val="single" w:sz="4" w:space="0" w:color="000000"/>
              <w:left w:val="single" w:sz="4" w:space="0" w:color="000000"/>
              <w:bottom w:val="single" w:sz="4" w:space="0" w:color="000000"/>
              <w:right w:val="single" w:sz="4" w:space="0" w:color="000000"/>
            </w:tcBorders>
            <w:shd w:val="clear" w:color="auto" w:fill="D5EAFF"/>
            <w:tcMar>
              <w:top w:w="63" w:type="dxa"/>
              <w:left w:w="63" w:type="dxa"/>
              <w:bottom w:w="63" w:type="dxa"/>
              <w:right w:w="63" w:type="dxa"/>
            </w:tcMar>
            <w:vAlign w:val="center"/>
            <w:hideMark/>
          </w:tcPr>
          <w:p w:rsidR="004B1FE1" w:rsidRPr="00CD4EF7" w:rsidRDefault="004B1FE1" w:rsidP="00C85020">
            <w:pPr>
              <w:spacing w:after="313"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80</w:t>
            </w:r>
          </w:p>
        </w:tc>
      </w:tr>
    </w:tbl>
    <w:p w:rsidR="004B1FE1" w:rsidRPr="00CD4EF7" w:rsidRDefault="004B1FE1" w:rsidP="004B1FE1">
      <w:pPr>
        <w:numPr>
          <w:ilvl w:val="0"/>
          <w:numId w:val="4"/>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aree fabbricabili </w:t>
      </w:r>
      <w:r w:rsidRPr="00CD4EF7">
        <w:rPr>
          <w:rFonts w:ascii="Arial" w:eastAsia="Times New Roman" w:hAnsi="Arial" w:cs="Arial"/>
          <w:i/>
          <w:iCs/>
          <w:color w:val="19191A"/>
          <w:sz w:val="24"/>
          <w:szCs w:val="24"/>
          <w:lang w:eastAsia="it-IT"/>
        </w:rPr>
        <w:t>[art. 1, comma 746, della legge n. 160 del 2019]</w:t>
      </w:r>
    </w:p>
    <w:p w:rsidR="004B1FE1" w:rsidRPr="00CD4EF7" w:rsidRDefault="004B1FE1" w:rsidP="004B1FE1">
      <w:pPr>
        <w:shd w:val="clear" w:color="auto" w:fill="FFFFFF"/>
        <w:spacing w:before="125" w:after="125"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Per le aree fabbricabili, la base imponibile è costituita dal valore venale in comune commercio al 1° gennaio dell’anno di imposizione, o a far data dall’adozione degli strumenti urbanistici, tenendo conto dei seguenti elementi:</w:t>
      </w:r>
      <w:r w:rsidRPr="00CD4EF7">
        <w:rPr>
          <w:rFonts w:ascii="Arial" w:eastAsia="Times New Roman" w:hAnsi="Arial" w:cs="Arial"/>
          <w:color w:val="19191A"/>
          <w:sz w:val="24"/>
          <w:szCs w:val="24"/>
          <w:lang w:eastAsia="it-IT"/>
        </w:rPr>
        <w:br/>
        <w:t>-  zona territoriale di ubicazione;</w:t>
      </w:r>
      <w:r w:rsidRPr="00CD4EF7">
        <w:rPr>
          <w:rFonts w:ascii="Arial" w:eastAsia="Times New Roman" w:hAnsi="Arial" w:cs="Arial"/>
          <w:color w:val="19191A"/>
          <w:sz w:val="24"/>
          <w:szCs w:val="24"/>
          <w:lang w:eastAsia="it-IT"/>
        </w:rPr>
        <w:br/>
        <w:t>-  indice di edificabilità;</w:t>
      </w:r>
      <w:r w:rsidRPr="00CD4EF7">
        <w:rPr>
          <w:rFonts w:ascii="Arial" w:eastAsia="Times New Roman" w:hAnsi="Arial" w:cs="Arial"/>
          <w:color w:val="19191A"/>
          <w:sz w:val="24"/>
          <w:szCs w:val="24"/>
          <w:lang w:eastAsia="it-IT"/>
        </w:rPr>
        <w:br/>
        <w:t>-  destinazione d'uso consentita;</w:t>
      </w:r>
      <w:r w:rsidRPr="00CD4EF7">
        <w:rPr>
          <w:rFonts w:ascii="Arial" w:eastAsia="Times New Roman" w:hAnsi="Arial" w:cs="Arial"/>
          <w:color w:val="19191A"/>
          <w:sz w:val="24"/>
          <w:szCs w:val="24"/>
          <w:lang w:eastAsia="it-IT"/>
        </w:rPr>
        <w:br/>
        <w:t>-  oneri per eventuali lavori di adattamento del terreno necessari per la costruzione;</w:t>
      </w:r>
      <w:r w:rsidRPr="00CD4EF7">
        <w:rPr>
          <w:rFonts w:ascii="Arial" w:eastAsia="Times New Roman" w:hAnsi="Arial" w:cs="Arial"/>
          <w:color w:val="19191A"/>
          <w:sz w:val="24"/>
          <w:szCs w:val="24"/>
          <w:lang w:eastAsia="it-IT"/>
        </w:rPr>
        <w:br/>
        <w:t>-  prezzi medi rilevati sul mercato dalla vendita di aree aventi analoghe caratteristiche.</w:t>
      </w:r>
      <w:r w:rsidRPr="00CD4EF7">
        <w:rPr>
          <w:rFonts w:ascii="Arial" w:eastAsia="Times New Roman" w:hAnsi="Arial" w:cs="Arial"/>
          <w:color w:val="19191A"/>
          <w:sz w:val="24"/>
          <w:szCs w:val="24"/>
          <w:lang w:eastAsia="it-IT"/>
        </w:rPr>
        <w:br/>
        <w:t>I comuni, con proprio regolamento, possono determinare periodicamente e per zone omogenee i valori venali in comune commercio delle aree fabbricabili, al fine della limitazione del potere di accertamento qualora l'imposta sia stata versata sulla base di un valore non inferiore a quello predeterminato [art. 1, comma 777, lett. d), della legge n. 160 del 2019].</w:t>
      </w:r>
    </w:p>
    <w:p w:rsidR="004B1FE1" w:rsidRPr="00CD4EF7" w:rsidRDefault="004B1FE1" w:rsidP="004B1FE1">
      <w:pPr>
        <w:numPr>
          <w:ilvl w:val="0"/>
          <w:numId w:val="5"/>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terreni agricoli </w:t>
      </w:r>
      <w:r w:rsidRPr="00CD4EF7">
        <w:rPr>
          <w:rFonts w:ascii="Arial" w:eastAsia="Times New Roman" w:hAnsi="Arial" w:cs="Arial"/>
          <w:i/>
          <w:iCs/>
          <w:color w:val="19191A"/>
          <w:sz w:val="24"/>
          <w:szCs w:val="24"/>
          <w:lang w:eastAsia="it-IT"/>
        </w:rPr>
        <w:t>[art. 1, comma 746, della legge n. 160 del 2019]</w:t>
      </w:r>
    </w:p>
    <w:p w:rsidR="004B1FE1" w:rsidRPr="00CD4EF7" w:rsidRDefault="004B1FE1" w:rsidP="004B1FE1">
      <w:pPr>
        <w:shd w:val="clear" w:color="auto" w:fill="FFFFFF"/>
        <w:spacing w:before="125" w:after="125"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Per i terreni agricoli, nonché per quelli non coltivati, la base imponibile è costituita dal valore ottenuto applicando all'ammontare del reddito dominicale risultante in catasto, vigente al 1° gennaio dell'anno di imposizione, rivalutato del 25 per cento, un moltiplicatore pari a 135.</w:t>
      </w:r>
    </w:p>
    <w:p w:rsidR="004B1FE1" w:rsidRPr="00CD4EF7" w:rsidRDefault="004B1FE1" w:rsidP="004B1FE1">
      <w:pPr>
        <w:shd w:val="clear" w:color="auto" w:fill="FFFFFF"/>
        <w:spacing w:before="150" w:after="150"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lastRenderedPageBreak/>
        <w:t>La legge statale stabilisce, per ciascuna fattispecie, l’aliquota dell’IMU in una misura “standard” che può essere modificata dal comune, in aumento o in diminuzione, entro i margini di manovrabilità stabiliti dalla stessa legge.</w:t>
      </w:r>
      <w:r w:rsidRPr="00CD4EF7">
        <w:rPr>
          <w:rFonts w:ascii="Arial" w:eastAsia="Times New Roman" w:hAnsi="Arial" w:cs="Arial"/>
          <w:color w:val="19191A"/>
          <w:sz w:val="24"/>
          <w:szCs w:val="24"/>
          <w:lang w:eastAsia="it-IT"/>
        </w:rPr>
        <w:br/>
        <w:t>A tal fine, il comune determina le aliquote dell’IMU con delibera del Consiglio comunale, che a pena di inapplicabilità deve essere:</w:t>
      </w:r>
    </w:p>
    <w:p w:rsidR="004B1FE1" w:rsidRPr="00CD4EF7" w:rsidRDefault="004B1FE1" w:rsidP="004B1FE1">
      <w:pPr>
        <w:numPr>
          <w:ilvl w:val="0"/>
          <w:numId w:val="6"/>
        </w:numPr>
        <w:shd w:val="clear" w:color="auto" w:fill="FFFFFF"/>
        <w:spacing w:before="100" w:beforeAutospacing="1" w:after="100" w:afterAutospacing="1" w:line="240" w:lineRule="auto"/>
        <w:ind w:left="375" w:right="150"/>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approvata entro il termine per l’adozione del bilancio di previsione dell’anno di riferimento, fissato al 31 dicembre dell’anno precedente dall'art. 151, comma 1, del D. Lgs. 18 agosto 2000, n. 267 (TUEL), ma generalmente differito con disposizione di legge o decreto del Ministro dell’interno [art. 1, comma 169, della legge n. 296 del 2006];</w:t>
      </w:r>
    </w:p>
    <w:p w:rsidR="004B1FE1" w:rsidRPr="00CD4EF7" w:rsidRDefault="004B1FE1" w:rsidP="004B1FE1">
      <w:pPr>
        <w:shd w:val="clear" w:color="auto" w:fill="FFFFFF"/>
        <w:spacing w:before="150" w:after="150"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 </w:t>
      </w:r>
    </w:p>
    <w:tbl>
      <w:tblPr>
        <w:tblW w:w="9000" w:type="dxa"/>
        <w:tblBorders>
          <w:top w:val="single" w:sz="6" w:space="0" w:color="CCCCCC"/>
          <w:left w:val="single" w:sz="6" w:space="0" w:color="CCCCCC"/>
          <w:bottom w:val="single" w:sz="6" w:space="0" w:color="CCCCCC"/>
          <w:right w:val="single" w:sz="6" w:space="0" w:color="CCCCCC"/>
        </w:tblBorders>
        <w:shd w:val="clear" w:color="auto" w:fill="FFFFFF"/>
        <w:tblCellMar>
          <w:left w:w="0" w:type="dxa"/>
          <w:right w:w="0" w:type="dxa"/>
        </w:tblCellMar>
        <w:tblLook w:val="04A0"/>
      </w:tblPr>
      <w:tblGrid>
        <w:gridCol w:w="1569"/>
        <w:gridCol w:w="1470"/>
        <w:gridCol w:w="1121"/>
        <w:gridCol w:w="1121"/>
        <w:gridCol w:w="1505"/>
        <w:gridCol w:w="2214"/>
      </w:tblGrid>
      <w:tr w:rsidR="004B1FE1" w:rsidRPr="00CD4EF7" w:rsidTr="00C85020">
        <w:tc>
          <w:tcPr>
            <w:tcW w:w="1444"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b/>
                <w:bCs/>
                <w:color w:val="000000"/>
                <w:sz w:val="24"/>
                <w:szCs w:val="24"/>
                <w:lang w:eastAsia="it-IT"/>
              </w:rPr>
              <w:t>fattispecie</w:t>
            </w:r>
          </w:p>
        </w:tc>
        <w:tc>
          <w:tcPr>
            <w:tcW w:w="1331"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b/>
                <w:bCs/>
                <w:color w:val="000000"/>
                <w:sz w:val="24"/>
                <w:szCs w:val="24"/>
                <w:lang w:eastAsia="it-IT"/>
              </w:rPr>
              <w:t>norma di riferimento</w:t>
            </w:r>
          </w:p>
        </w:tc>
        <w:tc>
          <w:tcPr>
            <w:tcW w:w="999"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b/>
                <w:bCs/>
                <w:color w:val="000000"/>
                <w:sz w:val="24"/>
                <w:szCs w:val="24"/>
                <w:lang w:eastAsia="it-IT"/>
              </w:rPr>
              <w:t>aliquota stabilita dalla legge</w:t>
            </w:r>
          </w:p>
        </w:tc>
        <w:tc>
          <w:tcPr>
            <w:tcW w:w="999"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b/>
                <w:bCs/>
                <w:color w:val="000000"/>
                <w:sz w:val="24"/>
                <w:szCs w:val="24"/>
                <w:lang w:eastAsia="it-IT"/>
              </w:rPr>
              <w:t>aliquota minima che può essere stabilita dal comune</w:t>
            </w:r>
          </w:p>
        </w:tc>
        <w:tc>
          <w:tcPr>
            <w:tcW w:w="1106"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b/>
                <w:bCs/>
                <w:color w:val="000000"/>
                <w:sz w:val="24"/>
                <w:szCs w:val="24"/>
                <w:lang w:eastAsia="it-IT"/>
              </w:rPr>
              <w:t>aliquota massima che può essere stabilita dal comune</w:t>
            </w:r>
          </w:p>
        </w:tc>
        <w:tc>
          <w:tcPr>
            <w:tcW w:w="2115"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b/>
                <w:bCs/>
                <w:color w:val="000000"/>
                <w:sz w:val="24"/>
                <w:szCs w:val="24"/>
                <w:lang w:eastAsia="it-IT"/>
              </w:rPr>
              <w:t>ulteriore aumento che può essere stabilito dal comune in sostituzione della maggiorazione TASI (art. 1, comma 755, della legge n. 160/2019)</w:t>
            </w:r>
          </w:p>
        </w:tc>
      </w:tr>
      <w:tr w:rsidR="004B1FE1" w:rsidRPr="00CD4EF7" w:rsidTr="00C85020">
        <w:tc>
          <w:tcPr>
            <w:tcW w:w="1444"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abitazione principale di categoria catastale A/2, A/3, A/4, A/5, A/6, A/7</w:t>
            </w:r>
          </w:p>
        </w:tc>
        <w:tc>
          <w:tcPr>
            <w:tcW w:w="1331"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art. 1, c. 740,</w:t>
            </w:r>
          </w:p>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L. n. 160/2019</w:t>
            </w:r>
          </w:p>
        </w:tc>
        <w:tc>
          <w:tcPr>
            <w:tcW w:w="3435" w:type="dxa"/>
            <w:gridSpan w:val="3"/>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Esente</w:t>
            </w:r>
          </w:p>
        </w:tc>
        <w:tc>
          <w:tcPr>
            <w:tcW w:w="211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non previsto</w:t>
            </w:r>
          </w:p>
        </w:tc>
      </w:tr>
      <w:tr w:rsidR="004B1FE1" w:rsidRPr="00CD4EF7" w:rsidTr="00C85020">
        <w:tc>
          <w:tcPr>
            <w:tcW w:w="1444"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abitazione principale di categoria catastale</w:t>
            </w:r>
          </w:p>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A/1, A/8 e A/9</w:t>
            </w:r>
          </w:p>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 si applica una detrazione di euro 200</w:t>
            </w:r>
          </w:p>
        </w:tc>
        <w:tc>
          <w:tcPr>
            <w:tcW w:w="1331"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art. 1, c. 748,</w:t>
            </w:r>
          </w:p>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L. n. 160/2019</w:t>
            </w:r>
          </w:p>
        </w:tc>
        <w:tc>
          <w:tcPr>
            <w:tcW w:w="999"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0,5%*</w:t>
            </w:r>
          </w:p>
        </w:tc>
        <w:tc>
          <w:tcPr>
            <w:tcW w:w="999"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0</w:t>
            </w:r>
          </w:p>
        </w:tc>
        <w:tc>
          <w:tcPr>
            <w:tcW w:w="1106"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0,6%*</w:t>
            </w:r>
          </w:p>
        </w:tc>
        <w:tc>
          <w:tcPr>
            <w:tcW w:w="2115"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non previsto</w:t>
            </w:r>
          </w:p>
        </w:tc>
      </w:tr>
      <w:tr w:rsidR="004B1FE1" w:rsidRPr="00CD4EF7" w:rsidTr="00C85020">
        <w:tc>
          <w:tcPr>
            <w:tcW w:w="1444"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 xml:space="preserve">fabbricati del gruppo </w:t>
            </w:r>
            <w:r w:rsidRPr="00CD4EF7">
              <w:rPr>
                <w:rFonts w:ascii="Arial" w:eastAsia="Times New Roman" w:hAnsi="Arial" w:cs="Arial"/>
                <w:color w:val="000000"/>
                <w:sz w:val="24"/>
                <w:szCs w:val="24"/>
                <w:lang w:eastAsia="it-IT"/>
              </w:rPr>
              <w:lastRenderedPageBreak/>
              <w:t>catastale D</w:t>
            </w:r>
          </w:p>
        </w:tc>
        <w:tc>
          <w:tcPr>
            <w:tcW w:w="1331"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lastRenderedPageBreak/>
              <w:t>art. 1, c. 753,</w:t>
            </w:r>
          </w:p>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lastRenderedPageBreak/>
              <w:t>L. n. 160/2019</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lastRenderedPageBreak/>
              <w:t>0,86%</w:t>
            </w:r>
            <w:r w:rsidRPr="00CD4EF7">
              <w:rPr>
                <w:rFonts w:ascii="Arial" w:eastAsia="Times New Roman" w:hAnsi="Arial" w:cs="Arial"/>
                <w:color w:val="000000"/>
                <w:sz w:val="24"/>
                <w:szCs w:val="24"/>
                <w:lang w:eastAsia="it-IT"/>
              </w:rPr>
              <w:br/>
              <w:t xml:space="preserve">(0,76% riservato </w:t>
            </w:r>
            <w:r w:rsidRPr="00CD4EF7">
              <w:rPr>
                <w:rFonts w:ascii="Arial" w:eastAsia="Times New Roman" w:hAnsi="Arial" w:cs="Arial"/>
                <w:color w:val="000000"/>
                <w:sz w:val="24"/>
                <w:szCs w:val="24"/>
                <w:lang w:eastAsia="it-IT"/>
              </w:rPr>
              <w:lastRenderedPageBreak/>
              <w:t>allo Stato)</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lastRenderedPageBreak/>
              <w:t>0,76%</w:t>
            </w:r>
          </w:p>
        </w:tc>
        <w:tc>
          <w:tcPr>
            <w:tcW w:w="1106"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1,06%</w:t>
            </w:r>
          </w:p>
        </w:tc>
        <w:tc>
          <w:tcPr>
            <w:tcW w:w="211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non previsto</w:t>
            </w:r>
          </w:p>
        </w:tc>
      </w:tr>
      <w:tr w:rsidR="004B1FE1" w:rsidRPr="00CD4EF7" w:rsidTr="00C85020">
        <w:tc>
          <w:tcPr>
            <w:tcW w:w="1444"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lastRenderedPageBreak/>
              <w:t>fabbricati costruiti e destinati dall'impresa costruttrice alla vendita, fintanto che permanga tale destinazione e non siano in ogni caso locati (fabbricati merce)</w:t>
            </w:r>
          </w:p>
        </w:tc>
        <w:tc>
          <w:tcPr>
            <w:tcW w:w="1331"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art. 1, c. 751,</w:t>
            </w:r>
          </w:p>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L. n. 160/2019</w:t>
            </w:r>
          </w:p>
        </w:tc>
        <w:tc>
          <w:tcPr>
            <w:tcW w:w="999"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0,1%</w:t>
            </w:r>
            <w:r w:rsidRPr="00CD4EF7">
              <w:rPr>
                <w:rFonts w:ascii="Arial" w:eastAsia="Times New Roman" w:hAnsi="Arial" w:cs="Arial"/>
                <w:color w:val="000000"/>
                <w:sz w:val="24"/>
                <w:szCs w:val="24"/>
                <w:lang w:eastAsia="it-IT"/>
              </w:rPr>
              <w:br/>
              <w:t>(esenti dal 2022)</w:t>
            </w:r>
          </w:p>
        </w:tc>
        <w:tc>
          <w:tcPr>
            <w:tcW w:w="999"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0</w:t>
            </w:r>
          </w:p>
        </w:tc>
        <w:tc>
          <w:tcPr>
            <w:tcW w:w="1106"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0,25%</w:t>
            </w:r>
            <w:r w:rsidRPr="00CD4EF7">
              <w:rPr>
                <w:rFonts w:ascii="Arial" w:eastAsia="Times New Roman" w:hAnsi="Arial" w:cs="Arial"/>
                <w:color w:val="000000"/>
                <w:sz w:val="24"/>
                <w:szCs w:val="24"/>
                <w:lang w:eastAsia="it-IT"/>
              </w:rPr>
              <w:br/>
              <w:t>(esenti dal 2022)</w:t>
            </w:r>
          </w:p>
        </w:tc>
        <w:tc>
          <w:tcPr>
            <w:tcW w:w="2115"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non previsto</w:t>
            </w:r>
          </w:p>
        </w:tc>
      </w:tr>
      <w:tr w:rsidR="004B1FE1" w:rsidRPr="00CD4EF7" w:rsidTr="00C85020">
        <w:tc>
          <w:tcPr>
            <w:tcW w:w="1444"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fabbricati rurali strumentali</w:t>
            </w:r>
          </w:p>
        </w:tc>
        <w:tc>
          <w:tcPr>
            <w:tcW w:w="1331"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art. 1, c. 750,</w:t>
            </w:r>
          </w:p>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L. n. 160/2019</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0,1%</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0</w:t>
            </w:r>
          </w:p>
        </w:tc>
        <w:tc>
          <w:tcPr>
            <w:tcW w:w="1106"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0,1%</w:t>
            </w:r>
          </w:p>
        </w:tc>
        <w:tc>
          <w:tcPr>
            <w:tcW w:w="211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non previsto</w:t>
            </w:r>
          </w:p>
        </w:tc>
      </w:tr>
      <w:tr w:rsidR="004B1FE1" w:rsidRPr="00CD4EF7" w:rsidTr="00C85020">
        <w:tc>
          <w:tcPr>
            <w:tcW w:w="1444"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altri fabbricati</w:t>
            </w:r>
          </w:p>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(fabbricati diversi da abitazione principale, fabbricati del gruppo catastale D, fabbricati merce, fabbricati rurali strumentali)</w:t>
            </w:r>
          </w:p>
        </w:tc>
        <w:tc>
          <w:tcPr>
            <w:tcW w:w="1331"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art. 1, c. 754,</w:t>
            </w:r>
          </w:p>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L. n. 160/2019</w:t>
            </w:r>
          </w:p>
        </w:tc>
        <w:tc>
          <w:tcPr>
            <w:tcW w:w="999"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0,86%</w:t>
            </w:r>
          </w:p>
        </w:tc>
        <w:tc>
          <w:tcPr>
            <w:tcW w:w="999"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0</w:t>
            </w:r>
          </w:p>
        </w:tc>
        <w:tc>
          <w:tcPr>
            <w:tcW w:w="1106"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1,06%</w:t>
            </w:r>
          </w:p>
        </w:tc>
        <w:tc>
          <w:tcPr>
            <w:tcW w:w="2115"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1,14%</w:t>
            </w:r>
          </w:p>
        </w:tc>
      </w:tr>
      <w:tr w:rsidR="004B1FE1" w:rsidRPr="00CD4EF7" w:rsidTr="00C85020">
        <w:tc>
          <w:tcPr>
            <w:tcW w:w="1444"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aree fabbricabili</w:t>
            </w:r>
          </w:p>
        </w:tc>
        <w:tc>
          <w:tcPr>
            <w:tcW w:w="1331"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art. 1, c. 754,</w:t>
            </w:r>
          </w:p>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 xml:space="preserve">L. n. </w:t>
            </w:r>
            <w:r w:rsidRPr="00CD4EF7">
              <w:rPr>
                <w:rFonts w:ascii="Arial" w:eastAsia="Times New Roman" w:hAnsi="Arial" w:cs="Arial"/>
                <w:color w:val="000000"/>
                <w:sz w:val="24"/>
                <w:szCs w:val="24"/>
                <w:lang w:eastAsia="it-IT"/>
              </w:rPr>
              <w:lastRenderedPageBreak/>
              <w:t>160/2019</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lastRenderedPageBreak/>
              <w:t>0,86%</w:t>
            </w:r>
          </w:p>
        </w:tc>
        <w:tc>
          <w:tcPr>
            <w:tcW w:w="999"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0</w:t>
            </w:r>
          </w:p>
        </w:tc>
        <w:tc>
          <w:tcPr>
            <w:tcW w:w="1106"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1,06%</w:t>
            </w:r>
          </w:p>
        </w:tc>
        <w:tc>
          <w:tcPr>
            <w:tcW w:w="2115"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1,14%</w:t>
            </w:r>
          </w:p>
        </w:tc>
      </w:tr>
      <w:tr w:rsidR="004B1FE1" w:rsidRPr="00CD4EF7" w:rsidTr="00C85020">
        <w:tc>
          <w:tcPr>
            <w:tcW w:w="1444"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lastRenderedPageBreak/>
              <w:t>terreni agricoli</w:t>
            </w:r>
          </w:p>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(se non esenti ai sensi dell’art. 1, comma 758,</w:t>
            </w:r>
            <w:r w:rsidRPr="00CD4EF7">
              <w:rPr>
                <w:rFonts w:ascii="Arial" w:eastAsia="Times New Roman" w:hAnsi="Arial" w:cs="Arial"/>
                <w:color w:val="000000"/>
                <w:sz w:val="24"/>
                <w:szCs w:val="24"/>
                <w:lang w:eastAsia="it-IT"/>
              </w:rPr>
              <w:br/>
              <w:t>legge n. 160/2019)</w:t>
            </w:r>
          </w:p>
        </w:tc>
        <w:tc>
          <w:tcPr>
            <w:tcW w:w="1331"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art. 1, c. 752,</w:t>
            </w:r>
          </w:p>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L. n. 160/2019</w:t>
            </w:r>
          </w:p>
        </w:tc>
        <w:tc>
          <w:tcPr>
            <w:tcW w:w="999"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0,76%</w:t>
            </w:r>
          </w:p>
        </w:tc>
        <w:tc>
          <w:tcPr>
            <w:tcW w:w="999"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0</w:t>
            </w:r>
          </w:p>
        </w:tc>
        <w:tc>
          <w:tcPr>
            <w:tcW w:w="1106"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1,06%</w:t>
            </w:r>
          </w:p>
        </w:tc>
        <w:tc>
          <w:tcPr>
            <w:tcW w:w="2115" w:type="dxa"/>
            <w:tcBorders>
              <w:top w:val="single" w:sz="6" w:space="0" w:color="000000"/>
              <w:left w:val="single" w:sz="6" w:space="0" w:color="000000"/>
              <w:bottom w:val="single" w:sz="6" w:space="0" w:color="000000"/>
              <w:right w:val="single" w:sz="6" w:space="0" w:color="000000"/>
            </w:tcBorders>
            <w:shd w:val="clear" w:color="auto" w:fill="D5EAFF"/>
            <w:tcMar>
              <w:top w:w="75" w:type="dxa"/>
              <w:left w:w="75" w:type="dxa"/>
              <w:bottom w:w="75" w:type="dxa"/>
              <w:right w:w="75" w:type="dxa"/>
            </w:tcMar>
            <w:vAlign w:val="center"/>
            <w:hideMark/>
          </w:tcPr>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non previsto</w:t>
            </w:r>
          </w:p>
          <w:p w:rsidR="004B1FE1" w:rsidRPr="00CD4EF7" w:rsidRDefault="004B1FE1" w:rsidP="00C85020">
            <w:pPr>
              <w:spacing w:after="375" w:line="240" w:lineRule="auto"/>
              <w:jc w:val="center"/>
              <w:rPr>
                <w:rFonts w:ascii="Arial" w:eastAsia="Times New Roman" w:hAnsi="Arial" w:cs="Arial"/>
                <w:color w:val="000000"/>
                <w:sz w:val="24"/>
                <w:szCs w:val="24"/>
                <w:lang w:eastAsia="it-IT"/>
              </w:rPr>
            </w:pPr>
            <w:r w:rsidRPr="00CD4EF7">
              <w:rPr>
                <w:rFonts w:ascii="Arial" w:eastAsia="Times New Roman" w:hAnsi="Arial" w:cs="Arial"/>
                <w:color w:val="000000"/>
                <w:sz w:val="24"/>
                <w:szCs w:val="24"/>
                <w:lang w:eastAsia="it-IT"/>
              </w:rPr>
              <w:t> </w:t>
            </w:r>
          </w:p>
        </w:tc>
      </w:tr>
    </w:tbl>
    <w:p w:rsidR="004B1FE1" w:rsidRPr="00CD4EF7" w:rsidRDefault="004B1FE1" w:rsidP="004B1FE1">
      <w:pPr>
        <w:shd w:val="clear" w:color="auto" w:fill="FFFFFF"/>
        <w:spacing w:before="150" w:after="150"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br/>
        <w:t>A decorrere dall’anno 2021, i comuni potranno diversificare le aliquote dell’IMU esclusivamente con riferimento alle fattispecie che saranno individuate da un apposito decreto del Ministro dell’economia e delle finanze e dovranno redigere la delibera di approvazione delle aliquote previa elaborazione, tramite un’apposita applicazione del Portale del federalismo fiscale, di un prospetto che ne formerà parte integrante [art. 1, commi 756 e 757, legge n. 160 del 2019].</w:t>
      </w:r>
      <w:r w:rsidRPr="00CD4EF7">
        <w:rPr>
          <w:rFonts w:ascii="Arial" w:eastAsia="Times New Roman" w:hAnsi="Arial" w:cs="Arial"/>
          <w:color w:val="19191A"/>
          <w:sz w:val="24"/>
          <w:szCs w:val="24"/>
          <w:lang w:eastAsia="it-IT"/>
        </w:rPr>
        <w:br/>
        <w:t xml:space="preserve">La limitazione del potere di diversificazione delle aliquote IMU sarà, in ogni caso, vigente solo dopo l’adozione del decreto in questione e, quindi, eventualmente anche a decorrere da un anno d’imposta successivo al 2021 </w:t>
      </w:r>
    </w:p>
    <w:p w:rsidR="004B1FE1" w:rsidRPr="00CD4EF7" w:rsidRDefault="004B1FE1" w:rsidP="004B1FE1">
      <w:pPr>
        <w:shd w:val="clear" w:color="auto" w:fill="FFFFFF"/>
        <w:spacing w:before="125" w:after="125"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Le ipotesi di esenzione dall’IMU [</w:t>
      </w:r>
      <w:r w:rsidRPr="00CD4EF7">
        <w:rPr>
          <w:rFonts w:ascii="Arial" w:eastAsia="Times New Roman" w:hAnsi="Arial" w:cs="Arial"/>
          <w:i/>
          <w:iCs/>
          <w:color w:val="19191A"/>
          <w:sz w:val="24"/>
          <w:szCs w:val="24"/>
          <w:lang w:eastAsia="it-IT"/>
        </w:rPr>
        <w:t>art. 1, comma 759, della legge n. 160 del 2019</w:t>
      </w:r>
      <w:r w:rsidRPr="00CD4EF7">
        <w:rPr>
          <w:rFonts w:ascii="Arial" w:eastAsia="Times New Roman" w:hAnsi="Arial" w:cs="Arial"/>
          <w:color w:val="19191A"/>
          <w:sz w:val="24"/>
          <w:szCs w:val="24"/>
          <w:lang w:eastAsia="it-IT"/>
        </w:rPr>
        <w:t>] sono:</w:t>
      </w:r>
    </w:p>
    <w:p w:rsidR="004B1FE1" w:rsidRPr="00CD4EF7" w:rsidRDefault="004B1FE1" w:rsidP="004B1FE1">
      <w:pPr>
        <w:numPr>
          <w:ilvl w:val="0"/>
          <w:numId w:val="7"/>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immobili posseduti dallo Stato, dai comuni, nonché gli immobili posseduti, nel proprio territorio, dalle regioni, dalle province, dalle comunità montane, dai consorzi fra detti enti, dagli enti del Servizio sanitario nazionale, destinati esclusivamente ai compiti istituzionali;</w:t>
      </w:r>
    </w:p>
    <w:p w:rsidR="004B1FE1" w:rsidRPr="00CD4EF7" w:rsidRDefault="004B1FE1" w:rsidP="004B1FE1">
      <w:pPr>
        <w:numPr>
          <w:ilvl w:val="0"/>
          <w:numId w:val="7"/>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fabbricati classificati o classificabili nelle categorie catastali da E/1 a E/9;</w:t>
      </w:r>
    </w:p>
    <w:p w:rsidR="004B1FE1" w:rsidRPr="00CD4EF7" w:rsidRDefault="004B1FE1" w:rsidP="004B1FE1">
      <w:pPr>
        <w:numPr>
          <w:ilvl w:val="0"/>
          <w:numId w:val="7"/>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fabbricati con destinazione ad usi culturali di cui all'art. 5-bis del D.P.R. 29 settembre 1973, n. 601;</w:t>
      </w:r>
    </w:p>
    <w:p w:rsidR="004B1FE1" w:rsidRPr="00CD4EF7" w:rsidRDefault="004B1FE1" w:rsidP="004B1FE1">
      <w:pPr>
        <w:numPr>
          <w:ilvl w:val="0"/>
          <w:numId w:val="7"/>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fabbricati destinati esclusivamente all'esercizio del culto, purché compatibile con le disposizioni degli artt. 8 e 19 della Costituzione, e le loro pertinenze;</w:t>
      </w:r>
    </w:p>
    <w:p w:rsidR="004B1FE1" w:rsidRPr="00CD4EF7" w:rsidRDefault="004B1FE1" w:rsidP="004B1FE1">
      <w:pPr>
        <w:numPr>
          <w:ilvl w:val="0"/>
          <w:numId w:val="7"/>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fabbricati di proprietà della Santa Sede indicati negli artt. 13, 14, 15 e 16 del Trattato tra la Santa Sede e l'Italia, sottoscritto l'11 febbraio 1929 e reso esecutivo con la legge 27 maggio 1929, n. 810;</w:t>
      </w:r>
    </w:p>
    <w:p w:rsidR="004B1FE1" w:rsidRPr="00CD4EF7" w:rsidRDefault="004B1FE1" w:rsidP="004B1FE1">
      <w:pPr>
        <w:numPr>
          <w:ilvl w:val="0"/>
          <w:numId w:val="7"/>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fabbricati appartenenti agli Stati esteri e alle organizzazioni internazionali per i quali è prevista l'esenzione dall'imposta locale sul reddito dei fabbricati in base ad accordi internazionali resi esecutivi in Italia;</w:t>
      </w:r>
    </w:p>
    <w:p w:rsidR="004B1FE1" w:rsidRPr="00CD4EF7" w:rsidRDefault="004B1FE1" w:rsidP="004B1FE1">
      <w:pPr>
        <w:numPr>
          <w:ilvl w:val="0"/>
          <w:numId w:val="7"/>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immobili posseduti e utilizzati dai soggetti di cui alla lettera i) del comma 1 dell'art. 7 del D. Lgs. 30 dicembre 1992, n. 504, e destinati esclusivamente allo svolgimento con modalità non commerciali delle attività previste nella medesima lettera i); si applicano, altresì, le disposizioni di cui all'articolo 91-bis del D. L. 24 gennaio 2012, n. 1, convertito, con modificazioni, dalla legge 24 marzo 2012, n. 27, nonché il regolamento di cui al decreto del Ministro dell'economia e delle finanze 19 novembre 2012, n. 200.</w:t>
      </w:r>
    </w:p>
    <w:p w:rsidR="004B1FE1" w:rsidRPr="00CD4EF7" w:rsidRDefault="004B1FE1" w:rsidP="004B1FE1">
      <w:pPr>
        <w:shd w:val="clear" w:color="auto" w:fill="FFFFFF"/>
        <w:spacing w:before="125" w:after="125"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lastRenderedPageBreak/>
        <w:t>Sono, inoltre, esenti i terreni agricoli nei seguenti casi [art. 1, comma 758, della legge n. 160 del 2019]:</w:t>
      </w:r>
    </w:p>
    <w:p w:rsidR="004B1FE1" w:rsidRPr="00CD4EF7" w:rsidRDefault="004B1FE1" w:rsidP="004B1FE1">
      <w:pPr>
        <w:numPr>
          <w:ilvl w:val="0"/>
          <w:numId w:val="8"/>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terreni agricoli posseduti e condotti da coltivatori diretti e imprenditori agricoli professionali ex art. 1 del D. Lgs. 29 marzo 2004, n. 99, iscritti nella previdenza agricola, comprese le società agricole di cui al comma 3 dello stesso art. 1;</w:t>
      </w:r>
    </w:p>
    <w:p w:rsidR="004B1FE1" w:rsidRPr="00CD4EF7" w:rsidRDefault="004B1FE1" w:rsidP="004B1FE1">
      <w:pPr>
        <w:numPr>
          <w:ilvl w:val="0"/>
          <w:numId w:val="8"/>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terreni agricoli ubicati nei comuni compresi nell’elenco di cui alla circolare del Ministero delle finanze n. 9 del 14 giugno 1993;</w:t>
      </w:r>
    </w:p>
    <w:p w:rsidR="004B1FE1" w:rsidRPr="00CD4EF7" w:rsidRDefault="004B1FE1" w:rsidP="004B1FE1">
      <w:pPr>
        <w:numPr>
          <w:ilvl w:val="0"/>
          <w:numId w:val="8"/>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terreni agricoli ubicati nei comuni delle isole minori di cui all'all. A annesso alla legge 28 dicembre 2001, n. 448;</w:t>
      </w:r>
    </w:p>
    <w:p w:rsidR="004B1FE1" w:rsidRPr="00CD4EF7" w:rsidRDefault="004B1FE1" w:rsidP="004B1FE1">
      <w:pPr>
        <w:numPr>
          <w:ilvl w:val="0"/>
          <w:numId w:val="8"/>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terreni agricoli a immutabile destinazione agrosilvo-pastorale a proprietà collettiva indivisibile e inusucapibile.</w:t>
      </w:r>
    </w:p>
    <w:p w:rsidR="004B1FE1" w:rsidRPr="00CD4EF7" w:rsidRDefault="004B1FE1" w:rsidP="004B1FE1">
      <w:pPr>
        <w:shd w:val="clear" w:color="auto" w:fill="FFFFFF"/>
        <w:spacing w:before="125" w:after="125"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Sono nuovamente assoggettati all’IMU, a decorrere dall’anno 2020, i fabbricati rurali ad uso strumentale e i fabbricati costruiti e destinati dall’impresa costruttrice alla vendita fintanto che permanga tale destinazione e non siano in ogni caso locati (fabbricati merce) che erano stati, invece, esentati a decorrere dall’anno 2014.</w:t>
      </w:r>
      <w:r w:rsidRPr="00CD4EF7">
        <w:rPr>
          <w:rFonts w:ascii="Arial" w:eastAsia="Times New Roman" w:hAnsi="Arial" w:cs="Arial"/>
          <w:color w:val="19191A"/>
          <w:sz w:val="24"/>
          <w:szCs w:val="24"/>
          <w:lang w:eastAsia="it-IT"/>
        </w:rPr>
        <w:br/>
        <w:t>I fabbricati merce, tuttavia, saranno esenti dall’IMU a decorrere dal 1° gennaio 2022.</w:t>
      </w:r>
    </w:p>
    <w:p w:rsidR="004B1FE1" w:rsidRPr="00CD4EF7" w:rsidRDefault="004B1FE1" w:rsidP="004B1FE1">
      <w:pPr>
        <w:shd w:val="clear" w:color="auto" w:fill="FFFFFF"/>
        <w:spacing w:before="125" w:after="125"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I comuni, inoltre, nell’esercizio della propria autonomia regolamentare, hanno la facoltà di prevedere l’esenzione dall’IMU in favore delle seguenti fattispecie:</w:t>
      </w:r>
    </w:p>
    <w:p w:rsidR="004B1FE1" w:rsidRPr="00CD4EF7" w:rsidRDefault="004B1FE1" w:rsidP="004B1FE1">
      <w:pPr>
        <w:numPr>
          <w:ilvl w:val="0"/>
          <w:numId w:val="9"/>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immobili dati in comodato gratuito al comune o ad altro ente territoriale, o ad ente commerciale, esclusivamente per l’esercizio dei rispettivi compiti istituzionali o statutari [art. 1, comma 777, lett. e), della legge n. 160 del 2019];</w:t>
      </w:r>
    </w:p>
    <w:p w:rsidR="004B1FE1" w:rsidRPr="00CD4EF7" w:rsidRDefault="004B1FE1" w:rsidP="004B1FE1">
      <w:pPr>
        <w:numPr>
          <w:ilvl w:val="0"/>
          <w:numId w:val="9"/>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esercizi commerciali e artigianali situati in zone precluse al traffico a causa dello svolgimento di lavori per la realizzazione di opere pubbliche che si protraggono per oltre sei mesi  [art. 1, comma 86, della legge n. 160 del 2019].</w:t>
      </w:r>
    </w:p>
    <w:p w:rsidR="004B1FE1" w:rsidRPr="00CD4EF7" w:rsidRDefault="004B1FE1" w:rsidP="004B1FE1">
      <w:pPr>
        <w:shd w:val="clear" w:color="auto" w:fill="FFFFFF"/>
        <w:spacing w:before="125" w:after="125"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Le principali ipotesi di agevolazione in materia di IMU riguardano le seguenti fattispecie:</w:t>
      </w:r>
    </w:p>
    <w:p w:rsidR="004B1FE1" w:rsidRPr="00467E82" w:rsidRDefault="004B1FE1" w:rsidP="004B1FE1">
      <w:pPr>
        <w:numPr>
          <w:ilvl w:val="0"/>
          <w:numId w:val="10"/>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467E82">
        <w:rPr>
          <w:rFonts w:ascii="Arial" w:eastAsia="Times New Roman" w:hAnsi="Arial" w:cs="Arial"/>
          <w:color w:val="19191A"/>
          <w:sz w:val="24"/>
          <w:szCs w:val="24"/>
          <w:lang w:eastAsia="it-IT"/>
        </w:rPr>
        <w:t>aree fabbricabili possedute e condotte da coltivatori diretti o imprenditori agricoli [</w:t>
      </w:r>
      <w:r w:rsidRPr="00467E82">
        <w:rPr>
          <w:rFonts w:ascii="Arial" w:eastAsia="Times New Roman" w:hAnsi="Arial" w:cs="Arial"/>
          <w:i/>
          <w:iCs/>
          <w:color w:val="19191A"/>
          <w:sz w:val="24"/>
          <w:szCs w:val="24"/>
          <w:lang w:eastAsia="it-IT"/>
        </w:rPr>
        <w:t>art. 1, comma 741, lett. d</w:t>
      </w:r>
      <w:r w:rsidRPr="00467E82">
        <w:rPr>
          <w:rFonts w:ascii="Arial" w:eastAsia="Times New Roman" w:hAnsi="Arial" w:cs="Arial"/>
          <w:color w:val="19191A"/>
          <w:sz w:val="24"/>
          <w:szCs w:val="24"/>
          <w:lang w:eastAsia="it-IT"/>
        </w:rPr>
        <w:t>), della legge n. 160 del 2019]</w:t>
      </w:r>
      <w:r w:rsidRPr="00467E82">
        <w:rPr>
          <w:rFonts w:ascii="Arial" w:eastAsia="Times New Roman" w:hAnsi="Arial" w:cs="Arial"/>
          <w:color w:val="19191A"/>
          <w:sz w:val="24"/>
          <w:szCs w:val="24"/>
          <w:lang w:eastAsia="it-IT"/>
        </w:rPr>
        <w:br/>
        <w:t>Le aree fabbricabili sono considerate quali terreni agricoli se sussistono entrambe le seguenti condizioni:</w:t>
      </w:r>
      <w:r w:rsidRPr="00467E82">
        <w:rPr>
          <w:rFonts w:ascii="Arial" w:eastAsia="Times New Roman" w:hAnsi="Arial" w:cs="Arial"/>
          <w:color w:val="19191A"/>
          <w:sz w:val="24"/>
          <w:szCs w:val="24"/>
          <w:lang w:eastAsia="it-IT"/>
        </w:rPr>
        <w:br/>
        <w:t>- esse sono possedute e condotte dai coltivatori diretti e dagli imprenditori agricoli professionali di cui all'art. 1 del D. Lgs. n. 99 del 2004, iscritti nella previdenza agricola, comprese le società agricole di cui al comma 3 dello stesso art. 1;</w:t>
      </w:r>
      <w:r w:rsidRPr="00467E82">
        <w:rPr>
          <w:rFonts w:ascii="Arial" w:eastAsia="Times New Roman" w:hAnsi="Arial" w:cs="Arial"/>
          <w:color w:val="19191A"/>
          <w:sz w:val="24"/>
          <w:szCs w:val="24"/>
          <w:lang w:eastAsia="it-IT"/>
        </w:rPr>
        <w:br/>
        <w:t>- su di esse persiste l'utilizzazione agrosilvo-pastorale mediante l'esercizio di attività dirette alla coltivazione del fondo, alla silvicoltura, alla funghicoltura e all'allevamento di animali.</w:t>
      </w:r>
      <w:r w:rsidRPr="00467E82">
        <w:rPr>
          <w:rFonts w:ascii="Arial" w:eastAsia="Times New Roman" w:hAnsi="Arial" w:cs="Arial"/>
          <w:color w:val="19191A"/>
          <w:sz w:val="24"/>
          <w:szCs w:val="24"/>
          <w:lang w:eastAsia="it-IT"/>
        </w:rPr>
        <w:br/>
        <w:t>L’agevolazione comporta l’esenzione per il soggetto passivo che sia coltivatore diretto o imprenditore agricolo professionale e la tassazione quale terreno agricolo per l’eventuale comproprietario privo di tali qualifiche fabbricati di interesse storico o artistico [</w:t>
      </w:r>
      <w:r w:rsidRPr="00467E82">
        <w:rPr>
          <w:rFonts w:ascii="Arial" w:eastAsia="Times New Roman" w:hAnsi="Arial" w:cs="Arial"/>
          <w:i/>
          <w:iCs/>
          <w:color w:val="19191A"/>
          <w:sz w:val="24"/>
          <w:szCs w:val="24"/>
          <w:lang w:eastAsia="it-IT"/>
        </w:rPr>
        <w:t>art. 1, comma 747, lett. a), della legge n. 160 del 2019</w:t>
      </w:r>
      <w:r w:rsidRPr="00467E82">
        <w:rPr>
          <w:rFonts w:ascii="Arial" w:eastAsia="Times New Roman" w:hAnsi="Arial" w:cs="Arial"/>
          <w:color w:val="19191A"/>
          <w:sz w:val="24"/>
          <w:szCs w:val="24"/>
          <w:lang w:eastAsia="it-IT"/>
        </w:rPr>
        <w:t>]</w:t>
      </w:r>
      <w:r w:rsidRPr="00467E82">
        <w:rPr>
          <w:rFonts w:ascii="Arial" w:eastAsia="Times New Roman" w:hAnsi="Arial" w:cs="Arial"/>
          <w:color w:val="19191A"/>
          <w:sz w:val="24"/>
          <w:szCs w:val="24"/>
          <w:lang w:eastAsia="it-IT"/>
        </w:rPr>
        <w:br/>
        <w:t>Per i fabbricati di interesse storico o artistico di cui all'art. 10 del D. Lgs. 22 gennaio 2004, n. 42, la base imponibile è ridotta del 50%.</w:t>
      </w:r>
      <w:r w:rsidRPr="00467E82">
        <w:rPr>
          <w:rFonts w:ascii="Arial" w:eastAsia="Times New Roman" w:hAnsi="Arial" w:cs="Arial"/>
          <w:color w:val="19191A"/>
          <w:sz w:val="24"/>
          <w:szCs w:val="24"/>
          <w:lang w:eastAsia="it-IT"/>
        </w:rPr>
        <w:br/>
        <w:t>fabbricati dichiarati inagibili o inabitabili [</w:t>
      </w:r>
      <w:r w:rsidRPr="00467E82">
        <w:rPr>
          <w:rFonts w:ascii="Arial" w:eastAsia="Times New Roman" w:hAnsi="Arial" w:cs="Arial"/>
          <w:i/>
          <w:iCs/>
          <w:color w:val="19191A"/>
          <w:sz w:val="24"/>
          <w:szCs w:val="24"/>
          <w:lang w:eastAsia="it-IT"/>
        </w:rPr>
        <w:t>art. 1, comma 747, lett. b), della legge n. 160 del 2019</w:t>
      </w:r>
      <w:r w:rsidRPr="00467E82">
        <w:rPr>
          <w:rFonts w:ascii="Arial" w:eastAsia="Times New Roman" w:hAnsi="Arial" w:cs="Arial"/>
          <w:color w:val="19191A"/>
          <w:sz w:val="24"/>
          <w:szCs w:val="24"/>
          <w:lang w:eastAsia="it-IT"/>
        </w:rPr>
        <w:t>]</w:t>
      </w:r>
    </w:p>
    <w:p w:rsidR="004B1FE1" w:rsidRPr="00CD4EF7" w:rsidRDefault="004B1FE1" w:rsidP="004B1FE1">
      <w:pPr>
        <w:numPr>
          <w:ilvl w:val="0"/>
          <w:numId w:val="10"/>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Per i fabbricati dichiarati inagibili o inabitabili e di fatto non utilizzati, limitatamente al periodo dell'anno durante il quale sussistono dette condizioni, labase imponibile è ridotta del 50%.</w:t>
      </w:r>
    </w:p>
    <w:p w:rsidR="004B1FE1" w:rsidRPr="00CD4EF7" w:rsidRDefault="004B1FE1" w:rsidP="004B1FE1">
      <w:pPr>
        <w:numPr>
          <w:ilvl w:val="0"/>
          <w:numId w:val="10"/>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lastRenderedPageBreak/>
        <w:t>abitazioni concesse in comodato [</w:t>
      </w:r>
      <w:r w:rsidRPr="00CD4EF7">
        <w:rPr>
          <w:rFonts w:ascii="Arial" w:eastAsia="Times New Roman" w:hAnsi="Arial" w:cs="Arial"/>
          <w:i/>
          <w:iCs/>
          <w:color w:val="19191A"/>
          <w:sz w:val="24"/>
          <w:szCs w:val="24"/>
          <w:lang w:eastAsia="it-IT"/>
        </w:rPr>
        <w:t>art. 1, comma 747, lett. c), della legge n. 160 del 2019</w:t>
      </w:r>
      <w:r w:rsidRPr="00CD4EF7">
        <w:rPr>
          <w:rFonts w:ascii="Arial" w:eastAsia="Times New Roman" w:hAnsi="Arial" w:cs="Arial"/>
          <w:color w:val="19191A"/>
          <w:sz w:val="24"/>
          <w:szCs w:val="24"/>
          <w:lang w:eastAsia="it-IT"/>
        </w:rPr>
        <w:t>]</w:t>
      </w:r>
      <w:r w:rsidRPr="00CD4EF7">
        <w:rPr>
          <w:rFonts w:ascii="Arial" w:eastAsia="Times New Roman" w:hAnsi="Arial" w:cs="Arial"/>
          <w:color w:val="19191A"/>
          <w:sz w:val="24"/>
          <w:szCs w:val="24"/>
          <w:lang w:eastAsia="it-IT"/>
        </w:rPr>
        <w:br/>
        <w:t>Si applica la riduzione del 50% della base imponibile per le unità immobiliari, fatta eccezione per quelle classificate nelle categorie catastali A/1, A/8 e A/9, concesse in comodato dal soggetto passivo ai parenti in linea retta entro il primo grado che le utilizzano come abitazione principale, a condizione che:</w:t>
      </w:r>
      <w:r w:rsidRPr="00CD4EF7">
        <w:rPr>
          <w:rFonts w:ascii="Arial" w:eastAsia="Times New Roman" w:hAnsi="Arial" w:cs="Arial"/>
          <w:color w:val="19191A"/>
          <w:sz w:val="24"/>
          <w:szCs w:val="24"/>
          <w:lang w:eastAsia="it-IT"/>
        </w:rPr>
        <w:br/>
        <w:t>-  il contratto di comodato sia registrato;</w:t>
      </w:r>
      <w:r w:rsidRPr="00CD4EF7">
        <w:rPr>
          <w:rFonts w:ascii="Arial" w:eastAsia="Times New Roman" w:hAnsi="Arial" w:cs="Arial"/>
          <w:color w:val="19191A"/>
          <w:sz w:val="24"/>
          <w:szCs w:val="24"/>
          <w:lang w:eastAsia="it-IT"/>
        </w:rPr>
        <w:br/>
        <w:t>-  il comodante possieda in Italia la sola abitazione concessa in comodato; oltre a quest’ultima, egli può tuttavia possedere un altro immobile adibito a propria abitazione principale, ad eccezione delle unità abitative classificate nelle categorie catastali A/1, A/8 e A/9;</w:t>
      </w:r>
      <w:r w:rsidRPr="00CD4EF7">
        <w:rPr>
          <w:rFonts w:ascii="Arial" w:eastAsia="Times New Roman" w:hAnsi="Arial" w:cs="Arial"/>
          <w:color w:val="19191A"/>
          <w:sz w:val="24"/>
          <w:szCs w:val="24"/>
          <w:lang w:eastAsia="it-IT"/>
        </w:rPr>
        <w:br/>
        <w:t>-  il comodante risieda anagraficamente nonché dimori abitualmente nello stesso comune in cui è situato l'immobile concesso in comodato.</w:t>
      </w:r>
      <w:r w:rsidRPr="00CD4EF7">
        <w:rPr>
          <w:rFonts w:ascii="Arial" w:eastAsia="Times New Roman" w:hAnsi="Arial" w:cs="Arial"/>
          <w:color w:val="19191A"/>
          <w:sz w:val="24"/>
          <w:szCs w:val="24"/>
          <w:lang w:eastAsia="it-IT"/>
        </w:rPr>
        <w:br/>
        <w:t>La riduzione della base imponibile si applica anche qualora, in caso di morte del comodatario, l’immobile resta destinato ad abitazione principale del coniuge di quest'ultimo in presenza di figli minori.</w:t>
      </w:r>
    </w:p>
    <w:p w:rsidR="004B1FE1" w:rsidRPr="00CD4EF7" w:rsidRDefault="004B1FE1" w:rsidP="004B1FE1">
      <w:pPr>
        <w:numPr>
          <w:ilvl w:val="0"/>
          <w:numId w:val="10"/>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abitazioni locate a canone concordato </w:t>
      </w:r>
      <w:r w:rsidRPr="00CD4EF7">
        <w:rPr>
          <w:rFonts w:ascii="Arial" w:eastAsia="Times New Roman" w:hAnsi="Arial" w:cs="Arial"/>
          <w:i/>
          <w:iCs/>
          <w:color w:val="19191A"/>
          <w:sz w:val="24"/>
          <w:szCs w:val="24"/>
          <w:lang w:eastAsia="it-IT"/>
        </w:rPr>
        <w:t>[art. 1, comma 760, della legge n. 160 del 2019</w:t>
      </w:r>
      <w:r w:rsidRPr="00CD4EF7">
        <w:rPr>
          <w:rFonts w:ascii="Arial" w:eastAsia="Times New Roman" w:hAnsi="Arial" w:cs="Arial"/>
          <w:color w:val="19191A"/>
          <w:sz w:val="24"/>
          <w:szCs w:val="24"/>
          <w:lang w:eastAsia="it-IT"/>
        </w:rPr>
        <w:t>]</w:t>
      </w:r>
      <w:r w:rsidRPr="00CD4EF7">
        <w:rPr>
          <w:rFonts w:ascii="Arial" w:eastAsia="Times New Roman" w:hAnsi="Arial" w:cs="Arial"/>
          <w:color w:val="19191A"/>
          <w:sz w:val="24"/>
          <w:szCs w:val="24"/>
          <w:lang w:eastAsia="it-IT"/>
        </w:rPr>
        <w:br/>
        <w:t>Per le abitazioni locate a canone concordato di cui alla legge 9 dicembre 1998, n. 431, l'imposta, determinata applicando l'aliquota stabilita dal comune per le abitazioni diverse da quella principale o per la specifica fattispecie in questione, è ridotta al 7</w:t>
      </w:r>
    </w:p>
    <w:p w:rsidR="004B1FE1" w:rsidRPr="00CD4EF7" w:rsidRDefault="004B1FE1" w:rsidP="004B1FE1">
      <w:pPr>
        <w:numPr>
          <w:ilvl w:val="0"/>
          <w:numId w:val="10"/>
        </w:numPr>
        <w:shd w:val="clear" w:color="auto" w:fill="FFFFFF"/>
        <w:spacing w:before="100" w:beforeAutospacing="1" w:after="100" w:afterAutospacing="1" w:line="240" w:lineRule="auto"/>
        <w:ind w:right="150"/>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modalità di computo</w:t>
      </w:r>
      <w:r w:rsidRPr="00CD4EF7">
        <w:rPr>
          <w:rFonts w:ascii="Arial" w:eastAsia="Times New Roman" w:hAnsi="Arial" w:cs="Arial"/>
          <w:i/>
          <w:iCs/>
          <w:color w:val="19191A"/>
          <w:sz w:val="24"/>
          <w:szCs w:val="24"/>
          <w:lang w:eastAsia="it-IT"/>
        </w:rPr>
        <w:t> [art. 1, comma 761, della legge n. 160 del 2019]</w:t>
      </w:r>
      <w:r w:rsidRPr="00CD4EF7">
        <w:rPr>
          <w:rFonts w:ascii="Arial" w:eastAsia="Times New Roman" w:hAnsi="Arial" w:cs="Arial"/>
          <w:color w:val="19191A"/>
          <w:sz w:val="24"/>
          <w:szCs w:val="24"/>
          <w:lang w:eastAsia="it-IT"/>
        </w:rPr>
        <w:br/>
        <w:t>L'imposta è dovuta per anni solari proporzionalmente alla quota e ai mesi dell'anno nei quali si è protratto il possesso. A tal fine:</w:t>
      </w:r>
      <w:r w:rsidRPr="00CD4EF7">
        <w:rPr>
          <w:rFonts w:ascii="Arial" w:eastAsia="Times New Roman" w:hAnsi="Arial" w:cs="Arial"/>
          <w:color w:val="19191A"/>
          <w:sz w:val="24"/>
          <w:szCs w:val="24"/>
          <w:lang w:eastAsia="it-IT"/>
        </w:rPr>
        <w:br/>
        <w:t>-  il mese durante il quale il possesso si è protratto per più della metà dei giorni di cui il mese stesso è composto è computato per intero;</w:t>
      </w:r>
      <w:r w:rsidRPr="00CD4EF7">
        <w:rPr>
          <w:rFonts w:ascii="Arial" w:eastAsia="Times New Roman" w:hAnsi="Arial" w:cs="Arial"/>
          <w:color w:val="19191A"/>
          <w:sz w:val="24"/>
          <w:szCs w:val="24"/>
          <w:lang w:eastAsia="it-IT"/>
        </w:rPr>
        <w:br/>
        <w:t>-  Il giorno di trasferimento del possesso si computa in capo all'acquirente e l'imposta del mese del trasferimento resta interamente a suo carico nel caso in cui i giorni di possesso risultino uguali a quelli del cedente.</w:t>
      </w:r>
    </w:p>
    <w:p w:rsidR="009076D9" w:rsidRPr="00CD4EF7" w:rsidRDefault="004B1FE1" w:rsidP="004B1FE1">
      <w:pPr>
        <w:numPr>
          <w:ilvl w:val="0"/>
          <w:numId w:val="10"/>
        </w:numPr>
        <w:shd w:val="clear" w:color="auto" w:fill="FFFFFF"/>
        <w:spacing w:before="100" w:beforeAutospacing="1" w:after="100" w:afterAutospacing="1" w:line="240" w:lineRule="auto"/>
        <w:ind w:right="150"/>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rate di versamento [art. 1, comma 762, della legge n. 160 del 2019]</w:t>
      </w:r>
      <w:r w:rsidRPr="00CD4EF7">
        <w:rPr>
          <w:rFonts w:ascii="Arial" w:eastAsia="Times New Roman" w:hAnsi="Arial" w:cs="Arial"/>
          <w:color w:val="19191A"/>
          <w:sz w:val="24"/>
          <w:szCs w:val="24"/>
          <w:lang w:eastAsia="it-IT"/>
        </w:rPr>
        <w:br/>
        <w:t>L’IMU deve essere versata in due rate.</w:t>
      </w:r>
      <w:r w:rsidRPr="00CD4EF7">
        <w:rPr>
          <w:rFonts w:ascii="Arial" w:eastAsia="Times New Roman" w:hAnsi="Arial" w:cs="Arial"/>
          <w:color w:val="19191A"/>
          <w:sz w:val="24"/>
          <w:szCs w:val="24"/>
          <w:lang w:eastAsia="it-IT"/>
        </w:rPr>
        <w:br/>
        <w:t xml:space="preserve">La prima rata deve essere corrisposta entro il 16 giugno di ciascun anno ed è pari all'imposta dovuta per il primo semestre applicando l'aliquota e la detrazione dei dodici mesi dell'anno precedente. </w:t>
      </w:r>
    </w:p>
    <w:p w:rsidR="009076D9" w:rsidRPr="00CD4EF7" w:rsidRDefault="004B1FE1" w:rsidP="009076D9">
      <w:pPr>
        <w:numPr>
          <w:ilvl w:val="0"/>
          <w:numId w:val="10"/>
        </w:numPr>
        <w:shd w:val="clear" w:color="auto" w:fill="FFFFFF"/>
        <w:tabs>
          <w:tab w:val="clear" w:pos="720"/>
        </w:tabs>
        <w:spacing w:before="100" w:beforeAutospacing="1" w:after="100" w:afterAutospacing="1" w:line="240" w:lineRule="auto"/>
        <w:ind w:left="0" w:right="150" w:hanging="720"/>
        <w:rPr>
          <w:rFonts w:ascii="Arial" w:hAnsi="Arial" w:cs="Arial"/>
          <w:color w:val="19191A"/>
          <w:sz w:val="24"/>
          <w:szCs w:val="24"/>
          <w:shd w:val="clear" w:color="auto" w:fill="FFFFFF"/>
        </w:rPr>
      </w:pPr>
      <w:r w:rsidRPr="00CD4EF7">
        <w:rPr>
          <w:rFonts w:ascii="Arial" w:eastAsia="Times New Roman" w:hAnsi="Arial" w:cs="Arial"/>
          <w:color w:val="19191A"/>
          <w:sz w:val="24"/>
          <w:szCs w:val="24"/>
          <w:lang w:eastAsia="it-IT"/>
        </w:rPr>
        <w:t>È, ioltre, possibile effettuare il pagamento in un’unica soluzione annuale entro il 16 giugno dell’anno di riferimento.</w:t>
      </w:r>
      <w:r w:rsidRPr="00CD4EF7">
        <w:rPr>
          <w:rFonts w:ascii="Arial" w:eastAsia="Times New Roman" w:hAnsi="Arial" w:cs="Arial"/>
          <w:color w:val="19191A"/>
          <w:sz w:val="24"/>
          <w:szCs w:val="24"/>
          <w:lang w:eastAsia="it-IT"/>
        </w:rPr>
        <w:br/>
      </w:r>
      <w:r w:rsidRPr="00CD4EF7">
        <w:rPr>
          <w:rFonts w:ascii="Arial" w:hAnsi="Arial" w:cs="Arial"/>
          <w:color w:val="19191A"/>
          <w:sz w:val="24"/>
          <w:szCs w:val="24"/>
          <w:shd w:val="clear" w:color="auto" w:fill="FFFFFF"/>
        </w:rPr>
        <w:t>L'obbligo di presentare la dichiarazione IMU sorge solo nei casi in cui si siano verificate modificazioni soggettive e oggettive che danno luogo ad una diversa determinazione dell'imposta dovuta e non sono immediatamente conoscibili dal comune.</w:t>
      </w:r>
      <w:r w:rsidRPr="00CD4EF7">
        <w:rPr>
          <w:rFonts w:ascii="Arial" w:hAnsi="Arial" w:cs="Arial"/>
          <w:color w:val="19191A"/>
          <w:sz w:val="24"/>
          <w:szCs w:val="24"/>
        </w:rPr>
        <w:br/>
      </w:r>
      <w:r w:rsidRPr="00CD4EF7">
        <w:rPr>
          <w:rFonts w:ascii="Arial" w:hAnsi="Arial" w:cs="Arial"/>
          <w:color w:val="19191A"/>
          <w:sz w:val="24"/>
          <w:szCs w:val="24"/>
          <w:shd w:val="clear" w:color="auto" w:fill="FFFFFF"/>
        </w:rPr>
        <w:t>La dichiarazione deve essere presentata entro il 30 giugno dell'anno successivo a quello in cui il possesso degli immobili ha avuto inizio o sono intervenute variazioni rilevanti ai fini della determinazione dell'imposta [</w:t>
      </w:r>
      <w:r w:rsidRPr="00CD4EF7">
        <w:rPr>
          <w:rStyle w:val="Enfasicorsivo"/>
          <w:rFonts w:ascii="Arial" w:hAnsi="Arial" w:cs="Arial"/>
          <w:color w:val="19191A"/>
          <w:sz w:val="24"/>
          <w:szCs w:val="24"/>
          <w:shd w:val="clear" w:color="auto" w:fill="FFFFFF"/>
        </w:rPr>
        <w:t>art. 1, comma 769, della legge n. 160 del 2019</w:t>
      </w:r>
      <w:r w:rsidRPr="00CD4EF7">
        <w:rPr>
          <w:rFonts w:ascii="Arial" w:hAnsi="Arial" w:cs="Arial"/>
          <w:color w:val="19191A"/>
          <w:sz w:val="24"/>
          <w:szCs w:val="24"/>
          <w:shd w:val="clear" w:color="auto" w:fill="FFFFFF"/>
        </w:rPr>
        <w:t>].</w:t>
      </w:r>
      <w:r w:rsidRPr="00CD4EF7">
        <w:rPr>
          <w:rFonts w:ascii="Arial" w:hAnsi="Arial" w:cs="Arial"/>
          <w:color w:val="19191A"/>
          <w:sz w:val="24"/>
          <w:szCs w:val="24"/>
        </w:rPr>
        <w:br/>
      </w:r>
      <w:r w:rsidRPr="00CD4EF7">
        <w:rPr>
          <w:rFonts w:ascii="Arial" w:hAnsi="Arial" w:cs="Arial"/>
          <w:color w:val="19191A"/>
          <w:sz w:val="24"/>
          <w:szCs w:val="24"/>
          <w:shd w:val="clear" w:color="auto" w:fill="FFFFFF"/>
        </w:rPr>
        <w:t>Il termine per la presentazione della dichiarazione è fissato al 31 dicembre 2020 solo per i casi in cui il possesso dell’immobile ha avuto inizio o sono intervenute variazioni nel corso del 2019 (</w:t>
      </w:r>
    </w:p>
    <w:p w:rsidR="004B1FE1" w:rsidRPr="00CD4EF7" w:rsidRDefault="004B1FE1" w:rsidP="009076D9">
      <w:pPr>
        <w:numPr>
          <w:ilvl w:val="0"/>
          <w:numId w:val="10"/>
        </w:numPr>
        <w:shd w:val="clear" w:color="auto" w:fill="FFFFFF"/>
        <w:tabs>
          <w:tab w:val="clear" w:pos="720"/>
        </w:tabs>
        <w:spacing w:before="100" w:beforeAutospacing="1" w:after="100" w:afterAutospacing="1" w:line="240" w:lineRule="auto"/>
        <w:ind w:left="0" w:right="150" w:hanging="720"/>
        <w:rPr>
          <w:rFonts w:ascii="Arial" w:hAnsi="Arial" w:cs="Arial"/>
          <w:color w:val="19191A"/>
          <w:sz w:val="24"/>
          <w:szCs w:val="24"/>
          <w:shd w:val="clear" w:color="auto" w:fill="FFFFFF"/>
        </w:rPr>
      </w:pPr>
      <w:r w:rsidRPr="00CD4EF7">
        <w:rPr>
          <w:rFonts w:ascii="Arial" w:hAnsi="Arial" w:cs="Arial"/>
          <w:color w:val="19191A"/>
          <w:sz w:val="24"/>
          <w:szCs w:val="24"/>
          <w:shd w:val="clear" w:color="auto" w:fill="FFFFFF"/>
        </w:rPr>
        <w:t>La dichiarazione ha effetto anche per gli anni successivi, sempre che non si verifichino modificazioni dei dati ed elementi dichiarati cui consegua un diverso ammontare dell'imposta dovuta.</w:t>
      </w:r>
    </w:p>
    <w:p w:rsidR="004B1FE1" w:rsidRPr="00CD4EF7" w:rsidRDefault="004B1FE1" w:rsidP="004B1FE1">
      <w:pPr>
        <w:shd w:val="clear" w:color="auto" w:fill="FFFFFF"/>
        <w:spacing w:before="100" w:beforeAutospacing="1" w:after="100" w:afterAutospacing="1" w:line="240" w:lineRule="auto"/>
        <w:ind w:left="-47" w:right="125"/>
        <w:rPr>
          <w:rFonts w:ascii="Arial" w:hAnsi="Arial" w:cs="Arial"/>
          <w:b/>
          <w:color w:val="19191A"/>
          <w:sz w:val="24"/>
          <w:szCs w:val="24"/>
          <w:shd w:val="clear" w:color="auto" w:fill="FFFFFF"/>
        </w:rPr>
      </w:pPr>
      <w:r w:rsidRPr="00CD4EF7">
        <w:rPr>
          <w:rFonts w:ascii="Arial" w:hAnsi="Arial" w:cs="Arial"/>
          <w:b/>
          <w:color w:val="19191A"/>
          <w:sz w:val="24"/>
          <w:szCs w:val="24"/>
          <w:shd w:val="clear" w:color="auto" w:fill="FFFFFF"/>
        </w:rPr>
        <w:t>TARI</w:t>
      </w:r>
    </w:p>
    <w:p w:rsidR="009076D9" w:rsidRPr="00CD4EF7" w:rsidRDefault="004B1FE1" w:rsidP="004B1FE1">
      <w:pPr>
        <w:shd w:val="clear" w:color="auto" w:fill="FFFFFF"/>
        <w:spacing w:before="100" w:beforeAutospacing="1" w:after="100" w:afterAutospacing="1" w:line="240" w:lineRule="auto"/>
        <w:ind w:left="-47" w:right="125"/>
        <w:rPr>
          <w:rFonts w:ascii="Arial" w:hAnsi="Arial" w:cs="Arial"/>
          <w:color w:val="19191A"/>
          <w:sz w:val="24"/>
          <w:szCs w:val="24"/>
          <w:shd w:val="clear" w:color="auto" w:fill="FFFFFF"/>
        </w:rPr>
      </w:pPr>
      <w:r w:rsidRPr="00CD4EF7">
        <w:rPr>
          <w:rFonts w:ascii="Arial" w:hAnsi="Arial" w:cs="Arial"/>
          <w:color w:val="19191A"/>
          <w:sz w:val="24"/>
          <w:szCs w:val="24"/>
          <w:shd w:val="clear" w:color="auto" w:fill="FFFFFF"/>
        </w:rPr>
        <w:lastRenderedPageBreak/>
        <w:t>La tassa sui rifiuti (TARI) è il tributo destinato a finanziare i costi relativi al servizio di raccolta e smaltimento dei rifiuti ed è dovuta da chiunque possieda o detenga a qualsiasi titolo locali o aree scoperte suscettibili di produrre i rifiuti medesimi.</w:t>
      </w:r>
      <w:r w:rsidRPr="00CD4EF7">
        <w:rPr>
          <w:rFonts w:ascii="Arial" w:hAnsi="Arial" w:cs="Arial"/>
          <w:color w:val="19191A"/>
          <w:sz w:val="24"/>
          <w:szCs w:val="24"/>
        </w:rPr>
        <w:br/>
      </w:r>
      <w:r w:rsidRPr="00CD4EF7">
        <w:rPr>
          <w:rFonts w:ascii="Arial" w:hAnsi="Arial" w:cs="Arial"/>
          <w:color w:val="19191A"/>
          <w:sz w:val="24"/>
          <w:szCs w:val="24"/>
          <w:shd w:val="clear" w:color="auto" w:fill="FFFFFF"/>
        </w:rPr>
        <w:t xml:space="preserve">La TARI è stata introdotta, a decorrere dal 2014, dalla legge 27 dicembre 2013, n. 147 (legge di stabilità per il 2014) quale tributo facente parte, insieme all’imposta municipale propria (IMU) e al tributo per i servizi indivisibili (TASI), dell’imposta unica comunale (IUC). </w:t>
      </w:r>
    </w:p>
    <w:p w:rsidR="004B1FE1" w:rsidRPr="00CD4EF7" w:rsidRDefault="004B1FE1" w:rsidP="004B1FE1">
      <w:pPr>
        <w:shd w:val="clear" w:color="auto" w:fill="FFFFFF"/>
        <w:spacing w:before="100" w:beforeAutospacing="1" w:after="100" w:afterAutospacing="1" w:line="240" w:lineRule="auto"/>
        <w:ind w:left="-47" w:right="125"/>
        <w:rPr>
          <w:rFonts w:ascii="Arial" w:hAnsi="Arial" w:cs="Arial"/>
          <w:color w:val="19191A"/>
          <w:sz w:val="24"/>
          <w:szCs w:val="24"/>
          <w:shd w:val="clear" w:color="auto" w:fill="FFFFFF"/>
        </w:rPr>
      </w:pPr>
      <w:r w:rsidRPr="00CD4EF7">
        <w:rPr>
          <w:rFonts w:ascii="Arial" w:hAnsi="Arial" w:cs="Arial"/>
          <w:color w:val="19191A"/>
          <w:sz w:val="24"/>
          <w:szCs w:val="24"/>
          <w:shd w:val="clear" w:color="auto" w:fill="FFFFFF"/>
        </w:rPr>
        <w:t>Dal 2014, pertanto, la TARI ha sostituito il tributo comunale sui rifiuti e sui servizi (TARES), che è stato vigente per il solo anno 2013 e che, a sua volta, aveva preso il posto di tutti i precedenti prelievi relativi alla gestione dei rifiuti, sia di natura patrimoniale sia di natura tributaria (TARSU, TIA1, TIA2).</w:t>
      </w:r>
      <w:r w:rsidRPr="00CD4EF7">
        <w:rPr>
          <w:rFonts w:ascii="Arial" w:hAnsi="Arial" w:cs="Arial"/>
          <w:color w:val="19191A"/>
          <w:sz w:val="24"/>
          <w:szCs w:val="24"/>
        </w:rPr>
        <w:br/>
      </w:r>
      <w:r w:rsidRPr="00CD4EF7">
        <w:rPr>
          <w:rFonts w:ascii="Arial" w:hAnsi="Arial" w:cs="Arial"/>
          <w:color w:val="19191A"/>
          <w:sz w:val="24"/>
          <w:szCs w:val="24"/>
          <w:shd w:val="clear" w:color="auto" w:fill="FFFFFF"/>
        </w:rPr>
        <w:t>La legge 27 dicembre 2019, n. 160 (legge di bilancio per il 2020) ha successivamente abolito, a decorrere dall’anno 2020, la IUC e – tra i tributi che la costituivano – la TASI. Sono, invece, rimasti in vigore gli altri due tributi che componevano la IUC, vale a dire l’IMU, come ridisciplinata dalla stessa legge n. 160 del 2019, e la TARI, le disposizioni relative alla quale, contenute nella legge n. 147 del 2013, sono state espressamente fatte salve.</w:t>
      </w:r>
      <w:r w:rsidRPr="00CD4EF7">
        <w:rPr>
          <w:rFonts w:ascii="Arial" w:hAnsi="Arial" w:cs="Arial"/>
          <w:color w:val="19191A"/>
          <w:sz w:val="24"/>
          <w:szCs w:val="24"/>
        </w:rPr>
        <w:br/>
      </w:r>
      <w:r w:rsidRPr="00CD4EF7">
        <w:rPr>
          <w:rFonts w:ascii="Arial" w:hAnsi="Arial" w:cs="Arial"/>
          <w:color w:val="19191A"/>
          <w:sz w:val="24"/>
          <w:szCs w:val="24"/>
          <w:shd w:val="clear" w:color="auto" w:fill="FFFFFF"/>
        </w:rPr>
        <w:t>I comuni che hanno realizzato sistemi di misurazione puntuale della quantità di rifiuti conferiti al servizio pubblico hanno la facoltà di applicare, in luogo della TARI, che ha natura tributaria, una tariffa avente natura di corrispettivo</w:t>
      </w:r>
      <w:r w:rsidRPr="00CD4EF7">
        <w:rPr>
          <w:rStyle w:val="Enfasicorsivo"/>
          <w:rFonts w:ascii="Arial" w:hAnsi="Arial" w:cs="Arial"/>
          <w:color w:val="19191A"/>
          <w:sz w:val="24"/>
          <w:szCs w:val="24"/>
          <w:shd w:val="clear" w:color="auto" w:fill="FFFFFF"/>
        </w:rPr>
        <w:t> [art. 1, comma 668, della legge n. 147 del 2013]</w:t>
      </w:r>
      <w:r w:rsidRPr="00CD4EF7">
        <w:rPr>
          <w:rFonts w:ascii="Arial" w:hAnsi="Arial" w:cs="Arial"/>
          <w:color w:val="19191A"/>
          <w:sz w:val="24"/>
          <w:szCs w:val="24"/>
          <w:shd w:val="clear" w:color="auto" w:fill="FFFFFF"/>
        </w:rPr>
        <w:t>.</w:t>
      </w:r>
    </w:p>
    <w:p w:rsidR="009076D9" w:rsidRPr="00CD4EF7" w:rsidRDefault="004B1FE1" w:rsidP="004B1FE1">
      <w:pPr>
        <w:pStyle w:val="NormaleWeb"/>
        <w:shd w:val="clear" w:color="auto" w:fill="FFFFFF"/>
        <w:spacing w:before="125" w:beforeAutospacing="0" w:after="125" w:afterAutospacing="0"/>
        <w:rPr>
          <w:rFonts w:ascii="Arial" w:hAnsi="Arial" w:cs="Arial"/>
          <w:color w:val="19191A"/>
        </w:rPr>
      </w:pPr>
      <w:r w:rsidRPr="00CD4EF7">
        <w:rPr>
          <w:rFonts w:ascii="Arial" w:hAnsi="Arial" w:cs="Arial"/>
          <w:color w:val="19191A"/>
        </w:rPr>
        <w:t>Il presupposto della TARI è il possesso o la detenzione a qualsiasi titolo di locali o di aree scoperte operative suscettibili di produrre rifiuti urbani </w:t>
      </w:r>
      <w:r w:rsidRPr="00CD4EF7">
        <w:rPr>
          <w:rStyle w:val="Enfasicorsivo"/>
          <w:rFonts w:ascii="Arial" w:hAnsi="Arial" w:cs="Arial"/>
          <w:color w:val="19191A"/>
        </w:rPr>
        <w:t>[art. 1, comma 641, primo periodo, della legge n. 147 del 2013]</w:t>
      </w:r>
      <w:r w:rsidRPr="00CD4EF7">
        <w:rPr>
          <w:rFonts w:ascii="Arial" w:hAnsi="Arial" w:cs="Arial"/>
          <w:color w:val="19191A"/>
        </w:rPr>
        <w:t>.</w:t>
      </w:r>
    </w:p>
    <w:p w:rsidR="009076D9" w:rsidRPr="00CD4EF7" w:rsidRDefault="004B1FE1" w:rsidP="004B1FE1">
      <w:pPr>
        <w:pStyle w:val="NormaleWeb"/>
        <w:shd w:val="clear" w:color="auto" w:fill="FFFFFF"/>
        <w:spacing w:before="125" w:beforeAutospacing="0" w:after="125" w:afterAutospacing="0"/>
        <w:rPr>
          <w:rFonts w:ascii="Arial" w:hAnsi="Arial" w:cs="Arial"/>
          <w:color w:val="19191A"/>
        </w:rPr>
      </w:pPr>
      <w:r w:rsidRPr="00CD4EF7">
        <w:rPr>
          <w:rFonts w:ascii="Arial" w:hAnsi="Arial" w:cs="Arial"/>
          <w:color w:val="19191A"/>
        </w:rPr>
        <w:br/>
        <w:t xml:space="preserve">Al riguardo, la Corte di Cassazione ha in più occasioni evidenziato come ciò che rileva ai fini del sorgere dell’obbligo tributario </w:t>
      </w:r>
      <w:r w:rsidRPr="00CD4EF7">
        <w:rPr>
          <w:rFonts w:ascii="Arial" w:hAnsi="Arial" w:cs="Arial"/>
          <w:b/>
          <w:color w:val="19191A"/>
        </w:rPr>
        <w:t>è la potenzialità del locale o dell’area a produrre rifiuti</w:t>
      </w:r>
      <w:r w:rsidRPr="00CD4EF7">
        <w:rPr>
          <w:rFonts w:ascii="Arial" w:hAnsi="Arial" w:cs="Arial"/>
          <w:color w:val="19191A"/>
        </w:rPr>
        <w:t xml:space="preserve">, precisando che la semplice mancata utilizzazione, di fatto, dei locali o delle aree, che dipenda da una decisione soggettiva dell’occupante, non è sufficiente per escludere la debenza della TARI. </w:t>
      </w:r>
      <w:r w:rsidRPr="00CD4EF7">
        <w:rPr>
          <w:rFonts w:ascii="Arial" w:hAnsi="Arial" w:cs="Arial"/>
          <w:color w:val="19191A"/>
          <w:u w:val="single"/>
        </w:rPr>
        <w:t>Occorre, invece, a tal fine, che il contribuente provi l’inidoneità del locale o dell’area a produrre i rifiuti in ragione delle sue oggettive condizioni d'inutilizzabilità.</w:t>
      </w:r>
      <w:r w:rsidRPr="00CD4EF7">
        <w:rPr>
          <w:rFonts w:ascii="Arial" w:hAnsi="Arial" w:cs="Arial"/>
          <w:color w:val="19191A"/>
          <w:u w:val="single"/>
        </w:rPr>
        <w:br/>
      </w:r>
      <w:r w:rsidRPr="00CD4EF7">
        <w:rPr>
          <w:rFonts w:ascii="Arial" w:hAnsi="Arial" w:cs="Arial"/>
          <w:color w:val="19191A"/>
        </w:rPr>
        <w:t>Secondo un consolidato orientament</w:t>
      </w:r>
    </w:p>
    <w:p w:rsidR="009076D9" w:rsidRPr="00CD4EF7" w:rsidRDefault="004B1FE1" w:rsidP="004B1FE1">
      <w:pPr>
        <w:pStyle w:val="NormaleWeb"/>
        <w:shd w:val="clear" w:color="auto" w:fill="FFFFFF"/>
        <w:spacing w:before="125" w:beforeAutospacing="0" w:after="125" w:afterAutospacing="0"/>
        <w:rPr>
          <w:rFonts w:ascii="Arial" w:hAnsi="Arial" w:cs="Arial"/>
          <w:color w:val="19191A"/>
        </w:rPr>
      </w:pPr>
      <w:r w:rsidRPr="00CD4EF7">
        <w:rPr>
          <w:rFonts w:ascii="Arial" w:hAnsi="Arial" w:cs="Arial"/>
          <w:color w:val="19191A"/>
        </w:rPr>
        <w:t>o giurisprudenziale, in particolare, la presenza alternativa dell’arredo o di una sola utenza di rete è sufficiente a far sorgere il presupposto impositivo sulla base di una presunzione semplice − valida quindi fino a prova contraria a carico del contribuente − di utilizzazione dell’immobile e di conseguente attitudine alla produzione di rifiuti. Conseguentemente, ai fini dell’esclusione dal tributo, si ritiene necessaria la contemporanea assenza sia dell’arredo sia di tutte le utenze. Il comune può comunque introdurre, con proprio regolamento, altri indici che integrino la presunzione di imponibilità, purché concretamente rivelatori dell’uso dell’immobile.</w:t>
      </w:r>
    </w:p>
    <w:p w:rsidR="004B1FE1" w:rsidRPr="00CD4EF7" w:rsidRDefault="004B1FE1" w:rsidP="004B1FE1">
      <w:pPr>
        <w:pStyle w:val="NormaleWeb"/>
        <w:shd w:val="clear" w:color="auto" w:fill="FFFFFF"/>
        <w:spacing w:before="125" w:beforeAutospacing="0" w:after="125" w:afterAutospacing="0"/>
        <w:rPr>
          <w:rFonts w:ascii="Arial" w:hAnsi="Arial" w:cs="Arial"/>
          <w:color w:val="19191A"/>
        </w:rPr>
      </w:pPr>
      <w:r w:rsidRPr="00CD4EF7">
        <w:rPr>
          <w:rFonts w:ascii="Arial" w:hAnsi="Arial" w:cs="Arial"/>
          <w:color w:val="19191A"/>
        </w:rPr>
        <w:br/>
        <w:t>Sono assoggettate alla TARI anche le pertinenze dei locali adibiti a civile abitazione, le quali sono ricomprese “utenza domestica” rilevante ai fini dell’applicazione della TARI. La corretta modalità di tassazione delle pertinenze dei locali adibiti a civile abitazione consiste, quindi, nel sommare la relativa superficie a quella dell’alloggio, in modo tale che essa confluisca nel calcolo della quota fissa della tariffa dovuta per ciascuna utenza domestica.</w:t>
      </w:r>
    </w:p>
    <w:p w:rsidR="004B1FE1" w:rsidRPr="00CD4EF7" w:rsidRDefault="004B1FE1" w:rsidP="004B1FE1">
      <w:pPr>
        <w:pStyle w:val="NormaleWeb"/>
        <w:shd w:val="clear" w:color="auto" w:fill="FFFFFF"/>
        <w:spacing w:before="125" w:beforeAutospacing="0" w:after="125" w:afterAutospacing="0"/>
        <w:rPr>
          <w:rFonts w:ascii="Arial" w:hAnsi="Arial" w:cs="Arial"/>
          <w:b/>
          <w:color w:val="19191A"/>
        </w:rPr>
      </w:pPr>
      <w:r w:rsidRPr="00CD4EF7">
        <w:rPr>
          <w:rFonts w:ascii="Arial" w:hAnsi="Arial" w:cs="Arial"/>
          <w:b/>
          <w:color w:val="19191A"/>
        </w:rPr>
        <w:lastRenderedPageBreak/>
        <w:t>Alla quota fissa così calcolata deve essere, poi, aggiunta la quota variabile che è, invece, costituita da un valore assoluto, rapportato al numero degli occupanti ma non ai metri quadrati dell’utenza.</w:t>
      </w:r>
    </w:p>
    <w:p w:rsidR="004B1FE1" w:rsidRPr="00CD4EF7" w:rsidRDefault="004B1FE1" w:rsidP="004B1FE1">
      <w:pPr>
        <w:pStyle w:val="NormaleWeb"/>
        <w:shd w:val="clear" w:color="auto" w:fill="FFFFFF"/>
        <w:spacing w:before="125" w:beforeAutospacing="0" w:after="125" w:afterAutospacing="0"/>
        <w:rPr>
          <w:rFonts w:ascii="Arial" w:hAnsi="Arial" w:cs="Arial"/>
          <w:color w:val="19191A"/>
        </w:rPr>
      </w:pPr>
      <w:r w:rsidRPr="00CD4EF7">
        <w:rPr>
          <w:rFonts w:ascii="Arial" w:hAnsi="Arial" w:cs="Arial"/>
          <w:color w:val="19191A"/>
        </w:rPr>
        <w:t>Sono, invece, escluse dal presupposto impositivo della TARI le aree scoperte pertinenziali o accessorie a locali tassabili, non operative, e le aree comuni condominiali di cui all'art. 1117 del codice civile che non siano detenute o possedute in via esclusiva </w:t>
      </w:r>
      <w:r w:rsidRPr="00CD4EF7">
        <w:rPr>
          <w:rStyle w:val="Enfasicorsivo"/>
          <w:rFonts w:ascii="Arial" w:hAnsi="Arial" w:cs="Arial"/>
          <w:color w:val="19191A"/>
        </w:rPr>
        <w:t>[art. 1, comma 641,</w:t>
      </w:r>
    </w:p>
    <w:p w:rsidR="004B1FE1" w:rsidRPr="00CD4EF7" w:rsidRDefault="004B1FE1" w:rsidP="004B1FE1">
      <w:pPr>
        <w:numPr>
          <w:ilvl w:val="0"/>
          <w:numId w:val="11"/>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Le tariffe della TARI sono determinate con deliberazione del Giunta comunale sulla base dei costi individuati e classificati nel piano finanziario, che viene predisposto dal gestore del servizio e approvato dallo stesso Consiglio comunale, in modo che sia assicurata la copertura integrale dei costi medesimi.</w:t>
      </w:r>
    </w:p>
    <w:p w:rsidR="004B1FE1" w:rsidRPr="00CD4EF7" w:rsidRDefault="004B1FE1" w:rsidP="004B1FE1">
      <w:pPr>
        <w:shd w:val="clear" w:color="auto" w:fill="FFFFFF"/>
        <w:spacing w:before="125" w:after="125"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Il piano finanziario, quindi, individua e classifica i costi che devono essere coperti con le entrate della TARI, mentre la delibera di approvazione delle tariffe è finalizzata a ripartire tali costi tra gli utenti e, pertanto, a determinare le voci tariffarie da applicare alle diverse utenze. Queste ultime si distinguono in domestiche e non domestiche: le prime sono costituite soltanto dalle abitazioni familiari e le seconde ricomprendono tutte le restanti utenze (attività commerciali, industriali, professionali e produttive in genere).</w:t>
      </w:r>
    </w:p>
    <w:p w:rsidR="004B1FE1" w:rsidRPr="00CD4EF7" w:rsidRDefault="004B1FE1" w:rsidP="004B1FE1">
      <w:pPr>
        <w:shd w:val="clear" w:color="auto" w:fill="FFFFFF"/>
        <w:spacing w:before="125" w:after="125"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Affinché la delibera di determinazione delle tariffe della TARI sia applicabile, essa deve essere:</w:t>
      </w:r>
    </w:p>
    <w:p w:rsidR="004B1FE1" w:rsidRPr="00CD4EF7" w:rsidRDefault="004B1FE1" w:rsidP="004B1FE1">
      <w:pPr>
        <w:shd w:val="clear" w:color="auto" w:fill="FFFFFF"/>
        <w:spacing w:before="125" w:after="125"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 approvata entro il termine per l’adozione del bilancio di previsione dell’anno di riferimento, fissato al 31 dicembre dell’anno precedente dall'art. 151, comma 1, del D. Lgs. 18 agosto 2000, n. 267 (TUEL), ma generalmente differito con disposizione di legge o decreto del Ministro dell’interno </w:t>
      </w:r>
      <w:r w:rsidRPr="00CD4EF7">
        <w:rPr>
          <w:rFonts w:ascii="Arial" w:eastAsia="Times New Roman" w:hAnsi="Arial" w:cs="Arial"/>
          <w:i/>
          <w:iCs/>
          <w:color w:val="19191A"/>
          <w:sz w:val="24"/>
          <w:szCs w:val="24"/>
          <w:lang w:eastAsia="it-IT"/>
        </w:rPr>
        <w:t>[art. 1, comma 169, della legge n. 296 del 2006; art. 1, comma 683, della legge n. 147 del 2013]</w:t>
      </w:r>
      <w:r w:rsidRPr="00CD4EF7">
        <w:rPr>
          <w:rFonts w:ascii="Arial" w:eastAsia="Times New Roman" w:hAnsi="Arial" w:cs="Arial"/>
          <w:color w:val="19191A"/>
          <w:sz w:val="24"/>
          <w:szCs w:val="24"/>
          <w:lang w:eastAsia="it-IT"/>
        </w:rPr>
        <w:t>;</w:t>
      </w:r>
    </w:p>
    <w:p w:rsidR="004B1FE1" w:rsidRPr="00CD4EF7" w:rsidRDefault="004B1FE1" w:rsidP="004B1FE1">
      <w:pPr>
        <w:numPr>
          <w:ilvl w:val="0"/>
          <w:numId w:val="12"/>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b/>
          <w:bCs/>
          <w:color w:val="19191A"/>
          <w:sz w:val="24"/>
          <w:szCs w:val="24"/>
          <w:lang w:eastAsia="it-IT"/>
        </w:rPr>
        <w:t>metodo tariffario</w:t>
      </w:r>
      <w:r w:rsidRPr="00CD4EF7">
        <w:rPr>
          <w:rFonts w:ascii="Arial" w:eastAsia="Times New Roman" w:hAnsi="Arial" w:cs="Arial"/>
          <w:color w:val="19191A"/>
          <w:sz w:val="24"/>
          <w:szCs w:val="24"/>
          <w:lang w:eastAsia="it-IT"/>
        </w:rPr>
        <w:br/>
        <w:t>Le tariffe della TARI sono commisurate sulla base dei criteri determinati dal “metodo normalizzato” di cui al D.P.R. n. 158 del 1999 </w:t>
      </w:r>
      <w:r w:rsidRPr="00CD4EF7">
        <w:rPr>
          <w:rFonts w:ascii="Arial" w:eastAsia="Times New Roman" w:hAnsi="Arial" w:cs="Arial"/>
          <w:i/>
          <w:iCs/>
          <w:color w:val="19191A"/>
          <w:sz w:val="24"/>
          <w:szCs w:val="24"/>
          <w:lang w:eastAsia="it-IT"/>
        </w:rPr>
        <w:t>[art. 1, comma 651, della legge n. 147 del 2013]</w:t>
      </w:r>
      <w:r w:rsidRPr="00CD4EF7">
        <w:rPr>
          <w:rFonts w:ascii="Arial" w:eastAsia="Times New Roman" w:hAnsi="Arial" w:cs="Arial"/>
          <w:color w:val="19191A"/>
          <w:sz w:val="24"/>
          <w:szCs w:val="24"/>
          <w:lang w:eastAsia="it-IT"/>
        </w:rPr>
        <w:t>.</w:t>
      </w:r>
      <w:r w:rsidRPr="00CD4EF7">
        <w:rPr>
          <w:rFonts w:ascii="Arial" w:eastAsia="Times New Roman" w:hAnsi="Arial" w:cs="Arial"/>
          <w:color w:val="19191A"/>
          <w:sz w:val="24"/>
          <w:szCs w:val="24"/>
          <w:lang w:eastAsia="it-IT"/>
        </w:rPr>
        <w:br/>
        <w:t>A decorrere dall’anno 2020, il metodo tariffario da seguire nell’elaborazione del piano economico finanziario della TARI è oggetto di disciplina da parte dell’Autorità di regolazione per energia reti e ambiente (ARERA), cui la legge di bilancio per il 2018 ha attribuito importanti funzioni di regolazione e controllo nel settore dei rifiuti </w:t>
      </w:r>
      <w:r w:rsidRPr="00CD4EF7">
        <w:rPr>
          <w:rFonts w:ascii="Arial" w:eastAsia="Times New Roman" w:hAnsi="Arial" w:cs="Arial"/>
          <w:i/>
          <w:iCs/>
          <w:color w:val="19191A"/>
          <w:sz w:val="24"/>
          <w:szCs w:val="24"/>
          <w:lang w:eastAsia="it-IT"/>
        </w:rPr>
        <w:t>[art. 1, comma 527, della legge n. 205 del 2017].</w:t>
      </w:r>
      <w:r w:rsidRPr="00CD4EF7">
        <w:rPr>
          <w:rFonts w:ascii="Arial" w:eastAsia="Times New Roman" w:hAnsi="Arial" w:cs="Arial"/>
          <w:color w:val="19191A"/>
          <w:sz w:val="24"/>
          <w:szCs w:val="24"/>
          <w:lang w:eastAsia="it-IT"/>
        </w:rPr>
        <w:br/>
        <w:t xml:space="preserve">In particolare, la Deliberazione ARERA n. 443 del 31 ottobre 2019 ha definito i criteri di calcolo e il riconoscimento dei costi efficienti di esercizio e di investimento per il periodo 2018-2021, adottando il Metodo Tariffario per il servizio integrato di gestione dei Rifiuti (MTR). Tale nuovo metodo prevede altresì l'uso delle risultanze dei fabbisogni standard, dei quali, ai sensi dell'art. 1, comma 653, L. n. 147 del 2013, il comune deve avvalersi nella determinazione dei costi </w:t>
      </w:r>
      <w:r w:rsidRPr="00CD4EF7">
        <w:rPr>
          <w:rFonts w:ascii="Arial" w:eastAsia="Times New Roman" w:hAnsi="Arial" w:cs="Arial"/>
          <w:b/>
          <w:bCs/>
          <w:color w:val="19191A"/>
          <w:sz w:val="24"/>
          <w:szCs w:val="24"/>
          <w:lang w:eastAsia="it-IT"/>
        </w:rPr>
        <w:t>articolazione della tariffa</w:t>
      </w:r>
      <w:r w:rsidRPr="00CD4EF7">
        <w:rPr>
          <w:rFonts w:ascii="Arial" w:eastAsia="Times New Roman" w:hAnsi="Arial" w:cs="Arial"/>
          <w:color w:val="19191A"/>
          <w:sz w:val="24"/>
          <w:szCs w:val="24"/>
          <w:lang w:eastAsia="it-IT"/>
        </w:rPr>
        <w:br/>
        <w:t>Le tariffe sono riferite all’anno solare e distinte per utenze domestiche e utenze non domestiche e, in entrambi i casi, si compongono di una quota fissa e di una quota variabile.</w:t>
      </w:r>
      <w:r w:rsidRPr="00CD4EF7">
        <w:rPr>
          <w:rFonts w:ascii="Arial" w:eastAsia="Times New Roman" w:hAnsi="Arial" w:cs="Arial"/>
          <w:color w:val="19191A"/>
          <w:sz w:val="24"/>
          <w:szCs w:val="24"/>
          <w:lang w:eastAsia="it-IT"/>
        </w:rPr>
        <w:br/>
        <w:t xml:space="preserve">Per le utenze domestiche, la quota fissa deve essere calcolata moltiplicando la superficie dell’alloggio, sommata a quella delle relative pertinenze, per la tariffa unitaria corrispondente al numero degli occupanti dell’utenza stessa, mentre la quota variabile è costituita da un valore assoluto, vale a dire da un importo rapportato al numero degli occupanti che non va moltiplicato per i metri quadrati dell’utenza e va </w:t>
      </w:r>
      <w:r w:rsidRPr="00CD4EF7">
        <w:rPr>
          <w:rFonts w:ascii="Arial" w:eastAsia="Times New Roman" w:hAnsi="Arial" w:cs="Arial"/>
          <w:color w:val="19191A"/>
          <w:sz w:val="24"/>
          <w:szCs w:val="24"/>
          <w:lang w:eastAsia="it-IT"/>
        </w:rPr>
        <w:lastRenderedPageBreak/>
        <w:t>sommato come tale alla parte fissa. La corretta modalità di tassazione delle pertinenze dei locali adibiti a civile abitazione consiste, quindi, nel sommare la relativa superficie a quella dell’alloggio, in modo tale che essa confluisca nel calcolo della quota fissa della tariffa dovuta per ciascuna utenza domestica</w:t>
      </w:r>
      <w:r w:rsidRPr="00CD4EF7">
        <w:rPr>
          <w:rFonts w:ascii="Arial" w:eastAsia="Times New Roman" w:hAnsi="Arial" w:cs="Arial"/>
          <w:color w:val="19191A"/>
          <w:sz w:val="24"/>
          <w:szCs w:val="24"/>
          <w:lang w:eastAsia="it-IT"/>
        </w:rPr>
        <w:br/>
      </w:r>
      <w:r w:rsidRPr="00CD4EF7">
        <w:rPr>
          <w:rFonts w:ascii="Arial" w:eastAsia="Times New Roman" w:hAnsi="Arial" w:cs="Arial"/>
          <w:color w:val="19191A"/>
          <w:sz w:val="24"/>
          <w:szCs w:val="24"/>
          <w:lang w:eastAsia="it-IT"/>
        </w:rPr>
        <w:br/>
        <w:t>Per le utenze non domestiche, invece, sia la quota fissa sia la quota variabile devono essere moltiplicate per la superficie assoggettabile a tariffa. Ai fini della determinazione di tale superficie non si tiene conto di quella parte di essa ove si formano, in via continuativa e prevalente, rifiuti speciali, al cui smaltimento sono tenuti a provvedere a proprie spese i relativi produttori, a condizione che ne dimostrino l'avvenuto trattamento in conformità alla normativa vigente </w:t>
      </w:r>
      <w:r w:rsidRPr="00CD4EF7">
        <w:rPr>
          <w:rFonts w:ascii="Arial" w:eastAsia="Times New Roman" w:hAnsi="Arial" w:cs="Arial"/>
          <w:i/>
          <w:iCs/>
          <w:color w:val="19191A"/>
          <w:sz w:val="24"/>
          <w:szCs w:val="24"/>
          <w:lang w:eastAsia="it-IT"/>
        </w:rPr>
        <w:t>[art. 1, comma 649, primo periodo, della legge n. 147 del 2013].</w:t>
      </w:r>
    </w:p>
    <w:p w:rsidR="004B1FE1" w:rsidRPr="00CD4EF7" w:rsidRDefault="004B1FE1" w:rsidP="004B1FE1">
      <w:pPr>
        <w:shd w:val="clear" w:color="auto" w:fill="FFFFFF"/>
        <w:spacing w:before="125" w:after="125"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Le riduzioni obbligatorie previste dalla legge sono:</w:t>
      </w:r>
    </w:p>
    <w:p w:rsidR="004B1FE1" w:rsidRPr="00CD4EF7" w:rsidRDefault="004B1FE1" w:rsidP="004B1FE1">
      <w:pPr>
        <w:numPr>
          <w:ilvl w:val="0"/>
          <w:numId w:val="13"/>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riduzioni della quota variabile proporzionali alle quantità di rifiuti speciali assimilati agli urbani che il produttore dimostra di aver avviato al riciclo, disciplinate dal comune con proprio regolamento </w:t>
      </w:r>
      <w:r w:rsidRPr="00CD4EF7">
        <w:rPr>
          <w:rFonts w:ascii="Arial" w:eastAsia="Times New Roman" w:hAnsi="Arial" w:cs="Arial"/>
          <w:i/>
          <w:iCs/>
          <w:color w:val="19191A"/>
          <w:sz w:val="24"/>
          <w:szCs w:val="24"/>
          <w:lang w:eastAsia="it-IT"/>
        </w:rPr>
        <w:t>[art. 1, comma 649, secondo periodo, della legge n. 147 del 2013];</w:t>
      </w:r>
    </w:p>
    <w:p w:rsidR="004B1FE1" w:rsidRPr="00CD4EF7" w:rsidRDefault="004B1FE1" w:rsidP="004B1FE1">
      <w:pPr>
        <w:numPr>
          <w:ilvl w:val="0"/>
          <w:numId w:val="13"/>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riduzione per mancato svolgimento del servizio di gestione dei rifiuti/effettuazione del servizio in grave violazione della disciplina di riferimento/interruzione del servizio per motivi sindacali o per imprevedibili impedimenti organizzativi che abbiano determinato una situazione riconosciuta dall’autorità sanitaria di danno o pericolo di danno alle persone o all’ambiente: la TARI è dovuta nella misura massima del 20% </w:t>
      </w:r>
      <w:r w:rsidRPr="00CD4EF7">
        <w:rPr>
          <w:rFonts w:ascii="Arial" w:eastAsia="Times New Roman" w:hAnsi="Arial" w:cs="Arial"/>
          <w:i/>
          <w:iCs/>
          <w:color w:val="19191A"/>
          <w:sz w:val="24"/>
          <w:szCs w:val="24"/>
          <w:lang w:eastAsia="it-IT"/>
        </w:rPr>
        <w:t>[art. 1, comma 656, della legge n. 147 del 2013];</w:t>
      </w:r>
    </w:p>
    <w:p w:rsidR="004B1FE1" w:rsidRPr="00CD4EF7" w:rsidRDefault="004B1FE1" w:rsidP="004B1FE1">
      <w:pPr>
        <w:numPr>
          <w:ilvl w:val="0"/>
          <w:numId w:val="13"/>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riduzione per le zone in cui non è effettuata la raccolta: la TARI è dovuta nella misura massima del 40%, secondo quanto stabilito dal comune che può anche graduare la tariffa in relazione alla distanza dal più vicino punto di raccolta rientrante nella zona perimetrata o di fatto servita </w:t>
      </w:r>
      <w:r w:rsidRPr="00CD4EF7">
        <w:rPr>
          <w:rFonts w:ascii="Arial" w:eastAsia="Times New Roman" w:hAnsi="Arial" w:cs="Arial"/>
          <w:i/>
          <w:iCs/>
          <w:color w:val="19191A"/>
          <w:sz w:val="24"/>
          <w:szCs w:val="24"/>
          <w:lang w:eastAsia="it-IT"/>
        </w:rPr>
        <w:t>[art. 1, comma 657, della legge n. 147 del 2013].</w:t>
      </w:r>
    </w:p>
    <w:p w:rsidR="004B1FE1" w:rsidRPr="00CD4EF7" w:rsidRDefault="004B1FE1" w:rsidP="004B1FE1">
      <w:pPr>
        <w:shd w:val="clear" w:color="auto" w:fill="FFFFFF"/>
        <w:spacing w:before="125" w:after="125" w:line="240" w:lineRule="auto"/>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br/>
        <w:t>Il comune ha, inoltre, facoltà di introdurre con proprio regolamento:</w:t>
      </w:r>
    </w:p>
    <w:p w:rsidR="004B1FE1" w:rsidRPr="00CD4EF7" w:rsidRDefault="004B1FE1" w:rsidP="004B1FE1">
      <w:pPr>
        <w:numPr>
          <w:ilvl w:val="0"/>
          <w:numId w:val="14"/>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esenzioni e riduzioni in favore delle specifiche fattispecie individuate dalla legge, che, in quanto connesse a una minore attitudine a produrre rifiuti danno luogo ad un minor gettito da inserire tra i costi del piano finanziario </w:t>
      </w:r>
      <w:r w:rsidRPr="00CD4EF7">
        <w:rPr>
          <w:rFonts w:ascii="Arial" w:eastAsia="Times New Roman" w:hAnsi="Arial" w:cs="Arial"/>
          <w:i/>
          <w:iCs/>
          <w:color w:val="19191A"/>
          <w:sz w:val="24"/>
          <w:szCs w:val="24"/>
          <w:lang w:eastAsia="it-IT"/>
        </w:rPr>
        <w:t>[art. 1, comma 659, della legge n. 147 del 2013]</w:t>
      </w:r>
      <w:r w:rsidRPr="00CD4EF7">
        <w:rPr>
          <w:rFonts w:ascii="Arial" w:eastAsia="Times New Roman" w:hAnsi="Arial" w:cs="Arial"/>
          <w:color w:val="19191A"/>
          <w:sz w:val="24"/>
          <w:szCs w:val="24"/>
          <w:lang w:eastAsia="it-IT"/>
        </w:rPr>
        <w:t>; tali fattispecie sono:   </w:t>
      </w:r>
      <w:r w:rsidRPr="00CD4EF7">
        <w:rPr>
          <w:rFonts w:ascii="Arial" w:eastAsia="Times New Roman" w:hAnsi="Arial" w:cs="Arial"/>
          <w:color w:val="19191A"/>
          <w:sz w:val="24"/>
          <w:szCs w:val="24"/>
          <w:lang w:eastAsia="it-IT"/>
        </w:rPr>
        <w:br/>
        <w:t>- abitazioni con unico occupante;</w:t>
      </w:r>
      <w:r w:rsidRPr="00CD4EF7">
        <w:rPr>
          <w:rFonts w:ascii="Arial" w:eastAsia="Times New Roman" w:hAnsi="Arial" w:cs="Arial"/>
          <w:color w:val="19191A"/>
          <w:sz w:val="24"/>
          <w:szCs w:val="24"/>
          <w:lang w:eastAsia="it-IT"/>
        </w:rPr>
        <w:br/>
        <w:t>- abitazioni e locali per uso stagionale;</w:t>
      </w:r>
      <w:r w:rsidRPr="00CD4EF7">
        <w:rPr>
          <w:rFonts w:ascii="Arial" w:eastAsia="Times New Roman" w:hAnsi="Arial" w:cs="Arial"/>
          <w:color w:val="19191A"/>
          <w:sz w:val="24"/>
          <w:szCs w:val="24"/>
          <w:lang w:eastAsia="it-IT"/>
        </w:rPr>
        <w:br/>
        <w:t>- abitazioni occupate da soggetti che risiedano o abbiano la dimora, per più di sei mesi all'anno, all'estero;</w:t>
      </w:r>
      <w:r w:rsidRPr="00CD4EF7">
        <w:rPr>
          <w:rFonts w:ascii="Arial" w:eastAsia="Times New Roman" w:hAnsi="Arial" w:cs="Arial"/>
          <w:color w:val="19191A"/>
          <w:sz w:val="24"/>
          <w:szCs w:val="24"/>
          <w:lang w:eastAsia="it-IT"/>
        </w:rPr>
        <w:br/>
        <w:t>- fabbricati rurali ad uso abitativo;</w:t>
      </w:r>
      <w:r w:rsidRPr="00CD4EF7">
        <w:rPr>
          <w:rFonts w:ascii="Arial" w:eastAsia="Times New Roman" w:hAnsi="Arial" w:cs="Arial"/>
          <w:color w:val="19191A"/>
          <w:sz w:val="24"/>
          <w:szCs w:val="24"/>
          <w:lang w:eastAsia="it-IT"/>
        </w:rPr>
        <w:br/>
        <w:t>- attività di prevenzione nella produzione di rifiuti (in particolare: utenze domestiche che abbiano avviato il compostaggio domestico), commisurando le riduzioni tariffarie alla quantità di rifiuti non prodotti.</w:t>
      </w:r>
    </w:p>
    <w:p w:rsidR="004B1FE1" w:rsidRPr="00CD4EF7" w:rsidRDefault="004B1FE1" w:rsidP="004B1FE1">
      <w:pPr>
        <w:numPr>
          <w:ilvl w:val="0"/>
          <w:numId w:val="14"/>
        </w:numPr>
        <w:shd w:val="clear" w:color="auto" w:fill="FFFFFF"/>
        <w:spacing w:before="100" w:beforeAutospacing="1" w:after="100" w:afterAutospacing="1" w:line="240" w:lineRule="auto"/>
        <w:ind w:left="313" w:right="125"/>
        <w:rPr>
          <w:rFonts w:ascii="Arial" w:eastAsia="Times New Roman" w:hAnsi="Arial" w:cs="Arial"/>
          <w:color w:val="19191A"/>
          <w:sz w:val="24"/>
          <w:szCs w:val="24"/>
          <w:lang w:eastAsia="it-IT"/>
        </w:rPr>
      </w:pPr>
      <w:r w:rsidRPr="00CD4EF7">
        <w:rPr>
          <w:rFonts w:ascii="Arial" w:eastAsia="Times New Roman" w:hAnsi="Arial" w:cs="Arial"/>
          <w:color w:val="19191A"/>
          <w:sz w:val="24"/>
          <w:szCs w:val="24"/>
          <w:lang w:eastAsia="it-IT"/>
        </w:rPr>
        <w:t>esenzioni e riduzioni in favore delle ulteriori fattispecie ritenute dall’ente locale meritevoli di tutela, a prescindere da una minore produttività di rifiuti delle utenze; in tali ipotesi, il comune deve finanziare la misura facendo ricorso a risorse derivanti dalla fiscalità generale del comune e diverse, quindi, dai proventi del tributo </w:t>
      </w:r>
      <w:r w:rsidRPr="00CD4EF7">
        <w:rPr>
          <w:rFonts w:ascii="Arial" w:eastAsia="Times New Roman" w:hAnsi="Arial" w:cs="Arial"/>
          <w:i/>
          <w:iCs/>
          <w:color w:val="19191A"/>
          <w:sz w:val="24"/>
          <w:szCs w:val="24"/>
          <w:lang w:eastAsia="it-IT"/>
        </w:rPr>
        <w:t>[art. 1, comma 660, della legge n. 147 del 2013].</w:t>
      </w:r>
    </w:p>
    <w:p w:rsidR="004B1FE1" w:rsidRPr="00CD4EF7" w:rsidRDefault="004B1FE1" w:rsidP="004B1FE1">
      <w:pPr>
        <w:shd w:val="clear" w:color="auto" w:fill="FFFFFF"/>
        <w:spacing w:before="100" w:beforeAutospacing="1" w:after="100" w:afterAutospacing="1" w:line="240" w:lineRule="auto"/>
        <w:ind w:right="125"/>
        <w:rPr>
          <w:rFonts w:ascii="Arial" w:hAnsi="Arial" w:cs="Arial"/>
          <w:color w:val="19191A"/>
          <w:sz w:val="24"/>
          <w:szCs w:val="24"/>
          <w:shd w:val="clear" w:color="auto" w:fill="FFFFFF"/>
        </w:rPr>
      </w:pPr>
      <w:r w:rsidRPr="00CD4EF7">
        <w:rPr>
          <w:rFonts w:ascii="Arial" w:hAnsi="Arial" w:cs="Arial"/>
          <w:color w:val="19191A"/>
          <w:sz w:val="24"/>
          <w:szCs w:val="24"/>
          <w:shd w:val="clear" w:color="auto" w:fill="FFFFFF"/>
        </w:rPr>
        <w:lastRenderedPageBreak/>
        <w:t>Le scadenze di pagamento della TARI sono determinate dal comune prevedendo di norma almeno due rate a scadenza semestrale </w:t>
      </w:r>
      <w:r w:rsidRPr="00CD4EF7">
        <w:rPr>
          <w:rStyle w:val="Enfasicorsivo"/>
          <w:rFonts w:ascii="Arial" w:hAnsi="Arial" w:cs="Arial"/>
          <w:color w:val="19191A"/>
          <w:sz w:val="24"/>
          <w:szCs w:val="24"/>
          <w:shd w:val="clear" w:color="auto" w:fill="FFFFFF"/>
        </w:rPr>
        <w:t>[art. 1, comma 688, della legge n. 147 del 2013]</w:t>
      </w:r>
      <w:r w:rsidRPr="00CD4EF7">
        <w:rPr>
          <w:rFonts w:ascii="Arial" w:hAnsi="Arial" w:cs="Arial"/>
          <w:color w:val="19191A"/>
          <w:sz w:val="24"/>
          <w:szCs w:val="24"/>
          <w:shd w:val="clear" w:color="auto" w:fill="FFFFFF"/>
        </w:rPr>
        <w:t xml:space="preserve">. In ogni caso, almeno una rata deve essere fissata in data successiva al 30 novembre di ciascun anno, ed eventualmente anche nell’anno successivo, in modo che il saldo sia determinato sulla base delle delibere tariffarie pubblicate alla data del 28 ottobre </w:t>
      </w:r>
    </w:p>
    <w:p w:rsidR="009076D9" w:rsidRPr="00CD4EF7" w:rsidRDefault="009076D9" w:rsidP="004B1FE1">
      <w:pPr>
        <w:shd w:val="clear" w:color="auto" w:fill="FFFFFF"/>
        <w:spacing w:before="100" w:beforeAutospacing="1" w:after="100" w:afterAutospacing="1" w:line="240" w:lineRule="auto"/>
        <w:ind w:right="125"/>
        <w:rPr>
          <w:rFonts w:ascii="Arial" w:hAnsi="Arial" w:cs="Arial"/>
          <w:color w:val="19191A"/>
          <w:sz w:val="24"/>
          <w:szCs w:val="24"/>
          <w:shd w:val="clear" w:color="auto" w:fill="FFFFFF"/>
        </w:rPr>
      </w:pPr>
      <w:r w:rsidRPr="00CD4EF7">
        <w:rPr>
          <w:rFonts w:ascii="Arial" w:hAnsi="Arial" w:cs="Arial"/>
          <w:color w:val="19191A"/>
          <w:sz w:val="24"/>
          <w:szCs w:val="24"/>
          <w:shd w:val="clear" w:color="auto" w:fill="FFFFFF"/>
        </w:rPr>
        <w:t>CANONE UNICO</w:t>
      </w:r>
    </w:p>
    <w:p w:rsidR="00CD4EF7" w:rsidRPr="00CD4EF7" w:rsidRDefault="00CD4EF7" w:rsidP="004B1FE1">
      <w:pPr>
        <w:shd w:val="clear" w:color="auto" w:fill="FFFFFF"/>
        <w:spacing w:before="100" w:beforeAutospacing="1" w:after="100" w:afterAutospacing="1" w:line="240" w:lineRule="auto"/>
        <w:ind w:right="125"/>
        <w:rPr>
          <w:rFonts w:ascii="Arial" w:hAnsi="Arial" w:cs="Arial"/>
          <w:color w:val="19191A"/>
          <w:sz w:val="24"/>
          <w:szCs w:val="24"/>
          <w:shd w:val="clear" w:color="auto" w:fill="FFFFFF"/>
        </w:rPr>
      </w:pPr>
      <w:r w:rsidRPr="00CD4EF7">
        <w:rPr>
          <w:rFonts w:ascii="Arial" w:hAnsi="Arial" w:cs="Arial"/>
          <w:color w:val="333333"/>
          <w:sz w:val="24"/>
          <w:szCs w:val="24"/>
          <w:shd w:val="clear" w:color="auto" w:fill="FFFFFF"/>
        </w:rPr>
        <w:t>Nella L. 27 dicembre 2019, n. 160 (legge di bilancio 2020) è prevista l'istituzione e la disciplina del canone patrimoniale di concessione, autorizzazione o esposizione pubblicitaria (canone unico), che riunisce in una sola forma di prelievo le entrate relative all'occupazione di aree pubbliche e la diffusione di messaggi pubblicitari. Nella stessa legge è prevista l'istituzione del canone patrimoniale di concessione per l'occupazione nei mercati.</w:t>
      </w:r>
    </w:p>
    <w:p w:rsidR="00CD4EF7" w:rsidRDefault="009076D9" w:rsidP="009076D9">
      <w:pPr>
        <w:spacing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 xml:space="preserve">Presupposto del canone è la diffusione di messaggi pubblicitari, anche abusiva, mediante impianti installati su aree appartenenti al demanio o al patrimonio indisponibile degli enti, su beni privati laddove siano visibili da luogo pubblico o aperto al pubblico del territorio comunale, ovvero all'esterno di veicoli adibiti a uso pubblico o a uso privato, ivi comprese la diffusione di messaggi pubblicitari attraverso forme di comunicazione visive o acustiche. </w:t>
      </w:r>
    </w:p>
    <w:p w:rsidR="00CD4EF7" w:rsidRDefault="00CD4EF7" w:rsidP="009076D9">
      <w:pPr>
        <w:spacing w:after="0" w:line="240" w:lineRule="auto"/>
        <w:rPr>
          <w:rFonts w:ascii="Arial" w:eastAsia="Times New Roman" w:hAnsi="Arial" w:cs="Arial"/>
          <w:color w:val="333333"/>
          <w:sz w:val="24"/>
          <w:szCs w:val="24"/>
          <w:lang w:eastAsia="it-IT"/>
        </w:rPr>
      </w:pPr>
    </w:p>
    <w:p w:rsidR="009076D9" w:rsidRPr="009076D9" w:rsidRDefault="009076D9" w:rsidP="009076D9">
      <w:pPr>
        <w:spacing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Per luoghi pubblici si intendono le vie, le piazze, i giardini pubblici e le aree comunque aperte al pubblico passaggio o a cui chiunque può accedere in ogni momento senza limitazioni o condizioni. Per luoghi aperti al pubblico si intendono i locali e le aree destinati a spettacoli pubblici, a pubblici esercizi, ad attività commerciali o ai quali chiunque può accedere soltanto in certi momenti o adempiendo a speciali condizioni poste da chi sul luogo medesimo esercita un diritto o un titolo di proprietà.</w:t>
      </w:r>
    </w:p>
    <w:p w:rsidR="00CD4EF7" w:rsidRDefault="00CD4EF7" w:rsidP="009076D9">
      <w:pPr>
        <w:spacing w:after="0" w:line="240" w:lineRule="auto"/>
        <w:rPr>
          <w:rFonts w:ascii="Arial" w:eastAsia="Times New Roman" w:hAnsi="Arial" w:cs="Arial"/>
          <w:color w:val="333333"/>
          <w:sz w:val="24"/>
          <w:szCs w:val="24"/>
          <w:lang w:eastAsia="it-IT"/>
        </w:rPr>
      </w:pPr>
    </w:p>
    <w:p w:rsidR="009076D9" w:rsidRPr="009076D9" w:rsidRDefault="009076D9" w:rsidP="009076D9">
      <w:pPr>
        <w:spacing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Ai fini dell'applicazione del canone si considerano rilevanti i messaggi diffusi nell'esercizio di una attività economica allo scopo di promuovere la domanda di beni o servizi, ovvero finalizzati a migliorare l'immagine del soggetto pubblicizzato.</w:t>
      </w:r>
    </w:p>
    <w:p w:rsidR="009076D9" w:rsidRPr="009076D9" w:rsidRDefault="009076D9" w:rsidP="009076D9">
      <w:pPr>
        <w:spacing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Per l'esercizio di attività economica si intende lo scambio di beni o la produzione di servizi, effettuati nell'esercizio di imprese, di arti e professioni, nonché qualunque altra attività suscettibile di valutazione economica, anche se esercitata occasionalmente da soggetto che per natura o statuto non si prefigge scopo di lucro.</w:t>
      </w:r>
    </w:p>
    <w:p w:rsidR="00CD4EF7" w:rsidRDefault="00CD4EF7" w:rsidP="009076D9">
      <w:pPr>
        <w:spacing w:after="0" w:line="240" w:lineRule="auto"/>
        <w:rPr>
          <w:rFonts w:ascii="Arial" w:eastAsia="Times New Roman" w:hAnsi="Arial" w:cs="Arial"/>
          <w:color w:val="333333"/>
          <w:sz w:val="24"/>
          <w:szCs w:val="24"/>
          <w:lang w:eastAsia="it-IT"/>
        </w:rPr>
      </w:pPr>
    </w:p>
    <w:p w:rsidR="009076D9" w:rsidRPr="009076D9" w:rsidRDefault="009076D9" w:rsidP="009076D9">
      <w:pPr>
        <w:spacing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È tenuto al pagamento del canone il titolare dell'autorizzazione del mezzo attraverso il quale il messaggio pubblicitario viene diffuso ovvero, in mancanza, del soggetto che effettua la diffusione dei messaggi pubblicitari in maniera abusiva. In ogni caso è obbligato in solido al pagamento il soggetto che utilizza il mezzo per diffondere il messaggio.</w:t>
      </w:r>
    </w:p>
    <w:p w:rsidR="009076D9" w:rsidRPr="009076D9" w:rsidRDefault="009076D9" w:rsidP="009076D9">
      <w:pPr>
        <w:spacing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È altresì obbligato in solido il soggetto pubblicizzato, ovvero colui che produce o vende la merce o fornisce i servizi oggetto della pubblicità.</w:t>
      </w:r>
    </w:p>
    <w:p w:rsidR="009076D9" w:rsidRPr="009076D9" w:rsidRDefault="009076D9" w:rsidP="009076D9">
      <w:pPr>
        <w:spacing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br/>
        <w:t>Prima che la pubblicità abbia inizio occorre presentare apposita dichiarazione presso questa unité (con indicazione dell'ubicazione, della quantità, delle misure e della durata) ed effettuare il pagamento del relativo canone sul conto di Tesoreria del Comune.</w:t>
      </w:r>
    </w:p>
    <w:p w:rsidR="009076D9" w:rsidRPr="009076D9" w:rsidRDefault="009076D9" w:rsidP="009076D9">
      <w:pPr>
        <w:spacing w:before="150"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La dichiarazione deve essere presentata anche nei casi di variazione, con la corresponsione dell'eventuale conguaglio.</w:t>
      </w:r>
    </w:p>
    <w:p w:rsidR="00CD4EF7" w:rsidRDefault="009076D9" w:rsidP="009076D9">
      <w:pPr>
        <w:spacing w:before="150"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lastRenderedPageBreak/>
        <w:t xml:space="preserve">La dichiarazione della pubblicità annuale, se non viene presentata dichiarazione di cessazione o di variazione entro il 31 marzo, ha effetto anche per gli anni successivi e si intende prorogata con il pagamento del relativo canone entro il 31 marzo dell'anno di riferimento, </w:t>
      </w:r>
    </w:p>
    <w:p w:rsidR="009076D9" w:rsidRPr="009076D9" w:rsidRDefault="009076D9" w:rsidP="009076D9">
      <w:pPr>
        <w:spacing w:before="150"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In caso di omessa presentazione della dichiarazione e/o omesso o tardivo pagamento, qualora non fosse iniziato il procedimento di accertamento d'ufficio, è applicabile il RAVVEDIMENTO OPEROSO ai sensi del D.Lgs. n.472/1997.</w:t>
      </w:r>
    </w:p>
    <w:p w:rsidR="009076D9" w:rsidRPr="009076D9" w:rsidRDefault="009076D9" w:rsidP="009076D9">
      <w:pPr>
        <w:spacing w:before="150"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Tutti i pagamenti devono essere effettuati con arrotondamento all'euro, per difetto se la frazione è inferiore o uguale a 49 centesimi, per eccesso se superiore a detto importo.</w:t>
      </w:r>
    </w:p>
    <w:p w:rsidR="009076D9" w:rsidRPr="009076D9" w:rsidRDefault="009076D9" w:rsidP="009076D9">
      <w:pPr>
        <w:spacing w:before="150"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Modalità di applicazione del canone</w:t>
      </w:r>
    </w:p>
    <w:p w:rsidR="009076D9" w:rsidRPr="009076D9" w:rsidRDefault="009076D9" w:rsidP="009076D9">
      <w:pPr>
        <w:spacing w:before="150" w:after="0" w:line="240" w:lineRule="auto"/>
        <w:rPr>
          <w:rFonts w:ascii="Arial" w:eastAsia="Times New Roman" w:hAnsi="Arial" w:cs="Arial"/>
          <w:color w:val="333333"/>
          <w:sz w:val="24"/>
          <w:szCs w:val="24"/>
          <w:u w:val="single"/>
          <w:lang w:eastAsia="it-IT"/>
        </w:rPr>
      </w:pPr>
      <w:r w:rsidRPr="009076D9">
        <w:rPr>
          <w:rFonts w:ascii="Arial" w:eastAsia="Times New Roman" w:hAnsi="Arial" w:cs="Arial"/>
          <w:color w:val="333333"/>
          <w:sz w:val="24"/>
          <w:szCs w:val="24"/>
          <w:u w:val="single"/>
          <w:lang w:eastAsia="it-IT"/>
        </w:rPr>
        <w:t>Il canone viene calcolato in proporzione alla superficie del mezzo pubblicitario utilizzato, indipendentemente dal numero di messaggi in esso contenuti.</w:t>
      </w:r>
    </w:p>
    <w:p w:rsidR="009076D9" w:rsidRPr="009076D9" w:rsidRDefault="009076D9" w:rsidP="009076D9">
      <w:pPr>
        <w:spacing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Non si applica il canone per i mezzi pubblicitari di superficie inferiore a 300 centimetri quadrati.</w:t>
      </w:r>
      <w:r w:rsidRPr="009076D9">
        <w:rPr>
          <w:rFonts w:ascii="Arial" w:eastAsia="Times New Roman" w:hAnsi="Arial" w:cs="Arial"/>
          <w:color w:val="333333"/>
          <w:sz w:val="24"/>
          <w:szCs w:val="24"/>
          <w:lang w:eastAsia="it-IT"/>
        </w:rPr>
        <w:br/>
        <w:t>Le superfici inferiori ad un metro quadrato si arrotondano per eccesso al metro quadrato e le frazioni di esso, oltre al primo, vengono arrotondate al mezzo metro quadrato superiore.</w:t>
      </w:r>
    </w:p>
    <w:p w:rsidR="009076D9" w:rsidRPr="009076D9" w:rsidRDefault="009076D9" w:rsidP="009076D9">
      <w:pPr>
        <w:spacing w:before="150"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RIDUZIONI</w:t>
      </w:r>
    </w:p>
    <w:p w:rsidR="009076D9" w:rsidRPr="009076D9" w:rsidRDefault="009076D9" w:rsidP="009076D9">
      <w:pPr>
        <w:spacing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Il canone per la diffusione dei messaggi pubblicitari è ridotto alla metà:</w:t>
      </w:r>
    </w:p>
    <w:p w:rsidR="009076D9" w:rsidRPr="009076D9" w:rsidRDefault="009076D9" w:rsidP="009076D9">
      <w:pPr>
        <w:numPr>
          <w:ilvl w:val="0"/>
          <w:numId w:val="21"/>
        </w:num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per la pubblicità effettuata da comitati, associazioni, fondazioni ed ogni altro ente che non abbia scopo di lucro;</w:t>
      </w:r>
    </w:p>
    <w:p w:rsidR="009076D9" w:rsidRPr="009076D9" w:rsidRDefault="009076D9" w:rsidP="009076D9">
      <w:pPr>
        <w:numPr>
          <w:ilvl w:val="0"/>
          <w:numId w:val="21"/>
        </w:num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per la pubblicità relativa a manifestazioni politiche, sindacali e di categoria, culturali, sportive, filantropiche e religiose, da chiunque realizzate, con il patrocinio o la partecipazione degli enti pubblici territoriali. Tale riduzione viene accordata solamente con la contemporanea sussistenza dei requisiti enunciati. </w:t>
      </w:r>
    </w:p>
    <w:p w:rsidR="009076D9" w:rsidRPr="009076D9" w:rsidRDefault="009076D9" w:rsidP="009076D9">
      <w:pPr>
        <w:numPr>
          <w:ilvl w:val="0"/>
          <w:numId w:val="21"/>
        </w:num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per la pubblicità relativa a festeggiamenti patriottici, religiosi, a spettacoli viaggianti e di beneficenza.</w:t>
      </w:r>
    </w:p>
    <w:p w:rsidR="009076D9" w:rsidRPr="009076D9" w:rsidRDefault="009076D9" w:rsidP="009076D9">
      <w:pPr>
        <w:spacing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Se il messaggio contiene la sponsorizzazione di un soggetto che ha scopo di lucro, non può essere riconosciuta la riduzione d'imposta nel caso in cui la superficie complessiva occupata dagli stessi supera 300 centimetri quadrati.</w:t>
      </w:r>
    </w:p>
    <w:p w:rsidR="009076D9" w:rsidRPr="009076D9" w:rsidRDefault="009076D9" w:rsidP="009076D9">
      <w:pPr>
        <w:spacing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Gli esercizi commerciali ed artigianali, situati in zone interessate allo svolgimento di lavori per la realizzazione di opere pubbliche, hanno diritto ad una riduzione del canone pari al:</w:t>
      </w:r>
    </w:p>
    <w:p w:rsidR="009076D9" w:rsidRPr="009076D9" w:rsidRDefault="009076D9" w:rsidP="009076D9">
      <w:pPr>
        <w:numPr>
          <w:ilvl w:val="0"/>
          <w:numId w:val="22"/>
        </w:num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30 per cento per durata dei lavori da un mese fino a tre mesi;</w:t>
      </w:r>
    </w:p>
    <w:p w:rsidR="009076D9" w:rsidRPr="009076D9" w:rsidRDefault="009076D9" w:rsidP="009076D9">
      <w:pPr>
        <w:numPr>
          <w:ilvl w:val="0"/>
          <w:numId w:val="22"/>
        </w:num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riduzione del 50 per cento per durata dei lavori oltre tre mesi fino a sei mesi;</w:t>
      </w:r>
    </w:p>
    <w:p w:rsidR="009076D9" w:rsidRPr="009076D9" w:rsidRDefault="009076D9" w:rsidP="009076D9">
      <w:pPr>
        <w:numPr>
          <w:ilvl w:val="0"/>
          <w:numId w:val="22"/>
        </w:num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riduzione del 100 per cento per durata dei lavori oltre sei mesi fino ad un anno. La durata delle opere fa riferimento alle date di inizio e di chiusura del cantiere.</w:t>
      </w:r>
    </w:p>
    <w:p w:rsidR="009076D9" w:rsidRPr="009076D9" w:rsidRDefault="009076D9" w:rsidP="009076D9">
      <w:pPr>
        <w:spacing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Le agevolazioni di cui al comma precedente decorrono dal 1° gennaio dell'anno successivo a quello nel corso del quale si sono verificati i lavori. I soggetti interessati devono presentare richiesta di riduzione, su modelli predisposti dal Comune, entro il 31 gennaio di ciascun anno. La presentazione tardiva comporta la decadenza dal beneficio.</w:t>
      </w:r>
    </w:p>
    <w:p w:rsidR="009076D9" w:rsidRPr="009076D9" w:rsidRDefault="009076D9" w:rsidP="009076D9">
      <w:pPr>
        <w:spacing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br/>
        <w:t>ESENZIONI</w:t>
      </w:r>
    </w:p>
    <w:p w:rsidR="009076D9" w:rsidRPr="009076D9" w:rsidRDefault="009076D9" w:rsidP="009076D9">
      <w:pPr>
        <w:spacing w:after="0" w:line="240" w:lineRule="auto"/>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Sono esenti dal canone:</w:t>
      </w:r>
    </w:p>
    <w:p w:rsidR="009076D9" w:rsidRPr="009076D9" w:rsidRDefault="009076D9" w:rsidP="009076D9">
      <w:pPr>
        <w:numPr>
          <w:ilvl w:val="0"/>
          <w:numId w:val="23"/>
        </w:num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i messaggi pubblicitari, escluse le insegne, relativi ai giornali e alle pubblicazioni periodiche, se esposti sulle sole facciate esterne delle edicole o nelle vetrine o sulle porte di ingresso dei negozi ove sia effettuata la vendita (c. 833 let g));</w:t>
      </w:r>
    </w:p>
    <w:p w:rsidR="009076D9" w:rsidRPr="009076D9" w:rsidRDefault="009076D9" w:rsidP="009076D9">
      <w:pPr>
        <w:numPr>
          <w:ilvl w:val="0"/>
          <w:numId w:val="23"/>
        </w:num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 xml:space="preserve">la pubblicità esposta all'interno delle stazioni dei servizi di trasporto pubblico in genere inerente all'attività esercitata dall'impresa di trasporto, nonché le tabelle esposte all'esterno delle stazioni stesse o lungo l'itinerario di viaggio, per la parte in </w:t>
      </w:r>
      <w:r w:rsidRPr="009076D9">
        <w:rPr>
          <w:rFonts w:ascii="Arial" w:eastAsia="Times New Roman" w:hAnsi="Arial" w:cs="Arial"/>
          <w:color w:val="333333"/>
          <w:sz w:val="24"/>
          <w:szCs w:val="24"/>
          <w:lang w:eastAsia="it-IT"/>
        </w:rPr>
        <w:lastRenderedPageBreak/>
        <w:t>cui contengano informazioni relative alle modalità di effettuazione del servizio (c. 833 lett. b) h));</w:t>
      </w:r>
    </w:p>
    <w:p w:rsidR="009076D9" w:rsidRPr="009076D9" w:rsidRDefault="009076D9" w:rsidP="009076D9">
      <w:pPr>
        <w:numPr>
          <w:ilvl w:val="0"/>
          <w:numId w:val="23"/>
        </w:num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le insegne, le targhe e simili apposte per l'individuazione delle sedi di comitati, associazioni, fondazioni ed ogni altro ente che non persegua scopo di lucro (c. 833 let i));</w:t>
      </w:r>
    </w:p>
    <w:p w:rsidR="009076D9" w:rsidRPr="009076D9" w:rsidRDefault="009076D9" w:rsidP="009076D9">
      <w:pPr>
        <w:numPr>
          <w:ilvl w:val="0"/>
          <w:numId w:val="23"/>
        </w:num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le insegne di esercizio di attività commerciali e di produzione di beni o servizi che contraddistinguono la sede ove si svolge l'attività cui si riferiscono, di superficie complessiva fino a 5 metri quadrati (c. 833 let l)). Per la determinazione della superficie complessiva si procederà sommando le superfici di ogni singola insegna preventivamente arrotondata.</w:t>
      </w:r>
    </w:p>
    <w:p w:rsidR="009076D9" w:rsidRPr="009076D9" w:rsidRDefault="009076D9" w:rsidP="009076D9">
      <w:pPr>
        <w:numPr>
          <w:ilvl w:val="0"/>
          <w:numId w:val="23"/>
        </w:num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le indicazioni relative al marchio apposto con dimensioni proporzionali alla dimensione delle gru mobili, delle gru a torre adoperate nei cantieri edili e delle macchine da cantiere, la cui superficie complessiva non ecceda i seguenti limiti (c. 833 let m)):</w:t>
      </w:r>
    </w:p>
    <w:p w:rsidR="009076D9" w:rsidRPr="009076D9" w:rsidRDefault="009076D9" w:rsidP="009076D9">
      <w:p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1) fino a 2 metri quadrati per le gru mobili, le gru a torre adoperate nei cantieri edili e le macchine da cantiere con sviluppo potenziale in altezza fino a 10 metri lineari ;</w:t>
      </w:r>
    </w:p>
    <w:p w:rsidR="009076D9" w:rsidRPr="009076D9" w:rsidRDefault="009076D9" w:rsidP="009076D9">
      <w:p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2) fino a 4 metri quadrati per le gru mobili, le gru a torre adoperate nei cantieri edili e le macchine da cantiere con sviluppo potenziale in altezza oltre i 10 e fino a 40 metri lineari;</w:t>
      </w:r>
    </w:p>
    <w:p w:rsidR="009076D9" w:rsidRPr="009076D9" w:rsidRDefault="009076D9" w:rsidP="009076D9">
      <w:p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3) fino a 6 metri quadrati per le gru mobili, le gru a torre adoperate nei cantieri edili e le macchine da cantiere con sviluppo potenziale in altezza superiore a 40 metri lineari;</w:t>
      </w:r>
    </w:p>
    <w:p w:rsidR="009076D9" w:rsidRPr="009076D9" w:rsidRDefault="009076D9" w:rsidP="009076D9">
      <w:pPr>
        <w:numPr>
          <w:ilvl w:val="0"/>
          <w:numId w:val="23"/>
        </w:num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le indicazioni del marchio, della ditta, della ragione sociale e dell'indirizzo apposti sui veicoli utilizzati per il trasporto, anche per conto terzi, di proprietà dell'impresa o adibiti al trasporto per suo conto (c. 833 let n)).</w:t>
      </w:r>
    </w:p>
    <w:p w:rsidR="009076D9" w:rsidRPr="009076D9" w:rsidRDefault="009076D9" w:rsidP="009076D9">
      <w:pPr>
        <w:numPr>
          <w:ilvl w:val="0"/>
          <w:numId w:val="23"/>
        </w:num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i mezzi pubblicitari posti sulle pareti esterne dei locali di pubblico spettacolo se riferite alle rappresentazioni in programmazione (c. 833 let o));</w:t>
      </w:r>
    </w:p>
    <w:p w:rsidR="009076D9" w:rsidRPr="009076D9" w:rsidRDefault="009076D9" w:rsidP="009076D9">
      <w:pPr>
        <w:numPr>
          <w:ilvl w:val="0"/>
          <w:numId w:val="23"/>
        </w:num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i messaggi pubblicitari, in qualunque modo realizzati dai soggetti di cui al comma 1 dell'articolo 90 della legge 27 dicembre 2002, n. 289, rivolti all'interno degli impianti dagli stessi utilizzati per manifestazioni sportive dilettantistiche con capienza inferiore a tremila posti (c. 833 let p));</w:t>
      </w:r>
    </w:p>
    <w:p w:rsidR="009076D9" w:rsidRPr="009076D9" w:rsidRDefault="009076D9" w:rsidP="009076D9">
      <w:pPr>
        <w:numPr>
          <w:ilvl w:val="0"/>
          <w:numId w:val="23"/>
        </w:num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i mezzi pubblicitari inerenti all'attività commerciale o di produzione di beni o servizi ove si effettua l'attività stessa, nonché i mezzi pubblicitari, ad eccezione delle insegne, esposti nelle vetrine e sulle porte di ingresso dei locali medesimi purché siano attinenti all'attività in essi esercitata che non superino, nel loro insieme, la superficie complessiva di mezzo metro quadrato per ciascuna vetrina o ingresso c. 833 let q));.  Il calcolo viene effettuato sommando le superfici di ogni singola pubblicità e arrotondando il totale ottenuto.   L'esenzione è estesa anche alle vetrine mancanti di spazio espositivo, ovvero alle vetrate. Per il calcolo della superficie utile a tale esenzione si terrà conto della parte interna di esposizione senza interruzioni di sorta indipendentemente dalle divisioni di supporto dei vetri esterni.  Nel caso di “vetrate” la superficie utile sopraccitata verrà calcolata sempre senza tener conto di eventuali divisioni di supporto dei vetri stessi, da muro a muro. Nel caso in cui la vetrina non sia delimitata, la stessa verrà calcolata in metri 2 (spazio dalla vetrata verso l'interno del locale). Sono inoltre esenti grafie, disegni, fotografie ecc. esposti in vetrina prive di marchi, loghi e/o messaggi pubblicitari, poiché considerati addobbi);</w:t>
      </w:r>
    </w:p>
    <w:p w:rsidR="009076D9" w:rsidRPr="009076D9" w:rsidRDefault="009076D9" w:rsidP="009076D9">
      <w:pPr>
        <w:numPr>
          <w:ilvl w:val="0"/>
          <w:numId w:val="23"/>
        </w:num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 xml:space="preserve">gli avvisi al pubblico esposti nelle vetrine o sulle porte d'ingresso dei locali, o in mancanza nelle immediate adiacenze del punto di vendita, relativi all'attività svolta, nonché quelli riguardanti la localizzazione e l'utilizzazione dei servizi di pubblica utilità, che non superino la superficie di mezzo metro quadrato e quelli riguardanti la </w:t>
      </w:r>
      <w:r w:rsidRPr="009076D9">
        <w:rPr>
          <w:rFonts w:ascii="Arial" w:eastAsia="Times New Roman" w:hAnsi="Arial" w:cs="Arial"/>
          <w:color w:val="333333"/>
          <w:sz w:val="24"/>
          <w:szCs w:val="24"/>
          <w:lang w:eastAsia="it-IT"/>
        </w:rPr>
        <w:lastRenderedPageBreak/>
        <w:t>localizzazione o la compravendita degli immobili sui quali sono affissi, di superficie non superiore ad un quarto di metro quadrato;</w:t>
      </w:r>
    </w:p>
    <w:p w:rsidR="009076D9" w:rsidRPr="009076D9" w:rsidRDefault="009076D9" w:rsidP="009076D9">
      <w:pPr>
        <w:numPr>
          <w:ilvl w:val="0"/>
          <w:numId w:val="23"/>
        </w:num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la pubblicità comunque effettuata in via esclusiva dallo Stato e dagli enti pubblici territoriali;</w:t>
      </w:r>
    </w:p>
    <w:p w:rsidR="009076D9" w:rsidRPr="009076D9" w:rsidRDefault="009076D9" w:rsidP="009076D9">
      <w:pPr>
        <w:numPr>
          <w:ilvl w:val="0"/>
          <w:numId w:val="23"/>
        </w:numPr>
        <w:spacing w:after="0" w:line="240" w:lineRule="auto"/>
        <w:ind w:left="675"/>
        <w:rPr>
          <w:rFonts w:ascii="Arial" w:eastAsia="Times New Roman" w:hAnsi="Arial" w:cs="Arial"/>
          <w:color w:val="333333"/>
          <w:sz w:val="24"/>
          <w:szCs w:val="24"/>
          <w:lang w:eastAsia="it-IT"/>
        </w:rPr>
      </w:pPr>
      <w:r w:rsidRPr="009076D9">
        <w:rPr>
          <w:rFonts w:ascii="Arial" w:eastAsia="Times New Roman" w:hAnsi="Arial" w:cs="Arial"/>
          <w:color w:val="333333"/>
          <w:sz w:val="24"/>
          <w:szCs w:val="24"/>
          <w:lang w:eastAsia="it-IT"/>
        </w:rPr>
        <w:t>le insegne, le targhe e simili la cui esposizione sia obbligatoria per disposizione di legge o di regolamento sempre che le dimensioni del mezzo usato, qualora non espressamente stabilite, non superino il metro quadrato di superficie (c. 833 let. b));</w:t>
      </w:r>
    </w:p>
    <w:p w:rsidR="00CD4EF7" w:rsidRPr="00CD4EF7" w:rsidRDefault="009076D9" w:rsidP="00CD4EF7">
      <w:pPr>
        <w:numPr>
          <w:ilvl w:val="0"/>
          <w:numId w:val="23"/>
        </w:numPr>
        <w:spacing w:after="0" w:line="240" w:lineRule="auto"/>
        <w:ind w:left="675"/>
        <w:rPr>
          <w:rFonts w:ascii="Arial" w:hAnsi="Arial" w:cs="Arial"/>
          <w:color w:val="19191A"/>
          <w:sz w:val="24"/>
          <w:szCs w:val="24"/>
          <w:shd w:val="clear" w:color="auto" w:fill="FFFFFF"/>
        </w:rPr>
      </w:pPr>
      <w:r w:rsidRPr="009076D9">
        <w:rPr>
          <w:rFonts w:ascii="Arial" w:eastAsia="Times New Roman" w:hAnsi="Arial" w:cs="Arial"/>
          <w:color w:val="333333"/>
          <w:sz w:val="24"/>
          <w:szCs w:val="24"/>
          <w:lang w:eastAsia="it-IT"/>
        </w:rPr>
        <w:t xml:space="preserve">Non si fa luogo ad applicazione d'imposta per i messaggi pubblicitari effettuati dalle pro-loco, biblioteche, comitati, associazioni, fondazioni ed ogni altro ente che non abbia scopo di lucro aventi sede </w:t>
      </w:r>
      <w:r w:rsidR="00CD4EF7">
        <w:rPr>
          <w:rFonts w:ascii="Arial" w:eastAsia="Times New Roman" w:hAnsi="Arial" w:cs="Arial"/>
          <w:color w:val="333333"/>
          <w:sz w:val="24"/>
          <w:szCs w:val="24"/>
          <w:lang w:eastAsia="it-IT"/>
        </w:rPr>
        <w:t>nel comune</w:t>
      </w:r>
    </w:p>
    <w:p w:rsidR="00CD4EF7" w:rsidRDefault="00CD4EF7" w:rsidP="00CD4EF7">
      <w:pPr>
        <w:spacing w:after="0" w:line="240" w:lineRule="auto"/>
        <w:rPr>
          <w:rFonts w:ascii="Arial" w:eastAsia="Times New Roman" w:hAnsi="Arial" w:cs="Arial"/>
          <w:color w:val="333333"/>
          <w:sz w:val="24"/>
          <w:szCs w:val="24"/>
          <w:lang w:eastAsia="it-IT"/>
        </w:rPr>
      </w:pPr>
    </w:p>
    <w:p w:rsidR="009076D9" w:rsidRPr="00CD4EF7" w:rsidRDefault="00CD4EF7" w:rsidP="00CD4EF7">
      <w:pPr>
        <w:pStyle w:val="PreformattatoHTML"/>
        <w:rPr>
          <w:rFonts w:ascii="Arial" w:hAnsi="Arial" w:cs="Arial"/>
          <w:color w:val="19191A"/>
          <w:sz w:val="24"/>
          <w:szCs w:val="24"/>
          <w:shd w:val="clear" w:color="auto" w:fill="FFFFFF"/>
        </w:rPr>
      </w:pPr>
      <w:r>
        <w:rPr>
          <w:color w:val="444444"/>
          <w:sz w:val="24"/>
          <w:szCs w:val="24"/>
        </w:rPr>
        <w:t xml:space="preserve">  </w:t>
      </w:r>
    </w:p>
    <w:sectPr w:rsidR="009076D9" w:rsidRPr="00CD4EF7" w:rsidSect="00E8753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1944"/>
    <w:multiLevelType w:val="multilevel"/>
    <w:tmpl w:val="0ADC0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6F4F2F"/>
    <w:multiLevelType w:val="multilevel"/>
    <w:tmpl w:val="FEACC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07F3C30"/>
    <w:multiLevelType w:val="multilevel"/>
    <w:tmpl w:val="8BD25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064B46"/>
    <w:multiLevelType w:val="multilevel"/>
    <w:tmpl w:val="229E9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061E9D"/>
    <w:multiLevelType w:val="multilevel"/>
    <w:tmpl w:val="39665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CA4D66"/>
    <w:multiLevelType w:val="multilevel"/>
    <w:tmpl w:val="01C0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972115"/>
    <w:multiLevelType w:val="multilevel"/>
    <w:tmpl w:val="2F4CC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7673E7"/>
    <w:multiLevelType w:val="multilevel"/>
    <w:tmpl w:val="6444F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714470"/>
    <w:multiLevelType w:val="multilevel"/>
    <w:tmpl w:val="74D4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14717A"/>
    <w:multiLevelType w:val="multilevel"/>
    <w:tmpl w:val="3DE4A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7D6E73"/>
    <w:multiLevelType w:val="multilevel"/>
    <w:tmpl w:val="0450B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DF24F19"/>
    <w:multiLevelType w:val="multilevel"/>
    <w:tmpl w:val="2F4CC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5A03B10"/>
    <w:multiLevelType w:val="multilevel"/>
    <w:tmpl w:val="2766B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5C26D5B"/>
    <w:multiLevelType w:val="multilevel"/>
    <w:tmpl w:val="2F4CC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79D02AF"/>
    <w:multiLevelType w:val="multilevel"/>
    <w:tmpl w:val="5ED44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3F64A8"/>
    <w:multiLevelType w:val="multilevel"/>
    <w:tmpl w:val="B4B4F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CB61FEE"/>
    <w:multiLevelType w:val="multilevel"/>
    <w:tmpl w:val="2F4CC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FDA1DF8"/>
    <w:multiLevelType w:val="multilevel"/>
    <w:tmpl w:val="C15A2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99C6ED3"/>
    <w:multiLevelType w:val="multilevel"/>
    <w:tmpl w:val="C2D29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B7F60F7"/>
    <w:multiLevelType w:val="multilevel"/>
    <w:tmpl w:val="6C64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AD11FAC"/>
    <w:multiLevelType w:val="multilevel"/>
    <w:tmpl w:val="8ECE1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553439F"/>
    <w:multiLevelType w:val="multilevel"/>
    <w:tmpl w:val="EB000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DDE0C95"/>
    <w:multiLevelType w:val="multilevel"/>
    <w:tmpl w:val="A7E80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2"/>
  </w:num>
  <w:num w:numId="3">
    <w:abstractNumId w:val="8"/>
  </w:num>
  <w:num w:numId="4">
    <w:abstractNumId w:val="2"/>
  </w:num>
  <w:num w:numId="5">
    <w:abstractNumId w:val="19"/>
  </w:num>
  <w:num w:numId="6">
    <w:abstractNumId w:val="14"/>
  </w:num>
  <w:num w:numId="7">
    <w:abstractNumId w:val="17"/>
  </w:num>
  <w:num w:numId="8">
    <w:abstractNumId w:val="9"/>
  </w:num>
  <w:num w:numId="9">
    <w:abstractNumId w:val="3"/>
  </w:num>
  <w:num w:numId="10">
    <w:abstractNumId w:val="7"/>
  </w:num>
  <w:num w:numId="11">
    <w:abstractNumId w:val="18"/>
  </w:num>
  <w:num w:numId="12">
    <w:abstractNumId w:val="4"/>
  </w:num>
  <w:num w:numId="13">
    <w:abstractNumId w:val="21"/>
  </w:num>
  <w:num w:numId="14">
    <w:abstractNumId w:val="20"/>
  </w:num>
  <w:num w:numId="15">
    <w:abstractNumId w:val="22"/>
  </w:num>
  <w:num w:numId="16">
    <w:abstractNumId w:val="0"/>
  </w:num>
  <w:num w:numId="17">
    <w:abstractNumId w:val="5"/>
  </w:num>
  <w:num w:numId="18">
    <w:abstractNumId w:val="11"/>
  </w:num>
  <w:num w:numId="19">
    <w:abstractNumId w:val="13"/>
  </w:num>
  <w:num w:numId="20">
    <w:abstractNumId w:val="6"/>
  </w:num>
  <w:num w:numId="21">
    <w:abstractNumId w:val="1"/>
  </w:num>
  <w:num w:numId="22">
    <w:abstractNumId w:val="15"/>
  </w:num>
  <w:num w:numId="2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4B1FE1"/>
    <w:rsid w:val="002F072C"/>
    <w:rsid w:val="00467E82"/>
    <w:rsid w:val="004B1FE1"/>
    <w:rsid w:val="004C217B"/>
    <w:rsid w:val="009076D9"/>
    <w:rsid w:val="00992C50"/>
    <w:rsid w:val="00CD4EF7"/>
    <w:rsid w:val="00E87532"/>
    <w:rsid w:val="00F70C0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B1FE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4B1FE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4B1FE1"/>
    <w:rPr>
      <w:i/>
      <w:iCs/>
    </w:rPr>
  </w:style>
  <w:style w:type="character" w:styleId="Collegamentoipertestuale">
    <w:name w:val="Hyperlink"/>
    <w:basedOn w:val="Carpredefinitoparagrafo"/>
    <w:uiPriority w:val="99"/>
    <w:semiHidden/>
    <w:unhideWhenUsed/>
    <w:rsid w:val="004B1FE1"/>
    <w:rPr>
      <w:color w:val="0000FF"/>
      <w:u w:val="single"/>
    </w:rPr>
  </w:style>
  <w:style w:type="paragraph" w:styleId="PreformattatoHTML">
    <w:name w:val="HTML Preformatted"/>
    <w:basedOn w:val="Normale"/>
    <w:link w:val="PreformattatoHTMLCarattere"/>
    <w:uiPriority w:val="99"/>
    <w:unhideWhenUsed/>
    <w:rsid w:val="00F70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F70C0D"/>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4C217B"/>
    <w:rPr>
      <w:b/>
      <w:bCs/>
    </w:rPr>
  </w:style>
</w:styles>
</file>

<file path=word/webSettings.xml><?xml version="1.0" encoding="utf-8"?>
<w:webSettings xmlns:r="http://schemas.openxmlformats.org/officeDocument/2006/relationships" xmlns:w="http://schemas.openxmlformats.org/wordprocessingml/2006/main">
  <w:divs>
    <w:div w:id="627466899">
      <w:bodyDiv w:val="1"/>
      <w:marLeft w:val="0"/>
      <w:marRight w:val="0"/>
      <w:marTop w:val="0"/>
      <w:marBottom w:val="0"/>
      <w:divBdr>
        <w:top w:val="none" w:sz="0" w:space="0" w:color="auto"/>
        <w:left w:val="none" w:sz="0" w:space="0" w:color="auto"/>
        <w:bottom w:val="none" w:sz="0" w:space="0" w:color="auto"/>
        <w:right w:val="none" w:sz="0" w:space="0" w:color="auto"/>
      </w:divBdr>
    </w:div>
    <w:div w:id="1391920790">
      <w:bodyDiv w:val="1"/>
      <w:marLeft w:val="0"/>
      <w:marRight w:val="0"/>
      <w:marTop w:val="0"/>
      <w:marBottom w:val="0"/>
      <w:divBdr>
        <w:top w:val="none" w:sz="0" w:space="0" w:color="auto"/>
        <w:left w:val="none" w:sz="0" w:space="0" w:color="auto"/>
        <w:bottom w:val="none" w:sz="0" w:space="0" w:color="auto"/>
        <w:right w:val="none" w:sz="0" w:space="0" w:color="auto"/>
      </w:divBdr>
    </w:div>
    <w:div w:id="1590893353">
      <w:bodyDiv w:val="1"/>
      <w:marLeft w:val="0"/>
      <w:marRight w:val="0"/>
      <w:marTop w:val="0"/>
      <w:marBottom w:val="0"/>
      <w:divBdr>
        <w:top w:val="none" w:sz="0" w:space="0" w:color="auto"/>
        <w:left w:val="none" w:sz="0" w:space="0" w:color="auto"/>
        <w:bottom w:val="none" w:sz="0" w:space="0" w:color="auto"/>
        <w:right w:val="none" w:sz="0" w:space="0" w:color="auto"/>
      </w:divBdr>
    </w:div>
    <w:div w:id="1705448212">
      <w:bodyDiv w:val="1"/>
      <w:marLeft w:val="0"/>
      <w:marRight w:val="0"/>
      <w:marTop w:val="0"/>
      <w:marBottom w:val="0"/>
      <w:divBdr>
        <w:top w:val="none" w:sz="0" w:space="0" w:color="auto"/>
        <w:left w:val="none" w:sz="0" w:space="0" w:color="auto"/>
        <w:bottom w:val="none" w:sz="0" w:space="0" w:color="auto"/>
        <w:right w:val="none" w:sz="0" w:space="0" w:color="auto"/>
      </w:divBdr>
    </w:div>
    <w:div w:id="1755514093">
      <w:bodyDiv w:val="1"/>
      <w:marLeft w:val="0"/>
      <w:marRight w:val="0"/>
      <w:marTop w:val="0"/>
      <w:marBottom w:val="0"/>
      <w:divBdr>
        <w:top w:val="none" w:sz="0" w:space="0" w:color="auto"/>
        <w:left w:val="none" w:sz="0" w:space="0" w:color="auto"/>
        <w:bottom w:val="none" w:sz="0" w:space="0" w:color="auto"/>
        <w:right w:val="none" w:sz="0" w:space="0" w:color="auto"/>
      </w:divBdr>
    </w:div>
    <w:div w:id="203299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1</Pages>
  <Words>7320</Words>
  <Characters>41729</Characters>
  <Application>Microsoft Office Word</Application>
  <DocSecurity>0</DocSecurity>
  <Lines>347</Lines>
  <Paragraphs>97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2021-09-12T12:21:00Z</dcterms:created>
  <dcterms:modified xsi:type="dcterms:W3CDTF">2021-11-06T19:52:00Z</dcterms:modified>
</cp:coreProperties>
</file>