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054" w:rsidRPr="002470BE" w:rsidRDefault="00572054" w:rsidP="00C603D4">
      <w:pPr>
        <w:rPr>
          <w:rFonts w:ascii="Arial" w:eastAsia="Calibri" w:hAnsi="Arial" w:cs="Arial"/>
          <w:sz w:val="24"/>
          <w:szCs w:val="24"/>
        </w:rPr>
      </w:pPr>
    </w:p>
    <w:p w:rsidR="00572054" w:rsidRPr="002470BE" w:rsidRDefault="00572054" w:rsidP="00C603D4">
      <w:pPr>
        <w:rPr>
          <w:rFonts w:ascii="Arial" w:hAnsi="Arial" w:cs="Arial"/>
          <w:sz w:val="24"/>
          <w:szCs w:val="24"/>
        </w:rPr>
      </w:pPr>
      <w:r w:rsidRPr="002470BE">
        <w:rPr>
          <w:rFonts w:ascii="Arial" w:hAnsi="Arial" w:cs="Arial"/>
          <w:sz w:val="24"/>
          <w:szCs w:val="24"/>
        </w:rPr>
        <w:t xml:space="preserve">Il sistema contabile delle regioni, garantisce la rilevazione unitaria dei fatti gestionali sotto il profilo finanziario, economico e patrimoniale, attraverso l’adozione: </w:t>
      </w:r>
    </w:p>
    <w:p w:rsidR="00572054" w:rsidRPr="002470BE" w:rsidRDefault="00572054" w:rsidP="00C603D4">
      <w:pPr>
        <w:rPr>
          <w:rFonts w:ascii="Arial" w:hAnsi="Arial" w:cs="Arial"/>
          <w:sz w:val="24"/>
          <w:szCs w:val="24"/>
        </w:rPr>
      </w:pPr>
      <w:r w:rsidRPr="002470BE">
        <w:rPr>
          <w:rFonts w:ascii="Arial" w:hAnsi="Arial" w:cs="Arial"/>
          <w:sz w:val="24"/>
          <w:szCs w:val="24"/>
        </w:rPr>
        <w:t xml:space="preserve">a) della contabilità finanziaria, che ha natura </w:t>
      </w:r>
      <w:proofErr w:type="spellStart"/>
      <w:r w:rsidRPr="002470BE">
        <w:rPr>
          <w:rFonts w:ascii="Arial" w:hAnsi="Arial" w:cs="Arial"/>
          <w:sz w:val="24"/>
          <w:szCs w:val="24"/>
        </w:rPr>
        <w:t>autorizzatoria</w:t>
      </w:r>
      <w:proofErr w:type="spellEnd"/>
      <w:r w:rsidRPr="002470BE">
        <w:rPr>
          <w:rFonts w:ascii="Arial" w:hAnsi="Arial" w:cs="Arial"/>
          <w:sz w:val="24"/>
          <w:szCs w:val="24"/>
        </w:rPr>
        <w:t xml:space="preserve"> e consente la rendicontazione della gestione finanziaria;</w:t>
      </w:r>
    </w:p>
    <w:p w:rsidR="00572054" w:rsidRPr="002470BE" w:rsidRDefault="00572054" w:rsidP="00C603D4">
      <w:pPr>
        <w:rPr>
          <w:rFonts w:ascii="Arial" w:hAnsi="Arial" w:cs="Arial"/>
          <w:sz w:val="24"/>
          <w:szCs w:val="24"/>
        </w:rPr>
      </w:pPr>
      <w:r w:rsidRPr="002470BE">
        <w:rPr>
          <w:rFonts w:ascii="Arial" w:hAnsi="Arial" w:cs="Arial"/>
          <w:sz w:val="24"/>
          <w:szCs w:val="24"/>
        </w:rPr>
        <w:t xml:space="preserve"> b) della contabilità economico-patrimoniale per la rilevazione, ai fini conoscitivi degli effetti economici e patrimoniali dei fatti gestionali, che consente la rendicontazione economico e patrimoniale.</w:t>
      </w:r>
    </w:p>
    <w:p w:rsidR="00572054" w:rsidRPr="002470BE" w:rsidRDefault="00572054" w:rsidP="00C603D4">
      <w:pPr>
        <w:rPr>
          <w:rFonts w:ascii="Arial" w:eastAsia="Calibri" w:hAnsi="Arial" w:cs="Arial"/>
          <w:sz w:val="24"/>
          <w:szCs w:val="24"/>
        </w:rPr>
      </w:pPr>
      <w:r w:rsidRPr="002470BE">
        <w:rPr>
          <w:rFonts w:ascii="Arial" w:hAnsi="Arial" w:cs="Arial"/>
          <w:sz w:val="24"/>
          <w:szCs w:val="24"/>
        </w:rPr>
        <w:t xml:space="preserve"> Le regioni garantiscono la rilevazione unitaria dei fatti gestionali sotto il profilo finanziario ed economico patrimoniale adottando il piano dei conti integrato</w:t>
      </w:r>
    </w:p>
    <w:p w:rsidR="00C603D4" w:rsidRPr="002470BE" w:rsidRDefault="00C603D4" w:rsidP="00C603D4">
      <w:pPr>
        <w:rPr>
          <w:rFonts w:ascii="Arial" w:eastAsia="Calibri" w:hAnsi="Arial" w:cs="Arial"/>
          <w:sz w:val="24"/>
          <w:szCs w:val="24"/>
        </w:rPr>
      </w:pPr>
      <w:r w:rsidRPr="002470BE">
        <w:rPr>
          <w:rFonts w:ascii="Arial" w:eastAsia="Calibri" w:hAnsi="Arial" w:cs="Arial"/>
          <w:sz w:val="24"/>
          <w:szCs w:val="24"/>
        </w:rPr>
        <w:t xml:space="preserve">La programmazione è il processo di analisi e valutazione che, comparando e ordinando coerentemente tra </w:t>
      </w:r>
      <w:r w:rsidRPr="002470BE">
        <w:rPr>
          <w:rFonts w:ascii="Arial" w:eastAsia="Calibri" w:hAnsi="Arial" w:cs="Arial"/>
          <w:color w:val="000000"/>
          <w:sz w:val="24"/>
          <w:szCs w:val="24"/>
        </w:rPr>
        <w:t>loro le politiche e i piani per il</w:t>
      </w:r>
      <w:r w:rsidRPr="002470BE">
        <w:rPr>
          <w:rFonts w:ascii="Arial" w:eastAsia="Calibri" w:hAnsi="Arial" w:cs="Arial"/>
          <w:sz w:val="24"/>
          <w:szCs w:val="24"/>
        </w:rPr>
        <w:t xml:space="preserve"> governo del territorio, consente di organizzare, in una dimensione temporale predefinita, le attività e le risorse necessarie per la realizzazione di fini sociali e la promozione dello sviluppo economico e civile delle comunità di riferimento e deve esser declinata in coerenza con il programma di governo e gli indirizzi di finanza pubblica definiti sia in ambito comunitario che </w:t>
      </w:r>
      <w:proofErr w:type="spellStart"/>
      <w:r w:rsidRPr="002470BE">
        <w:rPr>
          <w:rFonts w:ascii="Arial" w:eastAsia="Calibri" w:hAnsi="Arial" w:cs="Arial"/>
          <w:sz w:val="24"/>
          <w:szCs w:val="24"/>
        </w:rPr>
        <w:t>nazional</w:t>
      </w:r>
      <w:proofErr w:type="spellEnd"/>
      <w:r w:rsidRPr="002470BE">
        <w:rPr>
          <w:rFonts w:ascii="Arial" w:eastAsia="Calibri" w:hAnsi="Arial" w:cs="Arial"/>
          <w:sz w:val="24"/>
          <w:szCs w:val="24"/>
        </w:rPr>
        <w:t>. Le sue funzioni sono:</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 xml:space="preserve">politico–amministrativa, </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 xml:space="preserve">economico-finanziaria </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informativa</w:t>
      </w:r>
    </w:p>
    <w:p w:rsidR="00C603D4" w:rsidRPr="002470BE" w:rsidRDefault="00C603D4" w:rsidP="00C603D4">
      <w:pPr>
        <w:rPr>
          <w:rFonts w:ascii="Arial" w:eastAsia="Calibri" w:hAnsi="Arial" w:cs="Arial"/>
          <w:b/>
          <w:sz w:val="24"/>
          <w:szCs w:val="24"/>
        </w:rPr>
      </w:pPr>
      <w:r w:rsidRPr="002470BE">
        <w:rPr>
          <w:rFonts w:ascii="Arial" w:eastAsia="Calibri" w:hAnsi="Arial" w:cs="Arial"/>
          <w:b/>
          <w:sz w:val="24"/>
          <w:szCs w:val="24"/>
        </w:rPr>
        <w:t xml:space="preserve">La programmazione regionale </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Gli strumenti di programmazione delle regioni sono i seguenti:</w:t>
      </w:r>
    </w:p>
    <w:p w:rsidR="00C603D4" w:rsidRPr="002470BE" w:rsidRDefault="00C603D4" w:rsidP="00C603D4">
      <w:pPr>
        <w:pStyle w:val="Paragrafoelenco"/>
        <w:numPr>
          <w:ilvl w:val="0"/>
          <w:numId w:val="3"/>
        </w:numPr>
        <w:rPr>
          <w:rFonts w:ascii="Arial" w:hAnsi="Arial" w:cs="Arial"/>
          <w:sz w:val="24"/>
          <w:szCs w:val="24"/>
        </w:rPr>
      </w:pPr>
      <w:r w:rsidRPr="002470BE">
        <w:rPr>
          <w:rFonts w:ascii="Arial" w:hAnsi="Arial" w:cs="Arial"/>
          <w:sz w:val="24"/>
          <w:szCs w:val="24"/>
        </w:rPr>
        <w:t>entro il 30 giugno di ciascun anno la Giunta regionale presenta al Consiglio il Documento di economia e finanza regionale (DEFR;</w:t>
      </w:r>
    </w:p>
    <w:p w:rsidR="00C603D4" w:rsidRPr="002470BE" w:rsidRDefault="00C603D4" w:rsidP="00C603D4">
      <w:pPr>
        <w:rPr>
          <w:rFonts w:ascii="Arial" w:hAnsi="Arial" w:cs="Arial"/>
          <w:sz w:val="24"/>
          <w:szCs w:val="24"/>
        </w:rPr>
      </w:pPr>
      <w:r w:rsidRPr="002470BE">
        <w:rPr>
          <w:rFonts w:ascii="Arial" w:hAnsi="Arial" w:cs="Arial"/>
          <w:iCs/>
          <w:sz w:val="24"/>
          <w:szCs w:val="24"/>
        </w:rPr>
        <w:t>b)</w:t>
      </w:r>
      <w:r w:rsidRPr="002470BE">
        <w:rPr>
          <w:rFonts w:ascii="Arial" w:hAnsi="Arial" w:cs="Arial"/>
          <w:i/>
          <w:iCs/>
          <w:sz w:val="24"/>
          <w:szCs w:val="24"/>
        </w:rPr>
        <w:t xml:space="preserve"> </w:t>
      </w:r>
      <w:r w:rsidRPr="002470BE">
        <w:rPr>
          <w:rFonts w:ascii="Arial" w:hAnsi="Arial" w:cs="Arial"/>
          <w:sz w:val="24"/>
          <w:szCs w:val="24"/>
        </w:rPr>
        <w:t>la Nota di aggiornamento del DEFR, da presentare al Consiglio entro 30 giorni dalla presentazione della Nota di aggiornamento del DEF nazionale  e comunque non oltre la data di presentazione sul disegno di legge di bilancio.</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c) ) il disegno di legge di stabilità regionale, da presentare al Consiglio entro il 31 ottobre di ogni anno e comunque non oltre 30 giorni dalla presentazione del disegno di legge di bilancio dello Stato;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d) il disegno di legge di bilancio, da presentare al Consiglio entro il 31 ottobre di ogni anno e comunque non oltre 30 giorni dall’approvazione del disegno di legge di stabilità dello Stato;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e) il piano degli indicatori di bilancio, approvato dalla giunta entro 30 giorni dall’approvazione del bilancio di previsione e dall’approvazione del rendiconto e comunicato al Consiglio; </w:t>
      </w:r>
    </w:p>
    <w:p w:rsidR="00C603D4" w:rsidRPr="002470BE" w:rsidRDefault="00C603D4" w:rsidP="00C603D4">
      <w:pPr>
        <w:autoSpaceDE w:val="0"/>
        <w:autoSpaceDN w:val="0"/>
        <w:adjustRightInd w:val="0"/>
        <w:contextualSpacing/>
        <w:rPr>
          <w:rFonts w:ascii="Arial" w:hAnsi="Arial" w:cs="Arial"/>
          <w:b/>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i/>
          <w:iCs/>
          <w:sz w:val="24"/>
          <w:szCs w:val="24"/>
        </w:rPr>
        <w:t xml:space="preserve">f) </w:t>
      </w:r>
      <w:r w:rsidRPr="002470BE">
        <w:rPr>
          <w:rFonts w:ascii="Arial" w:hAnsi="Arial" w:cs="Arial"/>
          <w:sz w:val="24"/>
          <w:szCs w:val="24"/>
        </w:rPr>
        <w:t>il disegno di legge di assestamento del bilancio, presentato al Consiglio entro il 30 giugno di ogni anno;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g) gli eventuali disegni di legge di variazione di bilancio;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bCs/>
          <w:sz w:val="24"/>
          <w:szCs w:val="24"/>
        </w:rPr>
      </w:pPr>
      <w:r w:rsidRPr="002470BE">
        <w:rPr>
          <w:rFonts w:ascii="Arial" w:hAnsi="Arial" w:cs="Arial"/>
          <w:iCs/>
          <w:sz w:val="24"/>
          <w:szCs w:val="24"/>
        </w:rPr>
        <w:t xml:space="preserve">j) </w:t>
      </w:r>
      <w:r w:rsidRPr="002470BE">
        <w:rPr>
          <w:rFonts w:ascii="Arial" w:hAnsi="Arial" w:cs="Arial"/>
          <w:sz w:val="24"/>
          <w:szCs w:val="24"/>
        </w:rPr>
        <w:t>gli eventuali disegni di legge collegati alla manovra di bilancio</w:t>
      </w:r>
      <w:r w:rsidRPr="002470BE">
        <w:rPr>
          <w:rFonts w:ascii="Arial" w:hAnsi="Arial" w:cs="Arial"/>
          <w:b/>
          <w:bCs/>
          <w:sz w:val="24"/>
          <w:szCs w:val="24"/>
        </w:rPr>
        <w:t xml:space="preserve">, </w:t>
      </w:r>
      <w:r w:rsidRPr="002470BE">
        <w:rPr>
          <w:rFonts w:ascii="Arial" w:hAnsi="Arial" w:cs="Arial"/>
          <w:bCs/>
          <w:sz w:val="24"/>
          <w:szCs w:val="24"/>
        </w:rPr>
        <w:t>da presentare al Consiglio entro il mese di ottobre di ogni anno;</w:t>
      </w:r>
    </w:p>
    <w:p w:rsidR="00C603D4" w:rsidRPr="002470BE" w:rsidRDefault="00C603D4" w:rsidP="00C603D4">
      <w:pPr>
        <w:autoSpaceDE w:val="0"/>
        <w:autoSpaceDN w:val="0"/>
        <w:adjustRightInd w:val="0"/>
        <w:contextualSpacing/>
        <w:rPr>
          <w:rFonts w:ascii="Arial" w:hAnsi="Arial" w:cs="Arial"/>
          <w:bCs/>
          <w:sz w:val="24"/>
          <w:szCs w:val="24"/>
        </w:rPr>
      </w:pPr>
    </w:p>
    <w:p w:rsidR="00C603D4" w:rsidRPr="002470BE" w:rsidRDefault="00C603D4" w:rsidP="00C603D4">
      <w:pPr>
        <w:contextualSpacing/>
        <w:rPr>
          <w:rFonts w:ascii="Arial" w:hAnsi="Arial" w:cs="Arial"/>
          <w:sz w:val="24"/>
          <w:szCs w:val="24"/>
        </w:rPr>
      </w:pPr>
      <w:r w:rsidRPr="002470BE">
        <w:rPr>
          <w:rFonts w:ascii="Arial" w:hAnsi="Arial" w:cs="Arial"/>
          <w:sz w:val="24"/>
          <w:szCs w:val="24"/>
        </w:rPr>
        <w:t>k) gli specifici strumenti di programmazione regionale formulati in attuazione di programmi statali, comunitari e regionali e definiti nelle specifiche normative regionali in materia di programmazione generale e settoriale.</w:t>
      </w:r>
    </w:p>
    <w:p w:rsidR="00C603D4" w:rsidRPr="002470BE" w:rsidRDefault="00C603D4" w:rsidP="00C603D4">
      <w:pPr>
        <w:contextualSpacing/>
        <w:rPr>
          <w:rFonts w:ascii="Arial" w:hAnsi="Arial" w:cs="Arial"/>
          <w:sz w:val="24"/>
          <w:szCs w:val="24"/>
        </w:rPr>
      </w:pPr>
      <w:r w:rsidRPr="002470BE">
        <w:rPr>
          <w:rFonts w:ascii="Arial" w:hAnsi="Arial" w:cs="Arial"/>
          <w:sz w:val="24"/>
          <w:szCs w:val="24"/>
        </w:rPr>
        <w:t xml:space="preserve">i)Il rendiconto della gestione, da approvarsi entro il 30 aprile dell’anno successivo all’esercizio di riferimento da parte della Giunta, ed entro il 31 luglio da parte del Consiglio. </w:t>
      </w:r>
    </w:p>
    <w:p w:rsidR="00C603D4" w:rsidRPr="002470BE" w:rsidRDefault="00C603D4" w:rsidP="00C603D4">
      <w:pPr>
        <w:contextualSpacing/>
        <w:rPr>
          <w:rFonts w:ascii="Arial" w:hAnsi="Arial" w:cs="Arial"/>
          <w:sz w:val="24"/>
          <w:szCs w:val="24"/>
        </w:rPr>
      </w:pPr>
    </w:p>
    <w:p w:rsidR="00C603D4" w:rsidRPr="002470BE" w:rsidRDefault="00C603D4" w:rsidP="00C603D4">
      <w:pPr>
        <w:contextualSpacing/>
        <w:rPr>
          <w:rFonts w:ascii="Arial" w:hAnsi="Arial" w:cs="Arial"/>
          <w:b/>
          <w:sz w:val="24"/>
          <w:szCs w:val="24"/>
        </w:rPr>
      </w:pPr>
      <w:r w:rsidRPr="002470BE">
        <w:rPr>
          <w:rFonts w:ascii="Arial" w:hAnsi="Arial" w:cs="Arial"/>
          <w:b/>
          <w:sz w:val="24"/>
          <w:szCs w:val="24"/>
        </w:rPr>
        <w:t>La programmazione negli enti locali</w:t>
      </w:r>
    </w:p>
    <w:p w:rsidR="00C603D4" w:rsidRPr="002470BE" w:rsidRDefault="00C603D4" w:rsidP="00C603D4">
      <w:pPr>
        <w:autoSpaceDE w:val="0"/>
        <w:autoSpaceDN w:val="0"/>
        <w:adjustRightInd w:val="0"/>
        <w:rPr>
          <w:rFonts w:ascii="Arial" w:hAnsi="Arial" w:cs="Arial"/>
          <w:sz w:val="24"/>
          <w:szCs w:val="24"/>
        </w:rPr>
      </w:pPr>
      <w:r w:rsidRPr="002470BE">
        <w:rPr>
          <w:rFonts w:ascii="Arial" w:hAnsi="Arial" w:cs="Arial"/>
          <w:sz w:val="24"/>
          <w:szCs w:val="24"/>
        </w:rPr>
        <w:t>a) il</w:t>
      </w:r>
      <w:r w:rsidRPr="002470BE">
        <w:rPr>
          <w:rFonts w:ascii="Arial" w:hAnsi="Arial" w:cs="Arial"/>
          <w:iCs/>
          <w:sz w:val="24"/>
          <w:szCs w:val="24"/>
        </w:rPr>
        <w:t xml:space="preserve"> Documento unico di programmazione</w:t>
      </w:r>
      <w:r w:rsidRPr="002470BE">
        <w:rPr>
          <w:rFonts w:ascii="Arial" w:hAnsi="Arial" w:cs="Arial"/>
          <w:sz w:val="24"/>
          <w:szCs w:val="24"/>
        </w:rPr>
        <w:t xml:space="preserve"> (DUP), presentato al Consiglio, entro il 31 luglio di ciascun anno,  per le conseguenti deliberazioni;</w:t>
      </w:r>
    </w:p>
    <w:p w:rsidR="00C603D4" w:rsidRPr="002470BE" w:rsidRDefault="00C603D4" w:rsidP="00C603D4">
      <w:pPr>
        <w:autoSpaceDE w:val="0"/>
        <w:autoSpaceDN w:val="0"/>
        <w:adjustRightInd w:val="0"/>
        <w:ind w:right="-1"/>
        <w:contextualSpacing/>
        <w:rPr>
          <w:rFonts w:ascii="Arial" w:hAnsi="Arial" w:cs="Arial"/>
          <w:sz w:val="24"/>
          <w:szCs w:val="24"/>
        </w:rPr>
      </w:pPr>
      <w:r w:rsidRPr="002470BE">
        <w:rPr>
          <w:rFonts w:ascii="Arial" w:hAnsi="Arial" w:cs="Arial"/>
          <w:sz w:val="24"/>
          <w:szCs w:val="24"/>
        </w:rPr>
        <w:t xml:space="preserve">b) l’eventuale nota di aggiornamento del  DUP, da presentare al Consiglio entro il 15 novembre di ogni anno, per le conseguenti deliberazioni; </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c) lo schema di bilancio di previsione finanziario, da presentare al Consiglio entro il 15 novembre di ogni anno. A seguito di variazioni del quadro normativo di riferimento  la Giunta aggiorna lo schema di bilancio di previsione in corso di approvazione unitamente al DUP</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d) il piano esecutivo di gestione e delle </w:t>
      </w:r>
      <w:proofErr w:type="spellStart"/>
      <w:r w:rsidRPr="002470BE">
        <w:rPr>
          <w:rFonts w:ascii="Arial" w:hAnsi="Arial" w:cs="Arial"/>
          <w:sz w:val="24"/>
          <w:szCs w:val="24"/>
        </w:rPr>
        <w:t>performances</w:t>
      </w:r>
      <w:proofErr w:type="spellEnd"/>
      <w:r w:rsidRPr="002470BE">
        <w:rPr>
          <w:rFonts w:ascii="Arial" w:hAnsi="Arial" w:cs="Arial"/>
          <w:sz w:val="24"/>
          <w:szCs w:val="24"/>
        </w:rPr>
        <w:t xml:space="preserve"> approvato dalla Giunta entro 20 giorni dall’approvazione del bilancio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f) il piano degli indicatori di bilancio presentato al Consiglio unitamente al bilancio di previsione e al rendiconto;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g) </w:t>
      </w:r>
      <w:r w:rsidRPr="002470BE">
        <w:rPr>
          <w:rFonts w:ascii="Arial" w:hAnsi="Arial" w:cs="Arial"/>
          <w:i/>
          <w:iCs/>
          <w:sz w:val="24"/>
          <w:szCs w:val="24"/>
        </w:rPr>
        <w:t xml:space="preserve"> </w:t>
      </w:r>
      <w:r w:rsidRPr="002470BE">
        <w:rPr>
          <w:rFonts w:ascii="Arial" w:hAnsi="Arial" w:cs="Arial"/>
          <w:sz w:val="24"/>
          <w:szCs w:val="24"/>
        </w:rPr>
        <w:t xml:space="preserve">lo schema di delibera di assestamento del bilancio, comprendente lo stato di attuazione dei programmi e il controllo della salvaguardia degli equilibri di bilancio, da presentare al Consiglio entro il 31 luglio di ogni anno;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h) le variazioni di bilancio;</w:t>
      </w:r>
    </w:p>
    <w:p w:rsidR="00C603D4" w:rsidRPr="002470BE" w:rsidRDefault="00C603D4" w:rsidP="00C603D4">
      <w:pPr>
        <w:autoSpaceDE w:val="0"/>
        <w:autoSpaceDN w:val="0"/>
        <w:adjustRightInd w:val="0"/>
        <w:ind w:left="142"/>
        <w:contextualSpacing/>
        <w:rPr>
          <w:rFonts w:ascii="Arial" w:hAnsi="Arial" w:cs="Arial"/>
          <w:sz w:val="24"/>
          <w:szCs w:val="24"/>
        </w:rPr>
      </w:pPr>
    </w:p>
    <w:p w:rsidR="00C603D4" w:rsidRPr="002470BE" w:rsidRDefault="00C603D4" w:rsidP="00C603D4">
      <w:pPr>
        <w:contextualSpacing/>
        <w:rPr>
          <w:rFonts w:ascii="Arial" w:hAnsi="Arial" w:cs="Arial"/>
          <w:b/>
          <w:sz w:val="24"/>
          <w:szCs w:val="24"/>
        </w:rPr>
      </w:pPr>
      <w:r w:rsidRPr="002470BE">
        <w:rPr>
          <w:rFonts w:ascii="Arial" w:hAnsi="Arial" w:cs="Arial"/>
          <w:sz w:val="24"/>
          <w:szCs w:val="24"/>
        </w:rPr>
        <w:t>i) lo schema di rendiconto sulla gestione, che conclude il sistema di bilancio dell’ente,</w:t>
      </w:r>
    </w:p>
    <w:p w:rsidR="00C603D4" w:rsidRPr="002470BE" w:rsidRDefault="00C603D4" w:rsidP="00C603D4">
      <w:pPr>
        <w:rPr>
          <w:rFonts w:ascii="Arial" w:hAnsi="Arial" w:cs="Arial"/>
          <w:sz w:val="24"/>
          <w:szCs w:val="24"/>
        </w:rPr>
      </w:pPr>
    </w:p>
    <w:p w:rsidR="009E6B5D" w:rsidRPr="002470BE" w:rsidRDefault="00C603D4" w:rsidP="00C603D4">
      <w:pPr>
        <w:rPr>
          <w:rFonts w:ascii="Arial" w:hAnsi="Arial" w:cs="Arial"/>
          <w:sz w:val="24"/>
          <w:szCs w:val="24"/>
        </w:rPr>
      </w:pPr>
      <w:r w:rsidRPr="002470BE">
        <w:rPr>
          <w:rFonts w:ascii="Arial" w:hAnsi="Arial" w:cs="Arial"/>
          <w:sz w:val="24"/>
          <w:szCs w:val="24"/>
        </w:rPr>
        <w:t>Ovviamente dobbiamo andare ad analizzare tutti questi strumenti di programmazione finanziaria</w:t>
      </w:r>
    </w:p>
    <w:p w:rsidR="00DA76CA" w:rsidRPr="002470BE" w:rsidRDefault="00DA76CA" w:rsidP="00C603D4">
      <w:pPr>
        <w:rPr>
          <w:rFonts w:ascii="Arial" w:hAnsi="Arial" w:cs="Arial"/>
          <w:sz w:val="24"/>
          <w:szCs w:val="24"/>
        </w:rPr>
      </w:pPr>
    </w:p>
    <w:p w:rsidR="009E6B5D" w:rsidRPr="002470BE" w:rsidRDefault="009E6B5D" w:rsidP="00C603D4">
      <w:pPr>
        <w:rPr>
          <w:rFonts w:ascii="Arial" w:hAnsi="Arial" w:cs="Arial"/>
          <w:sz w:val="24"/>
          <w:szCs w:val="24"/>
        </w:rPr>
      </w:pPr>
      <w:r w:rsidRPr="002470BE">
        <w:rPr>
          <w:rFonts w:ascii="Arial" w:hAnsi="Arial" w:cs="Arial"/>
          <w:sz w:val="24"/>
          <w:szCs w:val="24"/>
        </w:rPr>
        <w:t xml:space="preserve">DEFR DOCUMENTO </w:t>
      </w:r>
      <w:proofErr w:type="spellStart"/>
      <w:r w:rsidRPr="002470BE">
        <w:rPr>
          <w:rFonts w:ascii="Arial" w:hAnsi="Arial" w:cs="Arial"/>
          <w:sz w:val="24"/>
          <w:szCs w:val="24"/>
        </w:rPr>
        <w:t>DI</w:t>
      </w:r>
      <w:proofErr w:type="spellEnd"/>
      <w:r w:rsidRPr="002470BE">
        <w:rPr>
          <w:rFonts w:ascii="Arial" w:hAnsi="Arial" w:cs="Arial"/>
          <w:sz w:val="24"/>
          <w:szCs w:val="24"/>
        </w:rPr>
        <w:t xml:space="preserve"> ECONOMIA E FINANZA REGIONALE</w:t>
      </w:r>
    </w:p>
    <w:p w:rsidR="00C603D4" w:rsidRPr="002470BE" w:rsidRDefault="00C603D4" w:rsidP="009E6B5D">
      <w:pPr>
        <w:ind w:left="142"/>
        <w:rPr>
          <w:rFonts w:ascii="Arial" w:hAnsi="Arial" w:cs="Arial"/>
          <w:sz w:val="24"/>
          <w:szCs w:val="24"/>
        </w:rPr>
      </w:pPr>
      <w:r w:rsidRPr="002470BE">
        <w:rPr>
          <w:rFonts w:ascii="Arial" w:hAnsi="Arial" w:cs="Arial"/>
          <w:color w:val="000000" w:themeColor="text1"/>
          <w:sz w:val="24"/>
          <w:szCs w:val="24"/>
        </w:rPr>
        <w:t xml:space="preserve">  </w:t>
      </w:r>
      <w:r w:rsidR="009E6B5D" w:rsidRPr="002470BE">
        <w:rPr>
          <w:rFonts w:ascii="Arial" w:hAnsi="Arial" w:cs="Arial"/>
          <w:color w:val="000000" w:themeColor="text1"/>
          <w:sz w:val="24"/>
          <w:szCs w:val="24"/>
          <w:shd w:val="clear" w:color="auto" w:fill="FFFFFF"/>
        </w:rPr>
        <w:t xml:space="preserve">Il </w:t>
      </w:r>
      <w:proofErr w:type="spellStart"/>
      <w:r w:rsidR="009E6B5D" w:rsidRPr="002470BE">
        <w:rPr>
          <w:rFonts w:ascii="Arial" w:hAnsi="Arial" w:cs="Arial"/>
          <w:color w:val="000000" w:themeColor="text1"/>
          <w:sz w:val="24"/>
          <w:szCs w:val="24"/>
          <w:shd w:val="clear" w:color="auto" w:fill="FFFFFF"/>
        </w:rPr>
        <w:t>D.Lgs.</w:t>
      </w:r>
      <w:proofErr w:type="spellEnd"/>
      <w:r w:rsidR="009E6B5D" w:rsidRPr="002470BE">
        <w:rPr>
          <w:rFonts w:ascii="Arial" w:hAnsi="Arial" w:cs="Arial"/>
          <w:color w:val="000000" w:themeColor="text1"/>
          <w:sz w:val="24"/>
          <w:szCs w:val="24"/>
          <w:shd w:val="clear" w:color="auto" w:fill="FFFFFF"/>
        </w:rPr>
        <w:t xml:space="preserve"> n. 118/2011, che ha introdotto la riforma del sistema di contabilità per l’armonizzazione dei bilanci delle Regioni e degli Enti Locali, prevede un nuovo strumento di programmazione generale per le Regioni, con riferimento agli esercizi 2016 e successivi: il Documento di Economia e Finanza Regionale (DEFR). </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Il DEFR contiene il quadro congiunturale internazionale, nazionale e regionale, il contesto economico e i riflessi sulla finanza pubblica, il quadro di previsione delle entrate e di riferimento per la spesa, ed espone le linee programmatiche per il prossimo triennio.</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Il DEFR è strutturato in Missioni, Programmi, Obiettivi. </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 xml:space="preserve">Le Missioni rappresentano le funzioni principali e le finalità strategiche perseguite dall’Amministrazione nel medio periodo, anche mediante il ricorso a enti strumentali e società partecipate; i Programmi rappresentano le linee programmatiche e gli indirizzi operativi, volti a perseguire le finalità delle Missioni; gli Obiettivi rappresentano le azioni concrete che contribuiscono al conseguimento dei risultati attesi dei </w:t>
      </w:r>
      <w:proofErr w:type="spellStart"/>
      <w:r w:rsidR="009E6B5D" w:rsidRPr="002470BE">
        <w:rPr>
          <w:rFonts w:ascii="Arial" w:hAnsi="Arial" w:cs="Arial"/>
          <w:color w:val="000000" w:themeColor="text1"/>
          <w:sz w:val="24"/>
          <w:szCs w:val="24"/>
          <w:shd w:val="clear" w:color="auto" w:fill="FFFFFF"/>
        </w:rPr>
        <w:t>ProgrammI</w:t>
      </w:r>
      <w:proofErr w:type="spellEnd"/>
      <w:r w:rsidR="009E6B5D" w:rsidRPr="002470BE">
        <w:rPr>
          <w:rFonts w:ascii="Arial" w:hAnsi="Arial" w:cs="Arial"/>
          <w:color w:val="000000" w:themeColor="text1"/>
          <w:sz w:val="24"/>
          <w:szCs w:val="24"/>
          <w:shd w:val="clear" w:color="auto" w:fill="FFFFFF"/>
        </w:rPr>
        <w:t xml:space="preserve">. </w:t>
      </w:r>
      <w:r w:rsidR="009E6B5D" w:rsidRPr="002470BE">
        <w:rPr>
          <w:rFonts w:ascii="Arial" w:hAnsi="Arial" w:cs="Arial"/>
          <w:sz w:val="24"/>
          <w:szCs w:val="24"/>
        </w:rPr>
        <w:t>Il Documento di economia e finanza regionale (DEFR) è presentato al Consiglio entro il 30 giugno di ciascun anno. Il DEFR definisce gli obiettivi della manovra di bilancio regionale, ha carattere generale, contenuto programmatico e costituisce lo strumento a supporto del processo di previsione.  I procedimenti di formazione dei documenti contabili previsionali dell’ente devono necessariamente partire dal DEFR e fare riferimento agli indirizzi generali definiti all’inizio  della legislatura regionale  in quanto il DEF ha le seguenti funzioni</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 xml:space="preserve">decidere i programmi da realizzare e i relativi contenuti all’interno delle singole missioni, le relative previsioni di spesa e le relative modalità di finanziamento; </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orientare le successive deliberazioni del Consiglio e della Giunta;</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 xml:space="preserve">costituire il presupposto dell’attività di controllo strategico, con particolare riferimento allo stato di attuazione dei programmi all’interno delle missioni e alla relazione al rendiconto di gestione. </w:t>
      </w:r>
    </w:p>
    <w:p w:rsidR="009E6B5D" w:rsidRPr="002470BE" w:rsidRDefault="009E6B5D" w:rsidP="009E6B5D">
      <w:pPr>
        <w:autoSpaceDE w:val="0"/>
        <w:autoSpaceDN w:val="0"/>
        <w:adjustRightInd w:val="0"/>
        <w:ind w:left="142"/>
        <w:rPr>
          <w:rFonts w:ascii="Arial" w:hAnsi="Arial" w:cs="Arial"/>
          <w:sz w:val="24"/>
          <w:szCs w:val="24"/>
        </w:rPr>
      </w:pP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E’ composto da due sezioni:</w:t>
      </w: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 xml:space="preserve">La </w:t>
      </w:r>
      <w:r w:rsidRPr="002470BE">
        <w:rPr>
          <w:rFonts w:ascii="Arial" w:hAnsi="Arial" w:cs="Arial"/>
          <w:sz w:val="24"/>
          <w:szCs w:val="24"/>
          <w:u w:val="single"/>
        </w:rPr>
        <w:t>prima sezione</w:t>
      </w:r>
      <w:r w:rsidRPr="002470BE">
        <w:rPr>
          <w:rFonts w:ascii="Arial" w:hAnsi="Arial" w:cs="Arial"/>
          <w:sz w:val="24"/>
          <w:szCs w:val="24"/>
        </w:rPr>
        <w:t xml:space="preserve"> comprende:</w:t>
      </w:r>
    </w:p>
    <w:p w:rsidR="009E6B5D" w:rsidRPr="002470BE" w:rsidRDefault="009E6B5D" w:rsidP="009E6B5D">
      <w:pPr>
        <w:numPr>
          <w:ilvl w:val="0"/>
          <w:numId w:val="7"/>
        </w:numPr>
        <w:autoSpaceDE w:val="0"/>
        <w:autoSpaceDN w:val="0"/>
        <w:adjustRightInd w:val="0"/>
        <w:spacing w:after="0"/>
        <w:ind w:left="567" w:hanging="283"/>
        <w:jc w:val="both"/>
        <w:rPr>
          <w:rFonts w:ascii="Arial" w:hAnsi="Arial" w:cs="Arial"/>
          <w:b/>
          <w:sz w:val="24"/>
          <w:szCs w:val="24"/>
          <w:u w:val="single"/>
        </w:rPr>
      </w:pPr>
      <w:r w:rsidRPr="002470BE">
        <w:rPr>
          <w:rFonts w:ascii="Arial" w:hAnsi="Arial" w:cs="Arial"/>
          <w:sz w:val="24"/>
          <w:szCs w:val="24"/>
        </w:rPr>
        <w:t>il quadro sintetico del contesto economico e finanziario di riferimento,</w:t>
      </w:r>
    </w:p>
    <w:p w:rsidR="009E6B5D" w:rsidRPr="002470BE" w:rsidRDefault="009E6B5D" w:rsidP="009E6B5D">
      <w:pPr>
        <w:numPr>
          <w:ilvl w:val="0"/>
          <w:numId w:val="7"/>
        </w:numPr>
        <w:autoSpaceDE w:val="0"/>
        <w:autoSpaceDN w:val="0"/>
        <w:adjustRightInd w:val="0"/>
        <w:spacing w:after="0"/>
        <w:ind w:left="567" w:hanging="283"/>
        <w:jc w:val="both"/>
        <w:rPr>
          <w:rFonts w:ascii="Arial" w:hAnsi="Arial" w:cs="Arial"/>
          <w:b/>
          <w:sz w:val="24"/>
          <w:szCs w:val="24"/>
        </w:rPr>
      </w:pPr>
      <w:r w:rsidRPr="002470BE">
        <w:rPr>
          <w:rFonts w:ascii="Arial" w:hAnsi="Arial" w:cs="Arial"/>
          <w:sz w:val="24"/>
          <w:szCs w:val="24"/>
        </w:rPr>
        <w:t>la descrizione degli obiettivi strategici con particolare riferimento agli obiettivi e gli strumenti di politica regionale in campo economico, sociale e territoriale, anche trasversali, articolati secondo la programmazione autonoma delle singole Regioni evidenziando, laddove presenti, gli interventi che impattano sugli enti locali.</w:t>
      </w:r>
    </w:p>
    <w:p w:rsidR="009E6B5D" w:rsidRPr="002470BE" w:rsidRDefault="009E6B5D" w:rsidP="009E6B5D">
      <w:pPr>
        <w:pStyle w:val="Paragrafoelenco"/>
        <w:tabs>
          <w:tab w:val="left" w:pos="2220"/>
        </w:tabs>
        <w:autoSpaceDE w:val="0"/>
        <w:autoSpaceDN w:val="0"/>
        <w:adjustRightInd w:val="0"/>
        <w:spacing w:after="0" w:line="240" w:lineRule="auto"/>
        <w:ind w:left="567"/>
        <w:rPr>
          <w:rFonts w:ascii="Arial" w:eastAsia="Times New Roman" w:hAnsi="Arial" w:cs="Arial"/>
          <w:b/>
          <w:sz w:val="24"/>
          <w:szCs w:val="24"/>
          <w:u w:val="single"/>
          <w:lang w:eastAsia="it-IT"/>
        </w:rPr>
      </w:pP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 xml:space="preserve">La </w:t>
      </w:r>
      <w:r w:rsidRPr="002470BE">
        <w:rPr>
          <w:rFonts w:ascii="Arial" w:hAnsi="Arial" w:cs="Arial"/>
          <w:sz w:val="24"/>
          <w:szCs w:val="24"/>
          <w:u w:val="single"/>
        </w:rPr>
        <w:t>seconda sezione</w:t>
      </w:r>
      <w:r w:rsidRPr="002470BE">
        <w:rPr>
          <w:rFonts w:ascii="Arial" w:hAnsi="Arial" w:cs="Arial"/>
          <w:sz w:val="24"/>
          <w:szCs w:val="24"/>
        </w:rPr>
        <w:t xml:space="preserve"> comprende l’analisi sulla situazione finanziaria della Regione ed, in particolare, contiene:</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la costruzione del quadro tendenziale di finanza pubblica della Regione e degli Enti regionali sulla base delle risultanze dell’esercizio precedente;</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la manovra correttiva;</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l’indicazione dell'articolazione della manovra necessaria per il conseguimento degli obiettivi di finanza pubblica, accompagnata anche da un'indicazione di massima delle misure attraverso le quali si prevede di raggiungere i predetti obiettivi;</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 xml:space="preserve">gli obiettivi programmatici pluriennali di riduzione del debito, tenendo conto della speciale disciplina relativa al debito pregresso già autorizzato e non contratto secondo la disciplina vigente fino all’entrata in vigore della L. Costituzionale 1/2012 e della relativa legge attuativa, nonché del rientro dell’eventuale nuovo disavanzo. </w:t>
      </w:r>
    </w:p>
    <w:p w:rsidR="009E6B5D" w:rsidRPr="002470BE" w:rsidRDefault="009E6B5D" w:rsidP="009E6B5D">
      <w:pPr>
        <w:spacing w:after="0" w:line="240" w:lineRule="auto"/>
        <w:jc w:val="both"/>
        <w:rPr>
          <w:rFonts w:ascii="Arial" w:hAnsi="Arial" w:cs="Arial"/>
          <w:sz w:val="24"/>
          <w:szCs w:val="24"/>
        </w:rPr>
      </w:pPr>
    </w:p>
    <w:p w:rsidR="00F46E32" w:rsidRPr="002470BE" w:rsidRDefault="00F46E32" w:rsidP="009E6B5D">
      <w:pPr>
        <w:ind w:left="142"/>
        <w:rPr>
          <w:rFonts w:ascii="Arial" w:hAnsi="Arial" w:cs="Arial"/>
          <w:sz w:val="24"/>
          <w:szCs w:val="24"/>
        </w:rPr>
      </w:pPr>
      <w:r w:rsidRPr="002470BE">
        <w:rPr>
          <w:rFonts w:ascii="Arial" w:hAnsi="Arial" w:cs="Arial"/>
          <w:sz w:val="24"/>
          <w:szCs w:val="24"/>
        </w:rPr>
        <w:t xml:space="preserve">LEGGE </w:t>
      </w:r>
      <w:proofErr w:type="spellStart"/>
      <w:r w:rsidRPr="002470BE">
        <w:rPr>
          <w:rFonts w:ascii="Arial" w:hAnsi="Arial" w:cs="Arial"/>
          <w:sz w:val="24"/>
          <w:szCs w:val="24"/>
        </w:rPr>
        <w:t>DI</w:t>
      </w:r>
      <w:proofErr w:type="spellEnd"/>
      <w:r w:rsidRPr="002470BE">
        <w:rPr>
          <w:rFonts w:ascii="Arial" w:hAnsi="Arial" w:cs="Arial"/>
          <w:sz w:val="24"/>
          <w:szCs w:val="24"/>
        </w:rPr>
        <w:t xml:space="preserve"> STABILITA’ REGIONALE</w:t>
      </w:r>
    </w:p>
    <w:p w:rsidR="00F46E32" w:rsidRPr="002470BE" w:rsidRDefault="00F46E32" w:rsidP="00F46E32">
      <w:pPr>
        <w:spacing w:after="0"/>
        <w:ind w:left="142"/>
        <w:textAlignment w:val="baseline"/>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Le regioni adottano una legge di stabilità regionale, contenente il quadro di riferimento finanziario per il periodo compreso nel bilancio di previsione.</w:t>
      </w:r>
    </w:p>
    <w:p w:rsidR="00F46E32" w:rsidRPr="002470BE" w:rsidRDefault="00F46E32" w:rsidP="00F46E32">
      <w:pPr>
        <w:spacing w:after="0"/>
        <w:ind w:left="142"/>
        <w:textAlignment w:val="baseline"/>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Con questa legge si provvede</w:t>
      </w:r>
    </w:p>
    <w:p w:rsidR="00F46E32" w:rsidRPr="002470BE" w:rsidRDefault="00F46E32" w:rsidP="00F46E32">
      <w:pPr>
        <w:widowControl w:val="0"/>
        <w:numPr>
          <w:ilvl w:val="0"/>
          <w:numId w:val="9"/>
        </w:numPr>
        <w:autoSpaceDE w:val="0"/>
        <w:autoSpaceDN w:val="0"/>
        <w:adjustRightInd w:val="0"/>
        <w:spacing w:after="0"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 xml:space="preserve">alle variazioni delle aliquote e di tutte le altre misure che incidono sulla determinazione del gettito dei tributi di competenza regionale </w:t>
      </w:r>
    </w:p>
    <w:p w:rsidR="00F46E32" w:rsidRPr="002470BE" w:rsidRDefault="00F46E32" w:rsidP="00F46E32">
      <w:pPr>
        <w:numPr>
          <w:ilvl w:val="0"/>
          <w:numId w:val="9"/>
        </w:numPr>
        <w:spacing w:line="240" w:lineRule="auto"/>
        <w:ind w:left="568" w:hanging="284"/>
        <w:contextualSpacing/>
        <w:jc w:val="both"/>
        <w:rPr>
          <w:rFonts w:ascii="Arial" w:eastAsia="Times New Roman" w:hAnsi="Arial" w:cs="Arial"/>
          <w:sz w:val="24"/>
          <w:szCs w:val="24"/>
          <w:lang w:eastAsia="it-IT"/>
        </w:rPr>
      </w:pPr>
      <w:r w:rsidRPr="002470BE">
        <w:rPr>
          <w:rFonts w:ascii="Arial" w:hAnsi="Arial" w:cs="Arial"/>
          <w:color w:val="000000"/>
          <w:sz w:val="24"/>
          <w:szCs w:val="24"/>
        </w:rPr>
        <w:t>al rifinanziamento, per un periodo non superiore a quello considerato dal bilancio di previsione, delle leggi di spesa regional</w:t>
      </w:r>
      <w:r w:rsidRPr="002470BE">
        <w:rPr>
          <w:rFonts w:ascii="Arial" w:eastAsia="Times New Roman" w:hAnsi="Arial" w:cs="Arial"/>
          <w:color w:val="000000"/>
          <w:sz w:val="24"/>
          <w:szCs w:val="24"/>
          <w:lang w:eastAsia="it-IT"/>
        </w:rPr>
        <w:t>i,</w:t>
      </w:r>
      <w:r w:rsidRPr="002470BE">
        <w:rPr>
          <w:rFonts w:ascii="Arial" w:eastAsia="Times New Roman" w:hAnsi="Arial" w:cs="Arial"/>
          <w:sz w:val="24"/>
          <w:szCs w:val="24"/>
          <w:lang w:eastAsia="it-IT"/>
        </w:rPr>
        <w:t xml:space="preserve"> con esclusione delle spese obbligatorie  e delle spese  continuative;</w:t>
      </w:r>
    </w:p>
    <w:p w:rsidR="00F46E32" w:rsidRPr="002470BE" w:rsidRDefault="00F46E32" w:rsidP="00F46E32">
      <w:pPr>
        <w:numPr>
          <w:ilvl w:val="0"/>
          <w:numId w:val="9"/>
        </w:numPr>
        <w:spacing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 xml:space="preserve">alla riduzione, per ciascuno degli anni considerati dal bilancio di previsione, di autorizzazioni legislative di spesa; </w:t>
      </w:r>
    </w:p>
    <w:p w:rsidR="00F46E32" w:rsidRPr="002470BE" w:rsidRDefault="00F46E32" w:rsidP="00F46E32">
      <w:pPr>
        <w:numPr>
          <w:ilvl w:val="0"/>
          <w:numId w:val="10"/>
        </w:numPr>
        <w:spacing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con riferimento alle spese pluriennali disposte dalle leggi regionali, alla rimodulazione delle quote destinate a gravare su ciascuno degli esercizi considerati nel bilancio di previsione e degli esercizi successivi;</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i/>
          <w:iCs/>
          <w:sz w:val="24"/>
          <w:szCs w:val="24"/>
          <w:lang w:eastAsia="it-IT"/>
        </w:rPr>
      </w:pPr>
      <w:r w:rsidRPr="002470BE">
        <w:rPr>
          <w:rFonts w:ascii="Arial" w:hAnsi="Arial" w:cs="Arial"/>
          <w:color w:val="000000"/>
          <w:sz w:val="24"/>
          <w:szCs w:val="24"/>
        </w:rPr>
        <w:t xml:space="preserve">alle eventuali autorizzazioni di spesa per interventi la cui realizzazione si protrae oltre il </w:t>
      </w:r>
      <w:r w:rsidRPr="002470BE">
        <w:rPr>
          <w:rFonts w:ascii="Arial" w:hAnsi="Arial" w:cs="Arial"/>
          <w:sz w:val="24"/>
          <w:szCs w:val="24"/>
        </w:rPr>
        <w:t xml:space="preserve">periodo di riferimento del bilancio di previsione </w:t>
      </w:r>
      <w:r w:rsidRPr="002470BE">
        <w:rPr>
          <w:rFonts w:ascii="Arial" w:eastAsia="Times New Roman" w:hAnsi="Arial" w:cs="Arial"/>
          <w:sz w:val="24"/>
          <w:szCs w:val="24"/>
          <w:lang w:eastAsia="it-IT"/>
        </w:rPr>
        <w:t>altre regolazioni meramente quantitative rinviate alla legge di stabilità dalle leggi vigenti;</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i/>
          <w:iCs/>
          <w:sz w:val="24"/>
          <w:szCs w:val="24"/>
          <w:lang w:eastAsia="it-IT"/>
        </w:rPr>
      </w:pPr>
      <w:r w:rsidRPr="002470BE">
        <w:rPr>
          <w:rFonts w:ascii="Arial" w:eastAsia="Times New Roman" w:hAnsi="Arial" w:cs="Arial"/>
          <w:sz w:val="24"/>
          <w:szCs w:val="24"/>
          <w:lang w:eastAsia="it-IT"/>
        </w:rPr>
        <w:t xml:space="preserve">norme che comportano aumenti di entrata o riduzioni di spesa, restando escluse quelle a carattere </w:t>
      </w:r>
      <w:proofErr w:type="spellStart"/>
      <w:r w:rsidRPr="002470BE">
        <w:rPr>
          <w:rFonts w:ascii="Arial" w:eastAsia="Times New Roman" w:hAnsi="Arial" w:cs="Arial"/>
          <w:sz w:val="24"/>
          <w:szCs w:val="24"/>
          <w:lang w:eastAsia="it-IT"/>
        </w:rPr>
        <w:t>ordinamentale</w:t>
      </w:r>
      <w:proofErr w:type="spellEnd"/>
      <w:r w:rsidRPr="002470BE">
        <w:rPr>
          <w:rFonts w:ascii="Arial" w:eastAsia="Times New Roman" w:hAnsi="Arial" w:cs="Arial"/>
          <w:sz w:val="24"/>
          <w:szCs w:val="24"/>
          <w:lang w:eastAsia="it-IT"/>
        </w:rPr>
        <w:t xml:space="preserve"> ovvero </w:t>
      </w:r>
      <w:proofErr w:type="spellStart"/>
      <w:r w:rsidRPr="002470BE">
        <w:rPr>
          <w:rFonts w:ascii="Arial" w:eastAsia="Times New Roman" w:hAnsi="Arial" w:cs="Arial"/>
          <w:sz w:val="24"/>
          <w:szCs w:val="24"/>
          <w:lang w:eastAsia="it-IT"/>
        </w:rPr>
        <w:t>organizzatorio</w:t>
      </w:r>
      <w:proofErr w:type="spellEnd"/>
      <w:r w:rsidRPr="002470BE">
        <w:rPr>
          <w:rFonts w:ascii="Arial" w:eastAsia="Times New Roman" w:hAnsi="Arial" w:cs="Arial"/>
          <w:sz w:val="24"/>
          <w:szCs w:val="24"/>
          <w:lang w:eastAsia="it-IT"/>
        </w:rPr>
        <w:t>;</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le norme eventualmente necessarie a garantire l'attuazione del Patto di stabilità interno.</w:t>
      </w:r>
    </w:p>
    <w:p w:rsidR="00F46E32" w:rsidRPr="002470BE" w:rsidRDefault="00F46E32" w:rsidP="00F46E32">
      <w:pPr>
        <w:widowControl w:val="0"/>
        <w:autoSpaceDE w:val="0"/>
        <w:autoSpaceDN w:val="0"/>
        <w:adjustRightInd w:val="0"/>
        <w:spacing w:after="0"/>
        <w:ind w:left="567" w:hanging="283"/>
        <w:rPr>
          <w:rFonts w:ascii="Arial" w:hAnsi="Arial" w:cs="Arial"/>
          <w:sz w:val="24"/>
          <w:szCs w:val="24"/>
        </w:rPr>
      </w:pPr>
    </w:p>
    <w:p w:rsidR="00F46E32" w:rsidRPr="002470BE" w:rsidRDefault="00F46E32" w:rsidP="00F46E32">
      <w:pPr>
        <w:autoSpaceDE w:val="0"/>
        <w:autoSpaceDN w:val="0"/>
        <w:adjustRightInd w:val="0"/>
        <w:ind w:left="142"/>
        <w:rPr>
          <w:rFonts w:ascii="Arial" w:hAnsi="Arial" w:cs="Arial"/>
          <w:color w:val="000000"/>
          <w:sz w:val="24"/>
          <w:szCs w:val="24"/>
        </w:rPr>
      </w:pPr>
      <w:r w:rsidRPr="002470BE">
        <w:rPr>
          <w:rFonts w:ascii="Arial" w:hAnsi="Arial" w:cs="Arial"/>
          <w:color w:val="000000"/>
          <w:sz w:val="24"/>
          <w:szCs w:val="24"/>
        </w:rPr>
        <w:t xml:space="preserve">DUP DOCUMENTO UNICO </w:t>
      </w:r>
      <w:proofErr w:type="spellStart"/>
      <w:r w:rsidRPr="002470BE">
        <w:rPr>
          <w:rFonts w:ascii="Arial" w:hAnsi="Arial" w:cs="Arial"/>
          <w:color w:val="000000"/>
          <w:sz w:val="24"/>
          <w:szCs w:val="24"/>
        </w:rPr>
        <w:t>DI</w:t>
      </w:r>
      <w:proofErr w:type="spellEnd"/>
      <w:r w:rsidRPr="002470BE">
        <w:rPr>
          <w:rFonts w:ascii="Arial" w:hAnsi="Arial" w:cs="Arial"/>
          <w:color w:val="000000"/>
          <w:sz w:val="24"/>
          <w:szCs w:val="24"/>
        </w:rPr>
        <w:t xml:space="preserve"> PROGRAMMAZIONE ENTI LOCALI</w:t>
      </w:r>
    </w:p>
    <w:p w:rsidR="00F46E32" w:rsidRPr="002470BE" w:rsidRDefault="00F46E32" w:rsidP="00F46E32">
      <w:pPr>
        <w:ind w:left="360"/>
        <w:rPr>
          <w:rFonts w:ascii="Arial" w:hAnsi="Arial" w:cs="Arial"/>
          <w:sz w:val="24"/>
          <w:szCs w:val="24"/>
        </w:rPr>
      </w:pPr>
      <w:r w:rsidRPr="002470BE">
        <w:rPr>
          <w:rFonts w:ascii="Arial" w:hAnsi="Arial" w:cs="Arial"/>
          <w:color w:val="000000"/>
          <w:sz w:val="24"/>
          <w:szCs w:val="24"/>
        </w:rPr>
        <w:t>.</w:t>
      </w:r>
      <w:r w:rsidRPr="002470BE">
        <w:rPr>
          <w:rFonts w:ascii="Arial" w:hAnsi="Arial" w:cs="Arial"/>
          <w:sz w:val="24"/>
          <w:szCs w:val="24"/>
        </w:rPr>
        <w:t xml:space="preserve"> Il DUP è la principale innovazione introdotta nel sistema di programmazione degli Enti locali. L’aggettivo “unico” ben chiarisce l’obiettivo primario individuato nel principio applicato (d’ora in poi, per brevità, principio): riunire in un solo documento, posto a monte del BPF, le analisi, gli indirizzi e gli obiettivi che devono guidare la predisposizione del BPF, del PEG e la loro successiva gestione. Il DUP ha carattere generale, funge da guida strategica ed operativa dell’Amministrazione e consente di fronteggiare in modo permanente, sistemico e unitario le discontinuità ambientali e organizzative.</w:t>
      </w:r>
    </w:p>
    <w:p w:rsidR="00F46E32" w:rsidRPr="002470BE" w:rsidRDefault="00F46E32" w:rsidP="00F46E32">
      <w:pPr>
        <w:ind w:left="360"/>
        <w:rPr>
          <w:rFonts w:ascii="Arial" w:hAnsi="Arial" w:cs="Arial"/>
          <w:sz w:val="24"/>
          <w:szCs w:val="24"/>
        </w:rPr>
      </w:pPr>
      <w:r w:rsidRPr="002470BE">
        <w:rPr>
          <w:rFonts w:ascii="Arial" w:hAnsi="Arial" w:cs="Arial"/>
          <w:sz w:val="24"/>
          <w:szCs w:val="24"/>
        </w:rPr>
        <w:t>Il DUP, diversamente dalla vecchia Relazione previsionale e programmatica, non è un allegato del bilancio e costituisce presupposto indispensabile per l’approvazione del BPF;  sono definite le linee strategiche su cui si basano le previsioni finanziarie contenute nel BPF. Conseguentemente, anche il contenuto del PEG deve essere coerente con il DUP oltre che con il BPF. Il DUP assorbe sia la Relazione previsionale e programmatica sia il Piano generale di sviluppo. Nel DUP è compresa la programmazione in materia di lavori pubblici, personale e patrimonio. Nel DUP dovrebbero essere inseriti e integrati gli ulteriori strumenti di programmazione relativi all’attività istituzionale dell’Ente di cui il legislatore prevedrà la redazione e approvazione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Il DUP sviluppa e concretizza le linee programmatiche relative alle azioni e ai progetti da realizzare nel corso del mandato presentate al Consiglio dal Sindaco ai sensi dell’articolo 46, comma 3 del TUEL. Di fatto, “le linee programmatiche” dovrebbero restare l’unico documento di indirizzo strategico “a monte” del DUP. Il DUP è proposto ogni anno, entro il 30 giugno, dalla Giunta al Consiglio che adotta le conseguenti deliberazioni entro il 31 luglio</w:t>
      </w:r>
    </w:p>
    <w:p w:rsidR="00F46E32" w:rsidRPr="002470BE" w:rsidRDefault="00F46E32" w:rsidP="00F46E32">
      <w:pPr>
        <w:ind w:left="360"/>
        <w:rPr>
          <w:rFonts w:ascii="Arial" w:hAnsi="Arial" w:cs="Arial"/>
          <w:sz w:val="24"/>
          <w:szCs w:val="24"/>
        </w:rPr>
      </w:pPr>
      <w:r w:rsidRPr="002470BE">
        <w:rPr>
          <w:rFonts w:ascii="Arial" w:hAnsi="Arial" w:cs="Arial"/>
          <w:sz w:val="24"/>
          <w:szCs w:val="24"/>
        </w:rPr>
        <w:t>Se  nel corso dell’esercizio si renda necessario attuare nuovi investimenti o variare quelli già in atto, l’organo consiliare, fermo restando l’adempimento degli obblighi previsti dal TUEL, adotta la necessaria variazione al BPF, adegua il DUP e, di conseguenza, le previsioni del bilancio degli esercizi successivi per la copertura degli oneri derivanti dall’indebitamento e per la copertura delle spese di gestione.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La sezione strategica del DUP (</w:t>
      </w:r>
      <w:proofErr w:type="spellStart"/>
      <w:r w:rsidRPr="002470BE">
        <w:rPr>
          <w:rFonts w:ascii="Arial" w:hAnsi="Arial" w:cs="Arial"/>
          <w:sz w:val="24"/>
          <w:szCs w:val="24"/>
        </w:rPr>
        <w:t>SeS</w:t>
      </w:r>
      <w:proofErr w:type="spellEnd"/>
      <w:r w:rsidRPr="002470BE">
        <w:rPr>
          <w:rFonts w:ascii="Arial" w:hAnsi="Arial" w:cs="Arial"/>
          <w:sz w:val="24"/>
          <w:szCs w:val="24"/>
        </w:rPr>
        <w:t>) definisce gli indirizzi strategici dell’amministrazione sviluppando e concretizzando le linee programmatiche di mandato di cui all’articolo 46, comma 3 del decreto legislativo n. 267 del 18 agosto 2000. Ciò concretamente significa sforzarsi di definire quali siano gli effetti in termini di impatto di medio e lungo periodo che l’Amministrazione si impegna a produrre mettendo in atto le politiche che caratterizzano il programma dell’amministrazione da realizzare nel corso del mandato amministrativo.</w:t>
      </w:r>
    </w:p>
    <w:p w:rsidR="00F46E32" w:rsidRPr="002470BE" w:rsidRDefault="00F46E32" w:rsidP="00F46E32">
      <w:pPr>
        <w:ind w:left="360"/>
        <w:rPr>
          <w:rFonts w:ascii="Arial" w:hAnsi="Arial" w:cs="Arial"/>
          <w:sz w:val="24"/>
          <w:szCs w:val="24"/>
        </w:rPr>
      </w:pPr>
      <w:r w:rsidRPr="002470BE">
        <w:rPr>
          <w:rFonts w:ascii="Arial" w:hAnsi="Arial" w:cs="Arial"/>
          <w:sz w:val="24"/>
          <w:szCs w:val="24"/>
        </w:rPr>
        <w:t>La Sezione operativa del DUP (</w:t>
      </w:r>
      <w:proofErr w:type="spellStart"/>
      <w:r w:rsidRPr="002470BE">
        <w:rPr>
          <w:rFonts w:ascii="Arial" w:hAnsi="Arial" w:cs="Arial"/>
          <w:sz w:val="24"/>
          <w:szCs w:val="24"/>
        </w:rPr>
        <w:t>SeO</w:t>
      </w:r>
      <w:proofErr w:type="spellEnd"/>
      <w:r w:rsidRPr="002470BE">
        <w:rPr>
          <w:rFonts w:ascii="Arial" w:hAnsi="Arial" w:cs="Arial"/>
          <w:sz w:val="24"/>
          <w:szCs w:val="24"/>
        </w:rPr>
        <w:t xml:space="preserve">) concerne la programmazione operativa pluriennale e annuale dell’Ente e si pone in continuità e complementarietà organica con la </w:t>
      </w:r>
      <w:proofErr w:type="spellStart"/>
      <w:r w:rsidRPr="002470BE">
        <w:rPr>
          <w:rFonts w:ascii="Arial" w:hAnsi="Arial" w:cs="Arial"/>
          <w:sz w:val="24"/>
          <w:szCs w:val="24"/>
        </w:rPr>
        <w:t>SeS</w:t>
      </w:r>
      <w:proofErr w:type="spellEnd"/>
      <w:r w:rsidRPr="002470BE">
        <w:rPr>
          <w:rFonts w:ascii="Arial" w:hAnsi="Arial" w:cs="Arial"/>
          <w:sz w:val="24"/>
          <w:szCs w:val="24"/>
        </w:rPr>
        <w:t xml:space="preserve"> quanto a struttura e contenuti definire, con riferimento all’Ente e al gruppo amministrazione pubblica, gli obiettivi dei programmi all’interno delle singole missioni. Con specifico riferimento all’Ente devono essere indicati anche i fabbisogni di spesa e le relative modalità di finanziamento; b) orientare e guidare le successive deliberazioni del Consiglio e della Giunta; c) costituire il presupposto dell’attività di controllo strategico e dei risultati conseguiti dall’Ente, con particolare riferimento allo stato di attuazione dei programmi nell’ambito delle missioni e alla relazione al rendiconto di gestione.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 xml:space="preserve">La </w:t>
      </w:r>
      <w:proofErr w:type="spellStart"/>
      <w:r w:rsidRPr="002470BE">
        <w:rPr>
          <w:rFonts w:ascii="Arial" w:hAnsi="Arial" w:cs="Arial"/>
          <w:sz w:val="24"/>
          <w:szCs w:val="24"/>
        </w:rPr>
        <w:t>SeO</w:t>
      </w:r>
      <w:proofErr w:type="spellEnd"/>
      <w:r w:rsidRPr="002470BE">
        <w:rPr>
          <w:rFonts w:ascii="Arial" w:hAnsi="Arial" w:cs="Arial"/>
          <w:sz w:val="24"/>
          <w:szCs w:val="24"/>
        </w:rPr>
        <w:t xml:space="preserve">, di conseguenza, guida e vincola i processi di redazione del BPF  L’armonizzazione dei sistemi contabili. Verso l’attuazione della riforma definendo gli effetti economico-finanziari delle attività necessarie per conseguire gli obiettivi strategici. A tal fine, la </w:t>
      </w:r>
      <w:proofErr w:type="spellStart"/>
      <w:r w:rsidRPr="002470BE">
        <w:rPr>
          <w:rFonts w:ascii="Arial" w:hAnsi="Arial" w:cs="Arial"/>
          <w:sz w:val="24"/>
          <w:szCs w:val="24"/>
        </w:rPr>
        <w:t>SeO</w:t>
      </w:r>
      <w:proofErr w:type="spellEnd"/>
      <w:r w:rsidRPr="002470BE">
        <w:rPr>
          <w:rFonts w:ascii="Arial" w:hAnsi="Arial" w:cs="Arial"/>
          <w:sz w:val="24"/>
          <w:szCs w:val="24"/>
        </w:rPr>
        <w:t xml:space="preserve"> individua: 1) per ogni singola missione, i programmi che l’Ente intende realizzare per conseguire gli obiettivi strategici definiti nella </w:t>
      </w:r>
      <w:proofErr w:type="spellStart"/>
      <w:r w:rsidRPr="002470BE">
        <w:rPr>
          <w:rFonts w:ascii="Arial" w:hAnsi="Arial" w:cs="Arial"/>
          <w:sz w:val="24"/>
          <w:szCs w:val="24"/>
        </w:rPr>
        <w:t>SeS</w:t>
      </w:r>
      <w:proofErr w:type="spellEnd"/>
      <w:r w:rsidRPr="002470BE">
        <w:rPr>
          <w:rFonts w:ascii="Arial" w:hAnsi="Arial" w:cs="Arial"/>
          <w:sz w:val="24"/>
          <w:szCs w:val="24"/>
        </w:rPr>
        <w:t>; 2) per ogni programma, e per tutto il periodo di riferimento del DUP, gli obiettivi operativi annuali da raggiungere e i contenuti finanziari, sia in termini di competenza che di cassa, della manovra di bilancio con un orizzonte temporale annuale e pluriennale.</w:t>
      </w:r>
    </w:p>
    <w:p w:rsidR="00F46E32" w:rsidRPr="002470BE" w:rsidRDefault="00F46E32" w:rsidP="00F46E32">
      <w:pPr>
        <w:autoSpaceDE w:val="0"/>
        <w:autoSpaceDN w:val="0"/>
        <w:adjustRightInd w:val="0"/>
        <w:ind w:left="142"/>
        <w:rPr>
          <w:rFonts w:ascii="Arial" w:hAnsi="Arial" w:cs="Arial"/>
          <w:sz w:val="24"/>
          <w:szCs w:val="24"/>
        </w:rPr>
      </w:pPr>
      <w:r w:rsidRPr="002470BE">
        <w:rPr>
          <w:rFonts w:ascii="Arial" w:hAnsi="Arial" w:cs="Arial"/>
          <w:sz w:val="24"/>
          <w:szCs w:val="24"/>
        </w:rPr>
        <w:t xml:space="preserve">DOCUMENTO UNICO </w:t>
      </w:r>
      <w:proofErr w:type="spellStart"/>
      <w:r w:rsidRPr="002470BE">
        <w:rPr>
          <w:rFonts w:ascii="Arial" w:hAnsi="Arial" w:cs="Arial"/>
          <w:sz w:val="24"/>
          <w:szCs w:val="24"/>
        </w:rPr>
        <w:t>DI</w:t>
      </w:r>
      <w:proofErr w:type="spellEnd"/>
      <w:r w:rsidRPr="002470BE">
        <w:rPr>
          <w:rFonts w:ascii="Arial" w:hAnsi="Arial" w:cs="Arial"/>
          <w:sz w:val="24"/>
          <w:szCs w:val="24"/>
        </w:rPr>
        <w:t xml:space="preserve"> PROGRAMMAZIONE SEMPLIFICATO</w:t>
      </w:r>
    </w:p>
    <w:p w:rsidR="00F46E32" w:rsidRPr="002470BE" w:rsidRDefault="00F46E32" w:rsidP="00F46E32">
      <w:pPr>
        <w:autoSpaceDE w:val="0"/>
        <w:autoSpaceDN w:val="0"/>
        <w:adjustRightInd w:val="0"/>
        <w:ind w:left="142"/>
        <w:rPr>
          <w:rFonts w:ascii="Arial" w:hAnsi="Arial" w:cs="Arial"/>
          <w:sz w:val="24"/>
          <w:szCs w:val="24"/>
        </w:rPr>
      </w:pPr>
      <w:r w:rsidRPr="002470BE">
        <w:rPr>
          <w:rFonts w:ascii="Arial" w:hAnsi="Arial" w:cs="Arial"/>
          <w:sz w:val="24"/>
          <w:szCs w:val="24"/>
        </w:rPr>
        <w:t>Il Documento unico di programmazione semplificato, predisposto dagli enti locali con popolazione fino a 5.000 abitanti, individua, in coerenza con il quadro normativo di riferimento e con gli obiettivi generali di finanza pubblica, tenendo conto della situazione socio economica del proprio territorio, le principali scelte che caratterizzano il programma dell’amministrazione da realizzare nel corso del mandato amministrativo e gli indirizzi generali di programmazione riferiti al periodo di mandato. Ogni anno sono verificati gli indirizzi generali e i contenuti della programmazione con particolare riferimento al reperimento e impiego delle risorse finanziarie e alla sostenibilità economico – finanziaria, come sopra esplicitati. A seguito della verifica è possibile operare motivatamente un aggiornamento degli indirizzi generali approvati. Il DUP semplificato, quale guida e vincolo ai processi di redazione dei documenti contabili di previsione dell’ente, indica, per ogni singola missione/programma del bilancio, gli obiettivi che l’ente intende realizzare negli esercizi considerati nel bilancio di previsione. Per ogni singola missione/programma sono altresì indicati gli impegni pluriennali di spesa già assunti e le relative forme di finanziamento. Gli obiettivi individuati per ogni missione / programma rappresentano la declinazione annuale e pluriennale degli indirizzi generali e costituiscono indirizzo vincolante per i successivi atti di programmazione, in applicazione del principio della coerenza tra i documenti di programmazione. L’individuazione delle finalità e la fissazione degli obiettivi per ogni missione / programma deve “guidare”, negli altri strumenti di programmazione, l’individuazione dei progetti strumentali alla loro realizzazione e l’affidamento di obiettivi e risorse ai responsabili dei servizi. Gli obiettivi devono essere controllati annualmente a fine di verificarne il grado di raggiungimento e, laddove necessario, modificati, dandone adeguata giustificazione, per dare una rappresentazione veritiera e corretta dei futuri andamenti dell’ente e del processo di formulazione dei programmi all’interno delle missioni. Il DUP semplificato comprende inoltre, relativamente all'arco temporale di riferimento del bilancio di previsione : a) gli obiettivi degli organismi facenti parte del gruppo amministrazione pubblica; b) l’analisi della coerenza delle previsioni di bilancio con gli strumenti urbanistici vigenti; c) la programmazione dei lavori pubblici, d) la programmazione del fabbisogno di personale; e) la programmazione delle alienazioni e della valorizzazione dei beni patrimoniali. La realizzazione dei lavori pubblici degli enti locali deve essere svolta in conformità ad un programma triennale e ai suoi aggiornamenti annuali che sono ricompresi nel DUP. I lavori da realizzare nel primo anno del triennio sono compresi nell’elenco annuale che costituisce il documento di previsione per gli investimenti in lavori pubblici e il loro finanziamento. La programmazione del fabbisogno di personale che gli organi di vertice degli enti sono tenuti ad approvare, ai sensi di legge, deve assicurare le esigenze di funzionalità e di ottimizzazione delle risorse per il miglior funzionamento dei servizi compatibilmente con le disponibilità finanziarie e i vincoli di finanza pubblica. Al fine di procedere al riordino, gestione e valorizzazione del proprio patrimonio immobiliare l’ente, con apposita delibera dell’organo di governo individua, redigendo apposito elenco, i singoli immobili di proprietà dell'ente. Tra questi devono essere individuati quelli non strumentali all’esercizio delle proprie funzioni istituzionali e quelli suscettibili di valorizzazione ovvero di dismissione. Sulla base delle informazioni contenute nell’elenco deve essere predisposto il “Piano delle alienazioni e valorizzazioni patrimoniali” quale parte integrante del DUP. La ricognizione degli immobili è operata sulla base, e nei limiti, della documentazione esistente presso i propri archivi e uffici. L’iscrizione degli immobili nel piano determina una serie di effetti di natura giuridico – amministrativa previsti e disciplinati dalla legge. Infine, nel DUP devono essere inseriti tutti quegli ulteriori strumenti di programmazione relativi all’attività istituzionale dell’ente richiesti dal legislatore. Si fa riferimento ad esempio alla possibilità di redigere piani triennali di razionalizzazione e riqualificazione della spesa di cui all’art. 16, comma 4, del D.L. 98/2011 – L. 111/2011.</w:t>
      </w:r>
    </w:p>
    <w:p w:rsidR="006B78B5" w:rsidRPr="002470BE" w:rsidRDefault="006B78B5" w:rsidP="006B78B5">
      <w:pPr>
        <w:ind w:left="142"/>
        <w:rPr>
          <w:rFonts w:ascii="Arial" w:hAnsi="Arial" w:cs="Arial"/>
          <w:sz w:val="24"/>
          <w:szCs w:val="24"/>
        </w:rPr>
      </w:pPr>
      <w:r w:rsidRPr="002470BE">
        <w:rPr>
          <w:rFonts w:ascii="Arial" w:hAnsi="Arial" w:cs="Arial"/>
          <w:sz w:val="24"/>
          <w:szCs w:val="24"/>
        </w:rPr>
        <w:t>PEG</w:t>
      </w:r>
    </w:p>
    <w:p w:rsidR="006B78B5" w:rsidRPr="002470BE" w:rsidRDefault="006B78B5" w:rsidP="006B78B5">
      <w:pPr>
        <w:autoSpaceDE w:val="0"/>
        <w:autoSpaceDN w:val="0"/>
        <w:adjustRightInd w:val="0"/>
        <w:spacing w:after="0"/>
        <w:ind w:left="142"/>
        <w:rPr>
          <w:rFonts w:ascii="Arial" w:eastAsia="Calibri" w:hAnsi="Arial" w:cs="Arial"/>
          <w:sz w:val="24"/>
          <w:szCs w:val="24"/>
        </w:rPr>
      </w:pPr>
      <w:r w:rsidRPr="002470BE">
        <w:rPr>
          <w:rFonts w:ascii="Arial" w:hAnsi="Arial" w:cs="Arial"/>
          <w:sz w:val="24"/>
          <w:szCs w:val="24"/>
        </w:rPr>
        <w:t>Lo strumento nel quale si sostanzia la relazione tra organo esecutivo e responsabili dei servizi.</w:t>
      </w:r>
      <w:r w:rsidRPr="002470BE">
        <w:rPr>
          <w:rFonts w:ascii="Arial" w:eastAsia="Calibri" w:hAnsi="Arial" w:cs="Arial"/>
          <w:sz w:val="24"/>
          <w:szCs w:val="24"/>
        </w:rPr>
        <w:t xml:space="preserve"> Il direttore generale ed il segretario comunale nelle ipotesi di cui all’articolo 108, comma 4, del testo unico degli enti locali, avvalendosi della collaborazione dei dirigenti e dei responsabili dei servizi, propongono all’organo esecutivo il PEG per la sua definizione ed approvazione. </w:t>
      </w:r>
    </w:p>
    <w:p w:rsidR="006B78B5" w:rsidRPr="002470BE" w:rsidRDefault="006B78B5" w:rsidP="006B78B5">
      <w:pPr>
        <w:ind w:left="142"/>
        <w:contextualSpacing/>
        <w:rPr>
          <w:rFonts w:ascii="Arial" w:hAnsi="Arial" w:cs="Arial"/>
          <w:sz w:val="24"/>
          <w:szCs w:val="24"/>
        </w:rPr>
      </w:pPr>
      <w:r w:rsidRPr="002470BE">
        <w:rPr>
          <w:rFonts w:ascii="Arial" w:eastAsia="Times New Roman" w:hAnsi="Arial" w:cs="Arial"/>
          <w:sz w:val="24"/>
          <w:szCs w:val="24"/>
          <w:lang w:eastAsia="it-IT"/>
        </w:rPr>
        <w:t>Il PEG deve essere approvato dalla Giunta contestualmente all’approvazione del bilancio di previsione. Per contestualmente si intende</w:t>
      </w:r>
      <w:r w:rsidRPr="002470BE">
        <w:rPr>
          <w:rFonts w:ascii="Arial" w:hAnsi="Arial" w:cs="Arial"/>
          <w:sz w:val="24"/>
          <w:szCs w:val="24"/>
        </w:rPr>
        <w:t xml:space="preserve"> la prima seduta di giunta successiva all’approvazione del bilancio da parte del Consiglio.</w:t>
      </w: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mantiene il compito di porre in termini espliciti e diretti il legame tra obiettivi di gestione, dotazioni di risorse e responsabilità gestionali correlative. Pur non avendo una struttura predefinita, copre tutta l’attività dell’Ente, includendo tutte le entrate e le spese comprese nel BPF.</w:t>
      </w:r>
    </w:p>
    <w:p w:rsidR="006B78B5" w:rsidRPr="002470BE" w:rsidRDefault="006B78B5" w:rsidP="006B78B5">
      <w:pPr>
        <w:ind w:left="142"/>
        <w:rPr>
          <w:rFonts w:ascii="Arial" w:hAnsi="Arial" w:cs="Arial"/>
          <w:sz w:val="24"/>
          <w:szCs w:val="24"/>
        </w:rPr>
      </w:pPr>
      <w:r w:rsidRPr="002470BE">
        <w:rPr>
          <w:rFonts w:ascii="Arial" w:eastAsia="Calibri" w:hAnsi="Arial" w:cs="Arial"/>
          <w:sz w:val="24"/>
          <w:szCs w:val="24"/>
        </w:rPr>
        <w:t>Il PEG è uno strumento obbligatorio per le Province e per i Comuni con popolazione superiore a 5.000 abitanti.   Per i restanti Comuni è facoltativo ma se ne auspica l’adozione anche in forma semplificata</w:t>
      </w:r>
    </w:p>
    <w:p w:rsidR="006B78B5" w:rsidRPr="002470BE" w:rsidRDefault="006B78B5" w:rsidP="006B78B5">
      <w:pPr>
        <w:ind w:left="142"/>
        <w:rPr>
          <w:rFonts w:ascii="Arial" w:hAnsi="Arial" w:cs="Arial"/>
          <w:sz w:val="24"/>
          <w:szCs w:val="24"/>
        </w:rPr>
      </w:pPr>
      <w:r w:rsidRPr="002470BE">
        <w:rPr>
          <w:rFonts w:ascii="Arial" w:hAnsi="Arial" w:cs="Arial"/>
          <w:sz w:val="24"/>
          <w:szCs w:val="24"/>
        </w:rPr>
        <w:t>La funzione del PEG può così essere riassunta in due momenti principali: il primo, di programmazione e controllo della gestione, con valenza di razionale coordinamento e motivazione, sul modello di un budget onde il PEG contiene anche dati di natura extracontabile; il secondo, di autorizzazione e limite all’autonomia dirigenziale con specifico riguardo ai poteri di impegno costituendo le previsioni finanziarie contenute nel PEG il limite agli impegni di spesa assunti dai responsabili dei servizi</w:t>
      </w: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può esser variato dalla Giunta entro il 15 dicembre.</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La giunta delibera il piano esecutivo di gestione (PEG)  entro</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venti giorni dall'approvazione del bilancio di previsione, in termini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di competenza . Con riferimento al primo esercizio il PEG e'  redatto</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anche in termini di cassa. Il PEG e' riferito  ai  medesimi  esercizi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considerati nel bilancio, individua gli obiettivi della  gestione  ed</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affida  gli  stessi,  unitamente  alle   dotazioni   necessarie,   ai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 xml:space="preserve">responsabili dei servizi. </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83"/>
        <w:textAlignment w:val="baseline"/>
        <w:rPr>
          <w:rFonts w:ascii="Arial" w:hAnsi="Arial" w:cs="Arial"/>
          <w:bCs/>
          <w:i/>
          <w:iCs/>
          <w:color w:val="000000" w:themeColor="text1"/>
          <w:sz w:val="24"/>
          <w:szCs w:val="24"/>
        </w:rPr>
      </w:pP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 xml:space="preserve"> Nel  PEG  le  entrate  sono  articolate  in  titoli,  tipologie,</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categorie,  capitoli,  ed  eventualmente  in  articoli,  secondo   il</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rispettivo oggetto. Le spese sono articolate in missioni,  programmi,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color w:val="000000" w:themeColor="text1"/>
          <w:sz w:val="24"/>
          <w:szCs w:val="24"/>
        </w:rPr>
      </w:pPr>
      <w:r w:rsidRPr="007C5700">
        <w:rPr>
          <w:rFonts w:ascii="Arial" w:hAnsi="Arial" w:cs="Arial"/>
          <w:bCs/>
          <w:i/>
          <w:iCs/>
          <w:color w:val="000000" w:themeColor="text1"/>
          <w:sz w:val="24"/>
          <w:szCs w:val="24"/>
        </w:rPr>
        <w:t>titoli, macroaggregati, capitoli  ed  eventualmente  in  articoli.</w:t>
      </w:r>
    </w:p>
    <w:p w:rsidR="006B78B5" w:rsidRPr="002470BE" w:rsidRDefault="006B78B5" w:rsidP="006B78B5">
      <w:pPr>
        <w:rPr>
          <w:rFonts w:ascii="Arial" w:hAnsi="Arial" w:cs="Arial"/>
          <w:sz w:val="24"/>
          <w:szCs w:val="24"/>
          <w:lang w:bidi="hi-IN"/>
        </w:rPr>
      </w:pP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è redatto:</w:t>
      </w:r>
    </w:p>
    <w:p w:rsidR="006B78B5" w:rsidRPr="002470BE" w:rsidRDefault="006B78B5" w:rsidP="006B78B5">
      <w:pPr>
        <w:pStyle w:val="Paragrafoelenco"/>
        <w:numPr>
          <w:ilvl w:val="0"/>
          <w:numId w:val="11"/>
        </w:numPr>
        <w:rPr>
          <w:rFonts w:ascii="Arial" w:hAnsi="Arial" w:cs="Arial"/>
          <w:sz w:val="24"/>
          <w:szCs w:val="24"/>
        </w:rPr>
      </w:pPr>
      <w:r w:rsidRPr="002470BE">
        <w:rPr>
          <w:rFonts w:ascii="Arial" w:hAnsi="Arial" w:cs="Arial"/>
          <w:sz w:val="24"/>
          <w:szCs w:val="24"/>
        </w:rPr>
        <w:t>per competenza con riferimento a tutti gli esercizi considerati nel BPF;</w:t>
      </w:r>
    </w:p>
    <w:p w:rsidR="006B78B5" w:rsidRPr="002470BE" w:rsidRDefault="006B78B5" w:rsidP="006B78B5">
      <w:pPr>
        <w:pStyle w:val="Paragrafoelenco"/>
        <w:numPr>
          <w:ilvl w:val="0"/>
          <w:numId w:val="11"/>
        </w:numPr>
        <w:rPr>
          <w:rFonts w:ascii="Arial" w:hAnsi="Arial" w:cs="Arial"/>
          <w:sz w:val="24"/>
          <w:szCs w:val="24"/>
        </w:rPr>
      </w:pPr>
      <w:r w:rsidRPr="002470BE">
        <w:rPr>
          <w:rFonts w:ascii="Arial" w:hAnsi="Arial" w:cs="Arial"/>
          <w:sz w:val="24"/>
          <w:szCs w:val="24"/>
        </w:rPr>
        <w:t>per cassa con riferimento al primo esercizio considerato nel BPF.</w:t>
      </w:r>
    </w:p>
    <w:p w:rsidR="006B78B5" w:rsidRPr="002470BE" w:rsidRDefault="006B78B5" w:rsidP="006B78B5">
      <w:pPr>
        <w:ind w:left="142"/>
        <w:rPr>
          <w:rFonts w:ascii="Arial" w:hAnsi="Arial" w:cs="Arial"/>
          <w:sz w:val="24"/>
          <w:szCs w:val="24"/>
        </w:rPr>
      </w:pPr>
      <w:r w:rsidRPr="002470BE">
        <w:rPr>
          <w:rFonts w:ascii="Arial" w:hAnsi="Arial" w:cs="Arial"/>
          <w:sz w:val="24"/>
          <w:szCs w:val="24"/>
        </w:rPr>
        <w:t>Da ciò consegue che il piano dettagliato degli obiettivi di cui all’articolo 108, comma 1, del TUEL e il piano della performance di cui all’articolo 10 del decreto legislativo, n. 150 del 27 ottobre 2009, sono unificati organicamente nel PEG. Quanto alla obbligatorietà della redazione del PEG, il principio lo considera obbligatorio per le Province e per i Comuni con popolazione superiore a 5.000 abitanti, mentre ne sollecita l’adozione, anche in forma semplificata, per i Comuni con una popolazione inferiore alla soglia ricordata.</w:t>
      </w:r>
    </w:p>
    <w:p w:rsidR="006B78B5" w:rsidRPr="002470BE" w:rsidRDefault="006B78B5" w:rsidP="006B78B5">
      <w:pPr>
        <w:ind w:left="142"/>
        <w:rPr>
          <w:rFonts w:ascii="Arial" w:hAnsi="Arial" w:cs="Arial"/>
          <w:sz w:val="24"/>
          <w:szCs w:val="24"/>
        </w:rPr>
      </w:pPr>
      <w:r w:rsidRPr="002470BE">
        <w:rPr>
          <w:rFonts w:ascii="Arial" w:hAnsi="Arial" w:cs="Arial"/>
          <w:sz w:val="24"/>
          <w:szCs w:val="24"/>
        </w:rPr>
        <w:t>Nel PEG devono essere specificatamente individuati gli obiettivi esecutivi dei quali occorre dare rappresentazione in termini di processo e di risultati attesi. Pertanto, il PEG deve rappresentare tanto gli obiettivi gestionali che gli indicatori idonei a monitorarne il grado di conseguimento. La definizione degli obiettivi comporta, inoltre, un collegamento con il periodo triennale considerato dal BPF e, in tale ambito, il PEG riflette anche la gestione dei residui attivi e passivi. Il PEG, inoltre, deve assicurare un collegamento con la struttura organizzativa dell’ente e con l’articolazione della spesa per programmi</w:t>
      </w:r>
    </w:p>
    <w:p w:rsidR="006B78B5" w:rsidRPr="002470BE" w:rsidRDefault="006B78B5" w:rsidP="006B78B5">
      <w:pPr>
        <w:ind w:left="142"/>
        <w:rPr>
          <w:rFonts w:ascii="Arial" w:hAnsi="Arial" w:cs="Arial"/>
          <w:sz w:val="24"/>
          <w:szCs w:val="24"/>
        </w:rPr>
      </w:pPr>
      <w:r w:rsidRPr="002470BE">
        <w:rPr>
          <w:rFonts w:ascii="Arial" w:hAnsi="Arial" w:cs="Arial"/>
          <w:sz w:val="24"/>
          <w:szCs w:val="24"/>
        </w:rPr>
        <w:t xml:space="preserve">È piano di responsabilità gestionali, nella misura in cui gli obiettivi e le dotazioni di cui sopra sono assegnati a un dirigente/responsabile dei servizi che ne assume la responsabilità rispettivamente di risultato e di gestione, dando effettività, al di là delle enunciazioni di principio, all’autonomia dirigenziale. Le risorse finanziarie assegnate per ogni programma definito nel </w:t>
      </w:r>
      <w:proofErr w:type="spellStart"/>
      <w:r w:rsidRPr="002470BE">
        <w:rPr>
          <w:rFonts w:ascii="Arial" w:hAnsi="Arial" w:cs="Arial"/>
          <w:sz w:val="24"/>
          <w:szCs w:val="24"/>
        </w:rPr>
        <w:t>SeO</w:t>
      </w:r>
      <w:proofErr w:type="spellEnd"/>
      <w:r w:rsidRPr="002470BE">
        <w:rPr>
          <w:rFonts w:ascii="Arial" w:hAnsi="Arial" w:cs="Arial"/>
          <w:sz w:val="24"/>
          <w:szCs w:val="24"/>
        </w:rPr>
        <w:t xml:space="preserve"> del DUP sono destinate, insieme a quelle umane e strumentali, ai singoli dirigenti/responsabili dei servizi per la realizzazione degli specifici obiettivi di ciascun programma.</w:t>
      </w:r>
    </w:p>
    <w:p w:rsidR="006B78B5" w:rsidRPr="002470BE" w:rsidRDefault="006B78B5" w:rsidP="006B78B5">
      <w:pPr>
        <w:autoSpaceDE w:val="0"/>
        <w:autoSpaceDN w:val="0"/>
        <w:adjustRightInd w:val="0"/>
        <w:spacing w:after="0"/>
        <w:ind w:left="360" w:hanging="360"/>
        <w:rPr>
          <w:rFonts w:ascii="Arial" w:eastAsia="Calibri" w:hAnsi="Arial" w:cs="Arial"/>
          <w:sz w:val="24"/>
          <w:szCs w:val="24"/>
        </w:rPr>
      </w:pPr>
      <w:r w:rsidRPr="002470BE">
        <w:rPr>
          <w:rFonts w:ascii="Arial" w:eastAsia="Calibri" w:hAnsi="Arial" w:cs="Arial"/>
          <w:sz w:val="24"/>
          <w:szCs w:val="24"/>
        </w:rPr>
        <w:t xml:space="preserve">Il PEG assicura un collegamento con: </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z w:val="24"/>
          <w:szCs w:val="24"/>
        </w:rPr>
      </w:pPr>
      <w:r w:rsidRPr="002470BE">
        <w:rPr>
          <w:rFonts w:ascii="Arial" w:eastAsia="Calibri" w:hAnsi="Arial" w:cs="Arial"/>
          <w:sz w:val="24"/>
          <w:szCs w:val="24"/>
        </w:rPr>
        <w:t>la struttura organizzativa dell’ente, tramite l’individuazione dei responsabili della realizzazione degli obiettivi di gestione;</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z w:val="24"/>
          <w:szCs w:val="24"/>
        </w:rPr>
      </w:pPr>
      <w:r w:rsidRPr="002470BE">
        <w:rPr>
          <w:rFonts w:ascii="Arial" w:eastAsia="Calibri" w:hAnsi="Arial" w:cs="Arial"/>
          <w:sz w:val="24"/>
          <w:szCs w:val="24"/>
        </w:rPr>
        <w:t xml:space="preserve">gli obiettivi di gestione, attraverso la definizione degli stessi e degli indicatori per il monitoraggio del loro raggiungimento; </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trike/>
          <w:sz w:val="24"/>
          <w:szCs w:val="24"/>
        </w:rPr>
      </w:pPr>
      <w:r w:rsidRPr="002470BE">
        <w:rPr>
          <w:rFonts w:ascii="Arial" w:eastAsia="Calibri" w:hAnsi="Arial" w:cs="Arial"/>
          <w:sz w:val="24"/>
          <w:szCs w:val="24"/>
        </w:rPr>
        <w:t>le entrate e le uscite del bilancio attraverso l’articolazione delle stesse al quarto livello del piano finanziario;</w:t>
      </w:r>
    </w:p>
    <w:p w:rsidR="006B78B5" w:rsidRPr="002470BE" w:rsidRDefault="006B78B5" w:rsidP="006B78B5">
      <w:pPr>
        <w:ind w:left="142"/>
        <w:rPr>
          <w:rFonts w:ascii="Arial" w:eastAsia="Calibri" w:hAnsi="Arial" w:cs="Arial"/>
          <w:sz w:val="24"/>
          <w:szCs w:val="24"/>
        </w:rPr>
      </w:pPr>
      <w:r w:rsidRPr="002470BE">
        <w:rPr>
          <w:rFonts w:ascii="Arial" w:eastAsia="Calibri" w:hAnsi="Arial" w:cs="Arial"/>
          <w:sz w:val="24"/>
          <w:szCs w:val="24"/>
        </w:rPr>
        <w:t>le dotazioni di risorse umane e strumentali, mediante l’assegnazione del personale e delle risorse strumentali.</w:t>
      </w:r>
    </w:p>
    <w:p w:rsidR="006B78B5" w:rsidRPr="002470BE" w:rsidRDefault="006B78B5" w:rsidP="006B78B5">
      <w:pPr>
        <w:pStyle w:val="Paragrafoelenco1"/>
        <w:numPr>
          <w:ilvl w:val="0"/>
          <w:numId w:val="13"/>
        </w:numPr>
        <w:tabs>
          <w:tab w:val="left" w:pos="0"/>
        </w:tabs>
        <w:autoSpaceDE w:val="0"/>
        <w:autoSpaceDN w:val="0"/>
        <w:adjustRightInd w:val="0"/>
        <w:rPr>
          <w:rFonts w:ascii="Arial" w:hAnsi="Arial" w:cs="Arial"/>
          <w:b/>
        </w:rPr>
      </w:pPr>
      <w:proofErr w:type="spellStart"/>
      <w:r w:rsidRPr="002470BE">
        <w:rPr>
          <w:rFonts w:ascii="Arial" w:hAnsi="Arial" w:cs="Arial"/>
          <w:b/>
        </w:rPr>
        <w:t>ll</w:t>
      </w:r>
      <w:proofErr w:type="spellEnd"/>
      <w:r w:rsidRPr="002470BE">
        <w:rPr>
          <w:rFonts w:ascii="Arial" w:hAnsi="Arial" w:cs="Arial"/>
          <w:b/>
        </w:rPr>
        <w:t xml:space="preserve"> Piano degli indicatori di bilancio</w:t>
      </w:r>
    </w:p>
    <w:p w:rsidR="006B78B5" w:rsidRPr="002470BE" w:rsidRDefault="006B78B5" w:rsidP="006B78B5">
      <w:pPr>
        <w:pStyle w:val="Paragrafoelenco1"/>
        <w:tabs>
          <w:tab w:val="left" w:pos="0"/>
        </w:tabs>
        <w:autoSpaceDE w:val="0"/>
        <w:autoSpaceDN w:val="0"/>
        <w:adjustRightInd w:val="0"/>
        <w:ind w:left="0"/>
        <w:rPr>
          <w:rFonts w:ascii="Arial" w:hAnsi="Arial" w:cs="Arial"/>
          <w:b/>
          <w:u w:val="single"/>
        </w:rPr>
      </w:pPr>
      <w:r w:rsidRPr="002470BE">
        <w:rPr>
          <w:rFonts w:ascii="Arial" w:hAnsi="Arial" w:cs="Arial"/>
        </w:rPr>
        <w:t>E’ lo strumento per il monitoraggio degli obiettivi e dei risultati di bilancio ed integra i documenti di programmazione.</w:t>
      </w:r>
    </w:p>
    <w:p w:rsidR="006B78B5" w:rsidRPr="002470BE" w:rsidRDefault="006B78B5" w:rsidP="006B78B5">
      <w:pPr>
        <w:pStyle w:val="Paragrafoelenco1"/>
        <w:tabs>
          <w:tab w:val="left" w:pos="709"/>
        </w:tabs>
        <w:autoSpaceDE w:val="0"/>
        <w:autoSpaceDN w:val="0"/>
        <w:adjustRightInd w:val="0"/>
        <w:ind w:left="0"/>
        <w:rPr>
          <w:rFonts w:ascii="Arial" w:hAnsi="Arial" w:cs="Arial"/>
        </w:rPr>
      </w:pPr>
      <w:r w:rsidRPr="002470BE">
        <w:rPr>
          <w:rFonts w:ascii="Arial" w:hAnsi="Arial" w:cs="Arial"/>
        </w:rPr>
        <w:t>Con decreto del Ministero dell’economia e delle finanze per le regioni e gli enti regionali e con decreto del Ministero dell’interno per gli enti locali e i loro enti strumentali, è definito un sistema di indicatori di bilancio semplici, misurabili e riferibili ai programmi di bilancio</w:t>
      </w:r>
      <w:r w:rsidRPr="002470BE">
        <w:rPr>
          <w:rFonts w:ascii="Arial" w:hAnsi="Arial" w:cs="Arial"/>
          <w:b/>
        </w:rPr>
        <w:t>,</w:t>
      </w:r>
      <w:r w:rsidRPr="002470BE">
        <w:rPr>
          <w:rFonts w:ascii="Arial" w:hAnsi="Arial" w:cs="Arial"/>
        </w:rPr>
        <w:t xml:space="preserve"> costruiti secondo criteri e metodologie comuni, diretto a consentire l’analisi e la comparazione del bilanci delle amministrazioni territoriali. </w:t>
      </w:r>
    </w:p>
    <w:p w:rsidR="006B78B5" w:rsidRPr="002470BE" w:rsidRDefault="006B78B5" w:rsidP="006B78B5">
      <w:pPr>
        <w:pStyle w:val="Paragrafoelenco1"/>
        <w:tabs>
          <w:tab w:val="left" w:pos="709"/>
        </w:tabs>
        <w:autoSpaceDE w:val="0"/>
        <w:autoSpaceDN w:val="0"/>
        <w:adjustRightInd w:val="0"/>
        <w:ind w:left="0"/>
        <w:rPr>
          <w:rFonts w:ascii="Arial" w:hAnsi="Arial" w:cs="Arial"/>
        </w:rPr>
      </w:pPr>
      <w:r w:rsidRPr="002470BE">
        <w:rPr>
          <w:rFonts w:ascii="Arial" w:hAnsi="Arial" w:cs="Arial"/>
        </w:rPr>
        <w:t xml:space="preserve">Gli enti locali allegato il piano degli indicatori al bilancio di previsione, mentre le regioni lo trasmettono al Consiglio.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 xml:space="preserve">Il piano è divulgato attraverso pubblicazione sul sito internet istituzionale dell’amministrazione stessa nella sezione “Trasparenza, valutazione e merito”,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In riferimento a ciascun programma il piano degli indicatori attesi indica gli obiettivi che l’ente si propone di realizzare per il triennio della programmazione finanziaria, individuati secondo la medesima definizione tecnica, unità di misura di riferimento e formula di calcolo per tutti gli enti.</w:t>
      </w:r>
    </w:p>
    <w:p w:rsidR="006B78B5" w:rsidRPr="002470BE" w:rsidRDefault="006B78B5" w:rsidP="006B78B5">
      <w:pPr>
        <w:pStyle w:val="Paragrafoelenco1"/>
        <w:tabs>
          <w:tab w:val="left" w:pos="0"/>
        </w:tabs>
        <w:ind w:left="0"/>
        <w:rPr>
          <w:rFonts w:ascii="Arial" w:hAnsi="Arial" w:cs="Arial"/>
          <w:i/>
        </w:rPr>
      </w:pPr>
      <w:r w:rsidRPr="002470BE">
        <w:rPr>
          <w:rFonts w:ascii="Arial" w:hAnsi="Arial" w:cs="Arial"/>
        </w:rPr>
        <w:t xml:space="preserve">E’ facoltà di ogni ente introdurre nel proprio Piano ulteriori indicatori rispetto a quelli comuni previsti dai decreti ministeriali.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Gli indicatori appartenenti al set minimo individuato per le Regioni, gli Enti Locali e per gli Enti e Organismi Strumentali avranno uguale definizione tecnica, unità di misura di riferimento e formula di calcolo.</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Alla fine di ciascun esercizio finanziario al bilancio consuntivo è allegato il Piano dei risultati.</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 xml:space="preserve">L’analisi dei risultati conseguiti e le motivazioni degli scostamenti è svolta nella relazione sulla gestione allegata  al rendiconto per gli enti locali e in un’apposita relazione allegata al piano dei risultati da parte delle regioni.. </w:t>
      </w:r>
    </w:p>
    <w:p w:rsidR="006B78B5" w:rsidRPr="002470BE" w:rsidRDefault="006B78B5" w:rsidP="006B78B5">
      <w:pPr>
        <w:contextualSpacing/>
        <w:rPr>
          <w:rFonts w:ascii="Arial" w:hAnsi="Arial" w:cs="Arial"/>
          <w:b/>
          <w:sz w:val="24"/>
          <w:szCs w:val="24"/>
        </w:rPr>
      </w:pPr>
      <w:r w:rsidRPr="002470BE">
        <w:rPr>
          <w:rFonts w:ascii="Arial" w:hAnsi="Arial" w:cs="Arial"/>
          <w:sz w:val="24"/>
          <w:szCs w:val="24"/>
        </w:rPr>
        <w:t xml:space="preserve">Annualmente il Piano è aggiornato tramite la specificazione di nuovi obiettivi e indicatori e per scorrimento, in relazione agli obiettivi già raggiunti o oggetto di </w:t>
      </w:r>
      <w:proofErr w:type="spellStart"/>
      <w:r w:rsidRPr="002470BE">
        <w:rPr>
          <w:rFonts w:ascii="Arial" w:hAnsi="Arial" w:cs="Arial"/>
          <w:sz w:val="24"/>
          <w:szCs w:val="24"/>
        </w:rPr>
        <w:t>ripianificazione</w:t>
      </w:r>
      <w:proofErr w:type="spellEnd"/>
      <w:r w:rsidRPr="002470BE">
        <w:rPr>
          <w:rFonts w:ascii="Arial" w:hAnsi="Arial" w:cs="Arial"/>
          <w:sz w:val="24"/>
          <w:szCs w:val="24"/>
        </w:rPr>
        <w:t>.</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Nelle more dell’emanazione dei decreti di cui all’articolo 18</w:t>
      </w:r>
      <w:r w:rsidRPr="002470BE">
        <w:rPr>
          <w:rFonts w:ascii="Arial" w:hAnsi="Arial" w:cs="Arial"/>
          <w:b/>
          <w:sz w:val="24"/>
          <w:szCs w:val="24"/>
        </w:rPr>
        <w:t>-bis,</w:t>
      </w:r>
      <w:r w:rsidRPr="002470BE">
        <w:rPr>
          <w:rFonts w:ascii="Arial" w:hAnsi="Arial" w:cs="Arial"/>
          <w:sz w:val="24"/>
          <w:szCs w:val="24"/>
        </w:rPr>
        <w:t xml:space="preserve"> comma 4, non è obbligatoria la predisposizione del piano degli indicatori.</w:t>
      </w:r>
    </w:p>
    <w:p w:rsidR="00965413" w:rsidRPr="002470BE" w:rsidRDefault="00965413" w:rsidP="006B78B5">
      <w:pPr>
        <w:autoSpaceDE w:val="0"/>
        <w:autoSpaceDN w:val="0"/>
        <w:adjustRightInd w:val="0"/>
        <w:rPr>
          <w:rFonts w:ascii="Arial" w:hAnsi="Arial" w:cs="Arial"/>
          <w:sz w:val="24"/>
          <w:szCs w:val="24"/>
        </w:rPr>
      </w:pPr>
    </w:p>
    <w:p w:rsidR="006B78B5" w:rsidRPr="002470BE" w:rsidRDefault="006B78B5" w:rsidP="006B78B5">
      <w:pPr>
        <w:autoSpaceDE w:val="0"/>
        <w:autoSpaceDN w:val="0"/>
        <w:adjustRightInd w:val="0"/>
        <w:rPr>
          <w:rFonts w:ascii="Arial" w:hAnsi="Arial" w:cs="Arial"/>
          <w:sz w:val="24"/>
          <w:szCs w:val="24"/>
        </w:rPr>
      </w:pPr>
      <w:r w:rsidRPr="002470BE">
        <w:rPr>
          <w:rFonts w:ascii="Arial" w:hAnsi="Arial" w:cs="Arial"/>
          <w:sz w:val="24"/>
          <w:szCs w:val="24"/>
        </w:rPr>
        <w:t xml:space="preserve">BILANCIO </w:t>
      </w:r>
      <w:proofErr w:type="spellStart"/>
      <w:r w:rsidRPr="002470BE">
        <w:rPr>
          <w:rFonts w:ascii="Arial" w:hAnsi="Arial" w:cs="Arial"/>
          <w:sz w:val="24"/>
          <w:szCs w:val="24"/>
        </w:rPr>
        <w:t>DI</w:t>
      </w:r>
      <w:proofErr w:type="spellEnd"/>
      <w:r w:rsidRPr="002470BE">
        <w:rPr>
          <w:rFonts w:ascii="Arial" w:hAnsi="Arial" w:cs="Arial"/>
          <w:sz w:val="24"/>
          <w:szCs w:val="24"/>
        </w:rPr>
        <w:t xml:space="preserve"> PREVISIONE</w:t>
      </w:r>
    </w:p>
    <w:p w:rsidR="000B6D11" w:rsidRPr="002470BE" w:rsidRDefault="000B6D11" w:rsidP="00965413">
      <w:pPr>
        <w:pStyle w:val="Default"/>
        <w:spacing w:after="0"/>
        <w:ind w:left="0"/>
        <w:contextualSpacing/>
        <w:rPr>
          <w:rFonts w:ascii="Arial" w:hAnsi="Arial" w:cs="Arial"/>
        </w:rPr>
      </w:pPr>
      <w:r w:rsidRPr="002470BE">
        <w:rPr>
          <w:rFonts w:ascii="Arial" w:hAnsi="Arial" w:cs="Arial"/>
        </w:rPr>
        <w:t>Le regioni ispirano la propria gestione al principio della programmazione. A tal fine adottano ogni anno il bilancio di previsione finanziario, le cui previsioni, riferite ad un orizzonte temporale almeno triennale, sono elaborate sulla base delle linee strategiche e delle politiche contenute nel documento di economia e finanza regionale (DEFR</w:t>
      </w:r>
      <w:r w:rsidR="00572054" w:rsidRPr="002470BE">
        <w:rPr>
          <w:rFonts w:ascii="Arial" w:hAnsi="Arial" w:cs="Arial"/>
        </w:rPr>
        <w:t>)</w:t>
      </w:r>
    </w:p>
    <w:p w:rsidR="00965413" w:rsidRPr="002470BE" w:rsidRDefault="00965413" w:rsidP="00965413">
      <w:pPr>
        <w:pStyle w:val="Default"/>
        <w:spacing w:after="0"/>
        <w:ind w:left="0"/>
        <w:contextualSpacing/>
        <w:rPr>
          <w:rFonts w:ascii="Arial" w:hAnsi="Arial" w:cs="Arial"/>
        </w:rPr>
      </w:pPr>
      <w:r w:rsidRPr="002470BE">
        <w:rPr>
          <w:rFonts w:ascii="Arial" w:hAnsi="Arial" w:cs="Arial"/>
        </w:rPr>
        <w:t>Entro il 31 ottobre di ogni anno, e comunque non oltre 30 giorni dalla presentazione del disegno di bilancio dello Stato,  la giunta approva lo schema della delibera di approvazione del bilancio di previsione finanziario relativa almeno al triennio successivo, da sottoporre all’approvazione del Consiglio. Unitamente allo schema di delibera di approvazione del bilancio, la Giunta trasmette, a fini conoscitivi, anche la proposta di articolazione delle tipologie in categorie e dei programmi in macroaggregati</w:t>
      </w:r>
    </w:p>
    <w:p w:rsidR="00965413" w:rsidRPr="002470BE" w:rsidRDefault="00965413" w:rsidP="00965413">
      <w:pPr>
        <w:pStyle w:val="Default"/>
        <w:spacing w:after="0"/>
        <w:ind w:left="0"/>
        <w:contextualSpacing/>
        <w:rPr>
          <w:rFonts w:ascii="Arial" w:eastAsia="PMingLiU" w:hAnsi="Arial" w:cs="Arial"/>
          <w:lang w:eastAsia="zh-TW"/>
        </w:rPr>
      </w:pPr>
      <w:r w:rsidRPr="002470BE">
        <w:rPr>
          <w:rFonts w:ascii="Arial" w:eastAsia="PMingLiU" w:hAnsi="Arial" w:cs="Arial"/>
          <w:lang w:eastAsia="zh-TW"/>
        </w:rPr>
        <w:t>Entro il 31 dicembre di ciascun anno il Consiglio approva il bilancio di previsione riguardante le previsioni di entrata e di spesa riguardanti almeno il triennio successivo ed è redatto secondo gli schemi previsti dall’allegato 9.</w:t>
      </w:r>
    </w:p>
    <w:p w:rsidR="00572054" w:rsidRPr="002470BE" w:rsidRDefault="00572054" w:rsidP="00965413">
      <w:pPr>
        <w:pStyle w:val="Default"/>
        <w:spacing w:after="0"/>
        <w:ind w:left="0"/>
        <w:contextualSpacing/>
        <w:rPr>
          <w:rFonts w:ascii="Arial" w:hAnsi="Arial" w:cs="Arial"/>
        </w:rPr>
      </w:pPr>
      <w:r w:rsidRPr="002470BE">
        <w:rPr>
          <w:rFonts w:ascii="Arial" w:hAnsi="Arial" w:cs="Arial"/>
        </w:rPr>
        <w:t>Il bilancio di previsione finanziario comprende le previsioni di competenza e di cassa del primo esercizio del periodo considerato e le previsioni di competenza degli esercizi successivi e le previsioni riguardanti il primo esercizio costituiscono il bilancio di previsione finanziario annuale.</w:t>
      </w:r>
    </w:p>
    <w:p w:rsidR="00965413" w:rsidRPr="002470BE" w:rsidRDefault="00965413" w:rsidP="00965413">
      <w:pPr>
        <w:pStyle w:val="Default"/>
        <w:spacing w:after="0"/>
        <w:ind w:left="0"/>
        <w:contextualSpacing/>
        <w:rPr>
          <w:rFonts w:ascii="Arial" w:hAnsi="Arial" w:cs="Arial"/>
        </w:rPr>
      </w:pPr>
      <w:r w:rsidRPr="002470BE">
        <w:rPr>
          <w:rFonts w:ascii="Arial" w:hAnsi="Arial" w:cs="Arial"/>
        </w:rPr>
        <w:t xml:space="preserve">Il bilancio di previsione finanziario </w:t>
      </w:r>
      <w:r w:rsidRPr="002470BE">
        <w:rPr>
          <w:rFonts w:ascii="Arial" w:hAnsi="Arial" w:cs="Arial"/>
          <w:color w:val="auto"/>
        </w:rPr>
        <w:t xml:space="preserve">è il documento nel quale vengono rappresentate contabilmente le previsioni di natura finanziaria riferite a ciascun esercizio compreso nell’arco temporale considerato nei Documenti di programmazione dell’ente (il DEFR regionale e il DUP degli enti locali), </w:t>
      </w:r>
      <w:r w:rsidRPr="002470BE">
        <w:rPr>
          <w:rFonts w:ascii="Arial" w:hAnsi="Arial" w:cs="Arial"/>
        </w:rPr>
        <w:t>attraverso  il quale gli organi di governo di un ente, nell’ambito dell’esercizio della propria funzione di indirizzo e di programmazione, definiscono la distribuzione delle risorse finanziarie tra i programmi e le attività che l’amministrazione deve realizzare, in coerenza con quanto previsto nel documento di programmazione.</w:t>
      </w:r>
    </w:p>
    <w:p w:rsidR="00965413" w:rsidRPr="002470BE" w:rsidRDefault="00965413" w:rsidP="00965413">
      <w:pPr>
        <w:pStyle w:val="Rientrocorpodeltesto2"/>
        <w:spacing w:line="240" w:lineRule="auto"/>
        <w:ind w:left="0"/>
        <w:rPr>
          <w:rFonts w:ascii="Arial" w:hAnsi="Arial" w:cs="Arial"/>
          <w:color w:val="000000"/>
          <w:sz w:val="24"/>
          <w:szCs w:val="24"/>
          <w:shd w:val="clear" w:color="auto" w:fill="F5FDFE"/>
        </w:rPr>
      </w:pPr>
      <w:r w:rsidRPr="002470BE">
        <w:rPr>
          <w:rFonts w:ascii="Arial" w:hAnsi="Arial" w:cs="Arial"/>
          <w:color w:val="000000"/>
          <w:sz w:val="24"/>
          <w:szCs w:val="24"/>
          <w:shd w:val="clear" w:color="auto" w:fill="F5FDFE"/>
        </w:rPr>
        <w:t>Gli enti  deliberano annualmente il bilancio di previsione finanziario riferito ad almeno un triennio, comprendente le previsioni di competenza e di cassa del primo esercizio del periodo considerato e le previsioni di competenza degli esercizi successivi utilizzando un metodo scorrevole nella redazione del bilancio di previsione finanziario .</w:t>
      </w:r>
    </w:p>
    <w:p w:rsidR="00965413" w:rsidRPr="002470BE" w:rsidRDefault="00965413" w:rsidP="00965413">
      <w:pPr>
        <w:pStyle w:val="Rientrocorpodeltesto2"/>
        <w:spacing w:line="240" w:lineRule="auto"/>
        <w:ind w:left="0"/>
        <w:rPr>
          <w:rFonts w:ascii="Arial" w:hAnsi="Arial" w:cs="Arial"/>
          <w:sz w:val="24"/>
          <w:szCs w:val="24"/>
        </w:rPr>
      </w:pPr>
      <w:r w:rsidRPr="002470BE">
        <w:rPr>
          <w:rFonts w:ascii="Arial" w:hAnsi="Arial" w:cs="Arial"/>
          <w:color w:val="000000"/>
          <w:sz w:val="24"/>
          <w:szCs w:val="24"/>
          <w:shd w:val="clear" w:color="auto" w:fill="F5FDFE"/>
        </w:rPr>
        <w:t xml:space="preserve"> </w:t>
      </w:r>
      <w:r w:rsidRPr="002470BE">
        <w:rPr>
          <w:rFonts w:ascii="Arial" w:hAnsi="Arial" w:cs="Arial"/>
          <w:sz w:val="24"/>
          <w:szCs w:val="24"/>
        </w:rPr>
        <w:t>Pertanto, ogni anno risulta necessario aggiornare il bilancio di previsione:</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con l’inserimento delle previsioni relative ad un ulteriore esercizio;</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xml:space="preserve">- adeguando le previsioni relative a tutti gli esercizi considerati nel bilancio, in considerazione delle indicazioni del documento di programmazione aggiornato, dei risultati presunti della gestione dell’esercizio precedente, anche con riferimento agli impegni già assunti, all’evoluzione normativa; </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con l’indicazione, per tutti i programmi di spesa considerati in ciascuno degli esercizi in cui il bilancio è articolato, degli “impegni già assunti” alla data di elaborazione del documento.</w:t>
      </w:r>
    </w:p>
    <w:p w:rsidR="00965413" w:rsidRPr="002470BE" w:rsidRDefault="00965413" w:rsidP="00965413">
      <w:pPr>
        <w:pStyle w:val="Default"/>
        <w:ind w:left="0"/>
        <w:rPr>
          <w:rFonts w:ascii="Arial" w:hAnsi="Arial" w:cs="Arial"/>
          <w:color w:val="auto"/>
        </w:rPr>
      </w:pPr>
      <w:r w:rsidRPr="002470BE">
        <w:rPr>
          <w:rFonts w:ascii="Arial" w:hAnsi="Arial" w:cs="Arial"/>
          <w:color w:val="auto"/>
        </w:rPr>
        <w:t xml:space="preserve">Il bilancio di previsione finanziario svolge le seguenti finalità: </w:t>
      </w:r>
    </w:p>
    <w:p w:rsidR="00965413" w:rsidRPr="002470BE" w:rsidRDefault="00965413" w:rsidP="00965413">
      <w:pPr>
        <w:pStyle w:val="Default"/>
        <w:numPr>
          <w:ilvl w:val="1"/>
          <w:numId w:val="14"/>
        </w:numPr>
        <w:tabs>
          <w:tab w:val="left" w:pos="567"/>
        </w:tabs>
        <w:spacing w:after="206"/>
        <w:ind w:left="425" w:hanging="283"/>
        <w:contextualSpacing/>
        <w:rPr>
          <w:rFonts w:ascii="Arial" w:hAnsi="Arial" w:cs="Arial"/>
          <w:color w:val="auto"/>
        </w:rPr>
      </w:pPr>
      <w:r w:rsidRPr="002470BE">
        <w:rPr>
          <w:rFonts w:ascii="Arial" w:hAnsi="Arial" w:cs="Arial"/>
          <w:i/>
          <w:iCs/>
          <w:color w:val="auto"/>
        </w:rPr>
        <w:t xml:space="preserve">politico-amministrative </w:t>
      </w:r>
      <w:r w:rsidRPr="002470BE">
        <w:rPr>
          <w:rFonts w:ascii="Arial" w:hAnsi="Arial" w:cs="Arial"/>
          <w:color w:val="auto"/>
        </w:rPr>
        <w:t xml:space="preserve">in quanto consente l’esercizio delle prerogative di indirizzo e di controllo che gli organi di </w:t>
      </w:r>
      <w:proofErr w:type="spellStart"/>
      <w:r w:rsidRPr="002470BE">
        <w:rPr>
          <w:rFonts w:ascii="Arial" w:hAnsi="Arial" w:cs="Arial"/>
          <w:color w:val="auto"/>
        </w:rPr>
        <w:t>governance</w:t>
      </w:r>
      <w:proofErr w:type="spellEnd"/>
      <w:r w:rsidRPr="002470BE">
        <w:rPr>
          <w:rFonts w:ascii="Arial" w:hAnsi="Arial" w:cs="Arial"/>
          <w:color w:val="auto"/>
        </w:rPr>
        <w:t xml:space="preserve"> esercitano sull’organo esecutivo ed è lo strumento fondamentale per la gestione amministrativa nel corso dell’esercizio; </w:t>
      </w:r>
    </w:p>
    <w:p w:rsidR="00965413" w:rsidRPr="002470BE" w:rsidRDefault="00965413" w:rsidP="00965413">
      <w:pPr>
        <w:pStyle w:val="Default"/>
        <w:numPr>
          <w:ilvl w:val="1"/>
          <w:numId w:val="14"/>
        </w:numPr>
        <w:tabs>
          <w:tab w:val="left" w:pos="567"/>
        </w:tabs>
        <w:spacing w:after="206"/>
        <w:ind w:left="425" w:hanging="283"/>
        <w:contextualSpacing/>
        <w:rPr>
          <w:rFonts w:ascii="Arial" w:hAnsi="Arial" w:cs="Arial"/>
          <w:color w:val="auto"/>
        </w:rPr>
      </w:pPr>
      <w:r w:rsidRPr="002470BE">
        <w:rPr>
          <w:rFonts w:ascii="Arial" w:hAnsi="Arial" w:cs="Arial"/>
          <w:color w:val="auto"/>
        </w:rPr>
        <w:t xml:space="preserve">di </w:t>
      </w:r>
      <w:r w:rsidRPr="002470BE">
        <w:rPr>
          <w:rFonts w:ascii="Arial" w:hAnsi="Arial" w:cs="Arial"/>
          <w:i/>
          <w:iCs/>
          <w:color w:val="auto"/>
        </w:rPr>
        <w:t xml:space="preserve">programmazione finanziaria </w:t>
      </w:r>
      <w:r w:rsidRPr="002470BE">
        <w:rPr>
          <w:rFonts w:ascii="Arial" w:hAnsi="Arial" w:cs="Arial"/>
          <w:color w:val="auto"/>
        </w:rPr>
        <w:t>poiché descrive finanziariamente le informazioni necessarie a sostenere le amministrazioni pubbliche</w:t>
      </w:r>
      <w:r w:rsidRPr="002470BE">
        <w:rPr>
          <w:rFonts w:ascii="Arial" w:hAnsi="Arial" w:cs="Arial"/>
          <w:color w:val="FF0000"/>
        </w:rPr>
        <w:t xml:space="preserve"> </w:t>
      </w:r>
      <w:r w:rsidRPr="002470BE">
        <w:rPr>
          <w:rFonts w:ascii="Arial" w:hAnsi="Arial" w:cs="Arial"/>
          <w:color w:val="auto"/>
        </w:rPr>
        <w:t>nel processo di decisione politica, sociale ed economica;</w:t>
      </w:r>
    </w:p>
    <w:p w:rsidR="00965413" w:rsidRPr="002470BE" w:rsidRDefault="00965413" w:rsidP="00965413">
      <w:pPr>
        <w:pStyle w:val="Default"/>
        <w:numPr>
          <w:ilvl w:val="0"/>
          <w:numId w:val="15"/>
        </w:numPr>
        <w:tabs>
          <w:tab w:val="left" w:pos="426"/>
        </w:tabs>
        <w:spacing w:after="206"/>
        <w:ind w:left="425" w:hanging="283"/>
        <w:contextualSpacing/>
        <w:rPr>
          <w:rFonts w:ascii="Arial" w:hAnsi="Arial" w:cs="Arial"/>
        </w:rPr>
      </w:pPr>
      <w:r w:rsidRPr="002470BE">
        <w:rPr>
          <w:rFonts w:ascii="Arial" w:hAnsi="Arial" w:cs="Arial"/>
          <w:color w:val="auto"/>
        </w:rPr>
        <w:t xml:space="preserve">  di </w:t>
      </w:r>
      <w:r w:rsidRPr="002470BE">
        <w:rPr>
          <w:rFonts w:ascii="Arial" w:hAnsi="Arial" w:cs="Arial"/>
          <w:i/>
          <w:color w:val="auto"/>
        </w:rPr>
        <w:t>destinazione delle risorse</w:t>
      </w:r>
      <w:r w:rsidRPr="002470BE">
        <w:rPr>
          <w:rFonts w:ascii="Arial" w:hAnsi="Arial" w:cs="Arial"/>
          <w:color w:val="auto"/>
        </w:rPr>
        <w:t xml:space="preserve"> a preventivo attraverso la funzione </w:t>
      </w:r>
      <w:proofErr w:type="spellStart"/>
      <w:r w:rsidRPr="002470BE">
        <w:rPr>
          <w:rFonts w:ascii="Arial" w:hAnsi="Arial" w:cs="Arial"/>
          <w:i/>
          <w:color w:val="auto"/>
        </w:rPr>
        <w:t>autorizzatoria</w:t>
      </w:r>
      <w:proofErr w:type="spellEnd"/>
      <w:r w:rsidRPr="002470BE">
        <w:rPr>
          <w:rFonts w:ascii="Arial" w:hAnsi="Arial" w:cs="Arial"/>
          <w:color w:val="auto"/>
        </w:rPr>
        <w:t xml:space="preserve">, connessa alla natura finanziaria del bilancio; </w:t>
      </w:r>
    </w:p>
    <w:p w:rsidR="00965413" w:rsidRPr="002470BE" w:rsidRDefault="00965413" w:rsidP="00965413">
      <w:pPr>
        <w:pStyle w:val="Default"/>
        <w:numPr>
          <w:ilvl w:val="0"/>
          <w:numId w:val="15"/>
        </w:numPr>
        <w:tabs>
          <w:tab w:val="left" w:pos="567"/>
        </w:tabs>
        <w:spacing w:after="206"/>
        <w:ind w:left="425" w:hanging="283"/>
        <w:contextualSpacing/>
        <w:rPr>
          <w:rFonts w:ascii="Arial" w:hAnsi="Arial" w:cs="Arial"/>
        </w:rPr>
      </w:pPr>
      <w:r w:rsidRPr="002470BE">
        <w:rPr>
          <w:rFonts w:ascii="Arial" w:hAnsi="Arial" w:cs="Arial"/>
          <w:i/>
        </w:rPr>
        <w:t>di verifica degli equilibri finanziari</w:t>
      </w:r>
      <w:r w:rsidRPr="002470BE">
        <w:rPr>
          <w:rFonts w:ascii="Arial" w:hAnsi="Arial" w:cs="Arial"/>
        </w:rPr>
        <w:t xml:space="preserve"> nel tempo e, in particolare, della copertura delle spese di funzionamento e di investimento programmate. Per le regioni il bilancio  di previsione costituisce sede per il riscontro della copertura finanziaria di nuove o maggiori spese stabilite da leggi della regione a carico di esercizi futuri;</w:t>
      </w:r>
    </w:p>
    <w:p w:rsidR="008043DB" w:rsidRPr="002470BE" w:rsidRDefault="00965413" w:rsidP="008043DB">
      <w:pPr>
        <w:pStyle w:val="Default"/>
        <w:numPr>
          <w:ilvl w:val="4"/>
          <w:numId w:val="17"/>
        </w:numPr>
        <w:tabs>
          <w:tab w:val="left" w:pos="567"/>
        </w:tabs>
        <w:spacing w:after="206"/>
        <w:ind w:left="0" w:hanging="283"/>
        <w:contextualSpacing/>
        <w:rPr>
          <w:rFonts w:ascii="Arial" w:hAnsi="Arial" w:cs="Arial"/>
        </w:rPr>
      </w:pPr>
      <w:r w:rsidRPr="002470BE">
        <w:rPr>
          <w:rFonts w:ascii="Arial" w:hAnsi="Arial" w:cs="Arial"/>
          <w:i/>
          <w:iCs/>
          <w:color w:val="auto"/>
        </w:rPr>
        <w:t xml:space="preserve">informative </w:t>
      </w:r>
      <w:r w:rsidRPr="002470BE">
        <w:rPr>
          <w:rFonts w:ascii="Arial" w:hAnsi="Arial" w:cs="Arial"/>
          <w:color w:val="auto"/>
        </w:rPr>
        <w:t>in quanto fornisce informazioni agli utilizzatori interni (consiglieri ed amministratori, dirigenti, dipendenti, organi di revisione, ecc.) ed esterni (organi di controllo, altri organi pubblici, fornitori e creditori, finanziatori, cittadini, ecc.) in merito ai programmi in corso di realizzazione, nonché in merito all’andamento finanziario della amministrazione</w:t>
      </w:r>
    </w:p>
    <w:p w:rsidR="008043DB" w:rsidRPr="002470BE" w:rsidRDefault="008043DB" w:rsidP="008043DB">
      <w:pPr>
        <w:pStyle w:val="Default"/>
        <w:tabs>
          <w:tab w:val="left" w:pos="567"/>
        </w:tabs>
        <w:spacing w:after="206"/>
        <w:ind w:left="-283"/>
        <w:contextualSpacing/>
        <w:rPr>
          <w:rFonts w:ascii="Arial" w:hAnsi="Arial" w:cs="Arial"/>
          <w:i/>
          <w:iCs/>
          <w:color w:val="auto"/>
        </w:rPr>
      </w:pPr>
      <w:r w:rsidRPr="002470BE">
        <w:rPr>
          <w:rFonts w:ascii="Arial" w:hAnsi="Arial" w:cs="Arial"/>
          <w:i/>
          <w:iCs/>
          <w:color w:val="auto"/>
        </w:rPr>
        <w:t>ALLEGATI:</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esplicativo del presunto risultato di amministrazione;</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concernente la composizione, per missioni e programmi, del fondo pluriennale vincolato;</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concernente la composizione del fondo crediti di dubbia esigibilità;</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 xml:space="preserve">il prospetto dimostrativo del rispetto dei vincoli di indebitamento; </w:t>
      </w:r>
    </w:p>
    <w:p w:rsidR="008043DB" w:rsidRPr="002470BE" w:rsidRDefault="008043DB" w:rsidP="008043DB">
      <w:pPr>
        <w:pStyle w:val="Paragrafoelenco1"/>
        <w:numPr>
          <w:ilvl w:val="0"/>
          <w:numId w:val="16"/>
        </w:numPr>
        <w:suppressAutoHyphens/>
        <w:spacing w:line="100" w:lineRule="atLeast"/>
        <w:ind w:left="851" w:hanging="284"/>
        <w:contextualSpacing w:val="0"/>
        <w:rPr>
          <w:rFonts w:ascii="Arial" w:hAnsi="Arial" w:cs="Arial"/>
          <w:color w:val="000000"/>
        </w:rPr>
      </w:pPr>
      <w:r w:rsidRPr="002470BE">
        <w:rPr>
          <w:rFonts w:ascii="Arial" w:hAnsi="Arial" w:cs="Arial"/>
        </w:rPr>
        <w:t>l’elenco dei capitoli che riguardano le spese obbligatorie;</w:t>
      </w:r>
    </w:p>
    <w:p w:rsidR="008043DB" w:rsidRPr="002470BE" w:rsidRDefault="008043DB" w:rsidP="008043DB">
      <w:pPr>
        <w:pStyle w:val="Paragrafoelenco1"/>
        <w:numPr>
          <w:ilvl w:val="0"/>
          <w:numId w:val="16"/>
        </w:numPr>
        <w:suppressAutoHyphens/>
        <w:spacing w:line="100" w:lineRule="atLeast"/>
        <w:ind w:left="851" w:hanging="284"/>
        <w:contextualSpacing w:val="0"/>
        <w:rPr>
          <w:rFonts w:ascii="Arial" w:hAnsi="Arial" w:cs="Arial"/>
        </w:rPr>
      </w:pPr>
      <w:r w:rsidRPr="002470BE">
        <w:rPr>
          <w:rFonts w:ascii="Arial" w:hAnsi="Arial" w:cs="Arial"/>
        </w:rPr>
        <w:t>l’elenco delle spese che possono essere finanziate con il fondo di riserva per spese impreviste di cui all’articolo 48, comma 1, lettera b);</w:t>
      </w:r>
    </w:p>
    <w:p w:rsidR="008043DB" w:rsidRPr="002470BE" w:rsidRDefault="008043DB" w:rsidP="008043DB">
      <w:pPr>
        <w:pStyle w:val="Paragrafoelenco"/>
        <w:numPr>
          <w:ilvl w:val="0"/>
          <w:numId w:val="16"/>
        </w:numPr>
        <w:suppressAutoHyphens/>
        <w:spacing w:line="100" w:lineRule="atLeast"/>
        <w:ind w:left="851" w:hanging="284"/>
        <w:jc w:val="both"/>
        <w:rPr>
          <w:rFonts w:ascii="Arial" w:hAnsi="Arial" w:cs="Arial"/>
          <w:sz w:val="24"/>
          <w:szCs w:val="24"/>
        </w:rPr>
      </w:pPr>
      <w:r w:rsidRPr="002470BE">
        <w:rPr>
          <w:rFonts w:ascii="Arial" w:hAnsi="Arial" w:cs="Arial"/>
          <w:sz w:val="24"/>
          <w:szCs w:val="24"/>
        </w:rPr>
        <w:t>l’elenco dei capitoli che riguardano le spese obbligatorie;</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 xml:space="preserve">la nota integrativa; </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la relazione del collegio dei revisori dei conti.</w:t>
      </w:r>
    </w:p>
    <w:p w:rsidR="008043DB" w:rsidRPr="002470BE" w:rsidRDefault="008043DB" w:rsidP="008043DB">
      <w:pPr>
        <w:pStyle w:val="Paragrafoelenco"/>
        <w:autoSpaceDE w:val="0"/>
        <w:autoSpaceDN w:val="0"/>
        <w:adjustRightInd w:val="0"/>
        <w:spacing w:after="0" w:line="240" w:lineRule="auto"/>
        <w:ind w:left="851" w:hanging="284"/>
        <w:rPr>
          <w:rFonts w:ascii="Arial" w:hAnsi="Arial" w:cs="Arial"/>
          <w:sz w:val="24"/>
          <w:szCs w:val="24"/>
        </w:rPr>
      </w:pPr>
    </w:p>
    <w:p w:rsidR="008043DB" w:rsidRPr="002470BE" w:rsidRDefault="008043DB" w:rsidP="008043DB">
      <w:pPr>
        <w:ind w:left="142"/>
        <w:contextualSpacing/>
        <w:rPr>
          <w:rFonts w:ascii="Arial" w:eastAsia="PMingLiU" w:hAnsi="Arial" w:cs="Arial"/>
          <w:sz w:val="24"/>
          <w:szCs w:val="24"/>
          <w:lang w:eastAsia="zh-TW"/>
        </w:rPr>
      </w:pPr>
      <w:r w:rsidRPr="002470BE">
        <w:rPr>
          <w:rFonts w:ascii="Arial" w:eastAsia="PMingLiU" w:hAnsi="Arial" w:cs="Arial"/>
          <w:sz w:val="24"/>
          <w:szCs w:val="24"/>
          <w:lang w:eastAsia="zh-TW"/>
        </w:rPr>
        <w:t xml:space="preserve">Contestualmente all’approvazione del bilancio da parte del Consiglio, la Giunta approva la ripartizione delle tipologie in categorie e dei programmi in macroaggregati  per ciascuno degli anni considerati nel bilancio, che costituisce il Documento Tecnico di accompagnamento.  </w:t>
      </w:r>
    </w:p>
    <w:p w:rsidR="008043DB" w:rsidRPr="002470BE" w:rsidRDefault="008043DB" w:rsidP="008043DB">
      <w:pPr>
        <w:tabs>
          <w:tab w:val="left" w:pos="142"/>
        </w:tabs>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 xml:space="preserve">Al </w:t>
      </w:r>
      <w:r w:rsidRPr="002470BE">
        <w:rPr>
          <w:rFonts w:ascii="Arial" w:eastAsia="PMingLiU" w:hAnsi="Arial" w:cs="Arial"/>
          <w:sz w:val="24"/>
          <w:szCs w:val="24"/>
          <w:lang w:eastAsia="zh-TW"/>
        </w:rPr>
        <w:t>Documento Tecnico di accompagnamento</w:t>
      </w:r>
      <w:r w:rsidRPr="002470BE">
        <w:rPr>
          <w:rFonts w:ascii="Arial" w:eastAsia="Times New Roman" w:hAnsi="Arial" w:cs="Arial"/>
          <w:sz w:val="24"/>
          <w:szCs w:val="24"/>
          <w:lang w:eastAsia="zh-TW"/>
        </w:rPr>
        <w:t xml:space="preserve">  sono allegati, nel rispetto dello schema  indicato nell’allegato 12:</w:t>
      </w:r>
    </w:p>
    <w:p w:rsidR="008043DB" w:rsidRPr="002470BE" w:rsidRDefault="008043DB" w:rsidP="008043DB">
      <w:pPr>
        <w:tabs>
          <w:tab w:val="left" w:pos="142"/>
        </w:tabs>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a) il  prospetto delle previsioni di entrata per titoli, tipologie e categorie,</w:t>
      </w:r>
    </w:p>
    <w:p w:rsidR="008043DB" w:rsidRPr="002470BE" w:rsidRDefault="008043DB" w:rsidP="008043DB">
      <w:pPr>
        <w:tabs>
          <w:tab w:val="left" w:pos="142"/>
        </w:tabs>
        <w:autoSpaceDE w:val="0"/>
        <w:autoSpaceDN w:val="0"/>
        <w:adjustRightInd w:val="0"/>
        <w:spacing w:after="0"/>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b)il prospetto delle previsioni di spesa per missioni, programmi e macroaggregati per ciascuno degli anni considerati nel bilancio di previsione.</w:t>
      </w:r>
    </w:p>
    <w:p w:rsidR="008043DB" w:rsidRPr="002470BE" w:rsidRDefault="008043DB" w:rsidP="008043DB">
      <w:pPr>
        <w:pStyle w:val="Paragrafoelenco"/>
        <w:spacing w:line="240" w:lineRule="auto"/>
        <w:ind w:left="142"/>
        <w:rPr>
          <w:rFonts w:ascii="Arial" w:eastAsia="PMingLiU" w:hAnsi="Arial" w:cs="Arial"/>
          <w:sz w:val="24"/>
          <w:szCs w:val="24"/>
          <w:lang w:eastAsia="zh-TW"/>
        </w:rPr>
      </w:pP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Contestualmente all’approvazione del Documento tecnico di accompagnamento, la Giunta, o il Segretario generale (secondo quanto previsto dal regolamento di contabilità), approva la ripartizione delle categorie e dei macroaggregati in capitoli ed eventualmente in articoli, per ciascuno degli esercizi considerati nel bilancio, che costituisce il bilancio finanziario gestionale.</w:t>
      </w: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I capitoli e gli eventuali articoli sono raccordati al quarto livello del piano dei conti finanziario.</w:t>
      </w: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Al bilancio gestionale è allegato il prospetto riguardante le previsioni di competenza e di cassa dei capitoli di entrata e di spesa della gestione sanitaria accentrata articolato, per quanto riguarda le entrate in  titoli, tipologie, categorie e capitoli e per quanto riguarda le spese, in titoli, macroaggregati e capitoli. Se il bilancio gestionale della regione risulta articolato in modo da distinguere la gestione ordinaria dalla gestione sanitaria, tale allegato non è necessario.</w:t>
      </w:r>
    </w:p>
    <w:p w:rsidR="008043DB" w:rsidRPr="002470BE" w:rsidRDefault="008043DB" w:rsidP="008043DB">
      <w:pPr>
        <w:pStyle w:val="Default"/>
        <w:ind w:left="142"/>
        <w:rPr>
          <w:rFonts w:ascii="Arial" w:hAnsi="Arial" w:cs="Arial"/>
        </w:rPr>
      </w:pPr>
      <w:r w:rsidRPr="002470BE">
        <w:rPr>
          <w:rFonts w:ascii="Arial" w:hAnsi="Arial" w:cs="Arial"/>
        </w:rPr>
        <w:t>Per “contestualmente” si intende la prima seduta di giunta successiva all’approvazione del bilancio da parte del Consiglio. Nei casi in cui il regolamento della regione prevede l’approvazione del bilancio finanziario gestionale da parte del segretario, per “contestualmente” si intende entro  i cinque giorni lavorativi successivi all’approvazione del documento tecnico di accompagnamento.</w:t>
      </w:r>
    </w:p>
    <w:p w:rsidR="008043DB" w:rsidRPr="002470BE" w:rsidRDefault="008043DB" w:rsidP="008043DB">
      <w:pPr>
        <w:spacing w:line="240" w:lineRule="auto"/>
        <w:jc w:val="both"/>
        <w:rPr>
          <w:rFonts w:ascii="Arial" w:hAnsi="Arial" w:cs="Arial"/>
          <w:sz w:val="24"/>
          <w:szCs w:val="24"/>
        </w:rPr>
      </w:pPr>
      <w:r w:rsidRPr="002470BE">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2470BE">
        <w:rPr>
          <w:rFonts w:ascii="Arial" w:hAnsi="Arial" w:cs="Arial"/>
          <w:bCs/>
          <w:sz w:val="24"/>
          <w:szCs w:val="24"/>
        </w:rPr>
        <w:t>e variazioni del bilancio di previsione, le variazioni del documento tecnico di accompagnamento, il bilancio di previsione assestato, il documento tecnico di accompagnamento assestato e il bilancio gestionale assestato.</w:t>
      </w:r>
      <w:r w:rsidRPr="002470BE">
        <w:rPr>
          <w:rFonts w:ascii="Arial" w:hAnsi="Arial" w:cs="Arial"/>
          <w:sz w:val="24"/>
          <w:szCs w:val="24"/>
        </w:rPr>
        <w:t xml:space="preserve"> Il sistema informativo dell’ente garantisce l’invio alla banca dati unitaria di cui all’articolo 13 della legge n. 196 del 2009, del bilancio di previsione finanziario, completo di allegati, unitamente alle  previsioni del documento tecnico di accompagnamento e delle previsioni del bilancio gestionale aggregate secondo l’articolazione del piano dei conti di quarto livello. Tali documenti sono pubblicati anche nel sito internet della regione</w:t>
      </w:r>
    </w:p>
    <w:p w:rsidR="008043DB" w:rsidRPr="002470BE" w:rsidRDefault="008043DB" w:rsidP="008043DB">
      <w:pPr>
        <w:spacing w:line="240" w:lineRule="auto"/>
        <w:jc w:val="both"/>
        <w:rPr>
          <w:rFonts w:ascii="Arial" w:hAnsi="Arial" w:cs="Arial"/>
          <w:bCs/>
          <w:sz w:val="24"/>
          <w:szCs w:val="24"/>
        </w:rPr>
      </w:pPr>
      <w:r w:rsidRPr="002470BE">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2470BE">
        <w:rPr>
          <w:rFonts w:ascii="Arial" w:hAnsi="Arial" w:cs="Arial"/>
          <w:bCs/>
          <w:sz w:val="24"/>
          <w:szCs w:val="24"/>
        </w:rPr>
        <w:t>e variazioni del bilancio di previsione</w:t>
      </w:r>
    </w:p>
    <w:p w:rsidR="008043DB" w:rsidRPr="002470BE" w:rsidRDefault="008043DB" w:rsidP="008043DB">
      <w:pPr>
        <w:pStyle w:val="Paragrafoelenco"/>
        <w:spacing w:line="240" w:lineRule="auto"/>
        <w:ind w:left="142"/>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PER GLI ENTI LOCALI</w:t>
      </w:r>
    </w:p>
    <w:p w:rsidR="008043DB" w:rsidRPr="002470BE" w:rsidRDefault="008043DB" w:rsidP="008043DB">
      <w:pPr>
        <w:pStyle w:val="Paragrafoelenco"/>
        <w:spacing w:line="240" w:lineRule="auto"/>
        <w:ind w:left="142"/>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Entro il 15 novembre di ogni anno la giunta approva lo schema della delibera  del bilancio di previsione finanziario relativa almeno al triennio successivo, da sottoporre all’approvazione del Consiglio. Unitamente allo schema di delibera di approvazione del bilancio, la Giunta trasmette, a titolo conoscitivo, anche  la proposta di articolazione delle tipologie in categorie e dei programmi in macroaggregati;</w:t>
      </w:r>
    </w:p>
    <w:p w:rsidR="008043DB" w:rsidRPr="002470BE" w:rsidRDefault="008043DB" w:rsidP="008043DB">
      <w:pPr>
        <w:autoSpaceDE w:val="0"/>
        <w:autoSpaceDN w:val="0"/>
        <w:adjustRightInd w:val="0"/>
        <w:ind w:left="142"/>
        <w:rPr>
          <w:rFonts w:ascii="Arial" w:hAnsi="Arial" w:cs="Arial"/>
          <w:sz w:val="24"/>
          <w:szCs w:val="24"/>
        </w:rPr>
      </w:pPr>
      <w:r w:rsidRPr="002470BE">
        <w:rPr>
          <w:rFonts w:ascii="Arial" w:hAnsi="Arial" w:cs="Arial"/>
          <w:sz w:val="24"/>
          <w:szCs w:val="24"/>
        </w:rPr>
        <w:t>In caso di variazioni del quadro normativo di riferimento  la Giunta aggiorna lo schema di delibera di bilancio  di previsione in corso di approvazione, unitamente al Documento di programmazione.</w:t>
      </w:r>
    </w:p>
    <w:p w:rsidR="008043DB" w:rsidRPr="002470BE" w:rsidRDefault="008043DB" w:rsidP="008043DB">
      <w:pPr>
        <w:spacing w:line="240" w:lineRule="auto"/>
        <w:jc w:val="both"/>
        <w:rPr>
          <w:rFonts w:ascii="Arial" w:eastAsia="PMingLiU" w:hAnsi="Arial" w:cs="Arial"/>
          <w:sz w:val="24"/>
          <w:szCs w:val="24"/>
          <w:lang w:eastAsia="zh-TW"/>
        </w:rPr>
      </w:pPr>
      <w:r w:rsidRPr="002470BE">
        <w:rPr>
          <w:rFonts w:ascii="Arial" w:eastAsia="PMingLiU" w:hAnsi="Arial" w:cs="Arial"/>
          <w:sz w:val="24"/>
          <w:szCs w:val="24"/>
          <w:lang w:eastAsia="zh-TW"/>
        </w:rPr>
        <w:t>Entro il 31 dicembre di ciascun anno il Consiglio approva il bilancio di previsione riguardante le previsioni di entrata e di spesa riguardanti almeno il triennio successivo</w:t>
      </w:r>
    </w:p>
    <w:p w:rsidR="008043DB" w:rsidRPr="002470BE" w:rsidRDefault="008043DB" w:rsidP="008043DB">
      <w:pPr>
        <w:spacing w:line="240" w:lineRule="auto"/>
        <w:jc w:val="both"/>
        <w:rPr>
          <w:rFonts w:ascii="Arial" w:eastAsia="PMingLiU" w:hAnsi="Arial" w:cs="Arial"/>
          <w:sz w:val="24"/>
          <w:szCs w:val="24"/>
          <w:lang w:eastAsia="zh-TW"/>
        </w:rPr>
      </w:pPr>
      <w:r w:rsidRPr="002470BE">
        <w:rPr>
          <w:rFonts w:ascii="Arial" w:eastAsia="PMingLiU" w:hAnsi="Arial" w:cs="Arial"/>
          <w:sz w:val="24"/>
          <w:szCs w:val="24"/>
          <w:lang w:eastAsia="zh-TW"/>
        </w:rPr>
        <w:t>Allegati:</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esplicativo del presunto risultato di amministrazione;</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concernente la composizione, per missioni e programmi, del fondo pluriennale vincolato;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concernente la composizione del fondo crediti di dubbia esigibilità;</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dimostrativo del rispetto dei vincoli di indebitamento</w:t>
      </w:r>
      <w:r w:rsidRPr="002470BE">
        <w:rPr>
          <w:rFonts w:ascii="Arial" w:eastAsia="Times New Roman" w:hAnsi="Arial" w:cs="Arial"/>
          <w:i/>
          <w:sz w:val="24"/>
          <w:szCs w:val="24"/>
          <w:lang w:eastAsia="zh-TW"/>
        </w:rPr>
        <w:t>;</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 il prospetto delle spese previste per l’utilizzo di contributi e trasferimenti da parte di organismi comunitari e internazionali, per ciascuno degli anni considerati nel bilancio di previsione;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delle spese previste per lo svolgimento delle funzioni delegate dalle regioni per ciascuno degli anni considerati nel bilancio di previsione;</w:t>
      </w:r>
    </w:p>
    <w:p w:rsidR="004F708A"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rendiconto di gestione e il bilancio consolidato deliberati e relativi al penultimo esercizio antecedente quello cui si riferisce il bilancio di previsione</w:t>
      </w:r>
    </w:p>
    <w:p w:rsidR="004F708A"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le risultanze dei rendiconti e dei bilanci consolidati delle unioni di comuni e dei soggetti considerate nel gruppo “amministrazione pubblica”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la deliberazione, da adottarsi annualmente prima dell'approvazione del bilancio, con la quale i comuni verificano la quantità e qualità di aree e fabbricati da destinarsi alla residenza, alle attività produttive e terziarie  che potranno essere ceduti in proprietà od in diritto di superficie; con la stessa deliberazione i comuni stabiliscono il prezzo di cessione per ciascun tipo di area o di fabbricato;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le deliberazioni con le quali sono determinati, per l'esercizio successivo, le tariffe, le aliquote d'imposta e le eventuali maggiori detrazioni, le variazioni dei limiti di reddito per i tributi locali e per i servizi locali, nonché, per i servizi a domanda individuale, i tassi di copertura in percentuale del costo di gestione dei servizi stessi;</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la tabella relativa ai parametri di riscontro della situazione di </w:t>
      </w:r>
      <w:proofErr w:type="spellStart"/>
      <w:r w:rsidRPr="002470BE">
        <w:rPr>
          <w:rFonts w:ascii="Arial" w:eastAsia="Times New Roman" w:hAnsi="Arial" w:cs="Arial"/>
          <w:sz w:val="24"/>
          <w:szCs w:val="24"/>
          <w:lang w:eastAsia="zh-TW"/>
        </w:rPr>
        <w:t>deficitarietà</w:t>
      </w:r>
      <w:proofErr w:type="spellEnd"/>
      <w:r w:rsidRPr="002470BE">
        <w:rPr>
          <w:rFonts w:ascii="Arial" w:eastAsia="Times New Roman" w:hAnsi="Arial" w:cs="Arial"/>
          <w:sz w:val="24"/>
          <w:szCs w:val="24"/>
          <w:lang w:eastAsia="zh-TW"/>
        </w:rPr>
        <w:t xml:space="preserve"> strutturale prevista dalle disposizioni vigenti in materia;</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della concordanza tra bilancio di previsione e obiettivo programmatico del patto di stabilità interno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la nota integrativa;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la relazione del collegio dei revisori dei conti</w:t>
      </w:r>
      <w:r w:rsidRPr="002470BE">
        <w:rPr>
          <w:rFonts w:ascii="Arial" w:eastAsia="Calibri" w:hAnsi="Arial" w:cs="Arial"/>
          <w:sz w:val="24"/>
          <w:szCs w:val="24"/>
        </w:rPr>
        <w:t>.</w:t>
      </w:r>
    </w:p>
    <w:p w:rsidR="008043DB" w:rsidRPr="002470BE" w:rsidRDefault="008043DB" w:rsidP="008043DB">
      <w:pPr>
        <w:autoSpaceDE w:val="0"/>
        <w:autoSpaceDN w:val="0"/>
        <w:adjustRightInd w:val="0"/>
        <w:spacing w:after="0"/>
        <w:ind w:left="567"/>
        <w:contextualSpacing/>
        <w:rPr>
          <w:rFonts w:ascii="Arial" w:eastAsia="Times New Roman" w:hAnsi="Arial" w:cs="Arial"/>
          <w:sz w:val="24"/>
          <w:szCs w:val="24"/>
          <w:lang w:eastAsia="zh-TW"/>
        </w:rPr>
      </w:pPr>
    </w:p>
    <w:p w:rsidR="008043DB" w:rsidRPr="002470BE" w:rsidRDefault="008043DB" w:rsidP="008043DB">
      <w:pPr>
        <w:ind w:left="142"/>
        <w:contextualSpacing/>
        <w:rPr>
          <w:rFonts w:ascii="Arial" w:eastAsia="PMingLiU" w:hAnsi="Arial" w:cs="Arial"/>
          <w:sz w:val="24"/>
          <w:szCs w:val="24"/>
          <w:lang w:eastAsia="zh-TW"/>
        </w:rPr>
      </w:pPr>
    </w:p>
    <w:p w:rsidR="008043DB" w:rsidRPr="002470BE" w:rsidRDefault="008043DB" w:rsidP="008043DB">
      <w:pPr>
        <w:ind w:left="142"/>
        <w:contextualSpacing/>
        <w:rPr>
          <w:rFonts w:ascii="Arial" w:eastAsia="PMingLiU" w:hAnsi="Arial" w:cs="Arial"/>
          <w:sz w:val="24"/>
          <w:szCs w:val="24"/>
          <w:lang w:eastAsia="zh-TW"/>
        </w:rPr>
      </w:pPr>
      <w:r w:rsidRPr="002470BE">
        <w:rPr>
          <w:rFonts w:ascii="Arial" w:eastAsia="PMingLiU" w:hAnsi="Arial" w:cs="Arial"/>
          <w:sz w:val="24"/>
          <w:szCs w:val="24"/>
          <w:lang w:eastAsia="zh-TW"/>
        </w:rPr>
        <w:t>Contestualmente all’approvazione del bilancio da parte del Consiglio, la Giunta approva la ripartizione delle tipologie in categorie, capitoli e, eventualmente, in articoli, e dei programmi in macroaggregati, capitoli e, eventualmente, in articoli, per ciascuno degli esercizi considerati nel bilancio, che costituisce il Piano esecutivo di gestione, cui è allegato il prospetto concernente la ripartizione delle tipologie in categorie e dei programmi in macroaggregati.</w:t>
      </w:r>
    </w:p>
    <w:p w:rsidR="00965413" w:rsidRPr="002470BE" w:rsidRDefault="00965413" w:rsidP="00965413">
      <w:pPr>
        <w:jc w:val="both"/>
        <w:rPr>
          <w:rFonts w:ascii="Arial" w:hAnsi="Arial" w:cs="Arial"/>
          <w:sz w:val="24"/>
          <w:szCs w:val="24"/>
        </w:rPr>
      </w:pPr>
      <w:r w:rsidRPr="002470BE">
        <w:rPr>
          <w:rFonts w:ascii="Arial" w:hAnsi="Arial" w:cs="Arial"/>
          <w:sz w:val="24"/>
          <w:szCs w:val="24"/>
        </w:rPr>
        <w:t>E’ un documento contabile che ha funzione revisionale, in un esercizio con durata annuale redatto in termini di competenza finanziaria, CON FUNZIONE ANCHE AUTORIZZATORIA, in quanto autorizza la gestione delle spese e delle entrate nei limiti degli stanziamenti previsti,  composto da due parti:</w:t>
      </w:r>
    </w:p>
    <w:p w:rsidR="00965413" w:rsidRPr="002470BE" w:rsidRDefault="00965413" w:rsidP="004F708A">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 xml:space="preserve">ENTRATA (ordinata in Titoli, tipologie). </w:t>
      </w:r>
      <w:r w:rsidR="004F708A" w:rsidRPr="002470BE">
        <w:rPr>
          <w:rFonts w:ascii="Arial" w:hAnsi="Arial" w:cs="Arial"/>
          <w:b/>
          <w:bCs/>
          <w:sz w:val="24"/>
          <w:szCs w:val="24"/>
        </w:rPr>
        <w:t xml:space="preserve">    </w:t>
      </w:r>
      <w:r w:rsidRPr="002470BE">
        <w:rPr>
          <w:rFonts w:ascii="Arial" w:hAnsi="Arial" w:cs="Arial"/>
          <w:b/>
          <w:bCs/>
          <w:sz w:val="24"/>
          <w:szCs w:val="24"/>
        </w:rPr>
        <w:t>Titolo I</w:t>
      </w:r>
      <w:r w:rsidRPr="002470BE">
        <w:rPr>
          <w:rFonts w:ascii="Arial" w:hAnsi="Arial" w:cs="Arial"/>
          <w:sz w:val="24"/>
          <w:szCs w:val="24"/>
        </w:rPr>
        <w:t xml:space="preserve"> : entrate tributarie, </w:t>
      </w:r>
      <w:r w:rsidR="009519A7" w:rsidRPr="002470BE">
        <w:rPr>
          <w:rFonts w:ascii="Arial" w:hAnsi="Arial" w:cs="Arial"/>
          <w:sz w:val="24"/>
          <w:szCs w:val="24"/>
        </w:rPr>
        <w:t xml:space="preserve"> Contributive           </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II:</w:t>
      </w:r>
      <w:r w:rsidRPr="002470BE">
        <w:rPr>
          <w:rFonts w:ascii="Arial" w:hAnsi="Arial" w:cs="Arial"/>
          <w:sz w:val="24"/>
          <w:szCs w:val="24"/>
        </w:rPr>
        <w:t xml:space="preserve"> Entrate correnti ( da famiglie, Amministrazioni pubbliche, imprese, istituzioni)</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III</w:t>
      </w:r>
      <w:r w:rsidRPr="002470BE">
        <w:rPr>
          <w:rFonts w:ascii="Arial" w:hAnsi="Arial" w:cs="Arial"/>
          <w:sz w:val="24"/>
          <w:szCs w:val="24"/>
        </w:rPr>
        <w:t>: entrate extratributarie,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IV</w:t>
      </w:r>
      <w:r w:rsidRPr="002470BE">
        <w:rPr>
          <w:rFonts w:ascii="Arial" w:hAnsi="Arial" w:cs="Arial"/>
          <w:sz w:val="24"/>
          <w:szCs w:val="24"/>
        </w:rPr>
        <w:t>: entrate in conto capitale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V</w:t>
      </w:r>
      <w:r w:rsidRPr="002470BE">
        <w:rPr>
          <w:rFonts w:ascii="Arial" w:hAnsi="Arial" w:cs="Arial"/>
          <w:sz w:val="24"/>
          <w:szCs w:val="24"/>
        </w:rPr>
        <w:t xml:space="preserve"> : entrate derivanti da attività finanziarie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 xml:space="preserve">Titolo </w:t>
      </w:r>
      <w:proofErr w:type="spellStart"/>
      <w:r w:rsidRPr="002470BE">
        <w:rPr>
          <w:rFonts w:ascii="Arial" w:hAnsi="Arial" w:cs="Arial"/>
          <w:b/>
          <w:bCs/>
          <w:sz w:val="24"/>
          <w:szCs w:val="24"/>
        </w:rPr>
        <w:t>VI</w:t>
      </w:r>
      <w:proofErr w:type="spellEnd"/>
      <w:r w:rsidRPr="002470BE">
        <w:rPr>
          <w:rFonts w:ascii="Arial" w:hAnsi="Arial" w:cs="Arial"/>
          <w:sz w:val="24"/>
          <w:szCs w:val="24"/>
        </w:rPr>
        <w:t>: accensione di prestiti</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VII</w:t>
      </w:r>
      <w:r w:rsidRPr="002470BE">
        <w:rPr>
          <w:rFonts w:ascii="Arial" w:hAnsi="Arial" w:cs="Arial"/>
          <w:sz w:val="24"/>
          <w:szCs w:val="24"/>
        </w:rPr>
        <w:t>: Anticipazioni da istituto tesoriere/cassiere</w:t>
      </w:r>
    </w:p>
    <w:p w:rsidR="00965413" w:rsidRPr="002470BE" w:rsidRDefault="00965413" w:rsidP="004F708A">
      <w:pPr>
        <w:ind w:left="4956"/>
        <w:jc w:val="both"/>
        <w:rPr>
          <w:rFonts w:ascii="Arial" w:hAnsi="Arial" w:cs="Arial"/>
          <w:b/>
          <w:bCs/>
          <w:sz w:val="24"/>
          <w:szCs w:val="24"/>
        </w:rPr>
      </w:pPr>
      <w:r w:rsidRPr="002470BE">
        <w:rPr>
          <w:rFonts w:ascii="Arial" w:hAnsi="Arial" w:cs="Arial"/>
          <w:b/>
          <w:bCs/>
          <w:sz w:val="24"/>
          <w:szCs w:val="24"/>
        </w:rPr>
        <w:t xml:space="preserve">Titolo </w:t>
      </w:r>
      <w:r w:rsidR="00613A5B">
        <w:rPr>
          <w:rFonts w:ascii="Arial" w:hAnsi="Arial" w:cs="Arial"/>
          <w:b/>
          <w:bCs/>
          <w:sz w:val="24"/>
          <w:szCs w:val="24"/>
        </w:rPr>
        <w:t>IX</w:t>
      </w:r>
      <w:r w:rsidRPr="002470BE">
        <w:rPr>
          <w:rFonts w:ascii="Arial" w:hAnsi="Arial" w:cs="Arial"/>
          <w:b/>
          <w:bCs/>
          <w:sz w:val="24"/>
          <w:szCs w:val="24"/>
        </w:rPr>
        <w:t>: Entrate per conto terzi e partite di giro</w:t>
      </w:r>
    </w:p>
    <w:p w:rsidR="00965413" w:rsidRPr="002470BE" w:rsidRDefault="00965413" w:rsidP="004F708A">
      <w:pPr>
        <w:rPr>
          <w:rFonts w:ascii="Arial" w:hAnsi="Arial" w:cs="Arial"/>
          <w:b/>
          <w:bCs/>
          <w:sz w:val="24"/>
          <w:szCs w:val="24"/>
        </w:rPr>
      </w:pPr>
      <w:r w:rsidRPr="002470BE">
        <w:rPr>
          <w:rFonts w:ascii="Arial" w:hAnsi="Arial" w:cs="Arial"/>
          <w:b/>
          <w:bCs/>
          <w:sz w:val="24"/>
          <w:szCs w:val="24"/>
        </w:rPr>
        <w:t>SPESA (ordinata in missioni e programmi)</w:t>
      </w:r>
      <w:r w:rsidR="004F708A" w:rsidRPr="002470BE">
        <w:rPr>
          <w:rFonts w:ascii="Arial" w:hAnsi="Arial" w:cs="Arial"/>
          <w:b/>
          <w:bCs/>
          <w:sz w:val="24"/>
          <w:szCs w:val="24"/>
        </w:rPr>
        <w:t xml:space="preserve">I programmi di spesa sono articolati nei seguenti titoli di spesa                                   Titolo I </w:t>
      </w:r>
      <w:r w:rsidR="004F708A" w:rsidRPr="002470BE">
        <w:rPr>
          <w:rFonts w:ascii="Arial" w:hAnsi="Arial" w:cs="Arial"/>
          <w:bCs/>
          <w:sz w:val="24"/>
          <w:szCs w:val="24"/>
        </w:rPr>
        <w:t>spese correnti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II </w:t>
      </w:r>
      <w:r w:rsidRPr="002470BE">
        <w:rPr>
          <w:rFonts w:ascii="Arial" w:hAnsi="Arial" w:cs="Arial"/>
          <w:bCs/>
          <w:sz w:val="24"/>
          <w:szCs w:val="24"/>
        </w:rPr>
        <w:t>spese in conto capitale</w:t>
      </w:r>
    </w:p>
    <w:p w:rsidR="004F708A" w:rsidRPr="002470BE" w:rsidRDefault="004F708A" w:rsidP="004F708A">
      <w:pPr>
        <w:ind w:left="4956"/>
        <w:rPr>
          <w:rFonts w:ascii="Arial" w:hAnsi="Arial" w:cs="Arial"/>
          <w:bCs/>
          <w:sz w:val="24"/>
          <w:szCs w:val="24"/>
        </w:rPr>
      </w:pPr>
      <w:r w:rsidRPr="002470BE">
        <w:rPr>
          <w:rFonts w:ascii="Arial" w:hAnsi="Arial" w:cs="Arial"/>
          <w:b/>
          <w:bCs/>
          <w:sz w:val="24"/>
          <w:szCs w:val="24"/>
        </w:rPr>
        <w:t xml:space="preserve">Titolo III </w:t>
      </w:r>
      <w:r w:rsidRPr="002470BE">
        <w:rPr>
          <w:rFonts w:ascii="Arial" w:hAnsi="Arial" w:cs="Arial"/>
          <w:bCs/>
          <w:sz w:val="24"/>
          <w:szCs w:val="24"/>
        </w:rPr>
        <w:t>Spese per incremento attività finanziarie</w:t>
      </w:r>
    </w:p>
    <w:p w:rsidR="004F708A" w:rsidRPr="002470BE" w:rsidRDefault="004F708A" w:rsidP="004F708A">
      <w:pPr>
        <w:ind w:left="4956"/>
        <w:rPr>
          <w:rFonts w:ascii="Arial" w:hAnsi="Arial" w:cs="Arial"/>
          <w:bCs/>
          <w:sz w:val="24"/>
          <w:szCs w:val="24"/>
        </w:rPr>
      </w:pPr>
      <w:r w:rsidRPr="002470BE">
        <w:rPr>
          <w:rFonts w:ascii="Arial" w:hAnsi="Arial" w:cs="Arial"/>
          <w:b/>
          <w:bCs/>
          <w:sz w:val="24"/>
          <w:szCs w:val="24"/>
        </w:rPr>
        <w:t xml:space="preserve">Titolo IV </w:t>
      </w:r>
      <w:r w:rsidRPr="002470BE">
        <w:rPr>
          <w:rFonts w:ascii="Arial" w:hAnsi="Arial" w:cs="Arial"/>
          <w:bCs/>
          <w:sz w:val="24"/>
          <w:szCs w:val="24"/>
        </w:rPr>
        <w:t>rimborso prestiti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Solo per la missione 60 (anticipazioni finanziarie) e 99 (Servizi per conto terzi) possono esser previsti anche i seguenti titoli: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V </w:t>
      </w:r>
      <w:r w:rsidRPr="002470BE">
        <w:rPr>
          <w:rFonts w:ascii="Arial" w:hAnsi="Arial" w:cs="Arial"/>
          <w:bCs/>
          <w:sz w:val="24"/>
          <w:szCs w:val="24"/>
        </w:rPr>
        <w:t>chiusura anticipazioni tesoreria</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VII </w:t>
      </w:r>
      <w:r w:rsidRPr="002470BE">
        <w:rPr>
          <w:rFonts w:ascii="Arial" w:hAnsi="Arial" w:cs="Arial"/>
          <w:bCs/>
          <w:sz w:val="24"/>
          <w:szCs w:val="24"/>
        </w:rPr>
        <w:t>spese per conto terzi e partite di giro</w:t>
      </w:r>
      <w:r w:rsidRPr="002470BE">
        <w:rPr>
          <w:rFonts w:ascii="Arial" w:hAnsi="Arial" w:cs="Arial"/>
          <w:b/>
          <w:bCs/>
          <w:sz w:val="24"/>
          <w:szCs w:val="24"/>
        </w:rPr>
        <w:t xml:space="preserve">  </w:t>
      </w:r>
    </w:p>
    <w:p w:rsidR="004F708A" w:rsidRPr="002470BE" w:rsidRDefault="004F708A" w:rsidP="00965413">
      <w:pPr>
        <w:rPr>
          <w:rFonts w:ascii="Arial" w:hAnsi="Arial" w:cs="Arial"/>
          <w:b/>
          <w:bCs/>
          <w:sz w:val="24"/>
          <w:szCs w:val="24"/>
        </w:rPr>
      </w:pPr>
    </w:p>
    <w:p w:rsidR="004F708A" w:rsidRPr="002470BE" w:rsidRDefault="004F708A" w:rsidP="00965413">
      <w:pPr>
        <w:rPr>
          <w:rFonts w:ascii="Arial" w:hAnsi="Arial" w:cs="Arial"/>
          <w:b/>
          <w:bCs/>
          <w:sz w:val="24"/>
          <w:szCs w:val="24"/>
        </w:rPr>
      </w:pPr>
    </w:p>
    <w:p w:rsidR="00C06FBE" w:rsidRPr="002470BE" w:rsidRDefault="009519A7" w:rsidP="00965413">
      <w:pPr>
        <w:rPr>
          <w:rFonts w:ascii="Arial" w:hAnsi="Arial" w:cs="Arial"/>
          <w:sz w:val="24"/>
          <w:szCs w:val="24"/>
        </w:rPr>
      </w:pPr>
      <w:r w:rsidRPr="002470BE">
        <w:rPr>
          <w:rFonts w:ascii="Arial" w:hAnsi="Arial" w:cs="Arial"/>
          <w:sz w:val="24"/>
          <w:szCs w:val="24"/>
        </w:rPr>
        <w:t xml:space="preserve">Le </w:t>
      </w:r>
      <w:r w:rsidRPr="002470BE">
        <w:rPr>
          <w:rFonts w:ascii="Arial" w:hAnsi="Arial" w:cs="Arial"/>
          <w:b/>
          <w:sz w:val="24"/>
          <w:szCs w:val="24"/>
        </w:rPr>
        <w:t xml:space="preserve">entrate </w:t>
      </w:r>
      <w:r w:rsidRPr="002470BE">
        <w:rPr>
          <w:rFonts w:ascii="Arial" w:hAnsi="Arial" w:cs="Arial"/>
          <w:sz w:val="24"/>
          <w:szCs w:val="24"/>
        </w:rPr>
        <w:t xml:space="preserve">sono ripartite, in: </w:t>
      </w:r>
    </w:p>
    <w:p w:rsidR="00C06FBE" w:rsidRPr="002470BE" w:rsidRDefault="009519A7" w:rsidP="00965413">
      <w:pPr>
        <w:rPr>
          <w:rFonts w:ascii="Arial" w:hAnsi="Arial" w:cs="Arial"/>
          <w:sz w:val="24"/>
          <w:szCs w:val="24"/>
        </w:rPr>
      </w:pPr>
      <w:r w:rsidRPr="002470BE">
        <w:rPr>
          <w:rFonts w:ascii="Arial" w:hAnsi="Arial" w:cs="Arial"/>
          <w:sz w:val="24"/>
          <w:szCs w:val="24"/>
        </w:rPr>
        <w:t xml:space="preserve">a) </w:t>
      </w:r>
      <w:r w:rsidRPr="002470BE">
        <w:rPr>
          <w:rFonts w:ascii="Arial" w:hAnsi="Arial" w:cs="Arial"/>
          <w:b/>
          <w:sz w:val="24"/>
          <w:szCs w:val="24"/>
        </w:rPr>
        <w:t>titoli</w:t>
      </w:r>
      <w:r w:rsidRPr="002470BE">
        <w:rPr>
          <w:rFonts w:ascii="Arial" w:hAnsi="Arial" w:cs="Arial"/>
          <w:sz w:val="24"/>
          <w:szCs w:val="24"/>
        </w:rPr>
        <w:t>, definiti secondo la fonte di provenienza delle entrate;</w:t>
      </w:r>
    </w:p>
    <w:p w:rsidR="00C06FBE" w:rsidRPr="002470BE" w:rsidRDefault="009519A7" w:rsidP="00965413">
      <w:pPr>
        <w:rPr>
          <w:rFonts w:ascii="Arial" w:hAnsi="Arial" w:cs="Arial"/>
          <w:sz w:val="24"/>
          <w:szCs w:val="24"/>
        </w:rPr>
      </w:pPr>
      <w:r w:rsidRPr="002470BE">
        <w:rPr>
          <w:rFonts w:ascii="Arial" w:hAnsi="Arial" w:cs="Arial"/>
          <w:sz w:val="24"/>
          <w:szCs w:val="24"/>
        </w:rPr>
        <w:t xml:space="preserve"> b) </w:t>
      </w:r>
      <w:r w:rsidRPr="002470BE">
        <w:rPr>
          <w:rFonts w:ascii="Arial" w:hAnsi="Arial" w:cs="Arial"/>
          <w:b/>
          <w:sz w:val="24"/>
          <w:szCs w:val="24"/>
        </w:rPr>
        <w:t>tipologie,</w:t>
      </w:r>
      <w:r w:rsidRPr="002470BE">
        <w:rPr>
          <w:rFonts w:ascii="Arial" w:hAnsi="Arial" w:cs="Arial"/>
          <w:sz w:val="24"/>
          <w:szCs w:val="24"/>
        </w:rPr>
        <w:t xml:space="preserve"> definite in base alla natura delle entrate, nell’ambito di ciascuna fonte di provenienza, ai fini dell’approvazione in termini di unità di voto. </w:t>
      </w:r>
    </w:p>
    <w:p w:rsidR="004F708A" w:rsidRPr="002470BE" w:rsidRDefault="009519A7" w:rsidP="00965413">
      <w:pPr>
        <w:rPr>
          <w:rFonts w:ascii="Arial" w:hAnsi="Arial" w:cs="Arial"/>
          <w:b/>
          <w:bCs/>
          <w:sz w:val="24"/>
          <w:szCs w:val="24"/>
        </w:rPr>
      </w:pPr>
      <w:r w:rsidRPr="002470BE">
        <w:rPr>
          <w:rFonts w:ascii="Arial" w:hAnsi="Arial" w:cs="Arial"/>
          <w:sz w:val="24"/>
          <w:szCs w:val="24"/>
        </w:rPr>
        <w:t xml:space="preserve"> Ai fini della gestione le tipologie sono ripartite in categorie, in capitoli ed eventualmente in articoli. La Giunta contestualmente alla proposta di bilancio trasmette, a fini conoscitivi, la proposta di articolazione delle tipologie in categorie. Le entrate in c/capitale e derivanti da debito sono destinate esclusivamente al finanziamento di spese di investimento e non possono essere impiegate per la spesa corrente</w:t>
      </w:r>
      <w:r w:rsidR="004F708A" w:rsidRPr="002470BE">
        <w:rPr>
          <w:rFonts w:ascii="Arial" w:hAnsi="Arial" w:cs="Arial"/>
          <w:b/>
          <w:bCs/>
          <w:sz w:val="24"/>
          <w:szCs w:val="24"/>
        </w:rPr>
        <w:t xml:space="preserve">                                     </w:t>
      </w:r>
    </w:p>
    <w:p w:rsidR="00C06FBE" w:rsidRPr="002470BE" w:rsidRDefault="00C06FBE" w:rsidP="00965413">
      <w:pPr>
        <w:jc w:val="both"/>
        <w:rPr>
          <w:rFonts w:ascii="Arial" w:hAnsi="Arial" w:cs="Arial"/>
          <w:b/>
          <w:sz w:val="24"/>
          <w:szCs w:val="24"/>
        </w:rPr>
      </w:pPr>
      <w:r w:rsidRPr="002470BE">
        <w:rPr>
          <w:rFonts w:ascii="Arial" w:hAnsi="Arial" w:cs="Arial"/>
          <w:sz w:val="24"/>
          <w:szCs w:val="24"/>
        </w:rPr>
        <w:t>Le previsioni di spesa del bilancio di previsione sono classificate in:</w:t>
      </w:r>
    </w:p>
    <w:p w:rsidR="00965413" w:rsidRPr="002470BE" w:rsidRDefault="00C06FBE" w:rsidP="00C06FBE">
      <w:pPr>
        <w:jc w:val="both"/>
        <w:rPr>
          <w:rFonts w:ascii="Arial" w:hAnsi="Arial" w:cs="Arial"/>
          <w:sz w:val="24"/>
          <w:szCs w:val="24"/>
        </w:rPr>
      </w:pPr>
      <w:r w:rsidRPr="002470BE">
        <w:rPr>
          <w:rFonts w:ascii="Arial" w:hAnsi="Arial" w:cs="Arial"/>
          <w:b/>
          <w:sz w:val="24"/>
          <w:szCs w:val="24"/>
        </w:rPr>
        <w:t>a)</w:t>
      </w:r>
      <w:r w:rsidR="00965413" w:rsidRPr="002470BE">
        <w:rPr>
          <w:rFonts w:ascii="Arial" w:hAnsi="Arial" w:cs="Arial"/>
          <w:b/>
          <w:sz w:val="24"/>
          <w:szCs w:val="24"/>
        </w:rPr>
        <w:t>Missioni</w:t>
      </w:r>
      <w:r w:rsidR="00965413" w:rsidRPr="002470BE">
        <w:rPr>
          <w:rFonts w:ascii="Arial" w:hAnsi="Arial" w:cs="Arial"/>
          <w:sz w:val="24"/>
          <w:szCs w:val="24"/>
        </w:rPr>
        <w:t>: rappresentano le funzioni principali e gli obiettivi strategici perseguiti dall’ente</w:t>
      </w:r>
      <w:r w:rsidR="000B6D11" w:rsidRPr="002470BE">
        <w:rPr>
          <w:rFonts w:ascii="Arial" w:hAnsi="Arial" w:cs="Arial"/>
          <w:sz w:val="24"/>
          <w:szCs w:val="24"/>
        </w:rPr>
        <w:t>, utilizzando risorse finanziarie, umane e strumentali ad esse destinate..</w:t>
      </w:r>
    </w:p>
    <w:p w:rsidR="00965413" w:rsidRPr="002470BE" w:rsidRDefault="00C06FBE" w:rsidP="00C06FBE">
      <w:pPr>
        <w:jc w:val="both"/>
        <w:rPr>
          <w:rFonts w:ascii="Arial" w:hAnsi="Arial" w:cs="Arial"/>
          <w:sz w:val="24"/>
          <w:szCs w:val="24"/>
        </w:rPr>
      </w:pPr>
      <w:r w:rsidRPr="002470BE">
        <w:rPr>
          <w:rFonts w:ascii="Arial" w:hAnsi="Arial" w:cs="Arial"/>
          <w:b/>
          <w:sz w:val="24"/>
          <w:szCs w:val="24"/>
        </w:rPr>
        <w:t>b)</w:t>
      </w:r>
      <w:r w:rsidR="00965413" w:rsidRPr="002470BE">
        <w:rPr>
          <w:rFonts w:ascii="Arial" w:hAnsi="Arial" w:cs="Arial"/>
          <w:b/>
          <w:sz w:val="24"/>
          <w:szCs w:val="24"/>
        </w:rPr>
        <w:t>Programmi:</w:t>
      </w:r>
      <w:r w:rsidR="00965413" w:rsidRPr="002470BE">
        <w:rPr>
          <w:rFonts w:ascii="Arial" w:hAnsi="Arial" w:cs="Arial"/>
          <w:sz w:val="24"/>
          <w:szCs w:val="24"/>
        </w:rPr>
        <w:t xml:space="preserve"> rappresentano gli aggregati omogenei di attività volte a perseguire gli obiettivi definiti dalle missioni.</w:t>
      </w:r>
      <w:r w:rsidR="000B6D11" w:rsidRPr="002470BE">
        <w:rPr>
          <w:rFonts w:ascii="Arial" w:hAnsi="Arial" w:cs="Arial"/>
          <w:sz w:val="24"/>
          <w:szCs w:val="24"/>
        </w:rPr>
        <w:t xml:space="preserve">  I programmi si articolano in titoli e, ai fini della gestione, sono ripartiti in macroaggregati, capitoli ed eventualmente in articoli. I capitoli e gli articoli, ove previsti, si raccordano con il quarto livello di articolazione del piano dei conti integrato La Giunta contestualmente alla proposta di bilancio trasmette, a fini conoscitivi, la proposta di articolazione dei programmi in macroaggregati.</w:t>
      </w:r>
    </w:p>
    <w:p w:rsidR="00965413" w:rsidRPr="002470BE" w:rsidRDefault="00965413" w:rsidP="00965413">
      <w:pPr>
        <w:jc w:val="both"/>
        <w:rPr>
          <w:rFonts w:ascii="Arial" w:hAnsi="Arial" w:cs="Arial"/>
          <w:sz w:val="24"/>
          <w:szCs w:val="24"/>
        </w:rPr>
      </w:pPr>
      <w:r w:rsidRPr="002470BE">
        <w:rPr>
          <w:rFonts w:ascii="Arial" w:hAnsi="Arial" w:cs="Arial"/>
          <w:sz w:val="24"/>
          <w:szCs w:val="24"/>
        </w:rPr>
        <w:t>La redazione del bilancio di previsione deve sottostare ad alcuni principi fondamentali:</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Unità</w:t>
      </w:r>
      <w:r w:rsidRPr="002470BE">
        <w:rPr>
          <w:rFonts w:ascii="Arial" w:hAnsi="Arial" w:cs="Arial"/>
          <w:sz w:val="24"/>
          <w:szCs w:val="24"/>
        </w:rPr>
        <w:t>: il totale delle entrate finanzia il totale delle spese, salvo le eccezioni previste dalla legge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Annualità</w:t>
      </w:r>
      <w:r w:rsidRPr="002470BE">
        <w:rPr>
          <w:rFonts w:ascii="Arial" w:hAnsi="Arial" w:cs="Arial"/>
          <w:sz w:val="24"/>
          <w:szCs w:val="24"/>
        </w:rPr>
        <w:t>: la durata è l’anno solare, decorso il quale non possono effettuarsi né accertamenti né impegni di spesa.</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Universalità ed integrità</w:t>
      </w:r>
      <w:r w:rsidRPr="002470BE">
        <w:rPr>
          <w:rFonts w:ascii="Arial" w:hAnsi="Arial" w:cs="Arial"/>
          <w:sz w:val="24"/>
          <w:szCs w:val="24"/>
        </w:rPr>
        <w:t>: l’universalità significa che l’ente ha un’unica gestione finanziaria, non essendo ammesse né contabilità separate e gestioni finanziarie fuori bilancio. L’integrità  implica che tutte le entrate e le spese siano iscritte in bilancio in modo integrale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Veridicità</w:t>
      </w:r>
      <w:r w:rsidRPr="002470BE">
        <w:rPr>
          <w:rFonts w:ascii="Arial" w:hAnsi="Arial" w:cs="Arial"/>
          <w:sz w:val="24"/>
          <w:szCs w:val="24"/>
        </w:rPr>
        <w:t>: le scritture di bilancio devono corrispondere a verità, ma questo principio sostanzialmente significa attendibilità delle previsioni del bilancio revisionale alle situazioni finanziarie dell’anno successivo.</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Pareggio finanziario</w:t>
      </w:r>
      <w:r w:rsidRPr="002470BE">
        <w:rPr>
          <w:rFonts w:ascii="Arial" w:hAnsi="Arial" w:cs="Arial"/>
          <w:sz w:val="24"/>
          <w:szCs w:val="24"/>
        </w:rPr>
        <w:t>: il totale delle previsioni di entrate deve esser uguale al totale delle previsioni di spesa nella fase revisionale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Pubblicità</w:t>
      </w:r>
      <w:r w:rsidRPr="002470BE">
        <w:rPr>
          <w:rFonts w:ascii="Arial" w:hAnsi="Arial" w:cs="Arial"/>
          <w:sz w:val="24"/>
          <w:szCs w:val="24"/>
        </w:rPr>
        <w:t>: il bilancio è un documento pubblico, infatti il comune deve assicurare ai cittadini la conoscenza del suo contenuto attraverso le modalità previste dallo statuto.</w:t>
      </w: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Il bilancio di previsione finanziario indica, per </w:t>
      </w:r>
      <w:r w:rsidRPr="002470BE">
        <w:rPr>
          <w:rFonts w:ascii="Arial" w:hAnsi="Arial" w:cs="Arial"/>
          <w:b/>
          <w:sz w:val="24"/>
          <w:szCs w:val="24"/>
        </w:rPr>
        <w:t>ciascuna unità di voto:</w:t>
      </w:r>
      <w:r w:rsidRPr="002470BE">
        <w:rPr>
          <w:rFonts w:ascii="Arial" w:hAnsi="Arial" w:cs="Arial"/>
          <w:sz w:val="24"/>
          <w:szCs w:val="24"/>
        </w:rPr>
        <w:t xml:space="preserve"> </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l'ammontare presunto dei residui attivi o passivi alla chiusura dell'esercizio precedente a quello cui il bilancio si riferisce</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 l’ammontare delle previsioni di competenza definitive dell’anno precedente a quello cui si riferisce il bilancio; </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l'ammontare delle entrate che si prevede di accertare o delle spese di cui si autorizza l'impegno negli esercizi cui il bilancio si riferisce; </w:t>
      </w:r>
    </w:p>
    <w:p w:rsidR="00965413"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d) l'ammontare delle entrate che si prevede di riscuotere o delle spese di cui si autorizza il pagamento nel primo esercizio considerato nel bilancio, senza distinzioni fra riscossioni e pagamenti in conto competenza e in conto residui.</w:t>
      </w:r>
    </w:p>
    <w:p w:rsidR="00572054" w:rsidRPr="002470BE" w:rsidRDefault="00572054" w:rsidP="00572054">
      <w:pPr>
        <w:tabs>
          <w:tab w:val="left" w:pos="360"/>
        </w:tabs>
        <w:suppressAutoHyphens/>
        <w:autoSpaceDE w:val="0"/>
        <w:spacing w:after="0" w:line="240" w:lineRule="auto"/>
        <w:jc w:val="both"/>
        <w:rPr>
          <w:rFonts w:ascii="Arial" w:hAnsi="Arial" w:cs="Arial"/>
          <w:sz w:val="24"/>
          <w:szCs w:val="24"/>
        </w:rPr>
      </w:pP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Nel bilancio di previsione finanziario, </w:t>
      </w:r>
      <w:r w:rsidRPr="002470BE">
        <w:rPr>
          <w:rFonts w:ascii="Arial" w:hAnsi="Arial" w:cs="Arial"/>
          <w:b/>
          <w:sz w:val="24"/>
          <w:szCs w:val="24"/>
        </w:rPr>
        <w:t>prima di tutte le entrate e le spese</w:t>
      </w:r>
      <w:r w:rsidRPr="002470BE">
        <w:rPr>
          <w:rFonts w:ascii="Arial" w:hAnsi="Arial" w:cs="Arial"/>
          <w:sz w:val="24"/>
          <w:szCs w:val="24"/>
        </w:rPr>
        <w:t xml:space="preserve">, sono iscritti: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a) in entrata, gli importi relativi al fondo pluriennale vincolato di parte corrente e del fondo pluriennale vincolato in c/capitale;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b) nell’entrata del primo esercizio, gli importi relativi all’utilizzo dell’avanzo di amministrazione presunto, con l’indicazione della quota vincolata del risultato di amministrazione utilizzata anticipatamente;</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c) in spesa, l’importo del disavanzo di amministrazione presunto al 31 dicembre dell’esercizio precedente cui il bilancio si riferisce.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d) in entrata, il fondo di cassa presunto dell’esercizio precedente.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 Nel bilancio, ciascun stanziamento di spesa , individua: </w:t>
      </w:r>
    </w:p>
    <w:p w:rsidR="009519A7" w:rsidRPr="002470BE" w:rsidRDefault="009519A7" w:rsidP="009519A7">
      <w:pPr>
        <w:pStyle w:val="Paragrafoelenco"/>
        <w:numPr>
          <w:ilvl w:val="0"/>
          <w:numId w:val="21"/>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la quota che è già stata impegnata negli esercizi precedenti con imputazione all’esercizio di riferimento; </w:t>
      </w:r>
    </w:p>
    <w:p w:rsidR="00572054" w:rsidRPr="002470BE" w:rsidRDefault="009519A7" w:rsidP="009519A7">
      <w:pPr>
        <w:pStyle w:val="Paragrafoelenco"/>
        <w:numPr>
          <w:ilvl w:val="0"/>
          <w:numId w:val="21"/>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la quota dello stanziamento di competenza costituita dal fondo pluriennale vincolato, destinata alla copertura degli impegni che sono stati assunti negli esercizi precedenti con imputazione agli esercizi successivi e degli impegni che si prevede di assumere nell’esercizio con imputazione agli esercizi successivi. Con riferimento a tale quota non è possibile impegnare e pagare con imputazione all’esercizio cui lo stanziamento si riferisce. Agli stanziamenti di spesa riguardanti il fondo pluriennale vincolato è attribuito il codice della missione e del programma di spesa cui il fondo si riferisce e il codice del piano dei conti relativo al fondo pluriennale vincolato</w:t>
      </w:r>
    </w:p>
    <w:p w:rsidR="00965413" w:rsidRPr="002470BE" w:rsidRDefault="00965413" w:rsidP="00965413">
      <w:pPr>
        <w:pStyle w:val="Default"/>
        <w:ind w:left="0"/>
        <w:rPr>
          <w:rFonts w:ascii="Arial" w:hAnsi="Arial" w:cs="Arial"/>
        </w:rPr>
      </w:pPr>
      <w:r w:rsidRPr="002470BE">
        <w:rPr>
          <w:rFonts w:ascii="Arial" w:hAnsi="Arial" w:cs="Arial"/>
        </w:rPr>
        <w:t xml:space="preserve">Nell’ambito della destinazione delle risorse tra le missioni dell’ente, e nel rispetto di quanto previsto dalla legge e dal documento di programmazione, la </w:t>
      </w:r>
      <w:r w:rsidRPr="002470BE">
        <w:rPr>
          <w:rFonts w:ascii="Arial" w:hAnsi="Arial" w:cs="Arial"/>
          <w:b/>
        </w:rPr>
        <w:t xml:space="preserve">funzione di ripartizione delle risorse </w:t>
      </w:r>
      <w:r w:rsidR="00572054" w:rsidRPr="002470BE">
        <w:rPr>
          <w:rFonts w:ascii="Arial" w:hAnsi="Arial" w:cs="Arial"/>
          <w:b/>
        </w:rPr>
        <w:t xml:space="preserve"> ai fini della GESTIONE, </w:t>
      </w:r>
      <w:r w:rsidRPr="002470BE">
        <w:rPr>
          <w:rFonts w:ascii="Arial" w:hAnsi="Arial" w:cs="Arial"/>
        </w:rPr>
        <w:t>in considerazione della natura economica della spesa, è svolta:</w:t>
      </w:r>
    </w:p>
    <w:p w:rsidR="00965413" w:rsidRPr="002470BE" w:rsidRDefault="00965413" w:rsidP="00965413">
      <w:pPr>
        <w:pStyle w:val="Default"/>
        <w:ind w:left="0"/>
        <w:rPr>
          <w:rFonts w:ascii="Arial" w:eastAsia="PMingLiU" w:hAnsi="Arial" w:cs="Arial"/>
          <w:i/>
          <w:lang w:eastAsia="zh-TW"/>
        </w:rPr>
      </w:pPr>
      <w:r w:rsidRPr="002470BE">
        <w:rPr>
          <w:rFonts w:ascii="Arial" w:hAnsi="Arial" w:cs="Arial"/>
        </w:rPr>
        <w:t xml:space="preserve">- </w:t>
      </w:r>
      <w:r w:rsidRPr="002470BE">
        <w:rPr>
          <w:rFonts w:ascii="Arial" w:hAnsi="Arial" w:cs="Arial"/>
          <w:u w:val="single"/>
        </w:rPr>
        <w:t>nelle regioni</w:t>
      </w:r>
      <w:r w:rsidRPr="002470BE">
        <w:rPr>
          <w:rFonts w:ascii="Arial" w:hAnsi="Arial" w:cs="Arial"/>
        </w:rPr>
        <w:t xml:space="preserve"> dalla Giunta, attraverso la ripartizione delle tipologie di entrata in categorie, e dei programmi in macroaggregati e dalla Giunta o dal Segretario generale (secondo quanto previsto dal regolamento di contabilità), attraverso la ripartizione delle tipologie e dei macroaggregati in capitoli ed eventualmente in articoli. Tale documenti costituiscono il D</w:t>
      </w:r>
      <w:r w:rsidRPr="002470BE">
        <w:rPr>
          <w:rFonts w:ascii="Arial" w:eastAsia="PMingLiU" w:hAnsi="Arial" w:cs="Arial"/>
          <w:lang w:eastAsia="zh-TW"/>
        </w:rPr>
        <w:t>ocumento Tecnico di accompagnamento al bilancio e il bilancio finanziario gestionale</w:t>
      </w:r>
      <w:r w:rsidRPr="002470BE">
        <w:rPr>
          <w:rFonts w:ascii="Arial" w:eastAsia="PMingLiU" w:hAnsi="Arial" w:cs="Arial"/>
          <w:i/>
          <w:lang w:eastAsia="zh-TW"/>
        </w:rPr>
        <w:t>;</w:t>
      </w:r>
    </w:p>
    <w:p w:rsidR="00965413" w:rsidRPr="002470BE" w:rsidRDefault="00965413" w:rsidP="00965413">
      <w:pPr>
        <w:pStyle w:val="Default"/>
        <w:ind w:left="0"/>
        <w:rPr>
          <w:rFonts w:ascii="Arial" w:eastAsia="PMingLiU" w:hAnsi="Arial" w:cs="Arial"/>
          <w:lang w:eastAsia="zh-TW"/>
        </w:rPr>
      </w:pPr>
      <w:r w:rsidRPr="002470BE">
        <w:rPr>
          <w:rFonts w:ascii="Arial" w:eastAsia="PMingLiU" w:hAnsi="Arial" w:cs="Arial"/>
          <w:lang w:eastAsia="zh-TW"/>
        </w:rPr>
        <w:t xml:space="preserve">- </w:t>
      </w:r>
      <w:r w:rsidRPr="002470BE">
        <w:rPr>
          <w:rFonts w:ascii="Arial" w:eastAsia="PMingLiU" w:hAnsi="Arial" w:cs="Arial"/>
          <w:u w:val="single"/>
          <w:lang w:eastAsia="zh-TW"/>
        </w:rPr>
        <w:t>negli enti locali</w:t>
      </w:r>
      <w:r w:rsidRPr="002470BE">
        <w:rPr>
          <w:rFonts w:ascii="Arial" w:eastAsia="PMingLiU" w:hAnsi="Arial" w:cs="Arial"/>
          <w:lang w:eastAsia="zh-TW"/>
        </w:rPr>
        <w:t xml:space="preserve"> </w:t>
      </w:r>
      <w:r w:rsidRPr="002470BE">
        <w:rPr>
          <w:rFonts w:ascii="Arial" w:hAnsi="Arial" w:cs="Arial"/>
        </w:rPr>
        <w:t>dalla Giunta, attraverso la ripartizione delle tipologie di entrata in categorie, capitoli ed eventualmente in articoli e dei programmi di spesa in macroaggregati,  capitoli ed eventualmente in articoli. Tale documento costituisce</w:t>
      </w:r>
      <w:r w:rsidRPr="002470BE">
        <w:rPr>
          <w:rFonts w:ascii="Arial" w:eastAsia="PMingLiU" w:hAnsi="Arial" w:cs="Arial"/>
          <w:lang w:eastAsia="zh-TW"/>
        </w:rPr>
        <w:t xml:space="preserve"> il piano esecutivo di gestione.</w:t>
      </w:r>
    </w:p>
    <w:p w:rsidR="004F708A" w:rsidRPr="002470BE" w:rsidRDefault="004F708A" w:rsidP="004F708A">
      <w:pPr>
        <w:pStyle w:val="Paragrafoelenco1"/>
        <w:suppressAutoHyphens/>
        <w:spacing w:before="60" w:after="60"/>
        <w:ind w:left="142"/>
        <w:rPr>
          <w:rFonts w:ascii="Arial" w:hAnsi="Arial" w:cs="Arial"/>
        </w:rPr>
      </w:pPr>
      <w:r w:rsidRPr="002470BE">
        <w:rPr>
          <w:rFonts w:ascii="Arial" w:hAnsi="Arial" w:cs="Arial"/>
        </w:rPr>
        <w:t xml:space="preserve">Gli stanziamenti di spesa del bilancio di previsione finanziario riguardanti gli esercizi finanziari cui il bilancio si riferisce hanno natura </w:t>
      </w:r>
      <w:proofErr w:type="spellStart"/>
      <w:r w:rsidRPr="002470BE">
        <w:rPr>
          <w:rFonts w:ascii="Arial" w:hAnsi="Arial" w:cs="Arial"/>
        </w:rPr>
        <w:t>autorizzatoria</w:t>
      </w:r>
      <w:proofErr w:type="spellEnd"/>
      <w:r w:rsidRPr="002470BE">
        <w:rPr>
          <w:rFonts w:ascii="Arial" w:hAnsi="Arial" w:cs="Arial"/>
        </w:rPr>
        <w:t xml:space="preserve">, costituendo limite agli impegni ed ai pagamenti, con l’esclusione delle </w:t>
      </w:r>
      <w:r w:rsidRPr="002470BE">
        <w:rPr>
          <w:rFonts w:ascii="Arial" w:hAnsi="Arial" w:cs="Arial"/>
          <w:color w:val="000000"/>
        </w:rPr>
        <w:t xml:space="preserve">previsioni riguardanti i  rimborsi delle anticipazioni di tesoreria e </w:t>
      </w:r>
      <w:r w:rsidRPr="002470BE">
        <w:rPr>
          <w:rFonts w:ascii="Arial" w:hAnsi="Arial" w:cs="Arial"/>
        </w:rPr>
        <w:t>le partite di giro/servizi per conto di terzi i cui stanziamenti n</w:t>
      </w:r>
      <w:r w:rsidRPr="002470BE">
        <w:rPr>
          <w:rFonts w:ascii="Arial" w:hAnsi="Arial" w:cs="Arial"/>
          <w:color w:val="000000"/>
        </w:rPr>
        <w:t>on comportano limiti alla gestione.</w:t>
      </w:r>
    </w:p>
    <w:p w:rsidR="004F708A" w:rsidRPr="002470BE" w:rsidRDefault="004F708A" w:rsidP="004F708A">
      <w:pPr>
        <w:pStyle w:val="Paragrafoelenco1"/>
        <w:suppressAutoHyphens/>
        <w:spacing w:before="60" w:after="60"/>
        <w:ind w:left="142"/>
        <w:rPr>
          <w:rFonts w:ascii="Arial" w:hAnsi="Arial" w:cs="Arial"/>
        </w:rPr>
      </w:pPr>
    </w:p>
    <w:p w:rsidR="004F708A" w:rsidRPr="002470BE" w:rsidRDefault="004F708A" w:rsidP="004F708A">
      <w:pPr>
        <w:pStyle w:val="Paragrafoelenco1"/>
        <w:suppressAutoHyphens/>
        <w:spacing w:before="60" w:after="60"/>
        <w:ind w:left="142"/>
        <w:rPr>
          <w:rFonts w:ascii="Arial" w:hAnsi="Arial" w:cs="Arial"/>
        </w:rPr>
      </w:pPr>
      <w:r w:rsidRPr="002470BE">
        <w:rPr>
          <w:rFonts w:ascii="Arial" w:hAnsi="Arial" w:cs="Arial"/>
        </w:rPr>
        <w:t xml:space="preserve">Hanno natura </w:t>
      </w:r>
      <w:proofErr w:type="spellStart"/>
      <w:r w:rsidRPr="002470BE">
        <w:rPr>
          <w:rFonts w:ascii="Arial" w:hAnsi="Arial" w:cs="Arial"/>
        </w:rPr>
        <w:t>autorizzatoria</w:t>
      </w:r>
      <w:proofErr w:type="spellEnd"/>
      <w:r w:rsidRPr="002470BE">
        <w:rPr>
          <w:rFonts w:ascii="Arial" w:hAnsi="Arial" w:cs="Arial"/>
        </w:rPr>
        <w:t xml:space="preserve"> anche gli stanziamenti di entrata riguardanti le accensione di prestiti.</w:t>
      </w:r>
    </w:p>
    <w:p w:rsidR="00965413" w:rsidRPr="002470BE" w:rsidRDefault="004F708A" w:rsidP="004F708A">
      <w:pPr>
        <w:tabs>
          <w:tab w:val="left" w:pos="360"/>
        </w:tabs>
        <w:suppressAutoHyphens/>
        <w:autoSpaceDE w:val="0"/>
        <w:spacing w:after="0" w:line="240" w:lineRule="auto"/>
        <w:jc w:val="both"/>
        <w:rPr>
          <w:rFonts w:ascii="Arial" w:hAnsi="Arial" w:cs="Arial"/>
          <w:color w:val="000000"/>
          <w:sz w:val="24"/>
          <w:szCs w:val="24"/>
        </w:rPr>
      </w:pPr>
      <w:r w:rsidRPr="002470BE">
        <w:rPr>
          <w:rFonts w:ascii="Arial" w:hAnsi="Arial" w:cs="Arial"/>
          <w:color w:val="000000"/>
          <w:sz w:val="24"/>
          <w:szCs w:val="24"/>
        </w:rPr>
        <w:t xml:space="preserve">A seguito di eventi intervenuti successivamente all’approvazione del bilancio la giunta, nelle more della necessaria variazione di bilancio, può limitare la natura </w:t>
      </w:r>
      <w:proofErr w:type="spellStart"/>
      <w:r w:rsidRPr="002470BE">
        <w:rPr>
          <w:rFonts w:ascii="Arial" w:hAnsi="Arial" w:cs="Arial"/>
          <w:color w:val="000000"/>
          <w:sz w:val="24"/>
          <w:szCs w:val="24"/>
        </w:rPr>
        <w:t>autorizzatoria</w:t>
      </w:r>
      <w:proofErr w:type="spellEnd"/>
      <w:r w:rsidRPr="002470BE">
        <w:rPr>
          <w:rFonts w:ascii="Arial" w:hAnsi="Arial" w:cs="Arial"/>
          <w:color w:val="000000"/>
          <w:sz w:val="24"/>
          <w:szCs w:val="24"/>
        </w:rPr>
        <w:t xml:space="preserve"> degli stanziamenti di tutti gli esercizi considerati del bilancio, al solo fine di garantire gli equilibri di bilancio</w:t>
      </w:r>
      <w:r w:rsidR="0054738F" w:rsidRPr="002470BE">
        <w:rPr>
          <w:rFonts w:ascii="Arial" w:hAnsi="Arial" w:cs="Arial"/>
          <w:color w:val="000000"/>
          <w:sz w:val="24"/>
          <w:szCs w:val="24"/>
        </w:rPr>
        <w:t>, quando si prevede un disavanzo della gestione finanziaria e possiamo correre ai rimedi.</w:t>
      </w:r>
    </w:p>
    <w:p w:rsidR="0054738F" w:rsidRPr="002470BE" w:rsidRDefault="0054738F" w:rsidP="004F708A">
      <w:pPr>
        <w:tabs>
          <w:tab w:val="left" w:pos="360"/>
        </w:tabs>
        <w:suppressAutoHyphens/>
        <w:autoSpaceDE w:val="0"/>
        <w:spacing w:after="0" w:line="240" w:lineRule="auto"/>
        <w:jc w:val="both"/>
        <w:rPr>
          <w:rFonts w:ascii="Arial" w:hAnsi="Arial" w:cs="Arial"/>
          <w:sz w:val="24"/>
          <w:szCs w:val="24"/>
        </w:rPr>
      </w:pPr>
    </w:p>
    <w:p w:rsidR="0054738F" w:rsidRPr="002470BE" w:rsidRDefault="0054738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Per effetto della natura </w:t>
      </w:r>
      <w:proofErr w:type="spellStart"/>
      <w:r w:rsidRPr="002470BE">
        <w:rPr>
          <w:rFonts w:ascii="Arial" w:hAnsi="Arial" w:cs="Arial"/>
          <w:sz w:val="24"/>
          <w:szCs w:val="24"/>
        </w:rPr>
        <w:t>autorizzatoria</w:t>
      </w:r>
      <w:proofErr w:type="spellEnd"/>
      <w:r w:rsidRPr="002470BE">
        <w:rPr>
          <w:rFonts w:ascii="Arial" w:hAnsi="Arial" w:cs="Arial"/>
          <w:sz w:val="24"/>
          <w:szCs w:val="24"/>
        </w:rPr>
        <w:t xml:space="preserve"> attribuita alle previsioni di tutti gli esercizi considerati nel bilancio:</w:t>
      </w:r>
    </w:p>
    <w:p w:rsidR="0054738F" w:rsidRPr="002470BE" w:rsidRDefault="0054738F" w:rsidP="0054738F">
      <w:pPr>
        <w:pStyle w:val="Rientrocorpodeltesto2"/>
        <w:spacing w:line="240" w:lineRule="auto"/>
        <w:ind w:left="142"/>
        <w:contextualSpacing/>
        <w:rPr>
          <w:rFonts w:ascii="Arial" w:hAnsi="Arial" w:cs="Arial"/>
          <w:color w:val="000000"/>
          <w:sz w:val="24"/>
          <w:szCs w:val="24"/>
          <w:lang w:eastAsia="it-IT"/>
        </w:rPr>
      </w:pPr>
      <w:r w:rsidRPr="002470BE">
        <w:rPr>
          <w:rFonts w:ascii="Arial" w:hAnsi="Arial" w:cs="Arial"/>
          <w:sz w:val="24"/>
          <w:szCs w:val="24"/>
        </w:rPr>
        <w:t xml:space="preserve">- possono essere assunte obbligazioni concernenti </w:t>
      </w:r>
      <w:r w:rsidRPr="002470BE">
        <w:rPr>
          <w:rFonts w:ascii="Arial" w:hAnsi="Arial" w:cs="Arial"/>
          <w:i/>
          <w:sz w:val="24"/>
          <w:szCs w:val="24"/>
        </w:rPr>
        <w:t>spese correnti</w:t>
      </w:r>
      <w:r w:rsidRPr="002470BE">
        <w:rPr>
          <w:rFonts w:ascii="Arial" w:hAnsi="Arial" w:cs="Arial"/>
          <w:sz w:val="24"/>
          <w:szCs w:val="24"/>
        </w:rPr>
        <w:t>, imputabili anche agli esercizi considerati nel bilancio di previsione successivi al primo, riguardanti</w:t>
      </w:r>
      <w:r w:rsidRPr="002470BE">
        <w:rPr>
          <w:rFonts w:ascii="Arial" w:hAnsi="Arial" w:cs="Arial"/>
          <w:color w:val="000000"/>
          <w:sz w:val="24"/>
          <w:szCs w:val="24"/>
          <w:lang w:eastAsia="it-IT"/>
        </w:rPr>
        <w:t xml:space="preserve"> contratti o convenzioni pluriennali o  necessarie per garantire la continuità dei servizi connessi con le funzioni fondamentali, nel rispetto di quanto previsto nei documenti di programmazione e fatta salva la costante verifica del mantenimento degli equilibri di bilancio, anche con riferimento agli esercizi successivi al primo;</w:t>
      </w:r>
    </w:p>
    <w:p w:rsidR="0035661F" w:rsidRPr="002470BE" w:rsidRDefault="0054738F" w:rsidP="0054738F">
      <w:pPr>
        <w:pStyle w:val="Rientrocorpodeltesto2"/>
        <w:spacing w:line="240" w:lineRule="auto"/>
        <w:ind w:left="142"/>
        <w:contextualSpacing/>
        <w:rPr>
          <w:rFonts w:ascii="Arial" w:hAnsi="Arial" w:cs="Arial"/>
          <w:color w:val="000000"/>
          <w:sz w:val="24"/>
          <w:szCs w:val="24"/>
        </w:rPr>
      </w:pPr>
      <w:r w:rsidRPr="002470BE">
        <w:rPr>
          <w:rFonts w:ascii="Arial" w:hAnsi="Arial" w:cs="Arial"/>
          <w:color w:val="000000"/>
          <w:sz w:val="24"/>
          <w:szCs w:val="24"/>
          <w:lang w:eastAsia="it-IT"/>
        </w:rPr>
        <w:t xml:space="preserve">- possono essere assunte obbligazioni concernenti </w:t>
      </w:r>
      <w:r w:rsidRPr="002470BE">
        <w:rPr>
          <w:rFonts w:ascii="Arial" w:hAnsi="Arial" w:cs="Arial"/>
          <w:i/>
          <w:color w:val="000000"/>
          <w:sz w:val="24"/>
          <w:szCs w:val="24"/>
          <w:lang w:eastAsia="it-IT"/>
        </w:rPr>
        <w:t>spese di investimento</w:t>
      </w:r>
      <w:r w:rsidRPr="002470BE">
        <w:rPr>
          <w:rFonts w:ascii="Arial" w:hAnsi="Arial" w:cs="Arial"/>
          <w:color w:val="000000"/>
          <w:sz w:val="24"/>
          <w:szCs w:val="24"/>
          <w:lang w:eastAsia="it-IT"/>
        </w:rPr>
        <w:t xml:space="preserve"> imputabili anche agli esercizi considerati nel bilancio di previsione successivi al primo, </w:t>
      </w:r>
      <w:r w:rsidRPr="002470BE">
        <w:rPr>
          <w:rFonts w:ascii="Arial" w:hAnsi="Arial" w:cs="Arial"/>
          <w:sz w:val="24"/>
          <w:szCs w:val="24"/>
        </w:rPr>
        <w:t xml:space="preserve"> a condizione </w:t>
      </w:r>
      <w:r w:rsidRPr="002470BE">
        <w:rPr>
          <w:rFonts w:ascii="Arial" w:hAnsi="Arial" w:cs="Arial"/>
          <w:color w:val="000000"/>
          <w:sz w:val="24"/>
          <w:szCs w:val="24"/>
        </w:rPr>
        <w:t xml:space="preserve">di aver predisposto la  copertura finanziaria per l’effettuazione della complessiva spesa dell’investimento dal momento in cui sorge l’obbligazione, anche se la forma di  copertura è stata già indicata nell’elenco annuale del piano delle opere pubbliche </w:t>
      </w:r>
    </w:p>
    <w:p w:rsidR="00C06FBE" w:rsidRPr="002470BE" w:rsidRDefault="00C06FBE" w:rsidP="0054738F">
      <w:pPr>
        <w:pStyle w:val="Rientrocorpodeltesto2"/>
        <w:spacing w:line="240" w:lineRule="auto"/>
        <w:ind w:left="142"/>
        <w:contextualSpacing/>
        <w:rPr>
          <w:rFonts w:ascii="Arial" w:hAnsi="Arial" w:cs="Arial"/>
          <w:color w:val="000000"/>
          <w:sz w:val="24"/>
          <w:szCs w:val="24"/>
        </w:rPr>
      </w:pPr>
      <w:r w:rsidRPr="002470BE">
        <w:rPr>
          <w:rFonts w:ascii="Arial" w:hAnsi="Arial" w:cs="Arial"/>
          <w:color w:val="000000"/>
          <w:sz w:val="24"/>
          <w:szCs w:val="24"/>
        </w:rPr>
        <w:t>FONDI E ACCANTONAMENTI</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color w:val="000000"/>
          <w:sz w:val="24"/>
          <w:szCs w:val="24"/>
        </w:rPr>
        <w:t xml:space="preserve">Nella missione Fondi e accantonamenti all’interno del programma 20 secondo gli schemi di bilancio previsti dall’allegato 9, esiste un fondo crediti di dubbia esigibilità   </w:t>
      </w:r>
      <w:r w:rsidRPr="002470BE">
        <w:rPr>
          <w:rFonts w:ascii="Arial" w:hAnsi="Arial" w:cs="Arial"/>
          <w:sz w:val="24"/>
          <w:szCs w:val="24"/>
        </w:rPr>
        <w:t>il cui ammontare è determinato in considerazione dell’importo degli stanziamenti di entrata di dubbia e difficile esazione</w:t>
      </w:r>
    </w:p>
    <w:p w:rsidR="0000293C" w:rsidRPr="002470BE" w:rsidRDefault="0000293C"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Rappresenta un accantonamento di risorse volto a fronteggiare il rischio dell’effettivo realizzo dei residui attivi ed a limitare la spesa finanziata con i crediti di dubbia esigibilità (Il fondo crediti di dubbia esigibilità è una voce che deriva dal fondo svalutazione crediti, posta contabile mutuata dall’esperienza aziendalistica che nasce allo scopo di limitare l’utilizzo, sul fronte della spesa, di entrate di incerta esigibilità.)</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le entrate di dubbia e difficile esazione sono accertate per l’intero importo del credito, anche se non è certa la loro riscossione integrale (ad es. le sanzioni amministrative al codice della strada, gli oneri di urbanizzazione, ecc.);</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le entrate di dubbia e difficile esazione è vietato il cd. accertamento per cassa;</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tali crediti è obbligatorio effettuare un accantonamento al fondo crediti di dubbia esigibilità nel bilancio di previsione e vincolare una quota del risultato di amministrazione in sede di rendiconto</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Ma a cosa serve ? Nel corso di ciascun esercizio, il FCDE impedisce l’utilizzo di entrate esigibili nell’esercizio, ma di dubbia e difficile esazione, a copertura di spese esigibili nel medesimo esercizio</w:t>
      </w:r>
    </w:p>
    <w:p w:rsidR="00A66F03" w:rsidRPr="002470BE" w:rsidRDefault="00A66F03" w:rsidP="0054738F">
      <w:pPr>
        <w:pStyle w:val="Rientrocorpodeltesto2"/>
        <w:spacing w:line="240" w:lineRule="auto"/>
        <w:ind w:left="142"/>
        <w:contextualSpacing/>
        <w:rPr>
          <w:rFonts w:ascii="Arial" w:hAnsi="Arial" w:cs="Arial"/>
          <w:sz w:val="24"/>
          <w:szCs w:val="24"/>
        </w:rPr>
      </w:pP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Con riferimento all’accantonamento nel bilancio di previsione, il principio applicato n. 3.3 precisa che tra le spese di ciascun esercizio deve essere stanziata un’apposita posta contabile (di parte corrente i in c/capitale), denominata “accantonamento al fondo crediti di dubbia esigibilità”, il cui ammontare è determinato in relazione: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alla dimensione degli stanziamenti relativi ai crediti di dubbia e difficile esazione che si prevede si formeranno nell’esercizio;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alla loro natura;</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alla capacità di riscossione dei crediti di dubbia e difficile esazione nei precedenti cinque esercizi.</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Non richiedono l’accantonamento al Fondo, in quanto considerate sicure: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i crediti da altre amministrazioni pubbliche, in quanto entrate destinate ad essere accertate a seguito dell’impegno da parte dell’amministrazione erogante;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i crediti assistiti da fidejussione;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le entrate tributarie che, sulla base dei nuovi principi, sono accertate per cassa;</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le entrate riscosse per conto di altro ente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Nel bilancio di previsione occorre quindi iniziare ad individuare le seguenti situazioni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1) individuare le tipologie di entrate stanziate che possono dar luogo a crediti di dubbia e difficile esazione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2) calcolare, per ciascuna entrata di dubbia esigibilità, la media del rapporto tra gli incassi in c/competenza e gli accertamenti degli ultimi 5 esercizi approvati</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3) determinare l’importo dell’accantonamento al Fondo, applicando agli stanziamenti le percentuali  determinate a livello statale nel </w:t>
      </w:r>
      <w:proofErr w:type="spellStart"/>
      <w:r w:rsidRPr="002470BE">
        <w:rPr>
          <w:rFonts w:ascii="Arial" w:hAnsi="Arial" w:cs="Arial"/>
          <w:sz w:val="24"/>
          <w:szCs w:val="24"/>
        </w:rPr>
        <w:t>dlgs</w:t>
      </w:r>
      <w:proofErr w:type="spellEnd"/>
      <w:r w:rsidRPr="002470BE">
        <w:rPr>
          <w:rFonts w:ascii="Arial" w:hAnsi="Arial" w:cs="Arial"/>
          <w:sz w:val="24"/>
          <w:szCs w:val="24"/>
        </w:rPr>
        <w:t xml:space="preserve"> 118/2011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Al fine di consentire un avvio graduale dell’accantonamento al FCDE, è possibile stanziare nel bilancio di previsione: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nel primo esercizio una quota almeno pari al 36% dell’importo dell’accantonamento correttamente quantificato e rappresentato nel prospetto relativo al FCDE allegato al bilancio di previsione (55% per gli enti sperimentatori);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nel secondo esercizio una quota pari almeno al 55% dell’accantonamento, nel terzo esercizio una quota pari almeno al 70% dell’accantonamento, nel quarto esercizio una quota pari almeno al 85% dell’accantonamento ed infine, nel quinto esercizio, un accantonamento pari al 100%.</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b/>
          <w:sz w:val="24"/>
          <w:szCs w:val="24"/>
        </w:rPr>
        <w:t>In occasione del rendiconto</w:t>
      </w:r>
      <w:r w:rsidRPr="002470BE">
        <w:rPr>
          <w:rFonts w:ascii="Arial" w:hAnsi="Arial" w:cs="Arial"/>
          <w:sz w:val="24"/>
          <w:szCs w:val="24"/>
        </w:rPr>
        <w:t xml:space="preserve">, se il FCDE :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è inferiore all’importo considerato congruo, è incrementata la quota del risultato di amministrazione dedicata al Fondo;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risulta superiore all’importo considerato congruo, si procede allo svincolo della quota di risultato di amministrazione non necessaria</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A seguito del </w:t>
      </w:r>
      <w:proofErr w:type="spellStart"/>
      <w:r w:rsidRPr="002470BE">
        <w:rPr>
          <w:rFonts w:ascii="Arial" w:hAnsi="Arial" w:cs="Arial"/>
          <w:sz w:val="24"/>
          <w:szCs w:val="24"/>
        </w:rPr>
        <w:t>riaccertamento</w:t>
      </w:r>
      <w:proofErr w:type="spellEnd"/>
      <w:r w:rsidRPr="002470BE">
        <w:rPr>
          <w:rFonts w:ascii="Arial" w:hAnsi="Arial" w:cs="Arial"/>
          <w:sz w:val="24"/>
          <w:szCs w:val="24"/>
        </w:rPr>
        <w:t xml:space="preserve">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p>
    <w:p w:rsidR="00A66F03" w:rsidRPr="002470BE" w:rsidRDefault="00A66F03" w:rsidP="0054738F">
      <w:pPr>
        <w:pStyle w:val="Rientrocorpodeltesto2"/>
        <w:spacing w:line="240" w:lineRule="auto"/>
        <w:ind w:left="142"/>
        <w:contextualSpacing/>
        <w:rPr>
          <w:rFonts w:ascii="Arial" w:hAnsi="Arial" w:cs="Arial"/>
          <w:sz w:val="24"/>
          <w:szCs w:val="24"/>
        </w:rPr>
      </w:pPr>
    </w:p>
    <w:p w:rsidR="0000293C"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FCDE è utilizzato in caso di cancellazione dei crediti dal conto del bilancio, riducendo di pari importo la quota di accantonamento nel risultato di amministrazione. </w:t>
      </w:r>
    </w:p>
    <w:p w:rsidR="0000293C"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 seguito della cancellazione dei crediti dalle scritture finanziarie, è necessario adeguare l’accantonamento all’importo </w:t>
      </w:r>
      <w:proofErr w:type="spellStart"/>
      <w:r w:rsidRPr="002470BE">
        <w:rPr>
          <w:rFonts w:ascii="Arial" w:hAnsi="Arial" w:cs="Arial"/>
          <w:sz w:val="24"/>
          <w:szCs w:val="24"/>
        </w:rPr>
        <w:t>riaccertato</w:t>
      </w:r>
      <w:proofErr w:type="spellEnd"/>
      <w:r w:rsidRPr="002470BE">
        <w:rPr>
          <w:rFonts w:ascii="Arial" w:hAnsi="Arial" w:cs="Arial"/>
          <w:sz w:val="24"/>
          <w:szCs w:val="24"/>
        </w:rPr>
        <w:t xml:space="preserve"> dei residui attivi.</w:t>
      </w:r>
    </w:p>
    <w:p w:rsidR="00A66F03" w:rsidRPr="002470BE" w:rsidRDefault="00A66F03" w:rsidP="0054738F">
      <w:pPr>
        <w:pStyle w:val="Rientrocorpodeltesto2"/>
        <w:spacing w:line="240" w:lineRule="auto"/>
        <w:ind w:left="142"/>
        <w:contextualSpacing/>
        <w:rPr>
          <w:rFonts w:ascii="Arial" w:hAnsi="Arial" w:cs="Arial"/>
          <w:sz w:val="24"/>
          <w:szCs w:val="24"/>
        </w:rPr>
      </w:pPr>
    </w:p>
    <w:p w:rsidR="00A66F03" w:rsidRPr="002470BE" w:rsidRDefault="00A66F03" w:rsidP="0054738F">
      <w:pPr>
        <w:pStyle w:val="Rientrocorpodeltesto2"/>
        <w:spacing w:line="240" w:lineRule="auto"/>
        <w:ind w:left="142"/>
        <w:contextualSpacing/>
        <w:rPr>
          <w:rFonts w:ascii="Arial" w:hAnsi="Arial" w:cs="Arial"/>
          <w:color w:val="000000"/>
          <w:sz w:val="24"/>
          <w:szCs w:val="24"/>
        </w:rPr>
      </w:pPr>
    </w:p>
    <w:p w:rsidR="000B6D11" w:rsidRPr="002470BE" w:rsidRDefault="000B6D11" w:rsidP="0054738F">
      <w:pPr>
        <w:pStyle w:val="Rientrocorpodeltesto2"/>
        <w:spacing w:line="240" w:lineRule="auto"/>
        <w:ind w:left="142"/>
        <w:contextualSpacing/>
        <w:rPr>
          <w:rFonts w:ascii="Arial" w:hAnsi="Arial" w:cs="Arial"/>
          <w:b/>
          <w:color w:val="000000"/>
          <w:sz w:val="24"/>
          <w:szCs w:val="24"/>
        </w:rPr>
      </w:pPr>
    </w:p>
    <w:p w:rsidR="0035661F" w:rsidRDefault="0035661F" w:rsidP="0054738F">
      <w:pPr>
        <w:pStyle w:val="Rientrocorpodeltesto2"/>
        <w:spacing w:line="240" w:lineRule="auto"/>
        <w:ind w:left="142"/>
        <w:contextualSpacing/>
        <w:rPr>
          <w:rFonts w:ascii="Arial" w:hAnsi="Arial" w:cs="Arial"/>
          <w:b/>
          <w:sz w:val="24"/>
          <w:szCs w:val="24"/>
        </w:rPr>
      </w:pPr>
    </w:p>
    <w:p w:rsidR="000B6D11" w:rsidRPr="002470BE" w:rsidRDefault="000B6D11" w:rsidP="0054738F">
      <w:pPr>
        <w:pStyle w:val="Rientrocorpodeltesto2"/>
        <w:spacing w:line="240" w:lineRule="auto"/>
        <w:ind w:left="142"/>
        <w:contextualSpacing/>
        <w:rPr>
          <w:rFonts w:ascii="Arial" w:hAnsi="Arial" w:cs="Arial"/>
          <w:sz w:val="24"/>
          <w:szCs w:val="24"/>
        </w:rPr>
      </w:pPr>
      <w:r w:rsidRPr="002470BE">
        <w:rPr>
          <w:rFonts w:ascii="Arial" w:hAnsi="Arial" w:cs="Arial"/>
          <w:b/>
          <w:sz w:val="24"/>
          <w:szCs w:val="24"/>
        </w:rPr>
        <w:t>Piano degli indicatori e dei risultati attesi di bilancio</w:t>
      </w:r>
      <w:r w:rsidRPr="002470BE">
        <w:rPr>
          <w:rFonts w:ascii="Arial" w:hAnsi="Arial" w:cs="Arial"/>
          <w:sz w:val="24"/>
          <w:szCs w:val="24"/>
        </w:rPr>
        <w:t xml:space="preserve"> Al fine di consentire la comparazione dei bilanci, gli enti adottano un sistema di indicatori semplici, denominato “Piano degli indicatori e dei risultati attesi di bilancio” misurabili e riferiti ai programmi e agli altri aggregati del bilancio, costruiti secondo criteri e metodologie comuni. Le regioni e i loro enti ed organismi strumentali, entro 30 giorni dall’approvazione del bilancio di previsione o del budget di esercizio e del bilancio consuntivo o del bilancio di esercizio, presentano il documento il quale è parte integrante dei documenti di programmazione e di bilancio di ciascuna amministrazione pubblica. Il sistema comune di indicatori di risultato delle Regioni e dei loro enti ed organismi strumentali, è definito con decreto del ministero dell’economia e delle finanze su proposta della Commissione sull’armonizzazione contabile degli enti territoriali. Il sistema comune di indicatori di risultato degli enti locali e dei loro enti ed organismi strumentali, è definito con decreto del ministero dell’interno, su proposta della Commissione sull’armonizzazione contabile degli enti territoriali. L’adozione del Piano è obbligatoria </w:t>
      </w:r>
    </w:p>
    <w:p w:rsidR="00CD247F" w:rsidRPr="002470BE" w:rsidRDefault="00CD247F"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FONDO PLURIENNALE VINCOLATO</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 Fondo Pluriennale Vincolato (FVP) è costituito da risorse accertate in un determinato esercizio, destinate al finanziamento di spese già impegnate ma esigibili in esercizi successivi</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principio contabile 4.2. precisa che deve essere garantita « la piena copertura finanziaria degli impegni di spesa giuridicamente assunti a prescindere dall’esercizio finanziario in cui gli stessi sono imputati (ESEMPIO REALIZZAZIONE OPERA PUBBLICA in più anni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Le entrate vincolate destinate alla copertura di spese impegnate e imputate agli esercizi successivi sono rappresentate nel fondo pluriennale vincolato.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Le entrate vincolate destinate alla copertura di spese non ancora impegnate (in assenza di obbligazioni giuridicamente perfezionate) sono rappresentate contabilmente nella quota vincolata del risultato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Non è corretto costituire il fondo pluriennale vincolato: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a fronte di entrate vincolate non ancora spese, ovvero in assenza dei correlati impegni, imputati agli esercizi successivi;</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le spese pluriennali finanziate da entrate pluriennali;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per le entrate vincolate destinate a dare copertura a spese impegnate e imputate allo stesso esercizio in cui l’entrata è accertata e imputata.</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Di norma, il fondo pluriennale vincolato è costituito solo da entrate vincolate derivanti da: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a) vincoli di legge,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b)debiti per il finanziamento di investimenti, </w:t>
      </w:r>
    </w:p>
    <w:p w:rsidR="0094729F"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c) trasferimenti a destinazione vincolata, </w:t>
      </w:r>
    </w:p>
    <w:p w:rsidR="0094729F"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d)vincoli stabiliti dall’ente per entrate straordinarie, non aventi natura ricorrente, accertate e riscosse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fondo pluriennale vincolato può essere costituito da entrate non vincolate se costituito in occasione del </w:t>
      </w:r>
      <w:proofErr w:type="spellStart"/>
      <w:r w:rsidRPr="002470BE">
        <w:rPr>
          <w:rFonts w:ascii="Arial" w:hAnsi="Arial" w:cs="Arial"/>
          <w:sz w:val="24"/>
          <w:szCs w:val="24"/>
        </w:rPr>
        <w:t>riaccertamento</w:t>
      </w:r>
      <w:proofErr w:type="spellEnd"/>
      <w:r w:rsidRPr="002470BE">
        <w:rPr>
          <w:rFonts w:ascii="Arial" w:hAnsi="Arial" w:cs="Arial"/>
          <w:sz w:val="24"/>
          <w:szCs w:val="24"/>
        </w:rPr>
        <w:t xml:space="preserve"> ordinario o straordinario dei residui.</w:t>
      </w:r>
    </w:p>
    <w:p w:rsidR="00F018B7" w:rsidRPr="002470BE" w:rsidRDefault="00F018B7"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La conciliazione dei due capisaldi su cui si basa la competenza potenziata ed il rispetto del cosiddetto “equilibrio di esigibilità” ha reso necessario l’introduzione di un nuovo istituto contabile chiamato Fondo Pluriennale Vincolato (di seguito anche FPV), che assicura la simmetria tra l’acquisizione dell’entrata ed il suo utilizzo (equilibrio tra debito e credito).</w:t>
      </w:r>
    </w:p>
    <w:p w:rsidR="00CD247F" w:rsidRPr="002470BE" w:rsidRDefault="00CD247F"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sz w:val="24"/>
          <w:szCs w:val="24"/>
        </w:rPr>
      </w:pPr>
      <w:proofErr w:type="spellStart"/>
      <w:r w:rsidRPr="002470BE">
        <w:rPr>
          <w:rFonts w:ascii="Arial" w:hAnsi="Arial" w:cs="Arial"/>
          <w:sz w:val="24"/>
          <w:szCs w:val="24"/>
        </w:rPr>
        <w:t>Fpv</w:t>
      </w:r>
      <w:proofErr w:type="spellEnd"/>
      <w:r w:rsidRPr="002470BE">
        <w:rPr>
          <w:rFonts w:ascii="Arial" w:hAnsi="Arial" w:cs="Arial"/>
          <w:sz w:val="24"/>
          <w:szCs w:val="24"/>
        </w:rPr>
        <w:t xml:space="preserve"> parte entrata</w:t>
      </w:r>
      <w:r w:rsidRPr="002470BE">
        <w:rPr>
          <w:rFonts w:ascii="Arial" w:hAnsi="Arial" w:cs="Arial"/>
          <w:sz w:val="24"/>
          <w:szCs w:val="24"/>
        </w:rPr>
        <w:sym w:font="Wingdings" w:char="F0E0"/>
      </w:r>
      <w:r w:rsidRPr="002470BE">
        <w:rPr>
          <w:rFonts w:ascii="Arial" w:hAnsi="Arial" w:cs="Arial"/>
          <w:sz w:val="24"/>
          <w:szCs w:val="24"/>
        </w:rPr>
        <w:t xml:space="preserve"> Rappresenta il riporto a nuovo esercizio delle risorse che, nell’esercizio precedente, erano state accantonate, garantendo così la copertura finanziaria di spese che sono state imputate all’esercizio o agli esercizi successivi</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FPV parte spesa</w:t>
      </w:r>
      <w:r w:rsidRPr="002470BE">
        <w:rPr>
          <w:rFonts w:ascii="Arial" w:hAnsi="Arial" w:cs="Arial"/>
          <w:sz w:val="24"/>
          <w:szCs w:val="24"/>
        </w:rPr>
        <w:sym w:font="Wingdings" w:char="F0E0"/>
      </w:r>
      <w:r w:rsidRPr="002470BE">
        <w:rPr>
          <w:rFonts w:ascii="Arial" w:hAnsi="Arial" w:cs="Arial"/>
          <w:sz w:val="24"/>
          <w:szCs w:val="24"/>
        </w:rPr>
        <w:t xml:space="preserve"> rappresenta l’accantonamento delle risorse necessario a garantire il pareggio del bilancio con l’entrata ad essa destinata. Tale accantonamento, non essendo impegnato a fine anno, viene riportato a nuovo esercizio in maniera del tutto analoga a quanto accade con l’avanzo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Nel caso di investimenti in corso di definizione, per i quali non è possibile definire il </w:t>
      </w:r>
      <w:proofErr w:type="spellStart"/>
      <w:r w:rsidRPr="002470BE">
        <w:rPr>
          <w:rFonts w:ascii="Arial" w:hAnsi="Arial" w:cs="Arial"/>
          <w:sz w:val="24"/>
          <w:szCs w:val="24"/>
        </w:rPr>
        <w:t>cronoprogramma</w:t>
      </w:r>
      <w:proofErr w:type="spellEnd"/>
      <w:r w:rsidRPr="002470BE">
        <w:rPr>
          <w:rFonts w:ascii="Arial" w:hAnsi="Arial" w:cs="Arial"/>
          <w:sz w:val="24"/>
          <w:szCs w:val="24"/>
        </w:rPr>
        <w:t xml:space="preserve"> della spesa, l’importo del fondo pluriennale vincolato del primo esercizio corrisponde a quello dello stanziamento (ma non viene “ripreso” in entrata del bilancio successivo); </w:t>
      </w:r>
    </w:p>
    <w:p w:rsidR="00CD247F"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Nel corso dell’esercizio, a seguito della definizione del </w:t>
      </w:r>
      <w:proofErr w:type="spellStart"/>
      <w:r w:rsidRPr="002470BE">
        <w:rPr>
          <w:rFonts w:ascii="Arial" w:hAnsi="Arial" w:cs="Arial"/>
          <w:sz w:val="24"/>
          <w:szCs w:val="24"/>
        </w:rPr>
        <w:t>cronoprogramma</w:t>
      </w:r>
      <w:proofErr w:type="spellEnd"/>
      <w:r w:rsidRPr="002470BE">
        <w:rPr>
          <w:rFonts w:ascii="Arial" w:hAnsi="Arial" w:cs="Arial"/>
          <w:sz w:val="24"/>
          <w:szCs w:val="24"/>
        </w:rPr>
        <w:t xml:space="preserve"> si apportano le necessarie variazioni a ciascuno degli esercizi considerati nel bilancio di previsione, per stanziare correttamente la spesa ed il fondo pluriennale negli esercizi di competenza</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In sede di rendiconto, IL FONDO PLURIENNALE VINCOLATO NON SI COSTITUISCE, se le spese degli esercizi successivi per cui è stato accantonato, non sono state impegnate. Tali risorse confluiscono nella quota vincolata dell’avanzo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Al consuntivo è allegato un prospetto che evidenzia la corrispondenza tra l’importo definitivo degli stanziamenti di spesa riguardanti il fondo pluriennale e gli impegni assunti con imputazione agli esercizi successivi.</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Eccezione alla regola: sono finanziate dal Fondo pluriennale, </w:t>
      </w:r>
      <w:proofErr w:type="spellStart"/>
      <w:r w:rsidRPr="002470BE">
        <w:rPr>
          <w:rFonts w:ascii="Arial" w:hAnsi="Arial" w:cs="Arial"/>
          <w:sz w:val="24"/>
          <w:szCs w:val="24"/>
        </w:rPr>
        <w:t>ancorchè</w:t>
      </w:r>
      <w:proofErr w:type="spellEnd"/>
      <w:r w:rsidRPr="002470BE">
        <w:rPr>
          <w:rFonts w:ascii="Arial" w:hAnsi="Arial" w:cs="Arial"/>
          <w:sz w:val="24"/>
          <w:szCs w:val="24"/>
        </w:rPr>
        <w:t xml:space="preserve"> non ancora impegnate: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-tutte le voci contenute nei quadri economici relative a lavori pubblici approvati, se parzialmente impegnati (esclusa la progettazione); </w:t>
      </w:r>
    </w:p>
    <w:p w:rsidR="00CD247F"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-le spese per lavori pubblici se già prenotate sulla base della gara per l’affidamento dei lavori, formalmente indetta. In assenza di aggiudicazione definitiva, entro l’anno successivo, il fondo pluriennale deve essere ridotto di pari importo.</w:t>
      </w:r>
    </w:p>
    <w:p w:rsidR="00F018B7" w:rsidRPr="002470BE" w:rsidRDefault="00F018B7" w:rsidP="0054738F">
      <w:pPr>
        <w:pStyle w:val="Rientrocorpodeltesto2"/>
        <w:spacing w:line="240" w:lineRule="auto"/>
        <w:ind w:left="142"/>
        <w:contextualSpacing/>
        <w:rPr>
          <w:rFonts w:ascii="Arial" w:hAnsi="Arial" w:cs="Arial"/>
          <w:sz w:val="24"/>
          <w:szCs w:val="24"/>
        </w:rPr>
      </w:pPr>
    </w:p>
    <w:p w:rsidR="002470BE" w:rsidRPr="00780F80" w:rsidRDefault="002470BE" w:rsidP="002470BE">
      <w:pPr>
        <w:tabs>
          <w:tab w:val="left" w:pos="284"/>
        </w:tabs>
        <w:spacing w:after="0" w:line="240" w:lineRule="auto"/>
        <w:ind w:right="-285"/>
        <w:jc w:val="both"/>
        <w:rPr>
          <w:rFonts w:ascii="Arial" w:hAnsi="Arial" w:cs="Arial"/>
          <w:sz w:val="24"/>
          <w:szCs w:val="24"/>
        </w:rPr>
      </w:pPr>
      <w:r w:rsidRPr="00780F80">
        <w:rPr>
          <w:rFonts w:ascii="Arial" w:hAnsi="Arial" w:cs="Arial"/>
          <w:b/>
          <w:sz w:val="24"/>
          <w:szCs w:val="24"/>
        </w:rPr>
        <w:t xml:space="preserve">Esercizio provvisorio e gestione provvisoria </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b/>
          <w:sz w:val="24"/>
          <w:szCs w:val="24"/>
        </w:rPr>
        <w:t>N</w:t>
      </w:r>
      <w:r w:rsidRPr="00780F80">
        <w:rPr>
          <w:rFonts w:ascii="Arial" w:hAnsi="Arial" w:cs="Arial"/>
          <w:sz w:val="24"/>
          <w:szCs w:val="24"/>
        </w:rPr>
        <w:t xml:space="preserve">el corso dell’esercizio provvisorio, o della gestione provvisoria, deliberato o attuato secondo le modalità previste dall’ordinamento vigente,  gli enti gestiscono gli  stanziamenti  di spesa previsti nell’ultimo bilancio pluriennale  definitivamente approvato  per l’esercizio cui si </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Per gli enti locali che non approvano il bilancio di previsione entro il 31 dicembre dell’anno precedente, l’esercizio provvisorio è autorizzato con il decreto dell’interno che, differisce il termine di approvazione del bilancio, d’intesa con il Ministro del tesoro, del bilancio e della programmazione economica, sentita la Conferenza </w:t>
      </w:r>
      <w:proofErr w:type="spellStart"/>
      <w:r w:rsidRPr="00780F80">
        <w:rPr>
          <w:rFonts w:ascii="Arial" w:hAnsi="Arial" w:cs="Arial"/>
          <w:sz w:val="24"/>
          <w:szCs w:val="24"/>
        </w:rPr>
        <w:t>Stato-città</w:t>
      </w:r>
      <w:proofErr w:type="spellEnd"/>
      <w:r w:rsidRPr="00780F80">
        <w:rPr>
          <w:rFonts w:ascii="Arial" w:hAnsi="Arial" w:cs="Arial"/>
          <w:sz w:val="24"/>
          <w:szCs w:val="24"/>
        </w:rPr>
        <w:t xml:space="preserve"> ed autonomia locale, in presenza di motivate esigenze. Per le regioni che non approvano il bilancio  entro il 31 dicembre dell’anno precedente l’esercizio provvisorio è autorizzato con legge regionale, per periodi non superiore a quattro mesi. La legge regionale di autorizzazione all’esercizio provvisorio può prevedere che sia gestito lo schema di  bilancio di previsione annuale approvato dalla Giunta ai fini dell’approvazione da parte del Consiglio regionale.</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Nel caso in cui il bilancio di esercizio non sia approvato entro il 31 dicembre e, per gli enti locali,  non sia stato differito il termine per l’approvazione del bilancio o, per le regioni, il Consiglio non abbia autorizzato l’esercizio provvisorio, è consentita esclusivamente una gestione provvisoria nei limiti dei corrispondenti stanziamenti di spesa dell’ultimo bilancio pluriennale  definitivamente approvato per l’esercizio cui si riferisce la gestione provvisoria. La gestione provvisoria è limitata all’assolvimento delle obbligazioni già assunte, delle obbligazioni derivanti da provvedimenti giurisdizionali esecutivi e di obblighi speciali tassativamente regolati dalla legge, al pagamento delle spese di personale, delle spese relative al finanziamento della sanità per le regioni, di residui passivi, di rate di mutuo, di canoni, imposte e tasse, ed, in particolare, limitata alle sole operazioni necessarie per evitare che siano arrecati danni patrimoniale certi e gravi all’ente. </w:t>
      </w:r>
    </w:p>
    <w:p w:rsidR="002470BE" w:rsidRPr="00780F80" w:rsidRDefault="002470BE" w:rsidP="002470BE">
      <w:pPr>
        <w:jc w:val="both"/>
        <w:rPr>
          <w:rFonts w:ascii="Arial" w:hAnsi="Arial" w:cs="Arial"/>
          <w:sz w:val="24"/>
          <w:szCs w:val="24"/>
        </w:rPr>
      </w:pPr>
      <w:r w:rsidRPr="00780F80">
        <w:rPr>
          <w:rFonts w:ascii="Arial" w:hAnsi="Arial" w:cs="Arial"/>
          <w:sz w:val="24"/>
          <w:szCs w:val="24"/>
        </w:rPr>
        <w:t>Nel corso dell’esercizio provvisorio gli enti possono impegnare mensilmente, per ciascun programma,  spese non superiori ad un dodicesimo delle somme previste nel secondo esercizio dell’ultimo bilancio pluriennale deliberato, ridotte delle somme già impegnate negli esercizi precedenti e dell’importo accantonato al fondo pluriennale (la voce “di cui fondo pluriennale vincolato)”, con esclusione delle spese tassativamente regolate dalla legge o non suscettibili di pagamento frazionato in dodicesimi.</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Pertanto, la gestione in dodicesimi dell’esercizio provvisorio riguarda gli stanziamenti di competenza  della spesa al netto degli impegni assunti negli esercizi precedenti con imputazione all’esercizio provvisorio (compresi i residui che sono stati cancellati nell’ambito delle operazioni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e </w:t>
      </w:r>
      <w:proofErr w:type="spellStart"/>
      <w:r w:rsidRPr="00780F80">
        <w:rPr>
          <w:rFonts w:ascii="Arial" w:hAnsi="Arial" w:cs="Arial"/>
          <w:sz w:val="24"/>
          <w:szCs w:val="24"/>
        </w:rPr>
        <w:t>reimputati</w:t>
      </w:r>
      <w:proofErr w:type="spellEnd"/>
      <w:r w:rsidRPr="00780F80">
        <w:rPr>
          <w:rFonts w:ascii="Arial" w:hAnsi="Arial" w:cs="Arial"/>
          <w:sz w:val="24"/>
          <w:szCs w:val="24"/>
        </w:rPr>
        <w:t xml:space="preserve"> alla competenza dell’esercizio in gestione) e dell’importo del fondo pluriennale vincolato.</w:t>
      </w:r>
    </w:p>
    <w:p w:rsidR="002470BE" w:rsidRPr="00780F80" w:rsidRDefault="002470BE" w:rsidP="002470BE">
      <w:pPr>
        <w:jc w:val="both"/>
        <w:rPr>
          <w:rFonts w:ascii="Arial" w:hAnsi="Arial" w:cs="Arial"/>
          <w:sz w:val="24"/>
          <w:szCs w:val="24"/>
        </w:rPr>
      </w:pPr>
    </w:p>
    <w:p w:rsidR="002470BE" w:rsidRPr="00780F80" w:rsidRDefault="002470BE" w:rsidP="002470BE">
      <w:pPr>
        <w:pStyle w:val="Paragrafoelenco"/>
        <w:ind w:left="0"/>
        <w:jc w:val="both"/>
        <w:rPr>
          <w:rFonts w:ascii="Arial" w:hAnsi="Arial" w:cs="Arial"/>
          <w:sz w:val="24"/>
          <w:szCs w:val="24"/>
        </w:rPr>
      </w:pPr>
      <w:r w:rsidRPr="00780F80">
        <w:rPr>
          <w:rFonts w:ascii="Arial" w:hAnsi="Arial" w:cs="Arial"/>
          <w:sz w:val="24"/>
          <w:szCs w:val="24"/>
        </w:rPr>
        <w:t xml:space="preserve">In caso di esercizio provvisorio o di gestione provvisoria, all’inizio dell’anno l’ente trasmette al tesoriere l’elenco dei residui presunti al 1° gennaio dell’esercizio cui si riferisce la gestione o l’esercizio provvisorio e l’importo degli stanziamenti di competenza dell’esercizio dell’ultimo bilancio pluriennale approvato cui si riferisce l’esercizio o la gestione provvisoria, con l’indicazione della quota di stanziamento riguardante spese già impegnate e quella relativa al fondo pluriennale </w:t>
      </w:r>
      <w:proofErr w:type="spellStart"/>
      <w:r w:rsidRPr="00780F80">
        <w:rPr>
          <w:rFonts w:ascii="Arial" w:hAnsi="Arial" w:cs="Arial"/>
          <w:sz w:val="24"/>
          <w:szCs w:val="24"/>
        </w:rPr>
        <w:t>vincolato.Considerato</w:t>
      </w:r>
      <w:proofErr w:type="spellEnd"/>
      <w:r w:rsidRPr="00780F80">
        <w:rPr>
          <w:rFonts w:ascii="Arial" w:hAnsi="Arial" w:cs="Arial"/>
          <w:sz w:val="24"/>
          <w:szCs w:val="24"/>
        </w:rPr>
        <w:t xml:space="preserve"> che le previsioni del secondo esercizio del bilancio pluriennale non presentano gli stanziamenti di cassa, nel corso dell’esercizio provvisorio, il tesoriere effettua il controllo solo sui residui trasmessi e sugli stanziamenti di competenza.</w:t>
      </w: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Nel corso dell’esercizio provvisorio, per garantire la prosecuzione o  l’avvio di attività soggette a termini o scadenza, la cui mancata attuazione determinerebbe danno per l’ente, è consentito l’utilizzo  delle quote vincolate dell’avanzo di amministrazione sulla base di una relazione documentata del dirigente competente.  A tal fine, la Giunta delibera una variazione del bilancio provvisorio in corso di gestione, che dispone l’utilizzo dell’avanzo di amministrazione vincolato determinato  sulla base di dati di pre-consuntivo dell’esercizio precedente.</w:t>
      </w:r>
    </w:p>
    <w:p w:rsidR="002470BE" w:rsidRPr="00780F80" w:rsidRDefault="002470BE" w:rsidP="002470BE">
      <w:pPr>
        <w:pStyle w:val="Testonormale"/>
        <w:jc w:val="both"/>
        <w:rPr>
          <w:rFonts w:eastAsia="Times New Roman" w:cs="Arial"/>
          <w:color w:val="auto"/>
          <w:lang w:eastAsia="it-IT"/>
        </w:rPr>
      </w:pPr>
    </w:p>
    <w:p w:rsidR="002470BE" w:rsidRPr="00780F80" w:rsidRDefault="002470BE" w:rsidP="002470BE">
      <w:pPr>
        <w:rPr>
          <w:rFonts w:ascii="Arial" w:hAnsi="Arial" w:cs="Arial"/>
          <w:sz w:val="24"/>
          <w:szCs w:val="24"/>
        </w:rPr>
      </w:pPr>
      <w:r w:rsidRPr="00780F80">
        <w:rPr>
          <w:rFonts w:ascii="Arial" w:hAnsi="Arial" w:cs="Arial"/>
          <w:sz w:val="24"/>
          <w:szCs w:val="24"/>
        </w:rPr>
        <w:t>Nel corso dell’esercizio provvisorio o della gestione provvisoria  è  possibile effettuare  variazioni agli stanziamenti di competenza dei macroaggregati compensative all’interno dei programmi e  dei capitoli, compensative all’interno dei macroaggregati anche nel corso dell’esercizio provvisorio, anche prevedendo l’istituzione di nuovi capitoli.</w:t>
      </w:r>
    </w:p>
    <w:p w:rsidR="002470BE" w:rsidRPr="00780F80" w:rsidRDefault="002470BE" w:rsidP="002470BE">
      <w:pPr>
        <w:pStyle w:val="Default"/>
        <w:spacing w:after="204"/>
        <w:contextualSpacing/>
        <w:rPr>
          <w:rFonts w:ascii="Arial" w:hAnsi="Arial" w:cs="Arial"/>
          <w:b/>
          <w:color w:val="auto"/>
        </w:rPr>
      </w:pPr>
      <w:r w:rsidRPr="00780F80">
        <w:rPr>
          <w:rFonts w:ascii="Arial" w:hAnsi="Arial" w:cs="Arial"/>
          <w:b/>
          <w:color w:val="auto"/>
        </w:rPr>
        <w:t>La gestione dei residui.</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Tutte le amministrazioni pubbliche effettuano annualmente, e in ogni caso prima della predisposizione del rendiconto con effetti sul medesimo, una ricognizione dei residui attivi e passivi diretta a verificare:</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la fondatezza giuridica dei crediti accertati e delle esigibilità del credito;</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 xml:space="preserve"> l’affidabilità della scadenza dell’obbligazione prevista in occasione dell’accertamento o dell’impegno;</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 xml:space="preserve"> il permanere delle posizioni debitorie effettive degli impegni assunti;</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la corretta classificazione e imputazione dei crediti e dei debiti in bilancio</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La ricognizione annuale dei residui attivi e passivi consente di individuare formalmente: </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di dubbia e difficile esazione;</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 xml:space="preserve">i crediti riconosciuti assolutamente inesigibili; </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riconosciuti insussistenti, per l’avvenuta legale estinzione o per indebito o erroneo accertamento del credito;</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debiti insussistenti o prescritti;</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e i debiti non imputati correttamente in bilancio a seguito di errori materiali o di revisione della classificazione del bilancio, per i quali è necessario procedere ad una loro riclassificazione;</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 xml:space="preserve">i crediti e i debiti imputati all’esercizio di riferimento che risultano non di competenza finanziaria di tale esercizio, per i quali è necessario procedere alla </w:t>
      </w:r>
      <w:proofErr w:type="spellStart"/>
      <w:r w:rsidRPr="00780F80">
        <w:rPr>
          <w:rFonts w:ascii="Arial" w:hAnsi="Arial" w:cs="Arial"/>
          <w:color w:val="auto"/>
        </w:rPr>
        <w:t>reimputazione</w:t>
      </w:r>
      <w:proofErr w:type="spellEnd"/>
      <w:r w:rsidRPr="00780F80">
        <w:rPr>
          <w:rFonts w:ascii="Arial" w:hAnsi="Arial" w:cs="Arial"/>
          <w:color w:val="auto"/>
        </w:rPr>
        <w:t xml:space="preserve"> contabile all’esercizio in cui il credito o il debito è esigibile.</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Con riferimento ai crediti di dubbia e difficile esazione accertati nell’esercizio, sulla base della ricognizione  effettuata, si procede all’accantonamento al fondo di svalutazione crediti, vincolando a tal fine una quota dell’avanzo di amministrazione. Al riguardo si rinvia al principio applicato della contabilità finanziaria n. 3.6 e all’esempio n. 5.</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Trascorsi tre anni dalla scadenza di un credito di dubbia e difficile esazione non riscosso, il responsabile  del servizio competente alla gestione dell’entrata valuta l’opportunità di operare lo stralcio di tale credito dal conto del bilancio, riducendo di pari importo il  fondo svalutazione crediti accantonato nel risultato di amministrazione. In tale occasione ai fini della contabilità economico patrimoniale il responsabile finanziario valuta la necessità di adeguare il fondo svalutazione crediti accantonato in contabilità economico patrimoniale (che pertanto può presentare un importo maggiore della quota accantonata nel risultato di amministrazione) e di riclassificare il credito nello stato patrimoniale.   </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Al fine di rendere possibile seguire l’evoluzione delle attività di esazione affidate a terzi e di procedere alla loro definitiva cancellazione una volta che sia stata dimostrata l’oggettiva impossibilità della loro realizzazione parziale o totale, è opportuno che i crediti riconosciuti di dubbia o difficile esazione stralciati dalle scritture finanziarie siano identificati negli elenchi </w:t>
      </w:r>
      <w:r w:rsidRPr="00780F80">
        <w:rPr>
          <w:rFonts w:ascii="Arial" w:hAnsi="Arial" w:cs="Arial"/>
          <w:strike/>
          <w:color w:val="auto"/>
        </w:rPr>
        <w:t>dei residui attivi</w:t>
      </w:r>
      <w:r w:rsidRPr="00780F80">
        <w:rPr>
          <w:rFonts w:ascii="Arial" w:hAnsi="Arial" w:cs="Arial"/>
          <w:color w:val="auto"/>
        </w:rPr>
        <w:t xml:space="preserve"> allegati al rendiconto annuale indicando il loro ammontare complessivo.</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Considerato che a seguito dell’adozione a regime del principio della competenza finanziaria cd. potenziata, i residui sono interamente costituiti da obbligazioni scadute, con riferimento a tali crediti è necessario attivare le azioni di recupero mediante procedure coattive.</w:t>
      </w:r>
    </w:p>
    <w:p w:rsidR="002470BE" w:rsidRPr="00780F80" w:rsidRDefault="002470BE" w:rsidP="002470BE">
      <w:pPr>
        <w:pStyle w:val="Default"/>
        <w:spacing w:after="204"/>
        <w:contextualSpacing/>
        <w:rPr>
          <w:rFonts w:ascii="Arial" w:hAnsi="Arial" w:cs="Arial"/>
        </w:rPr>
      </w:pPr>
    </w:p>
    <w:p w:rsidR="002470BE" w:rsidRPr="00780F80" w:rsidRDefault="002470BE" w:rsidP="002470BE">
      <w:pPr>
        <w:pStyle w:val="Default"/>
        <w:spacing w:after="204"/>
        <w:contextualSpacing/>
        <w:rPr>
          <w:rFonts w:ascii="Arial" w:hAnsi="Arial" w:cs="Arial"/>
        </w:rPr>
      </w:pPr>
      <w:r w:rsidRPr="00780F80">
        <w:rPr>
          <w:rFonts w:ascii="Arial" w:hAnsi="Arial" w:cs="Arial"/>
        </w:rPr>
        <w:t xml:space="preserve">I crediti formalmente riconosciuti assolutamente inesigibili o insussistenti per l’avvenuta legale estinzione (prescrizione) o per indebito o erroneo accertamento del credito sono definitivamente eliminati dalle scritture e dai documenti di bilancio attraverso la delibera di </w:t>
      </w:r>
      <w:proofErr w:type="spellStart"/>
      <w:r w:rsidRPr="00780F80">
        <w:rPr>
          <w:rFonts w:ascii="Arial" w:hAnsi="Arial" w:cs="Arial"/>
        </w:rPr>
        <w:t>riaccertamento</w:t>
      </w:r>
      <w:proofErr w:type="spellEnd"/>
      <w:r w:rsidRPr="00780F80">
        <w:rPr>
          <w:rFonts w:ascii="Arial" w:hAnsi="Arial" w:cs="Arial"/>
        </w:rPr>
        <w:t xml:space="preserve"> dei residui.</w:t>
      </w:r>
    </w:p>
    <w:p w:rsidR="002470BE" w:rsidRPr="00780F80" w:rsidRDefault="002470BE" w:rsidP="002470BE">
      <w:pPr>
        <w:pStyle w:val="Default"/>
        <w:spacing w:after="204"/>
        <w:contextualSpacing/>
        <w:rPr>
          <w:rFonts w:ascii="Arial" w:hAnsi="Arial" w:cs="Arial"/>
        </w:rPr>
      </w:pPr>
      <w:r w:rsidRPr="00780F80">
        <w:rPr>
          <w:rFonts w:ascii="Arial" w:hAnsi="Arial" w:cs="Arial"/>
        </w:rPr>
        <w:t>Il riconoscimento formale dell’assoluta inesigibilità o insussistenza dei crediti deve essere adeguatamente motivato attraverso l’analitica descrizione delle procedure seguite per la realizzazione dei crediti prima della loro eliminazione totale o parziale, o indicando le ragioni che hanno condotto alla maturazione della prescrizione, rimanendo fermo l’obbligo di attivare ogni possibile azione finalizzata ad adottare le soluzioni organizzative necessarie per evitare il ripetersi delle suddette fattispecie.</w:t>
      </w:r>
    </w:p>
    <w:p w:rsidR="002470BE" w:rsidRPr="00780F80" w:rsidRDefault="002470BE" w:rsidP="002470BE">
      <w:pPr>
        <w:autoSpaceDE w:val="0"/>
        <w:jc w:val="both"/>
        <w:rPr>
          <w:rFonts w:ascii="Arial" w:hAnsi="Arial" w:cs="Arial"/>
          <w:sz w:val="24"/>
          <w:szCs w:val="24"/>
        </w:rPr>
      </w:pPr>
      <w:r w:rsidRPr="00780F80">
        <w:rPr>
          <w:rFonts w:ascii="Arial" w:hAnsi="Arial" w:cs="Arial"/>
          <w:sz w:val="24"/>
          <w:szCs w:val="24"/>
        </w:rPr>
        <w:t xml:space="preserve">I debiti formalmente riconosciuti insussistenti per l’avvenuta legale estinzione (prescrizione) o per indebito o erroneo impegno di un obbligazione non dovuta sono definitivamente eliminati dalle scritture e dai documenti di bilancio attraverso il provvedimento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Il riconoscimento formale dell’assoluta insussistenza dei debiti deve essere  adeguatamente motivato. </w:t>
      </w:r>
    </w:p>
    <w:p w:rsidR="002470BE" w:rsidRPr="00780F80" w:rsidRDefault="002470BE" w:rsidP="002470BE">
      <w:pPr>
        <w:pStyle w:val="Normale2"/>
        <w:jc w:val="both"/>
        <w:rPr>
          <w:rFonts w:ascii="Arial" w:eastAsia="Times New Roman" w:hAnsi="Arial" w:cs="Arial"/>
          <w:lang w:eastAsia="it-IT"/>
        </w:rPr>
      </w:pPr>
      <w:r w:rsidRPr="00780F80">
        <w:rPr>
          <w:rFonts w:ascii="Arial" w:eastAsia="Times New Roman" w:hAnsi="Arial" w:cs="Arial"/>
          <w:lang w:eastAsia="it-IT"/>
        </w:rPr>
        <w:t>Nel caso in cui l’eliminazione o la riduzione del residuo passivo riguardasse una spesa avente vincolo di destinazione, l’economia conseguente manterrà, per il medesimo ammontare, lo stesso vincolo applicato all’avanzo di amministrazione laddove presente.</w:t>
      </w:r>
    </w:p>
    <w:p w:rsidR="002470BE" w:rsidRPr="00780F80" w:rsidRDefault="002470BE" w:rsidP="002470BE">
      <w:pPr>
        <w:pStyle w:val="Normale2"/>
        <w:jc w:val="both"/>
        <w:rPr>
          <w:rFonts w:ascii="Arial" w:eastAsia="Times New Roman" w:hAnsi="Arial" w:cs="Arial"/>
          <w:lang w:eastAsia="it-IT"/>
        </w:rPr>
      </w:pPr>
      <w:r w:rsidRPr="00780F80">
        <w:rPr>
          <w:rFonts w:ascii="Arial" w:eastAsia="Times New Roman" w:hAnsi="Arial" w:cs="Arial"/>
          <w:lang w:eastAsia="it-IT"/>
        </w:rPr>
        <w:t>Tale quota di avanzo è immediatamente applicabile al bilancio dell’esercizio successivo.</w:t>
      </w:r>
    </w:p>
    <w:p w:rsidR="002470BE" w:rsidRPr="00780F80" w:rsidRDefault="002470BE" w:rsidP="002470BE">
      <w:pPr>
        <w:pStyle w:val="Default"/>
        <w:spacing w:after="204"/>
        <w:ind w:left="0" w:firstLine="284"/>
        <w:rPr>
          <w:rFonts w:ascii="Arial" w:hAnsi="Arial" w:cs="Arial"/>
          <w:color w:val="auto"/>
        </w:rPr>
      </w:pP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Se dalla ricognizione risulta la necessità di procedere al riconoscimento formale del maggior importo dei crediti e dei debiti dell’amministrazione rispetto all’ammontare dei residui attivi e passivi contabilizzati, è necessario procedere all’immediato accertamento e impegno di nuovi crediti o nuovi debiti, imputati contabilmente alla competenza dell’esercizio in cui le relative obbligazioni sono esigibili. </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In sede di </w:t>
      </w:r>
      <w:proofErr w:type="spellStart"/>
      <w:r w:rsidRPr="00780F80">
        <w:rPr>
          <w:rFonts w:ascii="Arial" w:hAnsi="Arial" w:cs="Arial"/>
          <w:color w:val="auto"/>
        </w:rPr>
        <w:t>riaccertamento</w:t>
      </w:r>
      <w:proofErr w:type="spellEnd"/>
      <w:r w:rsidRPr="00780F80">
        <w:rPr>
          <w:rFonts w:ascii="Arial" w:hAnsi="Arial" w:cs="Arial"/>
          <w:color w:val="auto"/>
        </w:rPr>
        <w:t xml:space="preserve"> dei residui non può essere effettuata una rettifica in aumento dei residui passivi in base all’erroneo presupposto che l’entità della spesa non era prevedibile con certezza al momento dell’ assunzione dell’impegno iniziale. Ogni comportamento difforme comporterebbe il riconoscimento di debito fuori bilancio e costituirebbe grave irregolarità contabile.</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E’ invece necessario procedere ad una rettifica in aumento dei residui attivi, e non all’accertamento di nuovi crediti di competenza dell’esercizio, in caso di riscossione di residui attivi cancellati dalle scritture in quanto ritenuti (erroneamente) assolutamente inesigibili. </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Pertanto, mentre  per i residui attivi il </w:t>
      </w:r>
      <w:proofErr w:type="spellStart"/>
      <w:r w:rsidRPr="00780F80">
        <w:rPr>
          <w:rFonts w:ascii="Arial" w:hAnsi="Arial" w:cs="Arial"/>
          <w:color w:val="auto"/>
        </w:rPr>
        <w:t>riaccertamento</w:t>
      </w:r>
      <w:proofErr w:type="spellEnd"/>
      <w:r w:rsidRPr="00780F80">
        <w:rPr>
          <w:rFonts w:ascii="Arial" w:hAnsi="Arial" w:cs="Arial"/>
          <w:color w:val="auto"/>
        </w:rPr>
        <w:t xml:space="preserve"> può dare luogo sia ad un incremento che ad una riduzione dell’ammontare complessivo dei residui, per i residui passivi il </w:t>
      </w:r>
      <w:proofErr w:type="spellStart"/>
      <w:r w:rsidRPr="00780F80">
        <w:rPr>
          <w:rFonts w:ascii="Arial" w:hAnsi="Arial" w:cs="Arial"/>
          <w:color w:val="auto"/>
        </w:rPr>
        <w:t>riaccertamento</w:t>
      </w:r>
      <w:proofErr w:type="spellEnd"/>
      <w:r w:rsidRPr="00780F80">
        <w:rPr>
          <w:rFonts w:ascii="Arial" w:hAnsi="Arial" w:cs="Arial"/>
          <w:color w:val="auto"/>
        </w:rPr>
        <w:t xml:space="preserve"> può dare luogo solo ad una riduzione degli stessi.</w:t>
      </w:r>
    </w:p>
    <w:p w:rsidR="002470BE" w:rsidRPr="00780F80" w:rsidRDefault="002470BE" w:rsidP="002470BE">
      <w:pPr>
        <w:pStyle w:val="Default"/>
        <w:ind w:left="0"/>
        <w:rPr>
          <w:rFonts w:ascii="Arial" w:hAnsi="Arial" w:cs="Arial"/>
          <w:color w:val="auto"/>
        </w:rPr>
      </w:pP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Il </w:t>
      </w:r>
      <w:proofErr w:type="spellStart"/>
      <w:r w:rsidRPr="00780F80">
        <w:rPr>
          <w:rFonts w:ascii="Arial" w:hAnsi="Arial" w:cs="Arial"/>
          <w:color w:val="auto"/>
        </w:rPr>
        <w:t>riaccertamento</w:t>
      </w:r>
      <w:proofErr w:type="spellEnd"/>
      <w:r w:rsidRPr="00780F80">
        <w:rPr>
          <w:rFonts w:ascii="Arial" w:hAnsi="Arial" w:cs="Arial"/>
          <w:color w:val="auto"/>
        </w:rPr>
        <w:t xml:space="preserve"> dei residui può riguardare crediti e debiti non correttamente classificati in bilancio.</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Se dalla ricognizione risulta che, a seguito di errori materiali o della revisione della classificazione del bilancio, un’entrata o una spesa è stata erroneamente classificata in bilancio, è  necessario procedere ad una loro riclassificazione. A tal fine si provvede alla </w:t>
      </w:r>
      <w:r w:rsidRPr="00780F80">
        <w:rPr>
          <w:rFonts w:ascii="Arial" w:hAnsi="Arial" w:cs="Arial"/>
        </w:rPr>
        <w:t>definitiva eliminazione dell’accertamento e/o dell’impegno dalle scritture e dai documenti di bilancio</w:t>
      </w:r>
      <w:r w:rsidRPr="00780F80">
        <w:rPr>
          <w:rFonts w:ascii="Arial" w:hAnsi="Arial" w:cs="Arial"/>
          <w:color w:val="auto"/>
        </w:rPr>
        <w:t xml:space="preserve"> e all’accertamento e all’impegno di nuovi crediti o nuovi debiti attribuiti alla competenza dell’esercizio in gestione.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L’eventuale incremento del risultato di amministrazione derivante dalla cancellazione dei residui attivi e passivi destinati ad essere accertati e imputati con la corretta classificazione di bilancio, costituisce una quota del risultato di amministrazione vincolata alla </w:t>
      </w:r>
      <w:proofErr w:type="spellStart"/>
      <w:r w:rsidRPr="00780F80">
        <w:rPr>
          <w:rFonts w:ascii="Arial" w:hAnsi="Arial" w:cs="Arial"/>
          <w:color w:val="auto"/>
        </w:rPr>
        <w:t>reimputazione</w:t>
      </w:r>
      <w:proofErr w:type="spellEnd"/>
      <w:r w:rsidRPr="00780F80">
        <w:rPr>
          <w:rFonts w:ascii="Arial" w:hAnsi="Arial" w:cs="Arial"/>
          <w:color w:val="auto"/>
        </w:rPr>
        <w:t xml:space="preserve"> dei residui correttamente classificati.</w:t>
      </w:r>
    </w:p>
    <w:p w:rsidR="002470BE" w:rsidRPr="00780F80" w:rsidRDefault="002470BE" w:rsidP="002470BE">
      <w:pPr>
        <w:pStyle w:val="Default"/>
        <w:ind w:left="0"/>
        <w:rPr>
          <w:rFonts w:ascii="Arial" w:hAnsi="Arial" w:cs="Arial"/>
          <w:color w:val="auto"/>
        </w:rPr>
      </w:pP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può riguardare crediti e debiti non correttamente imputati all’esercizio in quanto, in occasione della ricognizione, risultano non di competenza dell’esercizio  cui sono stati imputati, in quanto non esigibili nel corso di tale esercizio.</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Ai sensi di quanto previsto dall’articolo 7, comma 3, del DPCM 28 dicembre 2011, concernente le modalità della sperimentazione, le entrate e le spese accertate e impegnate nell’ultimo esercizio non esigibili in tale esercizio, sono immediatamente re-imputate all’esercizio in cui sono esigibili. </w:t>
      </w:r>
    </w:p>
    <w:p w:rsidR="002470BE" w:rsidRPr="00780F80" w:rsidRDefault="002470BE" w:rsidP="002470BE">
      <w:pPr>
        <w:pStyle w:val="Default"/>
        <w:ind w:left="0"/>
        <w:rPr>
          <w:rFonts w:ascii="Arial" w:hAnsi="Arial" w:cs="Arial"/>
          <w:color w:val="auto"/>
        </w:rPr>
      </w:pPr>
      <w:r w:rsidRPr="00780F80">
        <w:rPr>
          <w:rFonts w:ascii="Arial" w:hAnsi="Arial" w:cs="Arial"/>
        </w:rPr>
        <w:t xml:space="preserve">A tal fine </w:t>
      </w:r>
      <w:r w:rsidRPr="00780F80">
        <w:rPr>
          <w:rFonts w:ascii="Arial" w:hAnsi="Arial" w:cs="Arial"/>
          <w:color w:val="auto"/>
        </w:rPr>
        <w:t xml:space="preserve">si provvede alla </w:t>
      </w:r>
      <w:r w:rsidRPr="00780F80">
        <w:rPr>
          <w:rFonts w:ascii="Arial" w:hAnsi="Arial" w:cs="Arial"/>
        </w:rPr>
        <w:t xml:space="preserve">cancellazione dell’accertamento e/o dell’impegno dalle scritture </w:t>
      </w:r>
      <w:r w:rsidRPr="00780F80">
        <w:rPr>
          <w:rFonts w:ascii="Arial" w:hAnsi="Arial" w:cs="Arial"/>
          <w:color w:val="auto"/>
        </w:rPr>
        <w:t xml:space="preserve">e all’immediato accertamento e impegno di nuovi crediti o debiti imputati alla competenza dell’esercizio in cui l’obbligazione è esigibile.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Nel caso in cui sia necessario procedere alla </w:t>
      </w:r>
      <w:proofErr w:type="spellStart"/>
      <w:r w:rsidRPr="00780F80">
        <w:rPr>
          <w:rFonts w:ascii="Arial" w:hAnsi="Arial" w:cs="Arial"/>
          <w:color w:val="auto"/>
        </w:rPr>
        <w:t>reimputazione</w:t>
      </w:r>
      <w:proofErr w:type="spellEnd"/>
      <w:r w:rsidRPr="00780F80">
        <w:rPr>
          <w:rFonts w:ascii="Arial" w:hAnsi="Arial" w:cs="Arial"/>
          <w:color w:val="auto"/>
        </w:rPr>
        <w:t xml:space="preserve"> dei residui passivi, è necessario:</w:t>
      </w:r>
    </w:p>
    <w:p w:rsidR="002470BE" w:rsidRPr="00780F80" w:rsidRDefault="002470BE" w:rsidP="002470BE">
      <w:pPr>
        <w:pStyle w:val="Default"/>
        <w:numPr>
          <w:ilvl w:val="0"/>
          <w:numId w:val="30"/>
        </w:numPr>
        <w:spacing w:after="0"/>
        <w:ind w:left="1004"/>
        <w:rPr>
          <w:rFonts w:ascii="Arial" w:hAnsi="Arial" w:cs="Arial"/>
          <w:color w:val="auto"/>
        </w:rPr>
      </w:pPr>
      <w:r w:rsidRPr="00780F80">
        <w:rPr>
          <w:rFonts w:ascii="Arial" w:hAnsi="Arial" w:cs="Arial"/>
          <w:color w:val="auto"/>
        </w:rPr>
        <w:t xml:space="preserve"> effettuare una variazione del bilancio annuale e pluriennale in corso di gestione, al fine di istituire o incrementare gli stanziamenti cui le spese devono essere imputate, </w:t>
      </w:r>
    </w:p>
    <w:p w:rsidR="002470BE" w:rsidRPr="00780F80" w:rsidRDefault="002470BE" w:rsidP="002470BE">
      <w:pPr>
        <w:pStyle w:val="Default"/>
        <w:numPr>
          <w:ilvl w:val="0"/>
          <w:numId w:val="30"/>
        </w:numPr>
        <w:spacing w:after="0"/>
        <w:ind w:left="1004"/>
        <w:rPr>
          <w:rFonts w:ascii="Arial" w:hAnsi="Arial" w:cs="Arial"/>
          <w:color w:val="auto"/>
        </w:rPr>
      </w:pPr>
      <w:r w:rsidRPr="00780F80">
        <w:rPr>
          <w:rFonts w:ascii="Arial" w:hAnsi="Arial" w:cs="Arial"/>
          <w:color w:val="auto"/>
        </w:rPr>
        <w:t>“trasferire” all’esercizio di re-imputazione anche la “copertura” che l’impegno aveva nell’</w:t>
      </w:r>
      <w:proofErr w:type="spellStart"/>
      <w:r w:rsidRPr="00780F80">
        <w:rPr>
          <w:rFonts w:ascii="Arial" w:hAnsi="Arial" w:cs="Arial"/>
          <w:color w:val="auto"/>
        </w:rPr>
        <w:t>esericizio</w:t>
      </w:r>
      <w:proofErr w:type="spellEnd"/>
      <w:r w:rsidRPr="00780F80">
        <w:rPr>
          <w:rFonts w:ascii="Arial" w:hAnsi="Arial" w:cs="Arial"/>
          <w:color w:val="auto"/>
        </w:rPr>
        <w:t xml:space="preserve"> cui era stato inizialmente imputato. A tal fine si utilizza il fondo pluriennale vincolato.</w:t>
      </w:r>
    </w:p>
    <w:p w:rsidR="002470BE" w:rsidRPr="00780F80" w:rsidRDefault="002470BE" w:rsidP="002470BE">
      <w:pPr>
        <w:pStyle w:val="Default"/>
        <w:ind w:left="0"/>
        <w:rPr>
          <w:rFonts w:ascii="Arial" w:hAnsi="Arial" w:cs="Arial"/>
          <w:color w:val="auto"/>
        </w:rPr>
      </w:pP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Ai sensi di quanto previsto dall’articolo 7, comma 3 del </w:t>
      </w:r>
      <w:r w:rsidRPr="00780F80">
        <w:rPr>
          <w:rFonts w:ascii="Arial" w:hAnsi="Arial" w:cs="Arial"/>
        </w:rPr>
        <w:t>DPCM 28 dicembre 2011</w:t>
      </w:r>
      <w:r w:rsidRPr="00780F80">
        <w:rPr>
          <w:rFonts w:ascii="Arial" w:hAnsi="Arial" w:cs="Arial"/>
          <w:color w:val="auto"/>
        </w:rPr>
        <w:t>, attraverso una delibera di Giunta, si procede come segue:</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nel bilancio dell’esercizio in cui era imputato l’impegno cancellato si provvede a costituire (o a incrementare) il fondo pluriennale vincolato per un importo pari a quello del residuo cancellato,</w:t>
      </w:r>
    </w:p>
    <w:p w:rsidR="002470BE" w:rsidRPr="00780F80" w:rsidRDefault="002470BE" w:rsidP="002470BE">
      <w:pPr>
        <w:pStyle w:val="Default"/>
        <w:ind w:left="0"/>
        <w:rPr>
          <w:rFonts w:ascii="Arial" w:hAnsi="Arial" w:cs="Arial"/>
          <w:color w:val="auto"/>
        </w:rPr>
      </w:pPr>
      <w:r w:rsidRPr="00780F80">
        <w:rPr>
          <w:rFonts w:ascii="Arial" w:hAnsi="Arial" w:cs="Arial"/>
          <w:color w:val="auto"/>
        </w:rPr>
        <w:t>-nel primo esercizio del bilancio annuale e pluriennale in gestione si incrementa il fondo pluriennale iscritto tra le entrate, per un importo pari all’incremento del fondo pluriennale iscritto nel bilancio dell’esercizio precedente, tra le spese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-nel bilancio dell’esercizio cui la spesa è </w:t>
      </w:r>
      <w:proofErr w:type="spellStart"/>
      <w:r w:rsidRPr="00780F80">
        <w:rPr>
          <w:rFonts w:ascii="Arial" w:hAnsi="Arial" w:cs="Arial"/>
          <w:color w:val="auto"/>
        </w:rPr>
        <w:t>reimputata</w:t>
      </w:r>
      <w:proofErr w:type="spellEnd"/>
      <w:r w:rsidRPr="00780F80">
        <w:rPr>
          <w:rFonts w:ascii="Arial" w:hAnsi="Arial" w:cs="Arial"/>
          <w:color w:val="auto"/>
        </w:rPr>
        <w:t xml:space="preserve"> si incrementano o si iscrivono gli stanziamenti di spesa necessari per la </w:t>
      </w:r>
      <w:proofErr w:type="spellStart"/>
      <w:r w:rsidRPr="00780F80">
        <w:rPr>
          <w:rFonts w:ascii="Arial" w:hAnsi="Arial" w:cs="Arial"/>
          <w:color w:val="auto"/>
        </w:rPr>
        <w:t>reimputazione</w:t>
      </w:r>
      <w:proofErr w:type="spellEnd"/>
      <w:r w:rsidRPr="00780F80">
        <w:rPr>
          <w:rFonts w:ascii="Arial" w:hAnsi="Arial" w:cs="Arial"/>
          <w:color w:val="auto"/>
        </w:rPr>
        <w:t xml:space="preserve"> degli impegni.</w:t>
      </w:r>
    </w:p>
    <w:p w:rsidR="002470BE" w:rsidRPr="00780F80" w:rsidRDefault="002470BE" w:rsidP="002470BE">
      <w:pPr>
        <w:rPr>
          <w:rFonts w:ascii="Arial" w:hAnsi="Arial" w:cs="Arial"/>
          <w:sz w:val="24"/>
          <w:szCs w:val="24"/>
        </w:rPr>
      </w:pP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Al fine di semplificare e velocizzare il procedimento, la delibera di Giunta che dispone la variazione degli stanziamenti necessari alla re imputazione degli accertamenti e degli impegni cancellati </w:t>
      </w:r>
      <w:r w:rsidRPr="00780F80">
        <w:rPr>
          <w:rFonts w:ascii="Arial" w:hAnsi="Arial" w:cs="Arial"/>
          <w:sz w:val="24"/>
          <w:szCs w:val="24"/>
          <w:u w:val="single"/>
        </w:rPr>
        <w:t>può</w:t>
      </w:r>
      <w:r w:rsidRPr="00780F80">
        <w:rPr>
          <w:rFonts w:ascii="Arial" w:hAnsi="Arial" w:cs="Arial"/>
          <w:sz w:val="24"/>
          <w:szCs w:val="24"/>
        </w:rPr>
        <w:t xml:space="preserve"> disporre anche l’accertamento e l’impegno delle entrate e delle spese agli esercizi in cui sono esigibili. Al riguardo, si rappresenta che l’atto che dispone 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e il </w:t>
      </w:r>
      <w:proofErr w:type="spellStart"/>
      <w:r w:rsidRPr="00780F80">
        <w:rPr>
          <w:rFonts w:ascii="Arial" w:hAnsi="Arial" w:cs="Arial"/>
          <w:sz w:val="24"/>
          <w:szCs w:val="24"/>
        </w:rPr>
        <w:t>reimpegno</w:t>
      </w:r>
      <w:proofErr w:type="spellEnd"/>
      <w:r w:rsidRPr="00780F80">
        <w:rPr>
          <w:rFonts w:ascii="Arial" w:hAnsi="Arial" w:cs="Arial"/>
          <w:sz w:val="24"/>
          <w:szCs w:val="24"/>
        </w:rPr>
        <w:t xml:space="preserve"> di entrate e spese non ha natura gestionale, in quanto si tratta solo della </w:t>
      </w:r>
      <w:proofErr w:type="spellStart"/>
      <w:r w:rsidRPr="00780F80">
        <w:rPr>
          <w:rFonts w:ascii="Arial" w:hAnsi="Arial" w:cs="Arial"/>
          <w:sz w:val="24"/>
          <w:szCs w:val="24"/>
        </w:rPr>
        <w:t>reimputazione</w:t>
      </w:r>
      <w:proofErr w:type="spellEnd"/>
      <w:r w:rsidRPr="00780F80">
        <w:rPr>
          <w:rFonts w:ascii="Arial" w:hAnsi="Arial" w:cs="Arial"/>
          <w:sz w:val="24"/>
          <w:szCs w:val="24"/>
        </w:rPr>
        <w:t xml:space="preserve"> contabile di accertamenti e impegni riguardanti obbligazioni giuridiche già assunte dagli uffici competenti.</w:t>
      </w:r>
    </w:p>
    <w:p w:rsidR="002470BE" w:rsidRPr="00780F80" w:rsidRDefault="002470BE" w:rsidP="002470BE">
      <w:pPr>
        <w:pStyle w:val="Default"/>
        <w:tabs>
          <w:tab w:val="left" w:pos="0"/>
        </w:tabs>
        <w:spacing w:after="204"/>
        <w:ind w:left="0"/>
        <w:rPr>
          <w:rFonts w:ascii="Arial" w:hAnsi="Arial" w:cs="Arial"/>
          <w:color w:val="auto"/>
        </w:rPr>
      </w:pPr>
      <w:r w:rsidRPr="00780F80">
        <w:rPr>
          <w:rFonts w:ascii="Arial" w:hAnsi="Arial" w:cs="Arial"/>
          <w:color w:val="auto"/>
        </w:rPr>
        <w:t xml:space="preserve">Il </w:t>
      </w:r>
      <w:proofErr w:type="spellStart"/>
      <w:r w:rsidRPr="00780F80">
        <w:rPr>
          <w:rFonts w:ascii="Arial" w:hAnsi="Arial" w:cs="Arial"/>
          <w:color w:val="auto"/>
        </w:rPr>
        <w:t>riaccertamento</w:t>
      </w:r>
      <w:proofErr w:type="spellEnd"/>
      <w:r w:rsidRPr="00780F80">
        <w:rPr>
          <w:rFonts w:ascii="Arial" w:hAnsi="Arial" w:cs="Arial"/>
          <w:color w:val="auto"/>
        </w:rPr>
        <w:t xml:space="preserve"> dei residui trova specifica evidenza nel rendiconto finanziario dell’anno in cui è avvenuto.</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sz w:val="24"/>
          <w:szCs w:val="24"/>
        </w:rPr>
        <w:t xml:space="preserve">Con riferimento al primo esercizio di adozione del principio della competenza finanziaria potenziata è necessario verificare l’esigibilità di tutti i residui attivi e passivi e procedere </w:t>
      </w:r>
      <w:r w:rsidRPr="00780F80">
        <w:rPr>
          <w:rFonts w:ascii="Arial" w:hAnsi="Arial" w:cs="Arial"/>
          <w:sz w:val="24"/>
          <w:szCs w:val="24"/>
          <w:u w:val="single"/>
        </w:rPr>
        <w:t xml:space="preserve">al </w:t>
      </w:r>
      <w:proofErr w:type="spellStart"/>
      <w:r w:rsidRPr="00780F80">
        <w:rPr>
          <w:rFonts w:ascii="Arial" w:hAnsi="Arial" w:cs="Arial"/>
          <w:sz w:val="24"/>
          <w:szCs w:val="24"/>
          <w:u w:val="single"/>
        </w:rPr>
        <w:t>riaccertamento</w:t>
      </w:r>
      <w:proofErr w:type="spellEnd"/>
      <w:r w:rsidRPr="00780F80">
        <w:rPr>
          <w:rFonts w:ascii="Arial" w:hAnsi="Arial" w:cs="Arial"/>
          <w:sz w:val="24"/>
          <w:szCs w:val="24"/>
          <w:u w:val="single"/>
        </w:rPr>
        <w:t xml:space="preserve"> straordinario dei residui previsto dall’articolo 14 del DPCM 28 dicembre 2011.</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sz w:val="24"/>
          <w:szCs w:val="24"/>
        </w:rPr>
        <w:t xml:space="preserve">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straordinario dei residui è effettuato con le stesse modalità indicate per 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ordinario. Al riguardo si rinvia a quanto indicato nell’esempio n. 6.</w:t>
      </w:r>
    </w:p>
    <w:p w:rsidR="002470BE" w:rsidRPr="00780F80" w:rsidRDefault="002470BE" w:rsidP="002470BE">
      <w:pPr>
        <w:tabs>
          <w:tab w:val="left" w:pos="284"/>
        </w:tabs>
        <w:ind w:right="-285"/>
        <w:jc w:val="both"/>
        <w:rPr>
          <w:rFonts w:ascii="Arial" w:hAnsi="Arial" w:cs="Arial"/>
          <w:sz w:val="24"/>
          <w:szCs w:val="24"/>
        </w:rPr>
      </w:pP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 xml:space="preserve">Si conferma che, come indicato al principio 8, il </w:t>
      </w:r>
      <w:proofErr w:type="spellStart"/>
      <w:r w:rsidRPr="00780F80">
        <w:rPr>
          <w:rFonts w:eastAsia="Times New Roman" w:cs="Arial"/>
          <w:color w:val="auto"/>
          <w:lang w:eastAsia="it-IT"/>
        </w:rPr>
        <w:t>riaccertamento</w:t>
      </w:r>
      <w:proofErr w:type="spellEnd"/>
      <w:r w:rsidRPr="00780F80">
        <w:rPr>
          <w:rFonts w:eastAsia="Times New Roman" w:cs="Arial"/>
          <w:color w:val="auto"/>
          <w:lang w:eastAsia="it-IT"/>
        </w:rPr>
        <w:t xml:space="preserve"> dei residui, essendo un'attività di natura gestionale,  può essere effettuata anche nel corso dell’esercizio provvisorio, entro i termini previsti per l'approvazione del rendiconto.</w:t>
      </w: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 xml:space="preserve">In tal caso, la variazione di bilancio necessaria alla </w:t>
      </w:r>
      <w:proofErr w:type="spellStart"/>
      <w:r w:rsidRPr="00780F80">
        <w:rPr>
          <w:rFonts w:eastAsia="Times New Roman" w:cs="Arial"/>
          <w:color w:val="auto"/>
          <w:lang w:eastAsia="it-IT"/>
        </w:rPr>
        <w:t>reimputazione</w:t>
      </w:r>
      <w:proofErr w:type="spellEnd"/>
      <w:r w:rsidRPr="00780F80">
        <w:rPr>
          <w:rFonts w:eastAsia="Times New Roman" w:cs="Arial"/>
          <w:color w:val="auto"/>
          <w:lang w:eastAsia="it-IT"/>
        </w:rPr>
        <w:t xml:space="preserve"> degli impegni e degli accertamenti all'esercizio in cui le obbligazioni sono esigibili, è effettuata, con delibera di Giunta, a valere dell’ultimo bilancio annuale e pluriennale approvato</w:t>
      </w:r>
    </w:p>
    <w:p w:rsidR="002470BE" w:rsidRDefault="002470BE" w:rsidP="002470BE">
      <w:pPr>
        <w:pStyle w:val="Rientrocorpodeltesto2"/>
        <w:spacing w:line="240" w:lineRule="auto"/>
        <w:ind w:left="142"/>
        <w:contextualSpacing/>
        <w:rPr>
          <w:rFonts w:ascii="Arial" w:hAnsi="Arial" w:cs="Arial"/>
          <w:sz w:val="24"/>
          <w:szCs w:val="24"/>
        </w:rPr>
      </w:pPr>
    </w:p>
    <w:p w:rsidR="002470BE" w:rsidRDefault="002470BE" w:rsidP="002470BE">
      <w:pPr>
        <w:pStyle w:val="Rientrocorpodeltesto2"/>
        <w:spacing w:line="240" w:lineRule="auto"/>
        <w:ind w:left="142"/>
        <w:contextualSpacing/>
        <w:rPr>
          <w:rFonts w:ascii="Arial" w:hAnsi="Arial" w:cs="Arial"/>
          <w:sz w:val="24"/>
          <w:szCs w:val="24"/>
        </w:rPr>
      </w:pPr>
    </w:p>
    <w:p w:rsidR="00EC2C9F" w:rsidRPr="002470BE" w:rsidRDefault="00EC2C9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RISULTATO </w:t>
      </w:r>
      <w:proofErr w:type="spellStart"/>
      <w:r w:rsidRPr="002470BE">
        <w:rPr>
          <w:rFonts w:ascii="Arial" w:hAnsi="Arial" w:cs="Arial"/>
          <w:sz w:val="24"/>
          <w:szCs w:val="24"/>
        </w:rPr>
        <w:t>DI</w:t>
      </w:r>
      <w:proofErr w:type="spellEnd"/>
      <w:r w:rsidRPr="002470BE">
        <w:rPr>
          <w:rFonts w:ascii="Arial" w:hAnsi="Arial" w:cs="Arial"/>
          <w:sz w:val="24"/>
          <w:szCs w:val="24"/>
        </w:rPr>
        <w:t xml:space="preserve"> AMMINISTRAZIONE PRESUNTO</w:t>
      </w:r>
    </w:p>
    <w:p w:rsidR="00EC2C9F" w:rsidRPr="002470BE" w:rsidRDefault="00EC2C9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Tra le voci dello schema di bilancio parte entrata compare la voce relativa all’utilizzo dell’avanzo di amministrazione con separata indicazione della quota utilizzata anticipatamente.</w:t>
      </w:r>
    </w:p>
    <w:p w:rsidR="007471EC" w:rsidRPr="002470BE" w:rsidRDefault="00EC2C9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Nonostante non sia conforme ai precetti dell’art. 81 .4 </w:t>
      </w:r>
      <w:proofErr w:type="spellStart"/>
      <w:r w:rsidRPr="002470BE">
        <w:rPr>
          <w:rFonts w:ascii="Arial" w:hAnsi="Arial" w:cs="Arial"/>
          <w:sz w:val="24"/>
          <w:szCs w:val="24"/>
        </w:rPr>
        <w:t>Cost</w:t>
      </w:r>
      <w:proofErr w:type="spellEnd"/>
      <w:r w:rsidRPr="002470BE">
        <w:rPr>
          <w:rFonts w:ascii="Arial" w:hAnsi="Arial" w:cs="Arial"/>
          <w:sz w:val="24"/>
          <w:szCs w:val="24"/>
        </w:rPr>
        <w:t xml:space="preserve"> realizzare il pareggio di bilancio in sede preventiva attraverso l’utilizzo dell’avanzo di amministrazione non ancora accertato a seguito del rendiconto, (o del bilancio consuntivo per lo Stato), è consentito in occasione dell’approvazione del bilancio di previsione e con successive variazioni, l’utilizzo della quota del </w:t>
      </w:r>
      <w:proofErr w:type="spellStart"/>
      <w:r w:rsidRPr="002470BE">
        <w:rPr>
          <w:rFonts w:ascii="Arial" w:hAnsi="Arial" w:cs="Arial"/>
          <w:sz w:val="24"/>
          <w:szCs w:val="24"/>
        </w:rPr>
        <w:t>RDApresunto</w:t>
      </w:r>
      <w:proofErr w:type="spellEnd"/>
      <w:r w:rsidRPr="002470BE">
        <w:rPr>
          <w:rFonts w:ascii="Arial" w:hAnsi="Arial" w:cs="Arial"/>
          <w:sz w:val="24"/>
          <w:szCs w:val="24"/>
        </w:rPr>
        <w:t xml:space="preserve"> costituita dai soli fondi vincolati e dalle somme accantonate dall’ultimo consuntivo approvato.</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Per poter applicare al bilancio di previsione la quota di avanzo vincolato presunto è necessario che l’ente entro il 31 gennaio </w:t>
      </w:r>
      <w:proofErr w:type="spellStart"/>
      <w:r w:rsidRPr="002470BE">
        <w:rPr>
          <w:rFonts w:ascii="Arial" w:hAnsi="Arial" w:cs="Arial"/>
          <w:sz w:val="24"/>
          <w:szCs w:val="24"/>
        </w:rPr>
        <w:t>prvveda</w:t>
      </w:r>
      <w:proofErr w:type="spellEnd"/>
      <w:r w:rsidRPr="002470BE">
        <w:rPr>
          <w:rFonts w:ascii="Arial" w:hAnsi="Arial" w:cs="Arial"/>
          <w:sz w:val="24"/>
          <w:szCs w:val="24"/>
        </w:rPr>
        <w:t xml:space="preserve"> con delibera di Giunta, ad approvare il prospetto aggiornato riguardante il RDA </w:t>
      </w:r>
      <w:proofErr w:type="spellStart"/>
      <w:r w:rsidRPr="002470BE">
        <w:rPr>
          <w:rFonts w:ascii="Arial" w:hAnsi="Arial" w:cs="Arial"/>
          <w:sz w:val="24"/>
          <w:szCs w:val="24"/>
        </w:rPr>
        <w:t>prsunta</w:t>
      </w:r>
      <w:proofErr w:type="spellEnd"/>
      <w:r w:rsidRPr="002470BE">
        <w:rPr>
          <w:rFonts w:ascii="Arial" w:hAnsi="Arial" w:cs="Arial"/>
          <w:sz w:val="24"/>
          <w:szCs w:val="24"/>
        </w:rPr>
        <w:t xml:space="preserve"> sulla base di un pre-consuntivo relativo alle entrate e alle spese vincolate</w:t>
      </w:r>
    </w:p>
    <w:p w:rsidR="00EC2C9F" w:rsidRPr="002470BE" w:rsidRDefault="007471EC" w:rsidP="002470BE">
      <w:pPr>
        <w:pStyle w:val="Rientrocorpodeltesto2"/>
        <w:numPr>
          <w:ilvl w:val="4"/>
          <w:numId w:val="17"/>
        </w:numPr>
        <w:spacing w:line="240" w:lineRule="auto"/>
        <w:ind w:left="142"/>
        <w:contextualSpacing/>
        <w:rPr>
          <w:rFonts w:ascii="Arial" w:hAnsi="Arial" w:cs="Arial"/>
          <w:sz w:val="24"/>
          <w:szCs w:val="24"/>
        </w:rPr>
      </w:pPr>
      <w:r w:rsidRPr="002470BE">
        <w:rPr>
          <w:rFonts w:ascii="Arial" w:hAnsi="Arial" w:cs="Arial"/>
          <w:sz w:val="24"/>
          <w:szCs w:val="24"/>
        </w:rPr>
        <w:t xml:space="preserve">Se tale prospetto evidenzia una quota vincolata del RDA inferiore rispetto a quella praticata nel bilancio di previsione si provvede alle variazioni di bilancio che adeguano l’impiego del RDA vincolato  </w:t>
      </w:r>
      <w:r w:rsidR="00EC2C9F" w:rsidRPr="002470BE">
        <w:rPr>
          <w:rFonts w:ascii="Arial" w:hAnsi="Arial" w:cs="Arial"/>
          <w:sz w:val="24"/>
          <w:szCs w:val="24"/>
        </w:rPr>
        <w:t xml:space="preserve"> </w:t>
      </w:r>
    </w:p>
    <w:p w:rsidR="007471EC" w:rsidRPr="002470BE" w:rsidRDefault="007471EC" w:rsidP="002470BE">
      <w:pPr>
        <w:pStyle w:val="Rientrocorpodeltesto2"/>
        <w:numPr>
          <w:ilvl w:val="4"/>
          <w:numId w:val="17"/>
        </w:numPr>
        <w:spacing w:line="240" w:lineRule="auto"/>
        <w:ind w:left="142"/>
        <w:contextualSpacing/>
        <w:rPr>
          <w:rFonts w:ascii="Arial" w:hAnsi="Arial" w:cs="Arial"/>
          <w:sz w:val="24"/>
          <w:szCs w:val="24"/>
        </w:rPr>
      </w:pPr>
      <w:r w:rsidRPr="002470BE">
        <w:rPr>
          <w:rFonts w:ascii="Arial" w:hAnsi="Arial" w:cs="Arial"/>
          <w:sz w:val="24"/>
          <w:szCs w:val="24"/>
        </w:rPr>
        <w:t>Se non viene effettuato l’aggiornamento del prospetto si provvede immediatamente alla variazione al bilancio che elimina l’utilizzo dell’avanzo di amministrazione</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Il prospetto costituisce un allegato obbligatorio al bilancio</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Nei casi disavanzo presunto è necessario iscrivere tale posta tra le spese e a seguito dell’approvazione del rendiconto variare tale importo al fine di iscrivere l’importo del disavanzo effettivamente accertato</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In ogni caso il risultato di amministrazione non può mai essere considerato una somma “certa”, in quanto esso si compone di poste che presentano un margine di aleatorietà riguardo alla possibile sovrastima dei residui attivi e alla sottostima dei residui passivi. 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 L’accantonamento di una quota del risultato di amministrazione al fondo crediti di dubbia esigibilità è effettuato per l’ importo complessivo determinato nel prospetto concernente il fondo crediti, </w:t>
      </w:r>
    </w:p>
    <w:p w:rsidR="0000293C" w:rsidRPr="002470BE" w:rsidRDefault="002659DF" w:rsidP="002470BE">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R</w:t>
      </w:r>
      <w:r w:rsidR="0000293C" w:rsidRPr="002470BE">
        <w:rPr>
          <w:rFonts w:ascii="Arial" w:hAnsi="Arial" w:cs="Arial"/>
          <w:b/>
          <w:sz w:val="24"/>
          <w:szCs w:val="24"/>
        </w:rPr>
        <w:t xml:space="preserve">ISULTATO </w:t>
      </w:r>
      <w:proofErr w:type="spellStart"/>
      <w:r w:rsidR="0000293C" w:rsidRPr="002470BE">
        <w:rPr>
          <w:rFonts w:ascii="Arial" w:hAnsi="Arial" w:cs="Arial"/>
          <w:b/>
          <w:sz w:val="24"/>
          <w:szCs w:val="24"/>
        </w:rPr>
        <w:t>DI</w:t>
      </w:r>
      <w:proofErr w:type="spellEnd"/>
      <w:r w:rsidR="0000293C" w:rsidRPr="002470BE">
        <w:rPr>
          <w:rFonts w:ascii="Arial" w:hAnsi="Arial" w:cs="Arial"/>
          <w:b/>
          <w:sz w:val="24"/>
          <w:szCs w:val="24"/>
        </w:rPr>
        <w:t xml:space="preserve"> GESTIONE</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Evidenza l’attuazione di quanto programmato attraverso il bilancio di previsione Esso è dato da: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riscossioni di entrate di competenza</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versamenti di spese di competenza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residui attivi su entrate di competenza</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residui passivi su spese di competenza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Fondo Pluriennale Vincolato</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avanzo (se positivo) o disavanzo (se negativo)</w:t>
      </w:r>
    </w:p>
    <w:p w:rsidR="0000293C" w:rsidRPr="002470BE" w:rsidRDefault="0000293C" w:rsidP="002470BE">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 xml:space="preserve">RISULTATO </w:t>
      </w:r>
      <w:proofErr w:type="spellStart"/>
      <w:r w:rsidRPr="002470BE">
        <w:rPr>
          <w:rFonts w:ascii="Arial" w:hAnsi="Arial" w:cs="Arial"/>
          <w:b/>
          <w:sz w:val="24"/>
          <w:szCs w:val="24"/>
        </w:rPr>
        <w:t>DI</w:t>
      </w:r>
      <w:proofErr w:type="spellEnd"/>
      <w:r w:rsidRPr="002470BE">
        <w:rPr>
          <w:rFonts w:ascii="Arial" w:hAnsi="Arial" w:cs="Arial"/>
          <w:b/>
          <w:sz w:val="24"/>
          <w:szCs w:val="24"/>
        </w:rPr>
        <w:t xml:space="preserve"> AMMINISTRAZIONE</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E’ costituito:</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Dal fondo di cassa esistente al 31 /12</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 xml:space="preserve">Maggiorato dei </w:t>
      </w:r>
      <w:proofErr w:type="spellStart"/>
      <w:r w:rsidRPr="002470BE">
        <w:rPr>
          <w:rFonts w:ascii="Arial" w:hAnsi="Arial" w:cs="Arial"/>
          <w:sz w:val="24"/>
          <w:szCs w:val="24"/>
        </w:rPr>
        <w:t>reisdui</w:t>
      </w:r>
      <w:proofErr w:type="spellEnd"/>
      <w:r w:rsidRPr="002470BE">
        <w:rPr>
          <w:rFonts w:ascii="Arial" w:hAnsi="Arial" w:cs="Arial"/>
          <w:sz w:val="24"/>
          <w:szCs w:val="24"/>
        </w:rPr>
        <w:t xml:space="preserve"> attivi e diminuito dei residui passivi</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Diminuito del FPV risultante al 31/12</w:t>
      </w:r>
    </w:p>
    <w:p w:rsidR="007471EC" w:rsidRPr="002470BE" w:rsidRDefault="007471EC" w:rsidP="002470BE">
      <w:pPr>
        <w:pStyle w:val="Rientrocorpodeltesto2"/>
        <w:spacing w:line="240" w:lineRule="auto"/>
        <w:contextualSpacing/>
        <w:rPr>
          <w:rFonts w:ascii="Arial" w:hAnsi="Arial" w:cs="Arial"/>
          <w:sz w:val="24"/>
          <w:szCs w:val="24"/>
        </w:rPr>
      </w:pPr>
      <w:r w:rsidRPr="002470BE">
        <w:rPr>
          <w:rFonts w:ascii="Arial" w:hAnsi="Arial" w:cs="Arial"/>
          <w:sz w:val="24"/>
          <w:szCs w:val="24"/>
        </w:rPr>
        <w:t xml:space="preserve">Il RDA può quindi risultare un avanzo o un disavanzo </w:t>
      </w:r>
    </w:p>
    <w:p w:rsidR="00F018B7"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L’avanzo è applicabile solo al primo esercizio considerato nel </w:t>
      </w:r>
      <w:proofErr w:type="spellStart"/>
      <w:r w:rsidRPr="002470BE">
        <w:rPr>
          <w:rFonts w:ascii="Arial" w:hAnsi="Arial" w:cs="Arial"/>
          <w:sz w:val="24"/>
          <w:szCs w:val="24"/>
        </w:rPr>
        <w:t>blancio</w:t>
      </w:r>
      <w:proofErr w:type="spellEnd"/>
      <w:r w:rsidRPr="002470BE">
        <w:rPr>
          <w:rFonts w:ascii="Arial" w:hAnsi="Arial" w:cs="Arial"/>
          <w:sz w:val="24"/>
          <w:szCs w:val="24"/>
        </w:rPr>
        <w:t xml:space="preserve"> di previsione per finanziarie le spese che si prevede di impegnare nel corso di tal </w:t>
      </w:r>
      <w:proofErr w:type="spellStart"/>
      <w:r w:rsidRPr="002470BE">
        <w:rPr>
          <w:rFonts w:ascii="Arial" w:hAnsi="Arial" w:cs="Arial"/>
          <w:sz w:val="24"/>
          <w:szCs w:val="24"/>
        </w:rPr>
        <w:t>eserczio</w:t>
      </w:r>
      <w:proofErr w:type="spellEnd"/>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risultato di amministrazione è distinto in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fondi liberi,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vincolati,</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accantonati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destinati. </w:t>
      </w:r>
    </w:p>
    <w:p w:rsidR="002659DF" w:rsidRPr="002470BE" w:rsidRDefault="002659DF" w:rsidP="002470BE">
      <w:pPr>
        <w:pStyle w:val="NormaleWeb"/>
        <w:spacing w:before="0" w:beforeAutospacing="0" w:after="0" w:afterAutospacing="0"/>
        <w:rPr>
          <w:rFonts w:ascii="Arial" w:hAnsi="Arial" w:cs="Arial"/>
          <w:color w:val="000000"/>
        </w:rPr>
      </w:pPr>
      <w:r w:rsidRPr="002470BE">
        <w:rPr>
          <w:rFonts w:ascii="Arial" w:hAnsi="Arial" w:cs="Arial"/>
          <w:b/>
        </w:rPr>
        <w:t>Fondi vincolati</w:t>
      </w:r>
      <w:r w:rsidRPr="002470BE">
        <w:rPr>
          <w:rFonts w:ascii="Arial" w:hAnsi="Arial" w:cs="Arial"/>
        </w:rPr>
        <w:sym w:font="Wingdings" w:char="F0E0"/>
      </w:r>
      <w:r w:rsidRPr="002470BE">
        <w:rPr>
          <w:rFonts w:ascii="Arial" w:hAnsi="Arial" w:cs="Arial"/>
        </w:rPr>
        <w:t>c</w:t>
      </w:r>
      <w:r w:rsidRPr="002470BE">
        <w:rPr>
          <w:rFonts w:ascii="Arial" w:hAnsi="Arial" w:cs="Arial"/>
          <w:color w:val="000000"/>
        </w:rPr>
        <w:t>ostituiscono quota vincolata del risultato di amministrazione le entrate accertate e le corrispondenti economie di bilancio:</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 xml:space="preserve">nei casi in cui la legge o i principi contabili generali e applicati della contabilità finanziaria individuano un vincolo di specifica destinazione dell’entrata alla spesa. </w:t>
      </w:r>
      <w:r w:rsidRPr="0033750E">
        <w:rPr>
          <w:rFonts w:ascii="Arial" w:hAnsi="Arial" w:cs="Arial"/>
          <w:color w:val="000000"/>
          <w:sz w:val="24"/>
          <w:szCs w:val="24"/>
          <w:u w:val="single"/>
        </w:rPr>
        <w:t>Per gli enti locali i</w:t>
      </w:r>
      <w:r w:rsidRPr="002470BE">
        <w:rPr>
          <w:rFonts w:ascii="Arial" w:hAnsi="Arial" w:cs="Arial"/>
          <w:color w:val="000000"/>
          <w:sz w:val="24"/>
          <w:szCs w:val="24"/>
        </w:rPr>
        <w:t xml:space="preserve"> </w:t>
      </w:r>
      <w:r w:rsidRPr="0033750E">
        <w:rPr>
          <w:rFonts w:ascii="Arial" w:hAnsi="Arial" w:cs="Arial"/>
          <w:color w:val="000000"/>
          <w:sz w:val="24"/>
          <w:szCs w:val="24"/>
          <w:u w:val="single"/>
        </w:rPr>
        <w:t>vincoli derivanti dalla legge sono previsti sia dalle leggi statali che dalle leggi regionali.</w:t>
      </w:r>
      <w:r w:rsidRPr="002470BE">
        <w:rPr>
          <w:rFonts w:ascii="Arial" w:hAnsi="Arial" w:cs="Arial"/>
          <w:color w:val="000000"/>
          <w:sz w:val="24"/>
          <w:szCs w:val="24"/>
        </w:rPr>
        <w:t xml:space="preserve"> </w:t>
      </w:r>
      <w:r w:rsidRPr="0033750E">
        <w:rPr>
          <w:rFonts w:ascii="Arial" w:hAnsi="Arial" w:cs="Arial"/>
          <w:color w:val="000000"/>
          <w:sz w:val="24"/>
          <w:szCs w:val="24"/>
          <w:u w:val="single"/>
        </w:rPr>
        <w:t>Per le regioni i vincoli sono previsti solo dalla legge statale</w:t>
      </w:r>
      <w:r w:rsidRPr="002470BE">
        <w:rPr>
          <w:rFonts w:ascii="Arial" w:hAnsi="Arial" w:cs="Arial"/>
          <w:color w:val="000000"/>
          <w:sz w:val="24"/>
          <w:szCs w:val="24"/>
        </w:rPr>
        <w:t>. Nei casi in cui la legge dispone un vincolo di destinazione su propri trasferimenti di risorse a favore dell’ente, si è in presenza di vincoli derivanti da trasferimenti e non da legge;</w:t>
      </w:r>
    </w:p>
    <w:p w:rsidR="002659DF" w:rsidRPr="0033750E" w:rsidRDefault="002659DF" w:rsidP="002659DF">
      <w:pPr>
        <w:numPr>
          <w:ilvl w:val="0"/>
          <w:numId w:val="24"/>
        </w:numPr>
        <w:spacing w:before="100" w:beforeAutospacing="1" w:after="100" w:afterAutospacing="1" w:line="240" w:lineRule="auto"/>
        <w:rPr>
          <w:rFonts w:ascii="Arial" w:hAnsi="Arial" w:cs="Arial"/>
          <w:color w:val="000000"/>
          <w:sz w:val="24"/>
          <w:szCs w:val="24"/>
          <w:u w:val="single"/>
        </w:rPr>
      </w:pPr>
      <w:r w:rsidRPr="0033750E">
        <w:rPr>
          <w:rFonts w:ascii="Arial" w:hAnsi="Arial" w:cs="Arial"/>
          <w:color w:val="000000"/>
          <w:sz w:val="24"/>
          <w:szCs w:val="24"/>
          <w:u w:val="single"/>
        </w:rPr>
        <w:t>derivanti da mutui e finanziamenti contratti per il finanziamento di investimenti determinati;</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 xml:space="preserve">derivanti </w:t>
      </w:r>
      <w:r w:rsidRPr="0033750E">
        <w:rPr>
          <w:rFonts w:ascii="Arial" w:hAnsi="Arial" w:cs="Arial"/>
          <w:color w:val="000000"/>
          <w:sz w:val="24"/>
          <w:szCs w:val="24"/>
          <w:u w:val="single"/>
        </w:rPr>
        <w:t xml:space="preserve">da trasferimenti erogati a favore dell’ente per una specifica destinazione. </w:t>
      </w:r>
      <w:r w:rsidRPr="002470BE">
        <w:rPr>
          <w:rFonts w:ascii="Arial" w:hAnsi="Arial" w:cs="Arial"/>
          <w:color w:val="000000"/>
          <w:sz w:val="24"/>
          <w:szCs w:val="24"/>
        </w:rPr>
        <w:t xml:space="preserve">La natura vincolata dei trasferimenti UE si estende alle risorse destinate al cofinanziamento nazionale. Pertanto, tali risorse devono essere considerate come “vincolate da trasferimenti” </w:t>
      </w:r>
      <w:proofErr w:type="spellStart"/>
      <w:r w:rsidRPr="002470BE">
        <w:rPr>
          <w:rFonts w:ascii="Arial" w:hAnsi="Arial" w:cs="Arial"/>
          <w:color w:val="000000"/>
          <w:sz w:val="24"/>
          <w:szCs w:val="24"/>
        </w:rPr>
        <w:t>ancorchè</w:t>
      </w:r>
      <w:proofErr w:type="spellEnd"/>
      <w:r w:rsidRPr="002470BE">
        <w:rPr>
          <w:rFonts w:ascii="Arial" w:hAnsi="Arial" w:cs="Arial"/>
          <w:color w:val="000000"/>
          <w:sz w:val="24"/>
          <w:szCs w:val="24"/>
        </w:rPr>
        <w:t xml:space="preserve"> derivanti da entrate proprie dell’ente. Per gli enti locali, la natura vincolata di tali risorse non rileva ai fini della disciplina dei vincoli cassa.</w:t>
      </w:r>
      <w:bookmarkStart w:id="0" w:name="_ftnref2"/>
      <w:r w:rsidR="00BD2D3D" w:rsidRPr="002470BE">
        <w:rPr>
          <w:rFonts w:ascii="Arial" w:hAnsi="Arial" w:cs="Arial"/>
          <w:color w:val="000000"/>
          <w:sz w:val="24"/>
          <w:szCs w:val="24"/>
        </w:rPr>
        <w:fldChar w:fldCharType="begin"/>
      </w:r>
      <w:r w:rsidRPr="002470BE">
        <w:rPr>
          <w:rFonts w:ascii="Arial" w:hAnsi="Arial" w:cs="Arial"/>
          <w:color w:val="000000"/>
          <w:sz w:val="24"/>
          <w:szCs w:val="24"/>
        </w:rPr>
        <w:instrText xml:space="preserve"> HYPERLINK "http://www.forgionegianluca.it/CONTABILITA_ENTI_LOCALI/DOTTRINA/ARMONIZZAZIONE_CONTABILE/armonizzazione_bilancio/avanzo_amministrazione.php" \l "_ftn2" \o "" </w:instrText>
      </w:r>
      <w:r w:rsidR="00BD2D3D" w:rsidRPr="002470BE">
        <w:rPr>
          <w:rFonts w:ascii="Arial" w:hAnsi="Arial" w:cs="Arial"/>
          <w:color w:val="000000"/>
          <w:sz w:val="24"/>
          <w:szCs w:val="24"/>
        </w:rPr>
        <w:fldChar w:fldCharType="separate"/>
      </w:r>
      <w:r w:rsidRPr="002470BE">
        <w:rPr>
          <w:rStyle w:val="Collegamentoipertestuale"/>
          <w:rFonts w:ascii="Arial" w:hAnsi="Arial" w:cs="Arial"/>
          <w:color w:val="000000"/>
          <w:sz w:val="24"/>
          <w:szCs w:val="24"/>
          <w:effect w:val="blinkBackground"/>
        </w:rPr>
        <w:t> </w:t>
      </w:r>
      <w:r w:rsidR="00BD2D3D" w:rsidRPr="002470BE">
        <w:rPr>
          <w:rFonts w:ascii="Arial" w:hAnsi="Arial" w:cs="Arial"/>
          <w:color w:val="000000"/>
          <w:sz w:val="24"/>
          <w:szCs w:val="24"/>
        </w:rPr>
        <w:fldChar w:fldCharType="end"/>
      </w:r>
      <w:bookmarkEnd w:id="0"/>
      <w:r w:rsidRPr="002470BE">
        <w:rPr>
          <w:rFonts w:ascii="Arial" w:hAnsi="Arial" w:cs="Arial"/>
          <w:color w:val="000000"/>
          <w:sz w:val="24"/>
          <w:szCs w:val="24"/>
        </w:rPr>
        <w:t>”;</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 xml:space="preserve">derivanti </w:t>
      </w:r>
      <w:r w:rsidRPr="0033750E">
        <w:rPr>
          <w:rFonts w:ascii="Arial" w:hAnsi="Arial" w:cs="Arial"/>
          <w:color w:val="000000"/>
          <w:sz w:val="24"/>
          <w:szCs w:val="24"/>
          <w:u w:val="single"/>
        </w:rPr>
        <w:t>da entrate straordinarie, non aventi natura ricorrente, accertate e riscosse cui l’amministrazione ha formalmente attribuito una specifica destinazione</w:t>
      </w:r>
      <w:r w:rsidRPr="002470BE">
        <w:rPr>
          <w:rFonts w:ascii="Arial" w:hAnsi="Arial" w:cs="Arial"/>
          <w:color w:val="000000"/>
          <w:sz w:val="24"/>
          <w:szCs w:val="24"/>
        </w:rPr>
        <w:t>. </w:t>
      </w:r>
      <w:r w:rsidRPr="002470BE">
        <w:rPr>
          <w:rStyle w:val="marker"/>
          <w:rFonts w:ascii="Arial" w:hAnsi="Arial" w:cs="Arial"/>
          <w:color w:val="FF0000"/>
          <w:sz w:val="24"/>
          <w:szCs w:val="24"/>
        </w:rPr>
        <w:t>E’ possibile attribuire un vincolo di destinazione alle entrate straordinarie non aventi natura ricorrente solo se l’ente non ha rinviato la copertura del disavanzo di amministrazione negli esercizi successivi, ha provveduto nel corso dell’esercizio alla copertura di tutti gli eventuali debiti fuori bilancio (per gli enti locali compresi i debiti fuori bilancio ai sensi dell’articolo 193 del TUEL, nel caso in cui sia stata accertata, nell’anno in corso e nei due anni precedenti l’assenza dell’ equilibrio generale di bilancio). </w:t>
      </w:r>
      <w:r w:rsidRPr="002470BE">
        <w:rPr>
          <w:rFonts w:ascii="Arial" w:hAnsi="Arial" w:cs="Arial"/>
          <w:color w:val="000000"/>
          <w:sz w:val="24"/>
          <w:szCs w:val="24"/>
        </w:rPr>
        <w:t>Le regioni possono attribuire il vincolo di destinazione in caso di disavanzo da indebitamento autorizzato con legge non ancora accertato. Le regioni possono attribuire il vincolo di destinazione in caso di disavanzo da indebitamento autorizzato con legge non ancora accertato. I vincoli attribuiti dalla regione con propria legge regionale, sono considerati “vincoli formalmente attribuiti dalla regione e non “vincoli derivanti dalla legge e dai principi contabili”.</w:t>
      </w:r>
    </w:p>
    <w:p w:rsidR="002659DF" w:rsidRPr="002470BE" w:rsidRDefault="002659DF" w:rsidP="002659DF">
      <w:pPr>
        <w:pStyle w:val="NormaleWeb"/>
        <w:spacing w:before="0" w:beforeAutospacing="0" w:after="0" w:afterAutospacing="0"/>
        <w:rPr>
          <w:rFonts w:ascii="Arial" w:hAnsi="Arial" w:cs="Arial"/>
          <w:color w:val="000000"/>
        </w:rPr>
      </w:pPr>
      <w:r w:rsidRPr="002470BE">
        <w:rPr>
          <w:rFonts w:ascii="Arial" w:hAnsi="Arial" w:cs="Arial"/>
          <w:color w:val="000000"/>
        </w:rPr>
        <w:t>E’ necessario distinguere le entrate vincolate alla realizzazione di una specifica spesa, dalle entrate destinate al finanziamento di una generale categoria di spese, quali la spesa sanitaria. Fermo restando l’obbligo di rispettare sia i vincoli specifici che la destinazione generica delle risorse acquisite, si sottolinea che la disciplina prevista per l’utilizzo delle quote vincolate del risultato di amministrazione non si applica alle cd. risorse destinate.</w:t>
      </w:r>
    </w:p>
    <w:p w:rsidR="002659DF" w:rsidRPr="002470BE" w:rsidRDefault="002659DF" w:rsidP="002659DF">
      <w:pPr>
        <w:pStyle w:val="Rientrocorpodeltesto2"/>
        <w:spacing w:line="240" w:lineRule="auto"/>
        <w:ind w:left="142"/>
        <w:contextualSpacing/>
        <w:rPr>
          <w:rFonts w:ascii="Arial" w:hAnsi="Arial" w:cs="Arial"/>
          <w:sz w:val="24"/>
          <w:szCs w:val="24"/>
        </w:rPr>
      </w:pPr>
    </w:p>
    <w:p w:rsidR="002659DF" w:rsidRPr="002470BE" w:rsidRDefault="002659DF" w:rsidP="002659DF">
      <w:pPr>
        <w:pStyle w:val="Rientrocorpodeltesto2"/>
        <w:spacing w:line="240" w:lineRule="auto"/>
        <w:ind w:left="0"/>
        <w:contextualSpacing/>
        <w:rPr>
          <w:rFonts w:ascii="Arial" w:hAnsi="Arial" w:cs="Arial"/>
          <w:color w:val="000000"/>
          <w:sz w:val="24"/>
          <w:szCs w:val="24"/>
          <w:shd w:val="clear" w:color="auto" w:fill="FFFFFF"/>
        </w:rPr>
      </w:pPr>
      <w:r w:rsidRPr="002470BE">
        <w:rPr>
          <w:rFonts w:ascii="Arial" w:hAnsi="Arial" w:cs="Arial"/>
          <w:b/>
          <w:sz w:val="24"/>
          <w:szCs w:val="24"/>
        </w:rPr>
        <w:t>Fondi destinati agli investimenti</w:t>
      </w:r>
      <w:r w:rsidRPr="002470BE">
        <w:rPr>
          <w:rFonts w:ascii="Arial" w:hAnsi="Arial" w:cs="Arial"/>
          <w:sz w:val="24"/>
          <w:szCs w:val="24"/>
        </w:rPr>
        <w:sym w:font="Wingdings" w:char="F0E0"/>
      </w:r>
      <w:r w:rsidRPr="002470BE">
        <w:rPr>
          <w:rFonts w:ascii="Arial" w:hAnsi="Arial" w:cs="Arial"/>
          <w:color w:val="000000"/>
          <w:sz w:val="24"/>
          <w:szCs w:val="24"/>
          <w:shd w:val="clear" w:color="auto" w:fill="FFFFFF"/>
        </w:rPr>
        <w:t xml:space="preserve">La quota del risultato di amministrazione destinata agli investimenti </w:t>
      </w:r>
      <w:r w:rsidRPr="0033750E">
        <w:rPr>
          <w:rFonts w:ascii="Arial" w:hAnsi="Arial" w:cs="Arial"/>
          <w:color w:val="000000"/>
          <w:sz w:val="24"/>
          <w:szCs w:val="24"/>
          <w:u w:val="single"/>
          <w:shd w:val="clear" w:color="auto" w:fill="FFFFFF"/>
        </w:rPr>
        <w:t>è costituita dalle entrate in conto capitale senza vincoli di specifica destinazione non spese,</w:t>
      </w:r>
      <w:r w:rsidRPr="002470BE">
        <w:rPr>
          <w:rFonts w:ascii="Arial" w:hAnsi="Arial" w:cs="Arial"/>
          <w:color w:val="000000"/>
          <w:sz w:val="24"/>
          <w:szCs w:val="24"/>
          <w:shd w:val="clear" w:color="auto" w:fill="FFFFFF"/>
        </w:rPr>
        <w:t xml:space="preserve"> </w:t>
      </w:r>
      <w:r w:rsidRPr="0033750E">
        <w:rPr>
          <w:rFonts w:ascii="Arial" w:hAnsi="Arial" w:cs="Arial"/>
          <w:color w:val="000000"/>
          <w:sz w:val="24"/>
          <w:szCs w:val="24"/>
          <w:u w:val="single"/>
          <w:shd w:val="clear" w:color="auto" w:fill="FFFFFF"/>
        </w:rPr>
        <w:t>e sono utilizzabili con provvedimento di variazione di bilancio solo a seguito dell’approvazione del rendiconto</w:t>
      </w:r>
      <w:r w:rsidRPr="002470BE">
        <w:rPr>
          <w:rFonts w:ascii="Arial" w:hAnsi="Arial" w:cs="Arial"/>
          <w:color w:val="000000"/>
          <w:sz w:val="24"/>
          <w:szCs w:val="24"/>
          <w:shd w:val="clear" w:color="auto" w:fill="FFFFFF"/>
        </w:rPr>
        <w:t>.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2659DF" w:rsidRPr="002470BE" w:rsidRDefault="002659DF" w:rsidP="002659DF">
      <w:pPr>
        <w:rPr>
          <w:rFonts w:ascii="Arial" w:eastAsia="Times New Roman" w:hAnsi="Arial" w:cs="Arial"/>
          <w:sz w:val="24"/>
          <w:szCs w:val="24"/>
          <w:lang w:eastAsia="it-IT"/>
        </w:rPr>
      </w:pPr>
      <w:r w:rsidRPr="002470BE">
        <w:rPr>
          <w:rFonts w:ascii="Arial" w:hAnsi="Arial" w:cs="Arial"/>
          <w:b/>
          <w:color w:val="000000"/>
          <w:sz w:val="24"/>
          <w:szCs w:val="24"/>
          <w:shd w:val="clear" w:color="auto" w:fill="FFFFFF"/>
        </w:rPr>
        <w:t>Fondi accantonati</w:t>
      </w:r>
      <w:r w:rsidRPr="002470BE">
        <w:rPr>
          <w:rFonts w:ascii="Arial" w:hAnsi="Arial" w:cs="Arial"/>
          <w:color w:val="000000"/>
          <w:sz w:val="24"/>
          <w:szCs w:val="24"/>
          <w:shd w:val="clear" w:color="auto" w:fill="FFFFFF"/>
        </w:rPr>
        <w:sym w:font="Wingdings" w:char="F0E0"/>
      </w:r>
      <w:r w:rsidRPr="002470BE">
        <w:rPr>
          <w:rFonts w:ascii="Arial" w:eastAsia="Times New Roman" w:hAnsi="Arial" w:cs="Arial"/>
          <w:color w:val="000000"/>
          <w:sz w:val="24"/>
          <w:szCs w:val="24"/>
          <w:shd w:val="clear" w:color="auto" w:fill="FFFFFF"/>
          <w:lang w:eastAsia="it-IT"/>
        </w:rPr>
        <w:t>è costituita da:</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l’accantonamento al fondo crediti di dubbia esigibilità (principio 3.3);</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gli accantonamenti a fronte dei residui passivi perenti (solo per le Regioni, fino al loro smaltimento)</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gli accantonamenti per le passività potenziali (fondi spese e rischi).</w:t>
      </w:r>
    </w:p>
    <w:p w:rsidR="002659DF" w:rsidRPr="002470BE" w:rsidRDefault="002659DF" w:rsidP="002659DF">
      <w:pPr>
        <w:rPr>
          <w:rFonts w:ascii="Arial" w:eastAsia="Times New Roman" w:hAnsi="Arial" w:cs="Arial"/>
          <w:sz w:val="24"/>
          <w:szCs w:val="24"/>
          <w:lang w:eastAsia="it-IT"/>
        </w:rPr>
      </w:pPr>
      <w:r w:rsidRPr="002470BE">
        <w:rPr>
          <w:rFonts w:ascii="Arial" w:eastAsia="Times New Roman" w:hAnsi="Arial" w:cs="Arial"/>
          <w:b/>
          <w:color w:val="000000"/>
          <w:sz w:val="24"/>
          <w:szCs w:val="24"/>
          <w:lang w:eastAsia="it-IT"/>
        </w:rPr>
        <w:t>Fondi liberi</w:t>
      </w:r>
      <w:r w:rsidRPr="002470BE">
        <w:rPr>
          <w:rFonts w:ascii="Arial" w:eastAsia="Times New Roman" w:hAnsi="Arial" w:cs="Arial"/>
          <w:color w:val="000000"/>
          <w:sz w:val="24"/>
          <w:szCs w:val="24"/>
          <w:lang w:eastAsia="it-IT"/>
        </w:rPr>
        <w:sym w:font="Wingdings" w:char="F0E0"/>
      </w:r>
      <w:r w:rsidRPr="002470BE">
        <w:rPr>
          <w:rFonts w:ascii="Arial" w:eastAsia="Times New Roman" w:hAnsi="Arial" w:cs="Arial"/>
          <w:color w:val="000000"/>
          <w:sz w:val="24"/>
          <w:szCs w:val="24"/>
          <w:shd w:val="clear" w:color="auto" w:fill="FFFFFF"/>
          <w:lang w:eastAsia="it-IT"/>
        </w:rPr>
        <w:t>La quota libera dell’avanzo di amministrazione dell’esercizio precedente può essere utilizzato con provvedimento di variazione di bilancio, per le finalità di seguito indicate in ordine di </w:t>
      </w:r>
      <w:r w:rsidRPr="002470BE">
        <w:rPr>
          <w:rFonts w:ascii="Arial" w:eastAsia="Times New Roman" w:hAnsi="Arial" w:cs="Arial"/>
          <w:color w:val="FF0000"/>
          <w:sz w:val="24"/>
          <w:szCs w:val="24"/>
          <w:lang w:eastAsia="it-IT"/>
        </w:rPr>
        <w:t>priorità</w:t>
      </w:r>
      <w:r w:rsidRPr="002470BE">
        <w:rPr>
          <w:rFonts w:ascii="Arial" w:eastAsia="Times New Roman" w:hAnsi="Arial" w:cs="Arial"/>
          <w:color w:val="000000"/>
          <w:sz w:val="24"/>
          <w:szCs w:val="24"/>
          <w:shd w:val="clear" w:color="auto" w:fill="FFFFFF"/>
          <w:lang w:eastAsia="it-IT"/>
        </w:rPr>
        <w:t>:</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a)  per la copertura dei debiti fuori bilancio;</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b)  per i provvedimenti necessari per la salvaguardia degli equilibri di bilancio di cui all'articolo 193 ove non possa provvedersi con mezzi ordinari (Per mezzi ordinari si intendono tutte le possibili politiche di contenimento delle spese e di massimizzazione delle entrate proprie, senza necessariamente arrivare all’esaurimento delle politiche tributarie regionali e locali. E’ pertanto possibile utilizzare l’avanzo libero per la salvaguardia degli equilibri senza avere massimizzato la pressione fiscale);</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c)  per il finanziamento di spese di investimento;</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d)  per il finanziamento delle spese correnti a carattere non permanente;</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e)  per l’estinzione anticipata dei prestiti.</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Resta salva la facoltà di impiegare l’eventuale quota del risultato di amministrazione “svincolata” in occasione dell’approvazione del rendiconto, a seguito della definizione della quota del risultato di amministrazione accantonata per il fondo crediti di dubbia esigibilità, per finanziare lo stanziamento riguardante il fondo crediti di dubbia esigibilità nel bilancio di previsione dell’esercizio successivo a quello cui il rendiconto si riferisce.</w:t>
      </w:r>
    </w:p>
    <w:p w:rsidR="002659DF" w:rsidRPr="002470BE" w:rsidRDefault="002659DF" w:rsidP="002659DF">
      <w:pPr>
        <w:spacing w:before="100" w:beforeAutospacing="1" w:after="100" w:afterAutospacing="1" w:line="240" w:lineRule="auto"/>
        <w:rPr>
          <w:rFonts w:ascii="Arial" w:hAnsi="Arial" w:cs="Arial"/>
          <w:color w:val="000000"/>
          <w:sz w:val="24"/>
          <w:szCs w:val="24"/>
          <w:shd w:val="clear" w:color="auto" w:fill="FFFFFF"/>
        </w:rPr>
      </w:pPr>
      <w:r w:rsidRPr="002470BE">
        <w:rPr>
          <w:rStyle w:val="password-indicator"/>
          <w:rFonts w:ascii="Arial" w:hAnsi="Arial" w:cs="Arial"/>
          <w:color w:val="000000"/>
          <w:sz w:val="24"/>
          <w:szCs w:val="24"/>
          <w:shd w:val="clear" w:color="auto" w:fill="C4C4C4"/>
        </w:rPr>
        <w:t>Il risultato di amministrazione è applicabile solo al primo esercizio considerato nel bilancio di previsione,</w:t>
      </w:r>
      <w:r w:rsidRPr="002470BE">
        <w:rPr>
          <w:rFonts w:ascii="Arial" w:hAnsi="Arial" w:cs="Arial"/>
          <w:color w:val="000000"/>
          <w:sz w:val="24"/>
          <w:szCs w:val="24"/>
          <w:shd w:val="clear" w:color="auto" w:fill="FFFFFF"/>
        </w:rPr>
        <w:t> per finanziarie le spese che si prevede di impegnare nel corso di tale esercizio imputate al medesimo esercizio e/o a quelli successivi. </w:t>
      </w:r>
      <w:r w:rsidRPr="002470BE">
        <w:rPr>
          <w:rFonts w:ascii="Arial" w:hAnsi="Arial" w:cs="Arial"/>
          <w:color w:val="000000"/>
          <w:sz w:val="24"/>
          <w:szCs w:val="24"/>
        </w:rPr>
        <w:br/>
      </w:r>
      <w:r w:rsidRPr="002470BE">
        <w:rPr>
          <w:rStyle w:val="Enfasigrassetto"/>
          <w:rFonts w:ascii="Arial" w:hAnsi="Arial" w:cs="Arial"/>
          <w:color w:val="000000"/>
          <w:sz w:val="24"/>
          <w:szCs w:val="24"/>
          <w:shd w:val="clear" w:color="auto" w:fill="FFFFFF"/>
        </w:rPr>
        <w:t>A tal fine il risultato di amministrazione iscritto in entrata del primo esercizio può costituire la copertura del fondo pluriennale vincolato stanziato in spesa, corrispondente al fondo pluriennale iscritto in entrata degli esercizi successivi. </w:t>
      </w:r>
      <w:r w:rsidRPr="002470BE">
        <w:rPr>
          <w:rFonts w:ascii="Arial" w:hAnsi="Arial" w:cs="Arial"/>
          <w:color w:val="000000"/>
          <w:sz w:val="24"/>
          <w:szCs w:val="24"/>
        </w:rPr>
        <w:br/>
      </w:r>
      <w:r w:rsidRPr="002470BE">
        <w:rPr>
          <w:rFonts w:ascii="Arial" w:hAnsi="Arial" w:cs="Arial"/>
          <w:color w:val="000000"/>
          <w:sz w:val="24"/>
          <w:szCs w:val="24"/>
          <w:shd w:val="clear" w:color="auto" w:fill="FFFFFF"/>
        </w:rPr>
        <w:t>Se nel corso dell'esercizio in cui il fondo pluriennale vincolato è stato stanziato i relativi impegni pluriennali non sono stati formalmente assunti, il fondo pluriennale non risulta costituito e le risorse tornano a costituire il risultato di amministrazione al 31 dicembre, applicabile all'esercizio successivo secondo le modalità previste nel presenta principio.</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quota libera</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 quota libera del risultato di amministrazione può essere utilizzata con il bilancio di previsione o con provvedimento di variazione di bilancio, </w:t>
      </w:r>
      <w:r w:rsidRPr="002470BE">
        <w:rPr>
          <w:rStyle w:val="marker"/>
          <w:rFonts w:ascii="Arial" w:hAnsi="Arial" w:cs="Arial"/>
          <w:color w:val="FF0000"/>
        </w:rPr>
        <w:t>solo a seguito dell’approvazione del rendiconto</w:t>
      </w:r>
      <w:r w:rsidRPr="002470BE">
        <w:rPr>
          <w:rFonts w:ascii="Arial" w:hAnsi="Arial" w:cs="Arial"/>
          <w:color w:val="000000"/>
        </w:rPr>
        <w:t>, per le finalità sopra indicate e secondo le priorità di seguito indicate in ordine di </w:t>
      </w:r>
      <w:r w:rsidRPr="002470BE">
        <w:rPr>
          <w:rStyle w:val="marker"/>
          <w:rFonts w:ascii="Arial" w:hAnsi="Arial" w:cs="Arial"/>
          <w:color w:val="FF0000"/>
        </w:rPr>
        <w:t>priorità</w:t>
      </w:r>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Pertanto, l’utilizzo dell’avanzo di amministrazione è prioritariamente destinato per la copertura dei debiti fuori bilancio ed alla salvaguardia degli equilibri di bilancio e della sana e corretta gestione finanziaria dell’ente.</w:t>
      </w:r>
      <w:r w:rsidRPr="002470BE">
        <w:rPr>
          <w:rFonts w:ascii="Arial" w:hAnsi="Arial" w:cs="Arial"/>
          <w:color w:val="000000"/>
        </w:rPr>
        <w:br/>
        <w:t>Fermo restando che il bilancio di previsione deve essere approvato in equilibrio, senza utilizzare l’avanzo libero di cui alla lettera b), nel caso in cui il bilancio è approvato:</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successivamente all’approvazione del rendiconto dell’esercizio precedente,</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dopo le scadenze previste dal regolamento e dalla legge per la verifica degli equilibri di bilancio</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risulta in modo inequivocabile che non sia possibile approvare il bilancio in equilibrio,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contestualmente alle procedure di approvazione del bilancio devono essere assunti i provvedimenti di cui all’articolo 50, comma 2, del DLgs 118/2011 (per le regioni), e adottate le procedure dell’articolo 193 del TUEL di controllo a salvaguardia degli equilibri per gli enti locali . Pertanto, l’avanzo libero di cui alla lettera b), può essere utilizzato solo nell’ambito dei provvedimenti di cui all’articolo 50, comma 2, del DLgs 118/2011 (per le regioni), e delle procedure dell’articolo 193 di controllo a salvaguardia degli equilibri (per gli enti locali)</w:t>
      </w:r>
      <w:bookmarkStart w:id="1" w:name="_ftnref4"/>
      <w:r w:rsidR="00BD2D3D" w:rsidRPr="002470BE">
        <w:rPr>
          <w:rFonts w:ascii="Arial" w:hAnsi="Arial" w:cs="Arial"/>
          <w:color w:val="000000"/>
        </w:rPr>
        <w:fldChar w:fldCharType="begin"/>
      </w:r>
      <w:r w:rsidRPr="002470BE">
        <w:rPr>
          <w:rFonts w:ascii="Arial" w:hAnsi="Arial" w:cs="Arial"/>
          <w:color w:val="000000"/>
        </w:rPr>
        <w:instrText xml:space="preserve"> HYPERLINK "http://www.forgionegianluca.it/CONTABILITA_ENTI_LOCALI/DOTTRINA/ARMONIZZAZIONE_CONTABILE/armonizzazione_bilancio/avanzo_amministrazione.php" \l "_ftn4" \o "" </w:instrText>
      </w:r>
      <w:r w:rsidR="00BD2D3D" w:rsidRPr="002470BE">
        <w:rPr>
          <w:rFonts w:ascii="Arial" w:hAnsi="Arial" w:cs="Arial"/>
          <w:color w:val="000000"/>
        </w:rPr>
        <w:fldChar w:fldCharType="separate"/>
      </w:r>
      <w:r w:rsidRPr="002470BE">
        <w:rPr>
          <w:rStyle w:val="Collegamentoipertestuale"/>
          <w:rFonts w:ascii="Arial" w:eastAsia="Cambria" w:hAnsi="Arial" w:cs="Arial"/>
          <w:color w:val="0033CC"/>
          <w:effect w:val="blinkBackground"/>
        </w:rPr>
        <w:t> </w:t>
      </w:r>
      <w:r w:rsidR="00BD2D3D" w:rsidRPr="002470BE">
        <w:rPr>
          <w:rFonts w:ascii="Arial" w:hAnsi="Arial" w:cs="Arial"/>
          <w:color w:val="000000"/>
        </w:rPr>
        <w:fldChar w:fldCharType="end"/>
      </w:r>
      <w:bookmarkEnd w:id="1"/>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Resta salva la possibilità di impiegare l’eventuale quota del risultato di amministrazione “svincolata”, sulla base della determinazione dell’ammontare definitivo del fondo crediti di dubbia esigibilità rispetto alla consistenza dei residui attivi di fine anno, per finanziare lo stanziamento riguardante il fondo crediti di dubbia esigibilità nel bilancio di previsione dell’esercizio successivo a quello cui il rendiconto si riferisce.</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quota accantonate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Le quote accantonate del risultato di amministrazione sono utilizzabili solo a seguito del verificarsi dei rischi per i quali sono stati accantonati.</w:t>
      </w:r>
      <w:r w:rsidRPr="002470BE">
        <w:rPr>
          <w:rFonts w:ascii="Arial" w:hAnsi="Arial" w:cs="Arial"/>
          <w:color w:val="000000"/>
        </w:rPr>
        <w:br/>
        <w:t>Quando si accerta che la spesa potenziale non può più verificarsi, la corrispondente quota del risultato di amministrazione è liberata dal vincolo, in occasione della prima rendicontazione dei risultati successiva alla liberazione del vincolo. </w:t>
      </w:r>
      <w:r w:rsidRPr="002470BE">
        <w:rPr>
          <w:rFonts w:ascii="Arial" w:hAnsi="Arial" w:cs="Arial"/>
          <w:color w:val="000000"/>
        </w:rPr>
        <w:br/>
        <w:t>Nel corso dell'esercizio provvisorio, l'utilizzo delle quote accantonate del risultato presunto è di competenza della Giunta, richiede il parere dell'organo di revisione, ed è consentito, sulla base di una relazione documentata del dirigente competente, esclusivamente per garantire la prosecuzione o l'avvio di attività soggette a termini o scadenza, la cui mancata attuazione determinerebbe danno per l'ente. </w:t>
      </w:r>
      <w:r w:rsidRPr="002470BE">
        <w:rPr>
          <w:rFonts w:ascii="Arial" w:hAnsi="Arial" w:cs="Arial"/>
          <w:color w:val="000000"/>
        </w:rPr>
        <w:br/>
        <w:t>L’utilizzo della quota accantonata per i crediti di dubbia esigibilità è effettuato a seguito della cancellazione dei crediti dal conto del bilancio, riducendo di pari importo il risultato di amministrazione.</w:t>
      </w:r>
      <w:r w:rsidRPr="002470BE">
        <w:rPr>
          <w:rFonts w:ascii="Arial" w:hAnsi="Arial" w:cs="Arial"/>
          <w:color w:val="000000"/>
        </w:rPr>
        <w:br/>
        <w:t>Con il bilancio di previsione o, nel corso dell’esercizio con provvedimento di variazione al bilancio, è sempre consentito l’utilizzo delle quote accantonate del risultato di amministrazione risultanti dall’ultimo consuntivo approvato.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 </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Style w:val="password-indicator"/>
          <w:rFonts w:ascii="Arial" w:hAnsi="Arial" w:cs="Arial"/>
          <w:color w:val="000000"/>
          <w:shd w:val="clear" w:color="auto" w:fill="C4C4C4"/>
        </w:rPr>
        <w:t>L’utilizzo delle quote </w:t>
      </w:r>
      <w:r w:rsidRPr="002470BE">
        <w:rPr>
          <w:rStyle w:val="Enfasigrassetto"/>
          <w:rFonts w:ascii="Arial" w:hAnsi="Arial" w:cs="Arial"/>
          <w:color w:val="000000"/>
          <w:shd w:val="clear" w:color="auto" w:fill="C4C4C4"/>
        </w:rPr>
        <w:t>vincolate </w:t>
      </w:r>
      <w:r w:rsidRPr="002470BE">
        <w:rPr>
          <w:rStyle w:val="password-indicator"/>
          <w:rFonts w:ascii="Arial" w:hAnsi="Arial" w:cs="Arial"/>
          <w:color w:val="000000"/>
          <w:shd w:val="clear" w:color="auto" w:fill="C4C4C4"/>
        </w:rPr>
        <w:t>e </w:t>
      </w:r>
      <w:r w:rsidRPr="002470BE">
        <w:rPr>
          <w:rStyle w:val="Enfasigrassetto"/>
          <w:rFonts w:ascii="Arial" w:hAnsi="Arial" w:cs="Arial"/>
          <w:color w:val="000000"/>
          <w:shd w:val="clear" w:color="auto" w:fill="C4C4C4"/>
        </w:rPr>
        <w:t>accantonate</w:t>
      </w:r>
      <w:r w:rsidRPr="002470BE">
        <w:rPr>
          <w:rStyle w:val="password-indicator"/>
          <w:rFonts w:ascii="Arial" w:hAnsi="Arial" w:cs="Arial"/>
          <w:color w:val="000000"/>
          <w:shd w:val="clear" w:color="auto" w:fill="C4C4C4"/>
        </w:rPr>
        <w:t> del risultato di amministrazione è consentito anche </w:t>
      </w:r>
      <w:r w:rsidRPr="002470BE">
        <w:rPr>
          <w:rStyle w:val="Enfasigrassetto"/>
          <w:rFonts w:ascii="Arial" w:hAnsi="Arial" w:cs="Arial"/>
          <w:color w:val="FF0000"/>
        </w:rPr>
        <w:t>nel corso dell’esercizio provvisorio,</w:t>
      </w:r>
      <w:r w:rsidRPr="002470BE">
        <w:rPr>
          <w:rFonts w:ascii="Arial" w:hAnsi="Arial" w:cs="Arial"/>
          <w:color w:val="000000"/>
        </w:rPr>
        <w:t> esclusivamente per garantire la prosecuzione o l’avvio di attività soggette a termini o scadenza, sulla base di una relazione documentata del dirigente competente. </w:t>
      </w:r>
      <w:r w:rsidRPr="002470BE">
        <w:rPr>
          <w:rFonts w:ascii="Arial" w:hAnsi="Arial" w:cs="Arial"/>
          <w:color w:val="000000"/>
        </w:rPr>
        <w:br/>
        <w:t>A tal fine, la Giunta, dopo avere acquisito il parere dell’organo di revisione, delibera una variazione del bilancio provvisorio in corso di gestione, che dispone l’utilizzo dell’avanzo di amministrazione vincolato o accantonato determinato, sulla base di dati di pre-consuntivo dell’esercizio precedente, secondo le modalità previste dal presente principio. </w:t>
      </w:r>
      <w:r w:rsidRPr="002470BE">
        <w:rPr>
          <w:rFonts w:ascii="Arial" w:hAnsi="Arial" w:cs="Arial"/>
          <w:color w:val="000000"/>
        </w:rPr>
        <w:br/>
        <w:t>Nel corso dell’esercizio provvisorio, se il prospetto aggiornato del risultato di amministrazione presunto </w:t>
      </w:r>
      <w:r w:rsidRPr="002470BE">
        <w:rPr>
          <w:rStyle w:val="Enfasigrassetto"/>
          <w:rFonts w:ascii="Arial" w:hAnsi="Arial" w:cs="Arial"/>
          <w:color w:val="000000"/>
        </w:rPr>
        <w:t>evidenzi un disavanzo di amministrazione</w:t>
      </w:r>
      <w:r w:rsidRPr="002470BE">
        <w:rPr>
          <w:rFonts w:ascii="Arial" w:hAnsi="Arial" w:cs="Arial"/>
          <w:color w:val="000000"/>
        </w:rPr>
        <w:t> (lettera D) della sezione 2 del prospetto), non è possibile proseguire la gestione secondo le regole dell’esercizio provvisorio. E’ necessario che l’ente proceda all’immediata approvazione del bilancio di previsione, iscrivendo tra le spese il disavanzo. Nelle more dell’approvazione del bilancio di previsione, la gestione prosegue secondo le regole della gestione provvisoria.</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b/>
          <w:bCs/>
          <w:color w:val="000000"/>
          <w:bdr w:val="single" w:sz="6" w:space="12" w:color="F0C020" w:frame="1"/>
          <w:shd w:val="clear" w:color="auto" w:fill="FFFFDD"/>
        </w:rPr>
        <w:br/>
      </w:r>
      <w:r w:rsidRPr="002470BE">
        <w:rPr>
          <w:rStyle w:val="Enfasigrassetto"/>
          <w:rFonts w:ascii="Arial" w:hAnsi="Arial" w:cs="Arial"/>
          <w:color w:val="000000"/>
          <w:bdr w:val="single" w:sz="6" w:space="12" w:color="F0C020" w:frame="1"/>
          <w:shd w:val="clear" w:color="auto" w:fill="FFFFDD"/>
        </w:rPr>
        <w:t>In occasione dell’</w:t>
      </w:r>
      <w:r w:rsidRPr="002470BE">
        <w:rPr>
          <w:rStyle w:val="Enfasicorsivo"/>
          <w:rFonts w:ascii="Arial" w:hAnsi="Arial" w:cs="Arial"/>
          <w:b/>
          <w:bCs/>
          <w:color w:val="000000"/>
          <w:bdr w:val="single" w:sz="6" w:space="12" w:color="F0C020" w:frame="1"/>
          <w:shd w:val="clear" w:color="auto" w:fill="FFFFDD"/>
        </w:rPr>
        <w:t>approvazione</w:t>
      </w:r>
      <w:r w:rsidRPr="002470BE">
        <w:rPr>
          <w:rStyle w:val="Enfasigrassetto"/>
          <w:rFonts w:ascii="Arial" w:hAnsi="Arial" w:cs="Arial"/>
          <w:color w:val="000000"/>
          <w:bdr w:val="single" w:sz="6" w:space="12" w:color="F0C020" w:frame="1"/>
          <w:shd w:val="clear" w:color="auto" w:fill="FFFFDD"/>
        </w:rPr>
        <w:t> del bilancio di previsione, e con</w:t>
      </w:r>
      <w:r w:rsidR="00F96565">
        <w:rPr>
          <w:rStyle w:val="Enfasigrassetto"/>
          <w:rFonts w:ascii="Arial" w:hAnsi="Arial" w:cs="Arial"/>
          <w:color w:val="000000"/>
          <w:bdr w:val="single" w:sz="6" w:space="12" w:color="F0C020" w:frame="1"/>
          <w:shd w:val="clear" w:color="auto" w:fill="FFFFDD"/>
        </w:rPr>
        <w:t xml:space="preserve"> </w:t>
      </w:r>
      <w:r w:rsidRPr="002470BE">
        <w:rPr>
          <w:rStyle w:val="Enfasigrassetto"/>
          <w:rFonts w:ascii="Arial" w:hAnsi="Arial" w:cs="Arial"/>
          <w:color w:val="000000"/>
          <w:bdr w:val="single" w:sz="6" w:space="12" w:color="F0C020" w:frame="1"/>
          <w:shd w:val="clear" w:color="auto" w:fill="FFFFDD"/>
        </w:rPr>
        <w:t>successive </w:t>
      </w:r>
      <w:r w:rsidRPr="002470BE">
        <w:rPr>
          <w:rStyle w:val="Enfasicorsivo"/>
          <w:rFonts w:ascii="Arial" w:hAnsi="Arial" w:cs="Arial"/>
          <w:b/>
          <w:bCs/>
          <w:color w:val="000000"/>
          <w:bdr w:val="single" w:sz="6" w:space="12" w:color="F0C020" w:frame="1"/>
          <w:shd w:val="clear" w:color="auto" w:fill="FFFFDD"/>
        </w:rPr>
        <w:t>variazioni </w:t>
      </w:r>
      <w:r w:rsidRPr="002470BE">
        <w:rPr>
          <w:rStyle w:val="Enfasigrassetto"/>
          <w:rFonts w:ascii="Arial" w:hAnsi="Arial" w:cs="Arial"/>
          <w:color w:val="000000"/>
          <w:bdr w:val="single" w:sz="6" w:space="12" w:color="F0C020" w:frame="1"/>
          <w:shd w:val="clear" w:color="auto" w:fill="FFFFDD"/>
        </w:rPr>
        <w:t>di bilancio, </w:t>
      </w:r>
      <w:r w:rsidRPr="002470BE">
        <w:rPr>
          <w:rStyle w:val="ctools-owns-lock"/>
          <w:rFonts w:ascii="Arial" w:hAnsi="Arial" w:cs="Arial"/>
          <w:color w:val="000000"/>
          <w:bdr w:val="single" w:sz="6" w:space="12" w:color="F0C020" w:frame="1"/>
          <w:shd w:val="clear" w:color="auto" w:fill="FFFFDD"/>
        </w:rPr>
        <w:t>è consentito l’utilizzo della quota del risultato di amministrazione </w:t>
      </w:r>
      <w:r w:rsidRPr="002470BE">
        <w:rPr>
          <w:rStyle w:val="Enfasigrassetto"/>
          <w:rFonts w:ascii="Arial" w:hAnsi="Arial" w:cs="Arial"/>
          <w:color w:val="000000"/>
          <w:bdr w:val="single" w:sz="6" w:space="12" w:color="F0C020" w:frame="1"/>
          <w:shd w:val="clear" w:color="auto" w:fill="FFFFDD"/>
        </w:rPr>
        <w:t>presunto</w:t>
      </w:r>
      <w:r w:rsidRPr="002470BE">
        <w:rPr>
          <w:rStyle w:val="ctools-owns-lock"/>
          <w:rFonts w:ascii="Arial" w:hAnsi="Arial" w:cs="Arial"/>
          <w:color w:val="000000"/>
          <w:bdr w:val="single" w:sz="6" w:space="12" w:color="F0C020" w:frame="1"/>
          <w:shd w:val="clear" w:color="auto" w:fill="FFFFDD"/>
        </w:rPr>
        <w:t> costituita dai fondi </w:t>
      </w:r>
      <w:r w:rsidRPr="002470BE">
        <w:rPr>
          <w:rStyle w:val="Enfasigrassetto"/>
          <w:rFonts w:ascii="Arial" w:hAnsi="Arial" w:cs="Arial"/>
          <w:color w:val="000000"/>
          <w:bdr w:val="single" w:sz="6" w:space="12" w:color="F0C020" w:frame="1"/>
          <w:shd w:val="clear" w:color="auto" w:fill="FFFFDD"/>
        </w:rPr>
        <w:t>vincolati</w:t>
      </w:r>
      <w:r w:rsidRPr="002470BE">
        <w:rPr>
          <w:rStyle w:val="ctools-owns-lock"/>
          <w:rFonts w:ascii="Arial" w:hAnsi="Arial" w:cs="Arial"/>
          <w:color w:val="000000"/>
          <w:bdr w:val="single" w:sz="6" w:space="12" w:color="F0C020" w:frame="1"/>
          <w:shd w:val="clear" w:color="auto" w:fill="FFFFDD"/>
        </w:rPr>
        <w:t>, e dalle somme </w:t>
      </w:r>
      <w:r w:rsidRPr="002470BE">
        <w:rPr>
          <w:rStyle w:val="Enfasigrassetto"/>
          <w:rFonts w:ascii="Arial" w:hAnsi="Arial" w:cs="Arial"/>
          <w:color w:val="000000"/>
          <w:bdr w:val="single" w:sz="6" w:space="12" w:color="F0C020" w:frame="1"/>
          <w:shd w:val="clear" w:color="auto" w:fill="FFFFDD"/>
        </w:rPr>
        <w:t>accantonate </w:t>
      </w:r>
      <w:r w:rsidRPr="002470BE">
        <w:rPr>
          <w:rStyle w:val="ctools-owns-lock"/>
          <w:rFonts w:ascii="Arial" w:hAnsi="Arial" w:cs="Arial"/>
          <w:color w:val="000000"/>
          <w:bdr w:val="single" w:sz="6" w:space="12" w:color="F0C020" w:frame="1"/>
          <w:shd w:val="clear" w:color="auto" w:fill="FFFFDD"/>
        </w:rPr>
        <w:t>risultanti dall’</w:t>
      </w:r>
      <w:r w:rsidRPr="002470BE">
        <w:rPr>
          <w:rStyle w:val="Enfasigrassetto"/>
          <w:rFonts w:ascii="Arial" w:hAnsi="Arial" w:cs="Arial"/>
          <w:color w:val="000000"/>
          <w:bdr w:val="single" w:sz="6" w:space="12" w:color="F0C020" w:frame="1"/>
          <w:shd w:val="clear" w:color="auto" w:fill="FFFFDD"/>
        </w:rPr>
        <w:t>ultimo consuntivo approvato</w:t>
      </w:r>
      <w:r w:rsidRPr="002470BE">
        <w:rPr>
          <w:rStyle w:val="ctools-owns-lock"/>
          <w:rFonts w:ascii="Arial" w:hAnsi="Arial" w:cs="Arial"/>
          <w:color w:val="000000"/>
          <w:bdr w:val="single" w:sz="6" w:space="12" w:color="F0C020" w:frame="1"/>
          <w:shd w:val="clear" w:color="auto" w:fill="FFFFDD"/>
        </w:rPr>
        <w:t>, secondo le modalità di seguito riportate.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Style w:val="Enfasicorsivo"/>
          <w:rFonts w:ascii="Arial" w:hAnsi="Arial" w:cs="Arial"/>
          <w:color w:val="000000"/>
        </w:rPr>
        <w:t xml:space="preserve">Fino all'approvazione del rendiconto 2015, gli enti possono utilizzare solo le quote accantonate del risultato di amministrazione in occasione del </w:t>
      </w:r>
      <w:proofErr w:type="spellStart"/>
      <w:r w:rsidRPr="002470BE">
        <w:rPr>
          <w:rStyle w:val="Enfasicorsivo"/>
          <w:rFonts w:ascii="Arial" w:hAnsi="Arial" w:cs="Arial"/>
          <w:color w:val="000000"/>
        </w:rPr>
        <w:t>riaccertamento</w:t>
      </w:r>
      <w:proofErr w:type="spellEnd"/>
      <w:r w:rsidRPr="002470BE">
        <w:rPr>
          <w:rStyle w:val="Enfasicorsivo"/>
          <w:rFonts w:ascii="Arial" w:hAnsi="Arial" w:cs="Arial"/>
          <w:color w:val="000000"/>
        </w:rPr>
        <w:t xml:space="preserve"> straordinario o del rendiconto 2014 (per gli enti che hanno partecipato alla sperimentazione). Non possono invece essere utilizzati anticipatamente gli accantonamenti effettuati nel corso dell'esercizio 2015, per i quali occorre aspettare l'approvazione del rendiconto.</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anticipato </w:t>
      </w:r>
      <w:r w:rsidRPr="002470BE">
        <w:rPr>
          <w:rStyle w:val="Enfasigrassetto"/>
          <w:rFonts w:ascii="Arial" w:hAnsi="Arial" w:cs="Arial"/>
          <w:b/>
          <w:bCs/>
          <w:i/>
          <w:iCs/>
          <w:color w:val="464646"/>
          <w:sz w:val="24"/>
          <w:szCs w:val="24"/>
        </w:rPr>
        <w:t>delle quote vincolate del risultato di amministrazione presunto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br/>
      </w:r>
      <w:r w:rsidRPr="002470BE">
        <w:rPr>
          <w:rStyle w:val="Enfasicorsivo"/>
          <w:rFonts w:ascii="Arial" w:hAnsi="Arial" w:cs="Arial"/>
          <w:color w:val="FF0000"/>
        </w:rPr>
        <w:t>Nel caso in cui il bilancio di previsione preveda l’immediato utilizzo della quota</w:t>
      </w:r>
      <w:r w:rsidRPr="002470BE">
        <w:rPr>
          <w:rStyle w:val="Enfasigrassetto"/>
          <w:rFonts w:ascii="Arial" w:hAnsi="Arial" w:cs="Arial"/>
          <w:i/>
          <w:iCs/>
          <w:color w:val="FF0000"/>
        </w:rPr>
        <w:t> vincolata</w:t>
      </w:r>
      <w:r w:rsidRPr="002470BE">
        <w:rPr>
          <w:rStyle w:val="Enfasicorsivo"/>
          <w:rFonts w:ascii="Arial" w:hAnsi="Arial" w:cs="Arial"/>
          <w:color w:val="FF0000"/>
        </w:rPr>
        <w:t> dell’avanzo di amministrazione presunto</w:t>
      </w:r>
      <w:r w:rsidRPr="002470BE">
        <w:rPr>
          <w:rFonts w:ascii="Arial" w:hAnsi="Arial" w:cs="Arial"/>
          <w:color w:val="000000"/>
        </w:rPr>
        <w:t>, entro il 31 gennaio dell’esercizio cui il bilancio si riferisce, si provvede all’approvazione, con delibera di Giunta, del </w:t>
      </w:r>
      <w:r w:rsidRPr="002470BE">
        <w:rPr>
          <w:rStyle w:val="Enfasigrassetto"/>
          <w:rFonts w:ascii="Arial" w:hAnsi="Arial" w:cs="Arial"/>
          <w:color w:val="000000"/>
        </w:rPr>
        <w:t>prospetto aggiornato riguardante il risultato di amministrazione presunto</w:t>
      </w:r>
      <w:r w:rsidRPr="002470BE">
        <w:rPr>
          <w:rFonts w:ascii="Arial" w:hAnsi="Arial" w:cs="Arial"/>
          <w:color w:val="000000"/>
        </w:rPr>
        <w:t>, sulla base di un preconsuntivo relativo alle </w:t>
      </w:r>
      <w:r w:rsidRPr="002470BE">
        <w:rPr>
          <w:rStyle w:val="Enfasicorsivo"/>
          <w:rFonts w:ascii="Arial" w:hAnsi="Arial" w:cs="Arial"/>
          <w:b/>
          <w:bCs/>
          <w:color w:val="000000"/>
        </w:rPr>
        <w:t>entrate e alle spese vincolate</w:t>
      </w:r>
      <w:r w:rsidRPr="002470BE">
        <w:rPr>
          <w:rFonts w:ascii="Arial" w:hAnsi="Arial" w:cs="Arial"/>
          <w:color w:val="000000"/>
        </w:rPr>
        <w:t>. </w:t>
      </w:r>
      <w:r w:rsidRPr="002470BE">
        <w:rPr>
          <w:rFonts w:ascii="Arial" w:hAnsi="Arial" w:cs="Arial"/>
          <w:color w:val="000000"/>
        </w:rPr>
        <w:br/>
        <w:t>Se tale prospetto evidenzia una quota vincolata del risultato di amministrazione inferiore rispetto a quella applicata al bilancio, si provvede immediatamente alle necessarie variazioni di bilancio che adeguano l’impiego del risultato di amministrazione vincolato.</w:t>
      </w:r>
      <w:r w:rsidRPr="002470BE">
        <w:rPr>
          <w:rFonts w:ascii="Arial" w:hAnsi="Arial" w:cs="Arial"/>
          <w:color w:val="000000"/>
        </w:rPr>
        <w:br/>
        <w:t>In assenza dell’aggiornamento del prospetto riguardante il risultato di amministrazione presunto, si provvede immediatamente alla variazione di bilancio che elimina l’utilizzo dell’avanzo di amministrazione.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 </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Variazioni che applicano al bilancio quote vincolate o accantonate del risultato di amministrazione in attesa dell’approvazione del consuntivo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br/>
      </w:r>
      <w:r w:rsidRPr="002470BE">
        <w:rPr>
          <w:rStyle w:val="Enfasicorsivo"/>
          <w:rFonts w:ascii="Arial" w:hAnsi="Arial" w:cs="Arial"/>
          <w:color w:val="FF0000"/>
        </w:rPr>
        <w:t>Le eventuali variazioni di bilancio</w:t>
      </w:r>
      <w:r w:rsidRPr="002470BE">
        <w:rPr>
          <w:rFonts w:ascii="Arial" w:hAnsi="Arial" w:cs="Arial"/>
          <w:color w:val="000000"/>
        </w:rPr>
        <w:t> che, in attesa dell’approvazione del consuntivo, applicano al bilancio quote </w:t>
      </w:r>
      <w:r w:rsidRPr="002470BE">
        <w:rPr>
          <w:rStyle w:val="Enfasigrassetto"/>
          <w:rFonts w:ascii="Arial" w:hAnsi="Arial" w:cs="Arial"/>
          <w:color w:val="FF0000"/>
        </w:rPr>
        <w:t>vincolate o accantonate</w:t>
      </w:r>
      <w:r w:rsidRPr="002470BE">
        <w:rPr>
          <w:rFonts w:ascii="Arial" w:hAnsi="Arial" w:cs="Arial"/>
          <w:color w:val="000000"/>
        </w:rPr>
        <w:t> del risultato di amministrazione, </w:t>
      </w:r>
      <w:r w:rsidRPr="002470BE">
        <w:rPr>
          <w:rStyle w:val="Enfasigrassetto"/>
          <w:rFonts w:ascii="Arial" w:hAnsi="Arial" w:cs="Arial"/>
          <w:color w:val="000000"/>
        </w:rPr>
        <w:t>possono essere effettuate solo dopo l’approvazione da parte della Giunta del prospetto aggiornato del risultato di amministrazioni presunto.</w:t>
      </w:r>
      <w:r w:rsidRPr="002470BE">
        <w:rPr>
          <w:rFonts w:ascii="Arial" w:hAnsi="Arial" w:cs="Arial"/>
          <w:color w:val="000000"/>
        </w:rPr>
        <w:br/>
        <w:t xml:space="preserve">Le variazioni consistenti nella mera </w:t>
      </w:r>
      <w:proofErr w:type="spellStart"/>
      <w:r w:rsidRPr="002470BE">
        <w:rPr>
          <w:rFonts w:ascii="Arial" w:hAnsi="Arial" w:cs="Arial"/>
          <w:color w:val="000000"/>
        </w:rPr>
        <w:t>reiscrizione</w:t>
      </w:r>
      <w:proofErr w:type="spellEnd"/>
      <w:r w:rsidRPr="002470BE">
        <w:rPr>
          <w:rFonts w:ascii="Arial" w:hAnsi="Arial" w:cs="Arial"/>
          <w:color w:val="000000"/>
        </w:rPr>
        <w:t xml:space="preserve"> di economie di spesa vincolate derivanti da stanziamenti di bilancio dell’esercizio precedente, possono essere disposte dai dirigenti se previsto dal regolamento di contabilità o, in assenza di norme, dal responsabile finanziario.</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Style w:val="Enfasigrassetto"/>
          <w:rFonts w:ascii="Arial" w:hAnsi="Arial" w:cs="Arial"/>
          <w:b/>
          <w:bCs/>
          <w:color w:val="464646"/>
          <w:sz w:val="24"/>
          <w:szCs w:val="24"/>
        </w:rPr>
        <w:t>Utilizzo degli accantonamenti effettuati nel corso dell’esercizio precedente</w:t>
      </w:r>
      <w:r w:rsidRPr="002470BE">
        <w:rPr>
          <w:rFonts w:ascii="Arial" w:hAnsi="Arial" w:cs="Arial"/>
          <w:color w:val="464646"/>
          <w:sz w:val="24"/>
          <w:szCs w:val="24"/>
        </w:rPr>
        <w:t> in attesa dell’approvazione del consuntivo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Style w:val="marker"/>
          <w:rFonts w:ascii="Arial" w:hAnsi="Arial" w:cs="Arial"/>
          <w:color w:val="FF0000"/>
        </w:rPr>
        <w:t>Con provvedimento di variazione al bilancio effettuato prima dell’approvazione del conto consuntivo dell’esercizio precedente, è consentito l’</w:t>
      </w:r>
      <w:r w:rsidRPr="002470BE">
        <w:rPr>
          <w:rStyle w:val="Enfasigrassetto"/>
          <w:rFonts w:ascii="Arial" w:hAnsi="Arial" w:cs="Arial"/>
          <w:color w:val="FF0000"/>
        </w:rPr>
        <w:t>utilizzo degli accantonamenti effettuati nel corso dell’esercizio precedente</w:t>
      </w:r>
      <w:r w:rsidRPr="002470BE">
        <w:rPr>
          <w:rFonts w:ascii="Arial" w:hAnsi="Arial" w:cs="Arial"/>
          <w:color w:val="000000"/>
        </w:rPr>
        <w:t>, </w:t>
      </w:r>
      <w:r w:rsidRPr="002470BE">
        <w:rPr>
          <w:rStyle w:val="Enfasicorsivo"/>
          <w:rFonts w:ascii="Arial" w:hAnsi="Arial" w:cs="Arial"/>
          <w:color w:val="000000"/>
        </w:rPr>
        <w:t>se la </w:t>
      </w:r>
      <w:r w:rsidRPr="002470BE">
        <w:rPr>
          <w:rStyle w:val="Enfasigrassetto"/>
          <w:rFonts w:ascii="Arial" w:hAnsi="Arial" w:cs="Arial"/>
          <w:i/>
          <w:iCs/>
          <w:color w:val="000000"/>
        </w:rPr>
        <w:t>verifica prevista per l’utilizzo anticipato delle quote vincolate del risultato di amministrazione presunto</w:t>
      </w:r>
      <w:r w:rsidRPr="002470BE">
        <w:rPr>
          <w:rFonts w:ascii="Arial" w:hAnsi="Arial" w:cs="Arial"/>
          <w:color w:val="000000"/>
        </w:rPr>
        <w:t> e l’aggiornamento dell’allegato al bilancio di previsione di cui all’articolo 11, comma 3, lettera a), del decreto legislativo 23 giugno 2011, n.118 e successive modificazioni e integrazioni, sono effettuate con riferimento a </w:t>
      </w:r>
      <w:r w:rsidRPr="002470BE">
        <w:rPr>
          <w:rStyle w:val="Enfasigrassetto"/>
          <w:rFonts w:ascii="Arial" w:hAnsi="Arial" w:cs="Arial"/>
          <w:i/>
          <w:iCs/>
          <w:color w:val="000000"/>
        </w:rPr>
        <w:t>tutte le entrate e le spese dell’esercizio precedente</w:t>
      </w:r>
      <w:r w:rsidRPr="002470BE">
        <w:rPr>
          <w:rStyle w:val="Enfasicorsivo"/>
          <w:rFonts w:ascii="Arial" w:hAnsi="Arial" w:cs="Arial"/>
          <w:color w:val="000000"/>
        </w:rPr>
        <w:t> e non solo alle entrate e alle spese vincolate</w:t>
      </w:r>
      <w:r w:rsidRPr="002470BE">
        <w:rPr>
          <w:rFonts w:ascii="Arial" w:hAnsi="Arial" w:cs="Arial"/>
          <w:color w:val="000000"/>
        </w:rPr>
        <w:t>. In altri termini, occorre predisporre un preconsuntivo e riapprovare il prospetto del risultato di amministrazione presunto, già allegato al bilancio di previsione.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In ogni caso il risultato di amministrazione non può mai essere considerato una somma “certa”, in quanto esso si compone di poste che presentano un margine di aleatorietà riguardo alla possibile sovrastima dei residui attivi e alla sottostima dei residui passivi. </w:t>
      </w:r>
      <w:r w:rsidRPr="002470BE">
        <w:rPr>
          <w:rFonts w:ascii="Arial" w:hAnsi="Arial" w:cs="Arial"/>
          <w:color w:val="000000"/>
        </w:rPr>
        <w:br/>
        <w:t>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L’accantonamento di una quota del risultato di amministrazione al fondo crediti di dubbia esigibilità è effettuato per l’ importo complessivo determinato nel prospetto concernente il fondo crediti, allegato al rendiconto (che distingue la parte corrente dalla parte in conto capitale).</w:t>
      </w:r>
      <w:r w:rsidRPr="002470BE">
        <w:rPr>
          <w:rFonts w:ascii="Arial" w:hAnsi="Arial" w:cs="Arial"/>
          <w:color w:val="000000"/>
        </w:rPr>
        <w:br/>
        <w:t>Per le regioni, l’importo del disavanzo di cui alla lettera A) risultante dal prospetto riguardante il risultato di amministrazione, di importo pari o inferiore al debito autorizzato e non contratto, è recuperato con il ricorso al debito, stanziando in entrata la corrispondente entrata da accensione di prestiti, che sarà oggetto di accertamento in presenza di effettive esigenze di cassa. Invece, l’eventuale disavanzo determinato a seguito dell’accantonamento al fondo crediti di dubbia esigibilità, per le quote vincolate o per quelle destinate agli investimenti, costituisce un debito derivante dalla gestione, che deve essere applicato al bilancio di previsione in corso di gestione, come disavanzo da ripianare secondo le modalità previste dall’ordinamento contabile, salvo l’accantonamento per i residui perenti in conto capitale che può essere finanziato dal debito autorizzato e non contratto (fino al 31 dicembre 2015).</w:t>
      </w:r>
      <w:r w:rsidRPr="002470BE">
        <w:rPr>
          <w:rFonts w:ascii="Arial" w:hAnsi="Arial" w:cs="Arial"/>
          <w:color w:val="000000"/>
        </w:rPr>
        <w:br/>
        <w:t>Nel bilancio, per il recupero della quota del disavanzo derivante da debito autorizzato e non contratto, è possibile utilizzare una voce distinta rispetto all’ordinario disavanzo da recuperare, denominata “Disavanzo determinato dal debito autorizzato e non contratto”, da iscrivere nel bilancio di previsione, prima di tutte le spese</w:t>
      </w:r>
      <w:bookmarkStart w:id="2" w:name="_ftnref1"/>
      <w:r w:rsidR="00BD2D3D" w:rsidRPr="002470BE">
        <w:rPr>
          <w:rFonts w:ascii="Arial" w:hAnsi="Arial" w:cs="Arial"/>
          <w:color w:val="000000"/>
        </w:rPr>
        <w:fldChar w:fldCharType="begin"/>
      </w:r>
      <w:r w:rsidRPr="002470BE">
        <w:rPr>
          <w:rFonts w:ascii="Arial" w:hAnsi="Arial" w:cs="Arial"/>
          <w:color w:val="000000"/>
        </w:rPr>
        <w:instrText xml:space="preserve"> HYPERLINK "http://www.forgionegianluca.it/CONTABILITA_ENTI_LOCALI/DOTTRINA/ARMONIZZAZIONE_CONTABILE/armonizzazione_bilancio/avanzo_amministrazione.php" \l "_ftn1" \o "" </w:instrText>
      </w:r>
      <w:r w:rsidR="00BD2D3D" w:rsidRPr="002470BE">
        <w:rPr>
          <w:rFonts w:ascii="Arial" w:hAnsi="Arial" w:cs="Arial"/>
          <w:color w:val="000000"/>
        </w:rPr>
        <w:fldChar w:fldCharType="separate"/>
      </w:r>
      <w:r w:rsidRPr="002470BE">
        <w:rPr>
          <w:rStyle w:val="Collegamentoipertestuale"/>
          <w:rFonts w:ascii="Arial" w:eastAsia="Cambria" w:hAnsi="Arial" w:cs="Arial"/>
          <w:color w:val="0033CC"/>
          <w:effect w:val="blinkBackground"/>
        </w:rPr>
        <w:t> </w:t>
      </w:r>
      <w:r w:rsidR="00BD2D3D" w:rsidRPr="002470BE">
        <w:rPr>
          <w:rFonts w:ascii="Arial" w:hAnsi="Arial" w:cs="Arial"/>
          <w:color w:val="000000"/>
        </w:rPr>
        <w:fldChar w:fldCharType="end"/>
      </w:r>
      <w:bookmarkEnd w:id="2"/>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quote destinate agli investimenti</w:t>
      </w:r>
    </w:p>
    <w:p w:rsidR="002659DF" w:rsidRPr="002470BE" w:rsidRDefault="002659DF" w:rsidP="00272205">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DF5EF4" w:rsidRPr="002470BE" w:rsidRDefault="00DF5EF4" w:rsidP="00272205">
      <w:pPr>
        <w:pStyle w:val="NormaleWeb"/>
        <w:shd w:val="clear" w:color="auto" w:fill="FFFFFF"/>
        <w:spacing w:before="0" w:beforeAutospacing="0" w:after="0" w:afterAutospacing="0"/>
        <w:rPr>
          <w:rFonts w:ascii="Arial" w:hAnsi="Arial" w:cs="Arial"/>
          <w:color w:val="000000"/>
        </w:rPr>
      </w:pPr>
    </w:p>
    <w:p w:rsidR="00272205" w:rsidRPr="002470BE" w:rsidRDefault="00DF5EF4" w:rsidP="00272205">
      <w:pPr>
        <w:pStyle w:val="NormaleWeb"/>
        <w:shd w:val="clear" w:color="auto" w:fill="FFFFFF"/>
        <w:spacing w:before="0" w:beforeAutospacing="0" w:after="0" w:afterAutospacing="0"/>
        <w:rPr>
          <w:rFonts w:ascii="Arial" w:hAnsi="Arial" w:cs="Arial"/>
          <w:b/>
          <w:color w:val="000000"/>
        </w:rPr>
      </w:pPr>
      <w:r w:rsidRPr="002470BE">
        <w:rPr>
          <w:rFonts w:ascii="Arial" w:hAnsi="Arial" w:cs="Arial"/>
          <w:b/>
          <w:color w:val="000000"/>
        </w:rPr>
        <w:t xml:space="preserve"> VARIAZIONI AL BILANCIO</w:t>
      </w:r>
    </w:p>
    <w:p w:rsidR="00DF5EF4" w:rsidRPr="002470BE" w:rsidRDefault="00DF5EF4" w:rsidP="00272205">
      <w:pPr>
        <w:pStyle w:val="NormaleWeb"/>
        <w:shd w:val="clear" w:color="auto" w:fill="FFFFFF"/>
        <w:spacing w:before="0" w:beforeAutospacing="0" w:after="0" w:afterAutospacing="0"/>
        <w:rPr>
          <w:rFonts w:ascii="Arial" w:hAnsi="Arial" w:cs="Arial"/>
          <w:color w:val="333333"/>
          <w:shd w:val="clear" w:color="auto" w:fill="FFFFFF"/>
        </w:rPr>
      </w:pPr>
      <w:r w:rsidRPr="002470BE">
        <w:rPr>
          <w:rFonts w:ascii="Arial" w:hAnsi="Arial" w:cs="Arial"/>
          <w:color w:val="333333"/>
          <w:shd w:val="clear" w:color="auto" w:fill="FFFFFF"/>
        </w:rPr>
        <w:t>Le variazioni del bilancio sono variazioni al bilancio di previsione che si rendono necessarie durante l’esercizio.</w:t>
      </w:r>
    </w:p>
    <w:p w:rsidR="00DF5EF4" w:rsidRPr="00DF5EF4" w:rsidRDefault="00DF5EF4" w:rsidP="00DF5EF4">
      <w:pPr>
        <w:shd w:val="clear" w:color="auto" w:fill="FFFFFF"/>
        <w:spacing w:after="450"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Le variazioni, con provvedimento amministrativo (delibera o decreto), del bilancio di previsione e del documento tecnico di accompagnamento al bilancio vengono effettuate durante l’esercizio in corso prevalentemente al fine di:</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stanziare in entrata e spesa nuove assegnazioni vincolate (es. trasferimenti statali o trasferimenti dell’Unione europea) non previste nel bilancio di previsione o rimodularle negli esercizi successivi in base alla scadenza dell’obbligazione giuridica</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sullo stesso esercizio, risorse autonome o vincolate all’interno della stessa missione/programma - che rappresenta l’obiettivo di una determinata spesa - (es. missione Istruzione, programma Istruzione prescolastica) e titolo (es. spesa corrente) da un macroaggregato ad un altro - che rappresenta la natura economica della spesa - (es. da Acquisto di servizi a Trasferimenti correnti)</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risorse, sullo stesso esercizio, all’interno dello medesima missione/programma e dello stesso macroaggregato (es. da Acquisto di servizio di consulenza ad Acquisto di servizio di formazione all’interno della missione Istruzione, programma Istruzione prescolastica) ,</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risorse vincolate, sullo stesso esercizio, tra missioni e programmi diversi, mantenendo le finalità indicate nella legge di spesa</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prelevare risorse da appositi fondi allocati nella missione Fondi al fine di effettuare una determinata spesa all’interno di un’altra missione ( ad es. prelievo dal Fondo di riserva spese impreviste al fine di dare copertura ad una spesa imprevedibile e improcrastinabile sotto la missione Ambiente)</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effettuare le variazioni di bilancio come stabilite dalle norme finanziarie delle leggi regionali con impatti sul bilancio.</w:t>
      </w:r>
    </w:p>
    <w:p w:rsidR="00DF5EF4" w:rsidRPr="00DF5EF4" w:rsidRDefault="00DF5EF4" w:rsidP="00DF5EF4">
      <w:pPr>
        <w:shd w:val="clear" w:color="auto" w:fill="FFFFFF"/>
        <w:spacing w:after="450"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 xml:space="preserve">Il Decreto Legislativo del D.lgs118/2011, come integrato e corretto dal </w:t>
      </w:r>
      <w:proofErr w:type="spellStart"/>
      <w:r w:rsidRPr="00DF5EF4">
        <w:rPr>
          <w:rFonts w:ascii="Arial" w:eastAsia="Times New Roman" w:hAnsi="Arial" w:cs="Arial"/>
          <w:color w:val="333333"/>
          <w:sz w:val="24"/>
          <w:szCs w:val="24"/>
          <w:lang w:eastAsia="it-IT"/>
        </w:rPr>
        <w:t>D.lgs</w:t>
      </w:r>
      <w:proofErr w:type="spellEnd"/>
      <w:r w:rsidRPr="00DF5EF4">
        <w:rPr>
          <w:rFonts w:ascii="Arial" w:eastAsia="Times New Roman" w:hAnsi="Arial" w:cs="Arial"/>
          <w:color w:val="333333"/>
          <w:sz w:val="24"/>
          <w:szCs w:val="24"/>
          <w:lang w:eastAsia="it-IT"/>
        </w:rPr>
        <w:t xml:space="preserve"> 10 agosto 2014, n. 126 “Disposizioni integrative e correttive del D.lgs118/2011 recante disposizioni in materia di armonizzazione dei sistemi contabili e degli schemi di bilancio delle Regioni, degli enti locali e dei loro organismi, a norma degli articoli 1 e 2 della L.42/2009” prevede che siano pubblicati sul sito Internet della Regione, Area bilancio, le variazioni che modificano il bilancio di previsione (ad es. i prelievi che diminuiscono lo stanziamento della missione Fondi e aumentano lo stanziamento di un’altra missione) e le variazioni che modificano il documento tecnico di accompagnamento al bilancio di previsione (ad es. le variazioni compensative tra macroaggregati diversi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L’art 51 DLGS 118/2011 prevede la disciplina da applicarsi alle varie tipologie di variazioni al bilancio:</w:t>
      </w:r>
      <w:r w:rsidRPr="002470BE">
        <w:rPr>
          <w:rFonts w:ascii="Arial" w:hAnsi="Arial" w:cs="Arial"/>
          <w:b/>
          <w:color w:val="000000"/>
        </w:rPr>
        <w:br/>
        <w:t xml:space="preserve"> </w:t>
      </w:r>
      <w:r w:rsidRPr="002470BE">
        <w:rPr>
          <w:rFonts w:ascii="Arial" w:hAnsi="Arial" w:cs="Arial"/>
          <w:color w:val="000000"/>
        </w:rPr>
        <w:t>Il comma</w:t>
      </w:r>
      <w:r w:rsidRPr="002470BE">
        <w:rPr>
          <w:rFonts w:ascii="Arial" w:hAnsi="Arial" w:cs="Arial"/>
          <w:b/>
          <w:bCs/>
          <w:color w:val="000000"/>
        </w:rPr>
        <w:t> </w:t>
      </w:r>
      <w:r w:rsidRPr="002470BE">
        <w:rPr>
          <w:rFonts w:ascii="Arial" w:hAnsi="Arial" w:cs="Arial"/>
          <w:color w:val="000000"/>
        </w:rPr>
        <w:t>1 consente variazioni nel corso dell'esercizio al bilancio di previsione purché autorizzate con legge.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2 elenca i casi in cui la giunta, con provvedimento amministrativo, può autorizzare le variazioni del documento tecnico di accompagnamento e le variazioni del bilancio al previsione. Si tratta in particolare di: </w:t>
      </w:r>
      <w:r w:rsidRPr="002470BE">
        <w:rPr>
          <w:rFonts w:ascii="Arial" w:hAnsi="Arial" w:cs="Arial"/>
          <w:i/>
          <w:iCs/>
          <w:color w:val="000000"/>
        </w:rPr>
        <w:t>a)</w:t>
      </w:r>
      <w:r w:rsidRPr="002470BE">
        <w:rPr>
          <w:rFonts w:ascii="Arial" w:hAnsi="Arial" w:cs="Arial"/>
          <w:color w:val="000000"/>
        </w:rPr>
        <w:t> istituzione di nuove tipologie di bilancio, per l'iscrizione di entrate derivanti da assegnazioni vincolate a scopi specifici nonché per l'iscrizione delle relative spese, quando queste siano tassativamente regolate dalla legislazione in vigore</w:t>
      </w:r>
      <w:r w:rsidRPr="002470BE">
        <w:rPr>
          <w:rFonts w:ascii="Arial" w:hAnsi="Arial" w:cs="Arial"/>
          <w:i/>
          <w:iCs/>
          <w:color w:val="000000"/>
        </w:rPr>
        <w:t>; b)</w:t>
      </w:r>
      <w:r w:rsidRPr="002470BE">
        <w:rPr>
          <w:rFonts w:ascii="Arial" w:hAnsi="Arial" w:cs="Arial"/>
          <w:color w:val="000000"/>
        </w:rPr>
        <w:t> variazioni compensative tra le dotazioni delle missioni e dei programmi riguardanti l'utilizzo di risorse comunitarie e vincolate, nel rispetto della finalità della spesa definita nel provvedimento di assegnazione delle risorse, o qualora le variazioni siano necessarie per l'attuazione di interventi previsti da intese istituzionali di programma o da altri strumenti di programmazione negoziata; c) variazioni compensative tra le dotazioni delle missioni e dei programmi limitatamente alle spese per il personale, conseguenti a provvedimenti di trasferimento del personale all'interno dell'amministrazione; d) variazioni compensative tra le dotazioni di cassa delle missioni e dei programmi di diverse missioni; e) variazioni riguardanti il fondo pluriennale vincolato; f) le variazioni riguardanti l'utilizzo del fondo di riserva per le spese impreviste; g) le variazioni necessarie per l'utilizzo della quota accantonata del risultato di amministrazione riguardante i residui perenti; h) le variazioni necessarie per l'adeguamento delle previsioni, compresa l'istituzione di tipologie e programmi, riguardanti le partite giro e le operazioni per conto di terzi.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3 demanda all'ordinamento contabile regionale la disciplina delle modalità con cui la giunta regionale o il Segretario generale, con provvedimento amministrativo, autorizza le variazioni del bilancio gestionale che non sono di competenza dei dirigenti e del responsabile finanziario.</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 xml:space="preserve">Il comma 4 consente, salva differente previsione definita dalle Regioni nel proprio ordinamento contabile, ai dirigenti responsabili della spesa o, in assenza di disciplina, al responsabile finanziario della regione di effettuare: 1) variazioni del bilancio gestionale compensative fra capitoli di entrata della medesima categoria e fra i capitoli di spesa del medesimo macroaggregato; 2) variazioni di bilancio riguardanti la mera </w:t>
      </w:r>
      <w:proofErr w:type="spellStart"/>
      <w:r w:rsidRPr="002470BE">
        <w:rPr>
          <w:rFonts w:ascii="Arial" w:hAnsi="Arial" w:cs="Arial"/>
          <w:color w:val="000000"/>
        </w:rPr>
        <w:t>reiscrizione</w:t>
      </w:r>
      <w:proofErr w:type="spellEnd"/>
      <w:r w:rsidRPr="002470BE">
        <w:rPr>
          <w:rFonts w:ascii="Arial" w:hAnsi="Arial" w:cs="Arial"/>
          <w:color w:val="000000"/>
        </w:rPr>
        <w:t xml:space="preserve"> di economie di spesa derivanti da stanziamenti di bilancio dell'esercizio precedente corrispondenti a entrate vincolate; 3) variazioni di bilancio riguardanti il fondo pluriennale vincolato escluse quelle di competenza della giunta. Salvo differente autorizzazione della giunta, con riferimento ai macroaggregati riguardanti i trasferimenti correnti, i contributi agli investimenti e ai trasferimenti in conto capitale, i dirigenti responsabili della spesa o, in assenza di disciplina, il responsabile finanziario, possono effettuare variazioni compensative solo dei capitoli di spesa appartenenti al medesimo macroaggregato e al medesimo codice di quarto livello del piano dei conti.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5 vieta le variazioni amministrative compensative tra macroaggregati appartenenti a titoli diversi e spostamenti di somme tra residui e competenza.</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6 impedisce l'approvazione di variazioni al bilancio dopo il 30 novembre dell'anno a cui il bilancio stesso si riferisce, fatte salve alcune ipotesi: a) l'istituzione di tipologie di entrata di cui al comma 2, lettera </w:t>
      </w:r>
      <w:r w:rsidRPr="002470BE">
        <w:rPr>
          <w:rFonts w:ascii="Arial" w:hAnsi="Arial" w:cs="Arial"/>
          <w:i/>
          <w:iCs/>
          <w:color w:val="000000"/>
        </w:rPr>
        <w:t>a)</w:t>
      </w:r>
      <w:r w:rsidRPr="002470BE">
        <w:rPr>
          <w:rFonts w:ascii="Arial" w:hAnsi="Arial" w:cs="Arial"/>
          <w:color w:val="000000"/>
        </w:rPr>
        <w:t>; b) l'istituzione di tipologie di entrata, nei casi non previsti dalla lettera </w:t>
      </w:r>
      <w:r w:rsidRPr="002470BE">
        <w:rPr>
          <w:rFonts w:ascii="Arial" w:hAnsi="Arial" w:cs="Arial"/>
          <w:i/>
          <w:iCs/>
          <w:color w:val="000000"/>
        </w:rPr>
        <w:t>a)</w:t>
      </w:r>
      <w:r w:rsidRPr="002470BE">
        <w:rPr>
          <w:rFonts w:ascii="Arial" w:hAnsi="Arial" w:cs="Arial"/>
          <w:color w:val="000000"/>
        </w:rPr>
        <w:t xml:space="preserve"> con stanziamento pari a zero, a seguito di accertamento e riscossione di entrate non previste in bilancio, secondo le modalità previste dal principio applicato della contabilità finanziaria; c) le variazioni del fondo pluriennale vincolato; d) le variazioni necessarie per consentire la </w:t>
      </w:r>
      <w:proofErr w:type="spellStart"/>
      <w:r w:rsidRPr="002470BE">
        <w:rPr>
          <w:rFonts w:ascii="Arial" w:hAnsi="Arial" w:cs="Arial"/>
          <w:color w:val="000000"/>
        </w:rPr>
        <w:t>reimputazione</w:t>
      </w:r>
      <w:proofErr w:type="spellEnd"/>
      <w:r w:rsidRPr="002470BE">
        <w:rPr>
          <w:rFonts w:ascii="Arial" w:hAnsi="Arial" w:cs="Arial"/>
          <w:color w:val="000000"/>
        </w:rPr>
        <w:t xml:space="preserve"> di obbligazioni già assunte agli esercizi in cui sono esigibili; e) i prelievi dai fondi di riserva per le spese obbligatorie, per le spese impreviste, per l'utilizzo della quota accantonata del risultato di amministrazione riguardante i residui perenti e le spese potenziali</w:t>
      </w:r>
      <w:r w:rsidRPr="002470BE">
        <w:rPr>
          <w:rFonts w:ascii="Arial" w:hAnsi="Arial" w:cs="Arial"/>
          <w:color w:val="000000"/>
          <w:vertAlign w:val="superscript"/>
        </w:rPr>
        <w:t>(</w:t>
      </w:r>
      <w:bookmarkStart w:id="3" w:name="r-w1aaab2c21b8b5"/>
      <w:r w:rsidR="00BD2D3D" w:rsidRPr="002470BE">
        <w:rPr>
          <w:rFonts w:ascii="Arial" w:hAnsi="Arial" w:cs="Arial"/>
          <w:color w:val="000000"/>
          <w:vertAlign w:val="superscript"/>
        </w:rPr>
        <w:fldChar w:fldCharType="begin"/>
      </w:r>
      <w:r w:rsidRPr="002470BE">
        <w:rPr>
          <w:rFonts w:ascii="Arial" w:hAnsi="Arial" w:cs="Arial"/>
          <w:color w:val="000000"/>
          <w:vertAlign w:val="superscript"/>
        </w:rPr>
        <w:instrText xml:space="preserve"> HYPERLINK "http://www.senato.it/japp/bgt/showdoc/17/dossier/781140/index.html?part=dossier_dossier1-sezione_sezione8-h3_h333" \l "n-w1aaab2c21b8b5" </w:instrText>
      </w:r>
      <w:r w:rsidR="00BD2D3D" w:rsidRPr="002470BE">
        <w:rPr>
          <w:rFonts w:ascii="Arial" w:hAnsi="Arial" w:cs="Arial"/>
          <w:color w:val="000000"/>
          <w:vertAlign w:val="superscript"/>
        </w:rPr>
        <w:fldChar w:fldCharType="separate"/>
      </w:r>
      <w:r w:rsidRPr="002470BE">
        <w:rPr>
          <w:rStyle w:val="Collegamentoipertestuale"/>
          <w:rFonts w:ascii="Arial" w:hAnsi="Arial" w:cs="Arial"/>
          <w:color w:val="7D007D"/>
        </w:rPr>
        <w:t>17</w:t>
      </w:r>
      <w:r w:rsidR="00BD2D3D" w:rsidRPr="002470BE">
        <w:rPr>
          <w:rFonts w:ascii="Arial" w:hAnsi="Arial" w:cs="Arial"/>
          <w:color w:val="000000"/>
          <w:vertAlign w:val="superscript"/>
        </w:rPr>
        <w:fldChar w:fldCharType="end"/>
      </w:r>
      <w:bookmarkEnd w:id="3"/>
      <w:r w:rsidRPr="002470BE">
        <w:rPr>
          <w:rFonts w:ascii="Arial" w:hAnsi="Arial" w:cs="Arial"/>
          <w:color w:val="000000"/>
          <w:vertAlign w:val="superscript"/>
        </w:rPr>
        <w:t>) </w:t>
      </w:r>
      <w:r w:rsidRPr="002470BE">
        <w:rPr>
          <w:rFonts w:ascii="Arial" w:hAnsi="Arial" w:cs="Arial"/>
          <w:color w:val="000000"/>
        </w:rPr>
        <w:t xml:space="preserve">; f) le variazioni necessarie alla </w:t>
      </w:r>
      <w:proofErr w:type="spellStart"/>
      <w:r w:rsidRPr="002470BE">
        <w:rPr>
          <w:rFonts w:ascii="Arial" w:hAnsi="Arial" w:cs="Arial"/>
          <w:color w:val="000000"/>
        </w:rPr>
        <w:t>reimputazione</w:t>
      </w:r>
      <w:proofErr w:type="spellEnd"/>
      <w:r w:rsidRPr="002470BE">
        <w:rPr>
          <w:rFonts w:ascii="Arial" w:hAnsi="Arial" w:cs="Arial"/>
          <w:color w:val="000000"/>
        </w:rPr>
        <w:t xml:space="preserve"> agli esercizi in cui sono esigibili, di obbligazioni riguardanti entrate vincolate già assunte e, se necessario, delle spese correlate.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7 precisa che i provvedimenti amministrativi che dispongono le variazioni al bilancio di previsione non possono disporre variazioni del documento tecnico di accompagnamento o del bilancio gestionale.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In base al comma 8, salvo quanto disposto dal presente articolo e dagli articoli 48 (Fondi di riserva) e 49 (Fondi speciali), sono vietate le variazioni compensative degli stanziamenti di competenza da un programma all'altro del bilancio con atto amministrativo.</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 xml:space="preserve">Il comma 9 prevede la trasmissione delle variazioni al bilancio di previsione al tesoriere con l'invio del prospetto di cui all'articolo l0, comma 4, allegato alla legge o al provvedimento di approvazione della variazione. Sono altresì trasmesse al tesoriere: a) le variazioni dei residui a seguito del loro </w:t>
      </w:r>
      <w:proofErr w:type="spellStart"/>
      <w:r w:rsidRPr="002470BE">
        <w:rPr>
          <w:rFonts w:ascii="Arial" w:hAnsi="Arial" w:cs="Arial"/>
          <w:color w:val="000000"/>
        </w:rPr>
        <w:t>riaccertamento</w:t>
      </w:r>
      <w:proofErr w:type="spellEnd"/>
      <w:r w:rsidRPr="002470BE">
        <w:rPr>
          <w:rFonts w:ascii="Arial" w:hAnsi="Arial" w:cs="Arial"/>
          <w:color w:val="000000"/>
        </w:rPr>
        <w:t>; b) le variazioni del fondo pluriennale vincolato effettuate nel corso dell'esercizio finanziario.</w:t>
      </w:r>
    </w:p>
    <w:p w:rsidR="00DF5EF4" w:rsidRPr="002470BE" w:rsidRDefault="00DF5EF4" w:rsidP="00272205">
      <w:pPr>
        <w:pStyle w:val="NormaleWeb"/>
        <w:shd w:val="clear" w:color="auto" w:fill="FFFFFF"/>
        <w:spacing w:before="0" w:beforeAutospacing="0" w:after="0" w:afterAutospacing="0"/>
        <w:rPr>
          <w:rFonts w:ascii="Arial" w:hAnsi="Arial" w:cs="Arial"/>
          <w:b/>
          <w:color w:val="000000"/>
        </w:rPr>
      </w:pPr>
    </w:p>
    <w:p w:rsidR="00DF5EF4" w:rsidRPr="002470BE" w:rsidRDefault="00DF5EF4" w:rsidP="00272205">
      <w:pPr>
        <w:pStyle w:val="NormaleWeb"/>
        <w:shd w:val="clear" w:color="auto" w:fill="FFFFFF"/>
        <w:spacing w:before="0" w:beforeAutospacing="0" w:after="0" w:afterAutospacing="0"/>
        <w:rPr>
          <w:rFonts w:ascii="Arial" w:hAnsi="Arial" w:cs="Arial"/>
          <w:b/>
          <w:color w:val="000000"/>
        </w:rPr>
      </w:pPr>
      <w:r w:rsidRPr="002470BE">
        <w:rPr>
          <w:rFonts w:ascii="Arial" w:hAnsi="Arial" w:cs="Arial"/>
          <w:b/>
          <w:color w:val="000000"/>
        </w:rPr>
        <w:t>ASSESTAMENTO AL BILANCIO</w:t>
      </w:r>
    </w:p>
    <w:p w:rsidR="00DF5EF4" w:rsidRPr="002470BE" w:rsidRDefault="00DF5EF4" w:rsidP="00DF5EF4">
      <w:pPr>
        <w:pStyle w:val="NormaleWeb"/>
        <w:spacing w:before="48" w:beforeAutospacing="0" w:after="144" w:afterAutospacing="0"/>
        <w:jc w:val="both"/>
        <w:rPr>
          <w:rFonts w:ascii="Arial" w:hAnsi="Arial" w:cs="Arial"/>
          <w:color w:val="000000"/>
        </w:rPr>
      </w:pPr>
      <w:r w:rsidRPr="002470BE">
        <w:rPr>
          <w:rFonts w:ascii="Arial" w:hAnsi="Arial" w:cs="Arial"/>
          <w:color w:val="000000"/>
        </w:rPr>
        <w:t xml:space="preserve">Il bilancio di assestamento è, dunque, lo strumento </w:t>
      </w:r>
      <w:proofErr w:type="spellStart"/>
      <w:r w:rsidRPr="002470BE">
        <w:rPr>
          <w:rFonts w:ascii="Arial" w:hAnsi="Arial" w:cs="Arial"/>
          <w:color w:val="000000"/>
        </w:rPr>
        <w:t>giuridico-contabile</w:t>
      </w:r>
      <w:proofErr w:type="spellEnd"/>
      <w:r w:rsidRPr="002470BE">
        <w:rPr>
          <w:rFonts w:ascii="Arial" w:hAnsi="Arial" w:cs="Arial"/>
          <w:color w:val="000000"/>
        </w:rPr>
        <w:t xml:space="preserve"> destinato ad aggiornare il bilancio di previsione annuale alle vicende economiche e finanziarie sopravvenute ed alle nuove situazioni verificatesi dopo la sua approvazione, siano esse correzioni di errori di previsione, adeguamenti degli stanziamenti di bilancio ai residui accertati o eventuali nuove esigenze di spesa. In ogni caso, al fine di evitare alterazioni dell'equilibrio di bilancio ipotizzato al momento dell'approvazione del documento di previsione annuale, l'ordinamento contabile prevede che si ricorra ad una legge sostanziale apposita.</w:t>
      </w:r>
    </w:p>
    <w:p w:rsidR="00DF5EF4" w:rsidRPr="002470BE" w:rsidRDefault="00DF5EF4" w:rsidP="00DF5EF4">
      <w:pPr>
        <w:pStyle w:val="NormaleWeb"/>
        <w:spacing w:before="48" w:beforeAutospacing="0" w:after="144" w:afterAutospacing="0"/>
        <w:jc w:val="both"/>
        <w:rPr>
          <w:rFonts w:ascii="Arial" w:hAnsi="Arial" w:cs="Arial"/>
          <w:color w:val="000000"/>
        </w:rPr>
      </w:pPr>
      <w:r w:rsidRPr="002470BE">
        <w:rPr>
          <w:rFonts w:ascii="Arial" w:hAnsi="Arial" w:cs="Arial"/>
          <w:color w:val="000000"/>
        </w:rPr>
        <w:t>La legge di assestamento delle previsioni di bilancio nell'esplicare la sua principale funzione di aggiustamento delle previsioni, nel corso della gestione, si pone come strumento di manovra di bilancio, pur nella sua attuale configurazione di provvedimento di natura meramente formale</w:t>
      </w:r>
    </w:p>
    <w:p w:rsidR="00DF5EF4" w:rsidRPr="002470BE" w:rsidRDefault="00DF5EF4" w:rsidP="00272205">
      <w:pPr>
        <w:pStyle w:val="NormaleWeb"/>
        <w:shd w:val="clear" w:color="auto" w:fill="FFFFFF"/>
        <w:spacing w:before="0" w:beforeAutospacing="0" w:after="0" w:afterAutospacing="0"/>
        <w:rPr>
          <w:rFonts w:ascii="Arial" w:hAnsi="Arial" w:cs="Arial"/>
          <w:color w:val="333333"/>
          <w:shd w:val="clear" w:color="auto" w:fill="FFFFFF"/>
        </w:rPr>
      </w:pPr>
      <w:r w:rsidRPr="002470BE">
        <w:rPr>
          <w:rFonts w:ascii="Arial" w:hAnsi="Arial" w:cs="Arial"/>
          <w:color w:val="333333"/>
          <w:shd w:val="clear" w:color="auto" w:fill="FFFFFF"/>
        </w:rPr>
        <w:t xml:space="preserve">Ai sensi dell’art. 50 del </w:t>
      </w:r>
      <w:proofErr w:type="spellStart"/>
      <w:r w:rsidRPr="002470BE">
        <w:rPr>
          <w:rFonts w:ascii="Arial" w:hAnsi="Arial" w:cs="Arial"/>
          <w:color w:val="333333"/>
          <w:shd w:val="clear" w:color="auto" w:fill="FFFFFF"/>
        </w:rPr>
        <w:t>D.lgs</w:t>
      </w:r>
      <w:proofErr w:type="spellEnd"/>
      <w:r w:rsidRPr="002470BE">
        <w:rPr>
          <w:rFonts w:ascii="Arial" w:hAnsi="Arial" w:cs="Arial"/>
          <w:color w:val="333333"/>
          <w:shd w:val="clear" w:color="auto" w:fill="FFFFFF"/>
        </w:rPr>
        <w:t xml:space="preserve"> 118/2011 entro il 31 luglio la Regione approva con legge l’assestamento delle previsioni di bilancio, anche sulla scorta  dei residui attivi e passivi, del fondo pluriennale vincolato e del fondo crediti di dubbia esigibilità, accertati in sede di rendiconto dell’esercizio scaduto il 31 dicembre precedente.</w:t>
      </w:r>
      <w:r w:rsidRPr="002470BE">
        <w:rPr>
          <w:rFonts w:ascii="Arial" w:hAnsi="Arial" w:cs="Arial"/>
          <w:color w:val="333333"/>
        </w:rPr>
        <w:br/>
      </w:r>
      <w:r w:rsidRPr="002470BE">
        <w:rPr>
          <w:rFonts w:ascii="Arial" w:hAnsi="Arial" w:cs="Arial"/>
          <w:color w:val="333333"/>
          <w:shd w:val="clear" w:color="auto" w:fill="FFFFFF"/>
        </w:rPr>
        <w:t>La legge di assestamento dà atto del permanere degli equilibri generali di bilancio e, in caso di accertamento negativo, assume i necessari provvedimenti di equilibrio.</w:t>
      </w:r>
    </w:p>
    <w:p w:rsidR="002470BE" w:rsidRPr="002470BE" w:rsidRDefault="002470BE" w:rsidP="00272205">
      <w:pPr>
        <w:pStyle w:val="NormaleWeb"/>
        <w:shd w:val="clear" w:color="auto" w:fill="FFFFFF"/>
        <w:spacing w:before="0" w:beforeAutospacing="0" w:after="0" w:afterAutospacing="0"/>
        <w:rPr>
          <w:rFonts w:ascii="Arial" w:hAnsi="Arial" w:cs="Arial"/>
          <w:color w:val="3D3B39"/>
          <w:shd w:val="clear" w:color="auto" w:fill="FFFFFF"/>
        </w:rPr>
      </w:pPr>
      <w:r w:rsidRPr="002470BE">
        <w:rPr>
          <w:rFonts w:ascii="Arial" w:hAnsi="Arial" w:cs="Arial"/>
          <w:color w:val="3D3B39"/>
          <w:shd w:val="clear" w:color="auto" w:fill="FFFFFF"/>
        </w:rPr>
        <w:t>CON QUESTA si dovrà verificare la permanenza delle condizioni giuridiche delle entrate accertate e delle spese, apportare le necessarie variazioni al bilancio per la copertura di eventuali debiti fuori bilancio, effettuare le variazioni necessarie in entrata e uscita, per entrate o spese non correttamente imputate in occasione del bilancio di previsione, adeguare il FCDE e i fondi di riserva e di cassa. In merito alla salvaguardia degli equilibri di bilancio, collegate anche alle citate variazioni in sede di assestamento dei conti, le stesse dovranno dimostrare il permanere degli equilibri sia di parte corrente che di parte capitale e, in caso di squilibrio, dovranno essere individuate da parte del Consiglio le misure necessarie per un loro equilibrio. In considerazione della scadenza identica tra assestamento di bilancio ed equilibrio di bilancio, risulta possibile elaborare una sola deliberazione che contenga entrambi i citati documenti.</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Alla legge di assestamento è allegata una nota integrativa nella quale sono indicati:</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t>a)</w:t>
      </w:r>
      <w:r w:rsidRPr="002470BE">
        <w:rPr>
          <w:rFonts w:ascii="Arial" w:hAnsi="Arial" w:cs="Arial"/>
          <w:color w:val="000000"/>
        </w:rPr>
        <w:t> la destinazione del risultato economico dell'esercizio precedente o i provvedimenti atti al contenimento e assorbimento del disavanzo economico;</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t>b)</w:t>
      </w:r>
      <w:r w:rsidRPr="002470BE">
        <w:rPr>
          <w:rFonts w:ascii="Arial" w:hAnsi="Arial" w:cs="Arial"/>
          <w:color w:val="000000"/>
        </w:rPr>
        <w:t> la destinazione della quota libera del risultato di amministrazione;</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t>c) </w:t>
      </w:r>
      <w:r w:rsidRPr="002470BE">
        <w:rPr>
          <w:rFonts w:ascii="Arial" w:hAnsi="Arial" w:cs="Arial"/>
          <w:color w:val="000000"/>
        </w:rPr>
        <w:t>le modalità di copertura dell’eventuale disavanzo di amministrazione tenuto conto della struttura e della sostenibilità del ricorso all’indebitamento, con particolare riguardo ai contratti di mutuo, alle garanzie prestate e alla conformità dei relativi oneri alle condizioni previste dalle convenzioni con gli istituti bancari e i valori di mercato, evidenziando gli oneri sostenuti in relazione ad eventuali anticipazioni di cassa concesse dall'istituto tesoriere.</w:t>
      </w:r>
    </w:p>
    <w:p w:rsidR="002470BE" w:rsidRPr="002470BE" w:rsidRDefault="002470BE" w:rsidP="00272205">
      <w:pPr>
        <w:pStyle w:val="NormaleWeb"/>
        <w:shd w:val="clear" w:color="auto" w:fill="FFFFFF"/>
        <w:spacing w:before="0" w:beforeAutospacing="0" w:after="0" w:afterAutospacing="0"/>
        <w:rPr>
          <w:rFonts w:ascii="Arial" w:hAnsi="Arial" w:cs="Arial"/>
          <w:color w:val="3D3B39"/>
          <w:shd w:val="clear" w:color="auto" w:fill="FFFFFF"/>
        </w:rPr>
      </w:pPr>
    </w:p>
    <w:p w:rsidR="002470BE" w:rsidRPr="002470BE" w:rsidRDefault="002470BE" w:rsidP="00272205">
      <w:pPr>
        <w:pStyle w:val="NormaleWeb"/>
        <w:shd w:val="clear" w:color="auto" w:fill="FFFFFF"/>
        <w:spacing w:before="0" w:beforeAutospacing="0" w:after="0" w:afterAutospacing="0"/>
        <w:rPr>
          <w:rFonts w:ascii="Arial" w:hAnsi="Arial" w:cs="Arial"/>
          <w:color w:val="000000"/>
        </w:rPr>
      </w:pPr>
    </w:p>
    <w:sectPr w:rsidR="002470BE" w:rsidRPr="002470BE" w:rsidSect="00C034FD">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750E" w:rsidRDefault="0033750E" w:rsidP="00C603D4">
      <w:pPr>
        <w:spacing w:after="0" w:line="240" w:lineRule="auto"/>
      </w:pPr>
      <w:r>
        <w:separator/>
      </w:r>
    </w:p>
  </w:endnote>
  <w:endnote w:type="continuationSeparator" w:id="0">
    <w:p w:rsidR="0033750E" w:rsidRDefault="0033750E" w:rsidP="00C603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750E" w:rsidRDefault="0033750E" w:rsidP="00C603D4">
      <w:pPr>
        <w:spacing w:after="0" w:line="240" w:lineRule="auto"/>
      </w:pPr>
      <w:r>
        <w:separator/>
      </w:r>
    </w:p>
  </w:footnote>
  <w:footnote w:type="continuationSeparator" w:id="0">
    <w:p w:rsidR="0033750E" w:rsidRDefault="0033750E" w:rsidP="00C603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6620A1C"/>
    <w:multiLevelType w:val="hybridMultilevel"/>
    <w:tmpl w:val="A8B6E4F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0536A9A"/>
    <w:multiLevelType w:val="hybridMultilevel"/>
    <w:tmpl w:val="BA1C34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505D71"/>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B2471C0"/>
    <w:multiLevelType w:val="hybridMultilevel"/>
    <w:tmpl w:val="328A27CA"/>
    <w:lvl w:ilvl="0" w:tplc="5C3E0946">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5">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D50451F"/>
    <w:multiLevelType w:val="multilevel"/>
    <w:tmpl w:val="DF32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2F20DB"/>
    <w:multiLevelType w:val="hybridMultilevel"/>
    <w:tmpl w:val="3D7C23BE"/>
    <w:lvl w:ilvl="0" w:tplc="FFFFFFFF">
      <w:start w:val="1"/>
      <w:numFmt w:val="ideographDigital"/>
      <w:lvlText w:val="."/>
      <w:lvlJc w:val="left"/>
      <w:rPr>
        <w:rFonts w:cs="Times New Roman"/>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248666AE"/>
    <w:multiLevelType w:val="hybridMultilevel"/>
    <w:tmpl w:val="BB728766"/>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
    <w:nsid w:val="2CFB63E9"/>
    <w:multiLevelType w:val="hybridMultilevel"/>
    <w:tmpl w:val="E8D000FA"/>
    <w:lvl w:ilvl="0" w:tplc="B30C697A">
      <w:start w:val="10"/>
      <w:numFmt w:val="decimal"/>
      <w:lvlText w:val="%1."/>
      <w:lvlJc w:val="left"/>
      <w:pPr>
        <w:ind w:left="360" w:hanging="360"/>
      </w:pPr>
      <w:rPr>
        <w:rFonts w:hint="default"/>
        <w:b/>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2290069"/>
    <w:multiLevelType w:val="hybridMultilevel"/>
    <w:tmpl w:val="E10054E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1">
    <w:nsid w:val="33417E57"/>
    <w:multiLevelType w:val="hybridMultilevel"/>
    <w:tmpl w:val="327C27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5512AF0"/>
    <w:multiLevelType w:val="hybridMultilevel"/>
    <w:tmpl w:val="FC1206F4"/>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360D3E2C"/>
    <w:multiLevelType w:val="hybridMultilevel"/>
    <w:tmpl w:val="0FCA10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F513C46"/>
    <w:multiLevelType w:val="hybridMultilevel"/>
    <w:tmpl w:val="BE58AF04"/>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448E3902"/>
    <w:multiLevelType w:val="multilevel"/>
    <w:tmpl w:val="64AC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DE2A7F"/>
    <w:multiLevelType w:val="hybridMultilevel"/>
    <w:tmpl w:val="16E2374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nsid w:val="46585CBB"/>
    <w:multiLevelType w:val="hybridMultilevel"/>
    <w:tmpl w:val="619CF672"/>
    <w:lvl w:ilvl="0" w:tplc="37261C72">
      <w:start w:val="4"/>
      <w:numFmt w:val="lowerLetter"/>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D3F2251"/>
    <w:multiLevelType w:val="hybridMultilevel"/>
    <w:tmpl w:val="093474BE"/>
    <w:lvl w:ilvl="0" w:tplc="C27C9DCC">
      <w:start w:val="7"/>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D946DEA"/>
    <w:multiLevelType w:val="hybridMultilevel"/>
    <w:tmpl w:val="D3505A3C"/>
    <w:lvl w:ilvl="0" w:tplc="E9D659D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DFE54A5"/>
    <w:multiLevelType w:val="hybridMultilevel"/>
    <w:tmpl w:val="59CE859E"/>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04100001">
      <w:start w:val="1"/>
      <w:numFmt w:val="bullet"/>
      <w:lvlText w:val=""/>
      <w:lvlJc w:val="left"/>
      <w:rPr>
        <w:rFonts w:ascii="Symbol" w:hAnsi="Symbol" w:hint="default"/>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5486615D"/>
    <w:multiLevelType w:val="hybridMultilevel"/>
    <w:tmpl w:val="E016668C"/>
    <w:lvl w:ilvl="0" w:tplc="FFFFFFFF">
      <w:start w:val="1"/>
      <w:numFmt w:val="ideographDigital"/>
      <w:lvlText w:val=""/>
      <w:lvlJc w:val="left"/>
    </w:lvl>
    <w:lvl w:ilvl="1" w:tplc="0410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090424E"/>
    <w:multiLevelType w:val="hybridMultilevel"/>
    <w:tmpl w:val="E494B5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6B1E3B55"/>
    <w:multiLevelType w:val="hybridMultilevel"/>
    <w:tmpl w:val="0706E2C0"/>
    <w:lvl w:ilvl="0" w:tplc="1D76B102">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25">
    <w:nsid w:val="6DFD4FBF"/>
    <w:multiLevelType w:val="multilevel"/>
    <w:tmpl w:val="4000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183217"/>
    <w:multiLevelType w:val="multilevel"/>
    <w:tmpl w:val="A18E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066218"/>
    <w:multiLevelType w:val="hybridMultilevel"/>
    <w:tmpl w:val="03169D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0750485"/>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73206CB8"/>
    <w:multiLevelType w:val="hybridMultilevel"/>
    <w:tmpl w:val="571A08B0"/>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abstractNumId w:val="27"/>
  </w:num>
  <w:num w:numId="2">
    <w:abstractNumId w:val="23"/>
  </w:num>
  <w:num w:numId="3">
    <w:abstractNumId w:val="14"/>
  </w:num>
  <w:num w:numId="4">
    <w:abstractNumId w:val="4"/>
  </w:num>
  <w:num w:numId="5">
    <w:abstractNumId w:val="8"/>
  </w:num>
  <w:num w:numId="6">
    <w:abstractNumId w:val="18"/>
  </w:num>
  <w:num w:numId="7">
    <w:abstractNumId w:val="11"/>
  </w:num>
  <w:num w:numId="8">
    <w:abstractNumId w:val="2"/>
  </w:num>
  <w:num w:numId="9">
    <w:abstractNumId w:val="16"/>
  </w:num>
  <w:num w:numId="10">
    <w:abstractNumId w:val="17"/>
  </w:num>
  <w:num w:numId="11">
    <w:abstractNumId w:val="29"/>
  </w:num>
  <w:num w:numId="12">
    <w:abstractNumId w:val="21"/>
  </w:num>
  <w:num w:numId="13">
    <w:abstractNumId w:val="9"/>
  </w:num>
  <w:num w:numId="14">
    <w:abstractNumId w:val="7"/>
  </w:num>
  <w:num w:numId="15">
    <w:abstractNumId w:val="12"/>
  </w:num>
  <w:num w:numId="16">
    <w:abstractNumId w:val="3"/>
  </w:num>
  <w:num w:numId="17">
    <w:abstractNumId w:val="20"/>
  </w:num>
  <w:num w:numId="18">
    <w:abstractNumId w:val="28"/>
  </w:num>
  <w:num w:numId="19">
    <w:abstractNumId w:val="19"/>
  </w:num>
  <w:num w:numId="20">
    <w:abstractNumId w:val="1"/>
  </w:num>
  <w:num w:numId="21">
    <w:abstractNumId w:val="13"/>
  </w:num>
  <w:num w:numId="22">
    <w:abstractNumId w:val="10"/>
  </w:num>
  <w:num w:numId="23">
    <w:abstractNumId w:val="24"/>
  </w:num>
  <w:num w:numId="24">
    <w:abstractNumId w:val="25"/>
  </w:num>
  <w:num w:numId="25">
    <w:abstractNumId w:val="26"/>
  </w:num>
  <w:num w:numId="26">
    <w:abstractNumId w:val="6"/>
  </w:num>
  <w:num w:numId="27">
    <w:abstractNumId w:val="15"/>
  </w:num>
  <w:num w:numId="28">
    <w:abstractNumId w:val="5"/>
  </w:num>
  <w:num w:numId="29">
    <w:abstractNumId w:val="22"/>
  </w:num>
  <w:num w:numId="3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footnotePr>
    <w:footnote w:id="-1"/>
    <w:footnote w:id="0"/>
  </w:footnotePr>
  <w:endnotePr>
    <w:endnote w:id="-1"/>
    <w:endnote w:id="0"/>
  </w:endnotePr>
  <w:compat/>
  <w:rsids>
    <w:rsidRoot w:val="00C603D4"/>
    <w:rsid w:val="0000293C"/>
    <w:rsid w:val="00024035"/>
    <w:rsid w:val="00044C39"/>
    <w:rsid w:val="000B6D11"/>
    <w:rsid w:val="00103572"/>
    <w:rsid w:val="002470BE"/>
    <w:rsid w:val="002659DF"/>
    <w:rsid w:val="00272205"/>
    <w:rsid w:val="002F15D4"/>
    <w:rsid w:val="0033750E"/>
    <w:rsid w:val="0035661F"/>
    <w:rsid w:val="00426C50"/>
    <w:rsid w:val="004F36A3"/>
    <w:rsid w:val="004F708A"/>
    <w:rsid w:val="00530749"/>
    <w:rsid w:val="0054738F"/>
    <w:rsid w:val="00572054"/>
    <w:rsid w:val="00587419"/>
    <w:rsid w:val="005B3CB3"/>
    <w:rsid w:val="005E69F5"/>
    <w:rsid w:val="00613A5B"/>
    <w:rsid w:val="00614CC2"/>
    <w:rsid w:val="00615357"/>
    <w:rsid w:val="006A4ED7"/>
    <w:rsid w:val="006B78B5"/>
    <w:rsid w:val="00701A40"/>
    <w:rsid w:val="007471EC"/>
    <w:rsid w:val="007C5700"/>
    <w:rsid w:val="008043DB"/>
    <w:rsid w:val="008E53D2"/>
    <w:rsid w:val="008F682B"/>
    <w:rsid w:val="0094729F"/>
    <w:rsid w:val="009519A7"/>
    <w:rsid w:val="00965413"/>
    <w:rsid w:val="009C6018"/>
    <w:rsid w:val="009D7F0A"/>
    <w:rsid w:val="009E6B5D"/>
    <w:rsid w:val="009F1BA0"/>
    <w:rsid w:val="00A3487A"/>
    <w:rsid w:val="00A66F03"/>
    <w:rsid w:val="00AC67A7"/>
    <w:rsid w:val="00BD2D3D"/>
    <w:rsid w:val="00BD77DE"/>
    <w:rsid w:val="00C034FD"/>
    <w:rsid w:val="00C06FBE"/>
    <w:rsid w:val="00C603D4"/>
    <w:rsid w:val="00CD247F"/>
    <w:rsid w:val="00CD2A6D"/>
    <w:rsid w:val="00DA76CA"/>
    <w:rsid w:val="00DF5EF4"/>
    <w:rsid w:val="00EB10DE"/>
    <w:rsid w:val="00EC2C9F"/>
    <w:rsid w:val="00F018B7"/>
    <w:rsid w:val="00F46E32"/>
    <w:rsid w:val="00F67129"/>
    <w:rsid w:val="00F701B8"/>
    <w:rsid w:val="00F75F2B"/>
    <w:rsid w:val="00F9656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34FD"/>
  </w:style>
  <w:style w:type="paragraph" w:styleId="Titolo2">
    <w:name w:val="heading 2"/>
    <w:basedOn w:val="Normale"/>
    <w:link w:val="Titolo2Carattere"/>
    <w:uiPriority w:val="9"/>
    <w:qFormat/>
    <w:rsid w:val="002659D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603D4"/>
    <w:pPr>
      <w:ind w:left="720"/>
      <w:contextualSpacing/>
    </w:pPr>
  </w:style>
  <w:style w:type="character" w:styleId="Rimandonotaapidipagina">
    <w:name w:val="footnote reference"/>
    <w:uiPriority w:val="99"/>
    <w:rsid w:val="00C603D4"/>
    <w:rPr>
      <w:rFonts w:cs="Times New Roman"/>
      <w:vertAlign w:val="superscript"/>
    </w:rPr>
  </w:style>
  <w:style w:type="paragraph" w:styleId="Testonotaapidipagina">
    <w:name w:val="footnote text"/>
    <w:basedOn w:val="Normale"/>
    <w:link w:val="TestonotaapidipaginaCarattere"/>
    <w:uiPriority w:val="99"/>
    <w:unhideWhenUsed/>
    <w:rsid w:val="00C603D4"/>
    <w:pPr>
      <w:spacing w:line="240" w:lineRule="auto"/>
      <w:ind w:left="-284"/>
      <w:jc w:val="both"/>
    </w:pPr>
    <w:rPr>
      <w:rFonts w:ascii="Cambria" w:eastAsia="Cambria" w:hAnsi="Cambria" w:cs="Times New Roman"/>
      <w:sz w:val="20"/>
      <w:szCs w:val="20"/>
    </w:rPr>
  </w:style>
  <w:style w:type="character" w:customStyle="1" w:styleId="TestonotaapidipaginaCarattere">
    <w:name w:val="Testo nota a piè di pagina Carattere"/>
    <w:basedOn w:val="Carpredefinitoparagrafo"/>
    <w:link w:val="Testonotaapidipagina"/>
    <w:uiPriority w:val="99"/>
    <w:rsid w:val="00C603D4"/>
    <w:rPr>
      <w:rFonts w:ascii="Cambria" w:eastAsia="Cambria" w:hAnsi="Cambria" w:cs="Times New Roman"/>
      <w:sz w:val="20"/>
      <w:szCs w:val="20"/>
    </w:rPr>
  </w:style>
  <w:style w:type="paragraph" w:customStyle="1" w:styleId="Paragrafoelenco1">
    <w:name w:val="Paragrafo elenco1"/>
    <w:basedOn w:val="Normale"/>
    <w:rsid w:val="006B78B5"/>
    <w:pPr>
      <w:spacing w:after="0" w:line="240" w:lineRule="auto"/>
      <w:ind w:left="720"/>
      <w:contextualSpacing/>
      <w:jc w:val="both"/>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96541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965413"/>
    <w:pPr>
      <w:autoSpaceDE w:val="0"/>
      <w:autoSpaceDN w:val="0"/>
      <w:adjustRightInd w:val="0"/>
      <w:spacing w:line="240" w:lineRule="auto"/>
      <w:ind w:left="-284"/>
      <w:jc w:val="both"/>
    </w:pPr>
    <w:rPr>
      <w:rFonts w:ascii="Times New Roman" w:eastAsia="Times New Roman" w:hAnsi="Times New Roman" w:cs="Times New Roman"/>
      <w:color w:val="000000"/>
      <w:sz w:val="24"/>
      <w:szCs w:val="24"/>
      <w:lang w:eastAsia="it-IT"/>
    </w:rPr>
  </w:style>
  <w:style w:type="paragraph" w:styleId="Rientrocorpodeltesto2">
    <w:name w:val="Body Text Indent 2"/>
    <w:basedOn w:val="Normale"/>
    <w:link w:val="Rientrocorpodeltesto2Carattere"/>
    <w:uiPriority w:val="99"/>
    <w:rsid w:val="00965413"/>
    <w:pPr>
      <w:spacing w:after="120" w:line="480" w:lineRule="auto"/>
      <w:ind w:left="283"/>
      <w:jc w:val="both"/>
    </w:pPr>
    <w:rPr>
      <w:rFonts w:ascii="Calibri" w:eastAsia="Times New Roman" w:hAnsi="Calibri" w:cs="Times New Roman"/>
    </w:rPr>
  </w:style>
  <w:style w:type="character" w:customStyle="1" w:styleId="Rientrocorpodeltesto2Carattere">
    <w:name w:val="Rientro corpo del testo 2 Carattere"/>
    <w:basedOn w:val="Carpredefinitoparagrafo"/>
    <w:link w:val="Rientrocorpodeltesto2"/>
    <w:uiPriority w:val="99"/>
    <w:rsid w:val="00965413"/>
    <w:rPr>
      <w:rFonts w:ascii="Calibri" w:eastAsia="Times New Roman" w:hAnsi="Calibri" w:cs="Times New Roman"/>
    </w:rPr>
  </w:style>
  <w:style w:type="character" w:styleId="Collegamentoipertestuale">
    <w:name w:val="Hyperlink"/>
    <w:basedOn w:val="Carpredefinitoparagrafo"/>
    <w:uiPriority w:val="99"/>
    <w:semiHidden/>
    <w:unhideWhenUsed/>
    <w:rsid w:val="00DA76CA"/>
    <w:rPr>
      <w:color w:val="0000FF"/>
      <w:u w:val="single"/>
    </w:rPr>
  </w:style>
  <w:style w:type="character" w:customStyle="1" w:styleId="marker">
    <w:name w:val="marker"/>
    <w:basedOn w:val="Carpredefinitoparagrafo"/>
    <w:rsid w:val="002659DF"/>
  </w:style>
  <w:style w:type="character" w:customStyle="1" w:styleId="password-indicator">
    <w:name w:val="password-indicator"/>
    <w:basedOn w:val="Carpredefinitoparagrafo"/>
    <w:rsid w:val="002659DF"/>
  </w:style>
  <w:style w:type="character" w:styleId="Enfasigrassetto">
    <w:name w:val="Strong"/>
    <w:basedOn w:val="Carpredefinitoparagrafo"/>
    <w:uiPriority w:val="22"/>
    <w:qFormat/>
    <w:rsid w:val="002659DF"/>
    <w:rPr>
      <w:b/>
      <w:bCs/>
    </w:rPr>
  </w:style>
  <w:style w:type="character" w:customStyle="1" w:styleId="Titolo2Carattere">
    <w:name w:val="Titolo 2 Carattere"/>
    <w:basedOn w:val="Carpredefinitoparagrafo"/>
    <w:link w:val="Titolo2"/>
    <w:uiPriority w:val="9"/>
    <w:rsid w:val="002659DF"/>
    <w:rPr>
      <w:rFonts w:ascii="Times New Roman" w:eastAsia="Times New Roman" w:hAnsi="Times New Roman" w:cs="Times New Roman"/>
      <w:b/>
      <w:bCs/>
      <w:sz w:val="36"/>
      <w:szCs w:val="36"/>
      <w:lang w:eastAsia="it-IT"/>
    </w:rPr>
  </w:style>
  <w:style w:type="character" w:customStyle="1" w:styleId="ctools-owns-lock">
    <w:name w:val="ctools-owns-lock"/>
    <w:basedOn w:val="Carpredefinitoparagrafo"/>
    <w:rsid w:val="002659DF"/>
  </w:style>
  <w:style w:type="character" w:styleId="Enfasicorsivo">
    <w:name w:val="Emphasis"/>
    <w:basedOn w:val="Carpredefinitoparagrafo"/>
    <w:uiPriority w:val="20"/>
    <w:qFormat/>
    <w:rsid w:val="002659DF"/>
    <w:rPr>
      <w:i/>
      <w:iCs/>
    </w:rPr>
  </w:style>
  <w:style w:type="paragraph" w:customStyle="1" w:styleId="Normale2">
    <w:name w:val="Normale+2"/>
    <w:basedOn w:val="Normale"/>
    <w:next w:val="Normale"/>
    <w:uiPriority w:val="99"/>
    <w:rsid w:val="002470BE"/>
    <w:pPr>
      <w:autoSpaceDE w:val="0"/>
      <w:autoSpaceDN w:val="0"/>
      <w:adjustRightInd w:val="0"/>
      <w:spacing w:after="0" w:line="240" w:lineRule="auto"/>
    </w:pPr>
    <w:rPr>
      <w:rFonts w:ascii="Times New Roman" w:eastAsia="Calibri" w:hAnsi="Times New Roman" w:cs="Times New Roman"/>
      <w:sz w:val="24"/>
      <w:szCs w:val="24"/>
    </w:rPr>
  </w:style>
  <w:style w:type="paragraph" w:styleId="Testonormale">
    <w:name w:val="Plain Text"/>
    <w:basedOn w:val="Normale"/>
    <w:link w:val="TestonormaleCarattere"/>
    <w:uiPriority w:val="99"/>
    <w:unhideWhenUsed/>
    <w:rsid w:val="002470BE"/>
    <w:pPr>
      <w:spacing w:after="0" w:line="240" w:lineRule="auto"/>
    </w:pPr>
    <w:rPr>
      <w:rFonts w:ascii="Arial" w:eastAsia="Calibri" w:hAnsi="Arial" w:cs="Times New Roman"/>
      <w:color w:val="0000FF"/>
      <w:sz w:val="24"/>
      <w:szCs w:val="24"/>
    </w:rPr>
  </w:style>
  <w:style w:type="character" w:customStyle="1" w:styleId="TestonormaleCarattere">
    <w:name w:val="Testo normale Carattere"/>
    <w:basedOn w:val="Carpredefinitoparagrafo"/>
    <w:link w:val="Testonormale"/>
    <w:uiPriority w:val="99"/>
    <w:rsid w:val="002470BE"/>
    <w:rPr>
      <w:rFonts w:ascii="Arial" w:eastAsia="Calibri" w:hAnsi="Arial" w:cs="Times New Roman"/>
      <w:color w:val="0000FF"/>
      <w:sz w:val="24"/>
      <w:szCs w:val="24"/>
    </w:rPr>
  </w:style>
</w:styles>
</file>

<file path=word/webSettings.xml><?xml version="1.0" encoding="utf-8"?>
<w:webSettings xmlns:r="http://schemas.openxmlformats.org/officeDocument/2006/relationships" xmlns:w="http://schemas.openxmlformats.org/wordprocessingml/2006/main">
  <w:divs>
    <w:div w:id="182744169">
      <w:bodyDiv w:val="1"/>
      <w:marLeft w:val="0"/>
      <w:marRight w:val="0"/>
      <w:marTop w:val="0"/>
      <w:marBottom w:val="0"/>
      <w:divBdr>
        <w:top w:val="none" w:sz="0" w:space="0" w:color="auto"/>
        <w:left w:val="none" w:sz="0" w:space="0" w:color="auto"/>
        <w:bottom w:val="none" w:sz="0" w:space="0" w:color="auto"/>
        <w:right w:val="none" w:sz="0" w:space="0" w:color="auto"/>
      </w:divBdr>
    </w:div>
    <w:div w:id="233778754">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8">
          <w:marLeft w:val="0"/>
          <w:marRight w:val="0"/>
          <w:marTop w:val="0"/>
          <w:marBottom w:val="0"/>
          <w:divBdr>
            <w:top w:val="none" w:sz="0" w:space="0" w:color="auto"/>
            <w:left w:val="none" w:sz="0" w:space="0" w:color="auto"/>
            <w:bottom w:val="none" w:sz="0" w:space="0" w:color="auto"/>
            <w:right w:val="none" w:sz="0" w:space="0" w:color="auto"/>
          </w:divBdr>
          <w:divsChild>
            <w:div w:id="171215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4251">
      <w:bodyDiv w:val="1"/>
      <w:marLeft w:val="0"/>
      <w:marRight w:val="0"/>
      <w:marTop w:val="0"/>
      <w:marBottom w:val="0"/>
      <w:divBdr>
        <w:top w:val="none" w:sz="0" w:space="0" w:color="auto"/>
        <w:left w:val="none" w:sz="0" w:space="0" w:color="auto"/>
        <w:bottom w:val="none" w:sz="0" w:space="0" w:color="auto"/>
        <w:right w:val="none" w:sz="0" w:space="0" w:color="auto"/>
      </w:divBdr>
    </w:div>
    <w:div w:id="627705920">
      <w:bodyDiv w:val="1"/>
      <w:marLeft w:val="0"/>
      <w:marRight w:val="0"/>
      <w:marTop w:val="0"/>
      <w:marBottom w:val="0"/>
      <w:divBdr>
        <w:top w:val="none" w:sz="0" w:space="0" w:color="auto"/>
        <w:left w:val="none" w:sz="0" w:space="0" w:color="auto"/>
        <w:bottom w:val="none" w:sz="0" w:space="0" w:color="auto"/>
        <w:right w:val="none" w:sz="0" w:space="0" w:color="auto"/>
      </w:divBdr>
    </w:div>
    <w:div w:id="984821332">
      <w:bodyDiv w:val="1"/>
      <w:marLeft w:val="0"/>
      <w:marRight w:val="0"/>
      <w:marTop w:val="0"/>
      <w:marBottom w:val="0"/>
      <w:divBdr>
        <w:top w:val="none" w:sz="0" w:space="0" w:color="auto"/>
        <w:left w:val="none" w:sz="0" w:space="0" w:color="auto"/>
        <w:bottom w:val="none" w:sz="0" w:space="0" w:color="auto"/>
        <w:right w:val="none" w:sz="0" w:space="0" w:color="auto"/>
      </w:divBdr>
    </w:div>
    <w:div w:id="1061559422">
      <w:bodyDiv w:val="1"/>
      <w:marLeft w:val="0"/>
      <w:marRight w:val="0"/>
      <w:marTop w:val="0"/>
      <w:marBottom w:val="0"/>
      <w:divBdr>
        <w:top w:val="none" w:sz="0" w:space="0" w:color="auto"/>
        <w:left w:val="none" w:sz="0" w:space="0" w:color="auto"/>
        <w:bottom w:val="none" w:sz="0" w:space="0" w:color="auto"/>
        <w:right w:val="none" w:sz="0" w:space="0" w:color="auto"/>
      </w:divBdr>
    </w:div>
    <w:div w:id="1434937315">
      <w:bodyDiv w:val="1"/>
      <w:marLeft w:val="0"/>
      <w:marRight w:val="0"/>
      <w:marTop w:val="0"/>
      <w:marBottom w:val="0"/>
      <w:divBdr>
        <w:top w:val="none" w:sz="0" w:space="0" w:color="auto"/>
        <w:left w:val="none" w:sz="0" w:space="0" w:color="auto"/>
        <w:bottom w:val="none" w:sz="0" w:space="0" w:color="auto"/>
        <w:right w:val="none" w:sz="0" w:space="0" w:color="auto"/>
      </w:divBdr>
    </w:div>
    <w:div w:id="1755741561">
      <w:bodyDiv w:val="1"/>
      <w:marLeft w:val="0"/>
      <w:marRight w:val="0"/>
      <w:marTop w:val="0"/>
      <w:marBottom w:val="0"/>
      <w:divBdr>
        <w:top w:val="none" w:sz="0" w:space="0" w:color="auto"/>
        <w:left w:val="none" w:sz="0" w:space="0" w:color="auto"/>
        <w:bottom w:val="none" w:sz="0" w:space="0" w:color="auto"/>
        <w:right w:val="none" w:sz="0" w:space="0" w:color="auto"/>
      </w:divBdr>
    </w:div>
    <w:div w:id="1974212546">
      <w:bodyDiv w:val="1"/>
      <w:marLeft w:val="0"/>
      <w:marRight w:val="0"/>
      <w:marTop w:val="0"/>
      <w:marBottom w:val="0"/>
      <w:divBdr>
        <w:top w:val="none" w:sz="0" w:space="0" w:color="auto"/>
        <w:left w:val="none" w:sz="0" w:space="0" w:color="auto"/>
        <w:bottom w:val="none" w:sz="0" w:space="0" w:color="auto"/>
        <w:right w:val="none" w:sz="0" w:space="0" w:color="auto"/>
      </w:divBdr>
    </w:div>
    <w:div w:id="206775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15545</Words>
  <Characters>88608</Characters>
  <Application>Microsoft Office Word</Application>
  <DocSecurity>0</DocSecurity>
  <Lines>738</Lines>
  <Paragraphs>207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2018-06-07T09:51:00Z</dcterms:created>
  <dcterms:modified xsi:type="dcterms:W3CDTF">2018-06-07T09:51:00Z</dcterms:modified>
</cp:coreProperties>
</file>