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Il </w:t>
      </w:r>
      <w:r w:rsidR="008234D2" w:rsidRPr="008E04A3">
        <w:rPr>
          <w:rFonts w:ascii="Arial" w:hAnsi="Arial" w:cs="Arial"/>
          <w:color w:val="000000"/>
        </w:rPr>
        <w:t>dlgs150/15</w:t>
      </w:r>
      <w:r w:rsidRPr="008E04A3">
        <w:rPr>
          <w:rFonts w:ascii="Arial" w:hAnsi="Arial" w:cs="Arial"/>
          <w:color w:val="000000"/>
        </w:rPr>
        <w:t> attua un tassello fondamentale nella riforma del mercato del lavoro tracciata dalla Legge 183/2014 come quello del riordino dei servizi per il lavoro e delle politiche attive.</w:t>
      </w:r>
    </w:p>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Le disposizioni normative contenute nel nuovo decreto hanno l’obiettivo di promuovere un effettivo collegamento tra misure di sostegno al reddito per gli inoccupati o disoccupati e quelle volte alla loro collocazione o ricollocazione nel mercato del lavoro. Il principio di condizionalità che lega le politiche passive a quelle attive implica la creazione di un sistema di Servizi per l’Impiego capillare ed efficace, operante su standard nazionali omogenei e sistemi informativi integrati.</w:t>
      </w:r>
    </w:p>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La </w:t>
      </w:r>
      <w:r w:rsidRPr="008E04A3">
        <w:rPr>
          <w:rStyle w:val="Enfasigrassetto"/>
          <w:rFonts w:ascii="Arial" w:hAnsi="Arial" w:cs="Arial"/>
          <w:color w:val="000000"/>
        </w:rPr>
        <w:t>Rete Nazionale dei servizi per l'impiego</w:t>
      </w:r>
      <w:r w:rsidRPr="008E04A3">
        <w:rPr>
          <w:rFonts w:ascii="Arial" w:hAnsi="Arial" w:cs="Arial"/>
          <w:color w:val="000000"/>
        </w:rPr>
        <w:t> è composta da molteplici soggetti: </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la nuova </w:t>
      </w:r>
      <w:r w:rsidR="008234D2" w:rsidRPr="008E04A3">
        <w:rPr>
          <w:rFonts w:ascii="Arial" w:hAnsi="Arial" w:cs="Arial"/>
          <w:color w:val="000000"/>
          <w:sz w:val="24"/>
          <w:szCs w:val="24"/>
        </w:rPr>
        <w:t xml:space="preserve">Agenzia nazionale per le politiche attive la lavoro </w:t>
      </w:r>
      <w:r w:rsidRPr="008E04A3">
        <w:rPr>
          <w:rFonts w:ascii="Arial" w:hAnsi="Arial" w:cs="Arial"/>
          <w:color w:val="000000"/>
          <w:sz w:val="24"/>
          <w:szCs w:val="24"/>
        </w:rPr>
        <w:t>(ANPAL) e le strutture regionali per le Politiche Attive del Lavoro; </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l'INPS per le sue competenze in tema di incentivi e strumenti di sostegno al reddito;</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l'INAIL per il reinserimento e l'integrazione lavorativa delle persone con disabilità da lavoro;</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le Agenzie per il lavoro;</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i fondi interprofessionali per la formazione continua e i fondi bilaterali della somministrazione (art. 12, comma 4, del decreto legislativo 10 settembre 2003 n. 276);</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l'ISFOL per i processi di valutazione monitoraggio delle politiche per il lavoro;</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Italia Lavoro S.p.A. fino al suo scioglimento definitivo</w:t>
      </w:r>
    </w:p>
    <w:p w:rsidR="0062755C" w:rsidRPr="008E04A3" w:rsidRDefault="0062755C" w:rsidP="0062755C">
      <w:pPr>
        <w:numPr>
          <w:ilvl w:val="0"/>
          <w:numId w:val="40"/>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il sistema delle Camere di commercio, industria, artigianato e agricoltura, le università e gli istituti di  scuola  secondaria  di secondo grado.</w:t>
      </w:r>
    </w:p>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Le </w:t>
      </w:r>
      <w:r w:rsidRPr="008E04A3">
        <w:rPr>
          <w:rStyle w:val="Enfasigrassetto"/>
          <w:rFonts w:ascii="Arial" w:hAnsi="Arial" w:cs="Arial"/>
          <w:color w:val="000000"/>
        </w:rPr>
        <w:t>Regioni e </w:t>
      </w:r>
      <w:r w:rsidRPr="008E04A3">
        <w:rPr>
          <w:rFonts w:ascii="Arial" w:hAnsi="Arial" w:cs="Arial"/>
          <w:color w:val="000000"/>
        </w:rPr>
        <w:t>le </w:t>
      </w:r>
      <w:r w:rsidRPr="008E04A3">
        <w:rPr>
          <w:rStyle w:val="Enfasigrassetto"/>
          <w:rFonts w:ascii="Arial" w:hAnsi="Arial" w:cs="Arial"/>
          <w:color w:val="000000"/>
        </w:rPr>
        <w:t>Province Autonome</w:t>
      </w:r>
      <w:r w:rsidRPr="008E04A3">
        <w:rPr>
          <w:rFonts w:ascii="Arial" w:hAnsi="Arial" w:cs="Arial"/>
          <w:color w:val="000000"/>
        </w:rPr>
        <w:t> si interfacceranno con l'ANPAL per la definizione dei servizi offerti all'utenza, prevedendo la costituzione di Centri per l'impiego (CPI) locali che avranno l’obiettivo di garantire i medesimi livelli di prestazione su tutto il territorio. Ogni Regione siglerà con il Ministero del Lavoro e delle Politiche Sociali una convenzione che definirà i rapporti e gli obblighi relativi alla gestione dei servizi per l'impiego e delle politiche attive sul territorio. </w:t>
      </w:r>
    </w:p>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Le</w:t>
      </w:r>
      <w:r w:rsidRPr="008E04A3">
        <w:rPr>
          <w:rStyle w:val="Enfasigrassetto"/>
          <w:rFonts w:ascii="Arial" w:hAnsi="Arial" w:cs="Arial"/>
          <w:color w:val="000000"/>
        </w:rPr>
        <w:t> linee di indirizzo</w:t>
      </w:r>
      <w:r w:rsidRPr="008E04A3">
        <w:rPr>
          <w:rFonts w:ascii="Arial" w:hAnsi="Arial" w:cs="Arial"/>
          <w:color w:val="000000"/>
        </w:rPr>
        <w:t> triennali, gli obiettivi annuali insieme alla definizione dei livelli minimi delle prestazioni erogabili, saranno definiti in un apposito Decreto Ministeriale. </w:t>
      </w:r>
    </w:p>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Anche gli operatori privati – in particolare, le Agenzie per il lavoro - opereranno in sinergia con i Centri per l’impiego, sulla base di un sistema di accreditamento regionale i cui criteri saranno definiti con apposito Decreto Ministeriale, per offrire agli utenti misure efficaci di politica attiva. </w:t>
      </w:r>
    </w:p>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Il Decreto Legislativo 150/2015 interviene non solo sugli aspetti amministrativi e organizzativi ma anche su una nuova struttura dei servizi offerti tramite meccanismi standardizzati di accoglienza ed accompagnamento al lavoro di cui si occuperanno i Centri per l’impiego.</w:t>
      </w:r>
    </w:p>
    <w:p w:rsidR="0062755C" w:rsidRPr="008E04A3" w:rsidRDefault="0062755C" w:rsidP="0062755C">
      <w:pPr>
        <w:pStyle w:val="NormaleWeb"/>
        <w:shd w:val="clear" w:color="auto" w:fill="F5F5F5"/>
        <w:rPr>
          <w:rFonts w:ascii="Arial" w:hAnsi="Arial" w:cs="Arial"/>
          <w:color w:val="000000"/>
        </w:rPr>
      </w:pPr>
      <w:r w:rsidRPr="008E04A3">
        <w:rPr>
          <w:rFonts w:ascii="Arial" w:hAnsi="Arial" w:cs="Arial"/>
          <w:color w:val="000000"/>
        </w:rPr>
        <w:t>I </w:t>
      </w:r>
      <w:r w:rsidRPr="008E04A3">
        <w:rPr>
          <w:rStyle w:val="Enfasigrassetto"/>
          <w:rFonts w:ascii="Arial" w:hAnsi="Arial" w:cs="Arial"/>
          <w:color w:val="000000"/>
        </w:rPr>
        <w:t>livelli essenziali di prestazione</w:t>
      </w:r>
      <w:r w:rsidRPr="008E04A3">
        <w:rPr>
          <w:rFonts w:ascii="Arial" w:hAnsi="Arial" w:cs="Arial"/>
          <w:color w:val="000000"/>
        </w:rPr>
        <w:t> (LEP) garantiti dai Centri per l’impiego sono:</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orientamento di base e specialistico individualizzato;</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lastRenderedPageBreak/>
        <w:t>orientamento all'</w:t>
      </w:r>
      <w:proofErr w:type="spellStart"/>
      <w:r w:rsidRPr="008E04A3">
        <w:rPr>
          <w:rFonts w:ascii="Arial" w:hAnsi="Arial" w:cs="Arial"/>
          <w:color w:val="000000"/>
          <w:sz w:val="24"/>
          <w:szCs w:val="24"/>
        </w:rPr>
        <w:t>autoimpiego</w:t>
      </w:r>
      <w:proofErr w:type="spellEnd"/>
      <w:r w:rsidRPr="008E04A3">
        <w:rPr>
          <w:rFonts w:ascii="Arial" w:hAnsi="Arial" w:cs="Arial"/>
          <w:color w:val="000000"/>
          <w:sz w:val="24"/>
          <w:szCs w:val="24"/>
        </w:rPr>
        <w:t xml:space="preserve"> e tutoraggio per le fasi successive all'avvio dell'impresa; </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attività di formazione ai fini della qualificazione e riqualificazione professionale, dell'</w:t>
      </w:r>
      <w:proofErr w:type="spellStart"/>
      <w:r w:rsidRPr="008E04A3">
        <w:rPr>
          <w:rFonts w:ascii="Arial" w:hAnsi="Arial" w:cs="Arial"/>
          <w:color w:val="000000"/>
          <w:sz w:val="24"/>
          <w:szCs w:val="24"/>
        </w:rPr>
        <w:t>autoimpiego</w:t>
      </w:r>
      <w:proofErr w:type="spellEnd"/>
      <w:r w:rsidRPr="008E04A3">
        <w:rPr>
          <w:rFonts w:ascii="Arial" w:hAnsi="Arial" w:cs="Arial"/>
          <w:color w:val="000000"/>
          <w:sz w:val="24"/>
          <w:szCs w:val="24"/>
        </w:rPr>
        <w:t xml:space="preserve"> e dell'immediato inserimento lavorativo; </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accompagnamento al lavoro, anche attraverso il ricorso all'assegno individuale di ricollocazione;</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promozione di esperienze lavorative ai fini di un incremento delle competenze, anche mediante lo strumento del tirocinio; </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gestione, anche in forma indiretta, di incentivi all’attività di lavoro autonomo; </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gestione di incentivi alla mobilità territoriale; </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gestione di strumenti finalizzati alla conciliazione dei tempi di lavoro con gli obblighi di cura nei confronti di minori o di soggetti non autosufficienti; </w:t>
      </w:r>
    </w:p>
    <w:p w:rsidR="0062755C" w:rsidRPr="008E04A3" w:rsidRDefault="0062755C" w:rsidP="0062755C">
      <w:pPr>
        <w:numPr>
          <w:ilvl w:val="0"/>
          <w:numId w:val="41"/>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promozione di prestazioni di lavoro socialmente utile. </w:t>
      </w:r>
    </w:p>
    <w:p w:rsidR="00333555" w:rsidRPr="008E04A3" w:rsidRDefault="009643D1" w:rsidP="00333555">
      <w:pPr>
        <w:rPr>
          <w:rFonts w:ascii="Arial" w:hAnsi="Arial" w:cs="Arial"/>
          <w:color w:val="000000"/>
          <w:sz w:val="24"/>
          <w:szCs w:val="24"/>
          <w:shd w:val="clear" w:color="auto" w:fill="F5F5F5"/>
        </w:rPr>
      </w:pPr>
      <w:r w:rsidRPr="008E04A3">
        <w:rPr>
          <w:rFonts w:ascii="Arial" w:hAnsi="Arial" w:cs="Arial"/>
          <w:color w:val="000000"/>
          <w:sz w:val="24"/>
          <w:szCs w:val="24"/>
          <w:shd w:val="clear" w:color="auto" w:fill="F5F5F5"/>
        </w:rPr>
        <w:t xml:space="preserve">TUTELE IN COSTANZA </w:t>
      </w:r>
      <w:proofErr w:type="spellStart"/>
      <w:r w:rsidRPr="008E04A3">
        <w:rPr>
          <w:rFonts w:ascii="Arial" w:hAnsi="Arial" w:cs="Arial"/>
          <w:color w:val="000000"/>
          <w:sz w:val="24"/>
          <w:szCs w:val="24"/>
          <w:shd w:val="clear" w:color="auto" w:fill="F5F5F5"/>
        </w:rPr>
        <w:t>DI</w:t>
      </w:r>
      <w:proofErr w:type="spellEnd"/>
      <w:r w:rsidRPr="008E04A3">
        <w:rPr>
          <w:rFonts w:ascii="Arial" w:hAnsi="Arial" w:cs="Arial"/>
          <w:color w:val="000000"/>
          <w:sz w:val="24"/>
          <w:szCs w:val="24"/>
          <w:shd w:val="clear" w:color="auto" w:fill="F5F5F5"/>
        </w:rPr>
        <w:t xml:space="preserve"> UN RAPPORTO </w:t>
      </w:r>
      <w:proofErr w:type="spellStart"/>
      <w:r w:rsidRPr="008E04A3">
        <w:rPr>
          <w:rFonts w:ascii="Arial" w:hAnsi="Arial" w:cs="Arial"/>
          <w:color w:val="000000"/>
          <w:sz w:val="24"/>
          <w:szCs w:val="24"/>
          <w:shd w:val="clear" w:color="auto" w:fill="F5F5F5"/>
        </w:rPr>
        <w:t>DI</w:t>
      </w:r>
      <w:proofErr w:type="spellEnd"/>
      <w:r w:rsidRPr="008E04A3">
        <w:rPr>
          <w:rFonts w:ascii="Arial" w:hAnsi="Arial" w:cs="Arial"/>
          <w:color w:val="000000"/>
          <w:sz w:val="24"/>
          <w:szCs w:val="24"/>
          <w:shd w:val="clear" w:color="auto" w:fill="F5F5F5"/>
        </w:rPr>
        <w:t xml:space="preserve"> LAVORO</w:t>
      </w:r>
    </w:p>
    <w:p w:rsidR="00333555" w:rsidRPr="008E04A3" w:rsidRDefault="00333555" w:rsidP="00333555">
      <w:pPr>
        <w:rPr>
          <w:rFonts w:ascii="Arial" w:hAnsi="Arial" w:cs="Arial"/>
          <w:color w:val="000000"/>
          <w:sz w:val="24"/>
          <w:szCs w:val="24"/>
          <w:shd w:val="clear" w:color="auto" w:fill="F5F5F5"/>
        </w:rPr>
      </w:pPr>
      <w:r w:rsidRPr="008E04A3">
        <w:rPr>
          <w:rFonts w:ascii="Arial" w:hAnsi="Arial" w:cs="Arial"/>
          <w:color w:val="000000"/>
          <w:sz w:val="24"/>
          <w:szCs w:val="24"/>
          <w:shd w:val="clear" w:color="auto" w:fill="F5F5F5"/>
        </w:rPr>
        <w:t xml:space="preserve">IL DLGS 148”015 RACCHIUDE IN UN UNICO TESTO NORMATIVO  la disciplina della cassa integrazione guadagni e dei fondi di </w:t>
      </w:r>
      <w:proofErr w:type="spellStart"/>
      <w:r w:rsidRPr="008E04A3">
        <w:rPr>
          <w:rFonts w:ascii="Arial" w:hAnsi="Arial" w:cs="Arial"/>
          <w:color w:val="000000"/>
          <w:sz w:val="24"/>
          <w:szCs w:val="24"/>
          <w:shd w:val="clear" w:color="auto" w:fill="F5F5F5"/>
        </w:rPr>
        <w:t>solidarieta’</w:t>
      </w:r>
      <w:proofErr w:type="spellEnd"/>
    </w:p>
    <w:p w:rsidR="00333555" w:rsidRPr="008E04A3" w:rsidRDefault="00333555" w:rsidP="00333555">
      <w:pPr>
        <w:rPr>
          <w:rFonts w:ascii="Arial" w:hAnsi="Arial" w:cs="Arial"/>
          <w:sz w:val="24"/>
          <w:szCs w:val="24"/>
        </w:rPr>
      </w:pPr>
      <w:r w:rsidRPr="008E04A3">
        <w:rPr>
          <w:rFonts w:ascii="Arial" w:hAnsi="Arial" w:cs="Arial"/>
          <w:color w:val="000000"/>
          <w:sz w:val="24"/>
          <w:szCs w:val="24"/>
          <w:shd w:val="clear" w:color="auto" w:fill="F5F5F5"/>
        </w:rPr>
        <w:t>La </w:t>
      </w:r>
      <w:r w:rsidRPr="008E04A3">
        <w:rPr>
          <w:rStyle w:val="Enfasigrassetto"/>
          <w:rFonts w:ascii="Arial" w:hAnsi="Arial" w:cs="Arial"/>
          <w:color w:val="000000"/>
          <w:sz w:val="24"/>
          <w:szCs w:val="24"/>
          <w:shd w:val="clear" w:color="auto" w:fill="F5F5F5"/>
        </w:rPr>
        <w:t>Cassa Integrazione Guadagni</w:t>
      </w:r>
      <w:r w:rsidRPr="008E04A3">
        <w:rPr>
          <w:rFonts w:ascii="Arial" w:hAnsi="Arial" w:cs="Arial"/>
          <w:color w:val="000000"/>
          <w:sz w:val="24"/>
          <w:szCs w:val="24"/>
          <w:shd w:val="clear" w:color="auto" w:fill="F5F5F5"/>
        </w:rPr>
        <w:t> (CIG) è un ammortizzatore sociale, fruito in costanza di rapporto di lavoro, finalizzato a sostenere economicamente il salario dei lavoratori di imprese che si trovano in determinate situazioni di difficoltà, a fronte delle quali richiedono una</w:t>
      </w:r>
      <w:r w:rsidRPr="008E04A3">
        <w:rPr>
          <w:rStyle w:val="Enfasigrassetto"/>
          <w:rFonts w:ascii="Arial" w:hAnsi="Arial" w:cs="Arial"/>
          <w:color w:val="000000"/>
          <w:sz w:val="24"/>
          <w:szCs w:val="24"/>
          <w:shd w:val="clear" w:color="auto" w:fill="F5F5F5"/>
        </w:rPr>
        <w:t> riduzione </w:t>
      </w:r>
      <w:r w:rsidRPr="008E04A3">
        <w:rPr>
          <w:rFonts w:ascii="Arial" w:hAnsi="Arial" w:cs="Arial"/>
          <w:color w:val="000000"/>
          <w:sz w:val="24"/>
          <w:szCs w:val="24"/>
          <w:shd w:val="clear" w:color="auto" w:fill="F5F5F5"/>
        </w:rPr>
        <w:t>o una </w:t>
      </w:r>
      <w:r w:rsidRPr="008E04A3">
        <w:rPr>
          <w:rStyle w:val="Enfasigrassetto"/>
          <w:rFonts w:ascii="Arial" w:hAnsi="Arial" w:cs="Arial"/>
          <w:color w:val="000000"/>
          <w:sz w:val="24"/>
          <w:szCs w:val="24"/>
          <w:shd w:val="clear" w:color="auto" w:fill="F5F5F5"/>
        </w:rPr>
        <w:t>sospensione del rapporto di lavoro</w:t>
      </w:r>
      <w:r w:rsidRPr="008E04A3">
        <w:rPr>
          <w:rFonts w:ascii="Arial" w:hAnsi="Arial" w:cs="Arial"/>
          <w:color w:val="000000"/>
          <w:sz w:val="24"/>
          <w:szCs w:val="24"/>
          <w:shd w:val="clear" w:color="auto" w:fill="F5F5F5"/>
        </w:rPr>
        <w:t>. </w:t>
      </w:r>
      <w:r w:rsidRPr="008E04A3">
        <w:rPr>
          <w:rFonts w:ascii="Arial" w:hAnsi="Arial" w:cs="Arial"/>
          <w:color w:val="000000"/>
          <w:sz w:val="24"/>
          <w:szCs w:val="24"/>
        </w:rPr>
        <w:br/>
      </w:r>
      <w:r w:rsidRPr="008E04A3">
        <w:rPr>
          <w:rFonts w:ascii="Arial" w:hAnsi="Arial" w:cs="Arial"/>
          <w:color w:val="000000"/>
          <w:sz w:val="24"/>
          <w:szCs w:val="24"/>
        </w:rPr>
        <w:br/>
      </w:r>
      <w:r w:rsidRPr="008E04A3">
        <w:rPr>
          <w:rFonts w:ascii="Arial" w:hAnsi="Arial" w:cs="Arial"/>
          <w:color w:val="000000"/>
          <w:sz w:val="24"/>
          <w:szCs w:val="24"/>
          <w:shd w:val="clear" w:color="auto" w:fill="F5F5F5"/>
        </w:rPr>
        <w:t>Il </w:t>
      </w:r>
      <w:r w:rsidR="008234D2" w:rsidRPr="008E04A3">
        <w:rPr>
          <w:rFonts w:ascii="Arial" w:hAnsi="Arial" w:cs="Arial"/>
          <w:color w:val="000000"/>
          <w:sz w:val="24"/>
          <w:szCs w:val="24"/>
          <w:shd w:val="clear" w:color="auto" w:fill="F5F5F5"/>
        </w:rPr>
        <w:t>dlgs 148/15</w:t>
      </w:r>
      <w:r w:rsidRPr="008E04A3">
        <w:rPr>
          <w:rFonts w:ascii="Arial" w:hAnsi="Arial" w:cs="Arial"/>
          <w:color w:val="000000"/>
          <w:sz w:val="24"/>
          <w:szCs w:val="24"/>
          <w:shd w:val="clear" w:color="auto" w:fill="F5F5F5"/>
        </w:rPr>
        <w:t>, in attuazione della delega della Legge n.183/2014, razionalizza la normativa in materia di integrazioni salariali ed amplia la platea dei beneficiari, uniformando i periodi di durata massima e commisurando la contribuzione addizionale in funzione del reale utilizzo del trattamento di integrazione salariale.</w:t>
      </w:r>
    </w:p>
    <w:p w:rsidR="00333555" w:rsidRPr="008E04A3" w:rsidRDefault="00333555" w:rsidP="00333555">
      <w:pPr>
        <w:pStyle w:val="NormaleWeb"/>
        <w:shd w:val="clear" w:color="auto" w:fill="F5F5F5"/>
        <w:rPr>
          <w:rFonts w:ascii="Arial" w:hAnsi="Arial" w:cs="Arial"/>
          <w:color w:val="000000"/>
        </w:rPr>
      </w:pPr>
      <w:r w:rsidRPr="008E04A3">
        <w:rPr>
          <w:rFonts w:ascii="Arial" w:hAnsi="Arial" w:cs="Arial"/>
          <w:color w:val="000000"/>
        </w:rPr>
        <w:t>Il </w:t>
      </w:r>
      <w:r w:rsidRPr="008E04A3">
        <w:rPr>
          <w:rStyle w:val="Enfasigrassetto"/>
          <w:rFonts w:ascii="Arial" w:hAnsi="Arial" w:cs="Arial"/>
          <w:color w:val="000000"/>
        </w:rPr>
        <w:t>contratto di solidarietà</w:t>
      </w:r>
      <w:r w:rsidRPr="008E04A3">
        <w:rPr>
          <w:rFonts w:ascii="Arial" w:hAnsi="Arial" w:cs="Arial"/>
          <w:color w:val="000000"/>
        </w:rPr>
        <w:t> difensivo di tipo A diventa una causale della Cassa Integrazione Guadagni Straordinaria per la quale è previsto un periodo di fruizione potenzialmente più lungo.</w:t>
      </w:r>
    </w:p>
    <w:p w:rsidR="00333555" w:rsidRPr="008E04A3" w:rsidRDefault="00333555" w:rsidP="00333555">
      <w:pPr>
        <w:pStyle w:val="NormaleWeb"/>
        <w:shd w:val="clear" w:color="auto" w:fill="F5F5F5"/>
        <w:rPr>
          <w:rFonts w:ascii="Arial" w:hAnsi="Arial" w:cs="Arial"/>
          <w:color w:val="000000"/>
        </w:rPr>
      </w:pPr>
      <w:r w:rsidRPr="008E04A3">
        <w:rPr>
          <w:rFonts w:ascii="Arial" w:hAnsi="Arial" w:cs="Arial"/>
          <w:color w:val="000000"/>
        </w:rPr>
        <w:t>Il periodo di fruizione massimo della CIGO e della CIGS per singola unità produttiva è individuato in 36 mesi in un quinquennio di riferimento mobile.  </w:t>
      </w:r>
      <w:r w:rsidRPr="008E04A3">
        <w:rPr>
          <w:rFonts w:ascii="Arial" w:hAnsi="Arial" w:cs="Arial"/>
          <w:color w:val="000000"/>
        </w:rPr>
        <w:br/>
        <w:t>Possono beneficiare di tali ammortizzatori sociali le seguenti categorie di soggetti che abbiano maturato un’anzianità lavorativa effettiva di 90 giorni presso l’unità produttiva per cui si richiede il trattamento :</w:t>
      </w:r>
    </w:p>
    <w:p w:rsidR="00333555" w:rsidRPr="008E04A3" w:rsidRDefault="00333555" w:rsidP="00333555">
      <w:pPr>
        <w:numPr>
          <w:ilvl w:val="0"/>
          <w:numId w:val="42"/>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Operai</w:t>
      </w:r>
    </w:p>
    <w:p w:rsidR="00333555" w:rsidRPr="008E04A3" w:rsidRDefault="00333555" w:rsidP="00333555">
      <w:pPr>
        <w:numPr>
          <w:ilvl w:val="0"/>
          <w:numId w:val="42"/>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Apprendisti assunti con l’apprendistato professionalizzante</w:t>
      </w:r>
    </w:p>
    <w:p w:rsidR="00333555" w:rsidRPr="008E04A3" w:rsidRDefault="00333555" w:rsidP="00333555">
      <w:pPr>
        <w:numPr>
          <w:ilvl w:val="0"/>
          <w:numId w:val="42"/>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Impiegati </w:t>
      </w:r>
    </w:p>
    <w:p w:rsidR="00333555" w:rsidRPr="008E04A3" w:rsidRDefault="00333555" w:rsidP="00333555">
      <w:pPr>
        <w:numPr>
          <w:ilvl w:val="0"/>
          <w:numId w:val="42"/>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Quadri</w:t>
      </w:r>
    </w:p>
    <w:p w:rsidR="00333555" w:rsidRPr="008E04A3" w:rsidRDefault="00333555" w:rsidP="00333555">
      <w:pPr>
        <w:numPr>
          <w:ilvl w:val="0"/>
          <w:numId w:val="42"/>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Lavoratori titolari di un contratto di inserimento</w:t>
      </w:r>
    </w:p>
    <w:p w:rsidR="00333555" w:rsidRPr="008E04A3" w:rsidRDefault="00333555" w:rsidP="00333555">
      <w:pPr>
        <w:numPr>
          <w:ilvl w:val="0"/>
          <w:numId w:val="42"/>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Lavoratori titolari di un contratto di solidarietà </w:t>
      </w:r>
    </w:p>
    <w:p w:rsidR="00333555" w:rsidRPr="008E04A3" w:rsidRDefault="00333555" w:rsidP="00333555">
      <w:pPr>
        <w:numPr>
          <w:ilvl w:val="0"/>
          <w:numId w:val="42"/>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Soci delle società di cooperative di produzione e lavoro.</w:t>
      </w:r>
    </w:p>
    <w:p w:rsidR="00333555" w:rsidRPr="008E04A3" w:rsidRDefault="00333555" w:rsidP="00333555">
      <w:pPr>
        <w:pStyle w:val="NormaleWeb"/>
        <w:shd w:val="clear" w:color="auto" w:fill="F5F5F5"/>
        <w:rPr>
          <w:rFonts w:ascii="Arial" w:hAnsi="Arial" w:cs="Arial"/>
          <w:color w:val="000000"/>
        </w:rPr>
      </w:pPr>
      <w:r w:rsidRPr="008E04A3">
        <w:rPr>
          <w:rFonts w:ascii="Arial" w:hAnsi="Arial" w:cs="Arial"/>
          <w:color w:val="000000"/>
        </w:rPr>
        <w:t>Tra i beneficiari restano esclusi gli apprendisti assunti con apprendistato di primo e terzo tipo, gli autisti dipendenti da titolari d’impresa, i lavoratori a domicilio e i dirigenti.</w:t>
      </w:r>
    </w:p>
    <w:p w:rsidR="009643D1" w:rsidRPr="008E04A3" w:rsidRDefault="009643D1" w:rsidP="00333555">
      <w:pPr>
        <w:pStyle w:val="NormaleWeb"/>
        <w:shd w:val="clear" w:color="auto" w:fill="F5F5F5"/>
        <w:rPr>
          <w:rFonts w:ascii="Arial" w:hAnsi="Arial" w:cs="Arial"/>
          <w:color w:val="000000"/>
        </w:rPr>
      </w:pPr>
      <w:r w:rsidRPr="008E04A3">
        <w:rPr>
          <w:rFonts w:ascii="Arial" w:hAnsi="Arial" w:cs="Arial"/>
        </w:rPr>
        <w:lastRenderedPageBreak/>
        <w:t>I lavoratori devono possedere, presso l'unità produttiva per la quale è richiesto il trattamento, un'anzianità di effettivo lavoro di almeno novanta giorni alla data di presentazione della relativa domanda di concessione.</w:t>
      </w:r>
    </w:p>
    <w:p w:rsidR="00333555" w:rsidRPr="008E04A3" w:rsidRDefault="00333555" w:rsidP="00333555">
      <w:pPr>
        <w:pStyle w:val="NormaleWeb"/>
        <w:shd w:val="clear" w:color="auto" w:fill="F5F5F5"/>
        <w:rPr>
          <w:rFonts w:ascii="Arial" w:hAnsi="Arial" w:cs="Arial"/>
          <w:color w:val="000000"/>
        </w:rPr>
      </w:pPr>
      <w:r w:rsidRPr="008E04A3">
        <w:rPr>
          <w:rFonts w:ascii="Arial" w:hAnsi="Arial" w:cs="Arial"/>
          <w:color w:val="000000"/>
        </w:rPr>
        <w:t>Le previsioni del Decreto Legislativo n.148/2015 sono complementari a quelle del </w:t>
      </w:r>
      <w:r w:rsidR="008234D2" w:rsidRPr="008E04A3">
        <w:rPr>
          <w:rFonts w:ascii="Arial" w:hAnsi="Arial" w:cs="Arial"/>
          <w:color w:val="000000"/>
        </w:rPr>
        <w:t xml:space="preserve">DLGS 150/2015 </w:t>
      </w:r>
      <w:r w:rsidRPr="008E04A3">
        <w:rPr>
          <w:rFonts w:ascii="Arial" w:hAnsi="Arial" w:cs="Arial"/>
          <w:color w:val="000000"/>
        </w:rPr>
        <w:t> relativo al riordino dei servizi per il lavoro e delle </w:t>
      </w:r>
      <w:r w:rsidRPr="008E04A3">
        <w:rPr>
          <w:rStyle w:val="Enfasigrassetto"/>
          <w:rFonts w:ascii="Arial" w:hAnsi="Arial" w:cs="Arial"/>
          <w:color w:val="000000"/>
        </w:rPr>
        <w:t>politiche attive</w:t>
      </w:r>
      <w:r w:rsidRPr="008E04A3">
        <w:rPr>
          <w:rFonts w:ascii="Arial" w:hAnsi="Arial" w:cs="Arial"/>
          <w:color w:val="000000"/>
        </w:rPr>
        <w:t xml:space="preserve">. È previsto, infatti, che i soggetti coinvolti da processi di CIG </w:t>
      </w:r>
      <w:r w:rsidRPr="008E04A3">
        <w:rPr>
          <w:rFonts w:ascii="Arial" w:hAnsi="Arial" w:cs="Arial"/>
          <w:color w:val="000000"/>
          <w:u w:val="single"/>
        </w:rPr>
        <w:t>con una sospensione o riduzione superiore al 50% dovranno essere convocati presso i Centri per l’Impiego per stipulare il Patto di Servizio Personalizzato (PSP).</w:t>
      </w:r>
      <w:r w:rsidRPr="008E04A3">
        <w:rPr>
          <w:rFonts w:ascii="Arial" w:hAnsi="Arial" w:cs="Arial"/>
          <w:color w:val="000000"/>
        </w:rPr>
        <w:t xml:space="preserve"> In caso non siano rispettati gli obblighi indicati dal PSP, il beneficiario del trattamento CIG andrà incontro a un sistema sanzionatorio che prevede dalla decurtazione dell’integrazione fino alla completa decadenza dal beneficio.</w:t>
      </w:r>
    </w:p>
    <w:p w:rsidR="00333555" w:rsidRPr="008E04A3" w:rsidRDefault="00333555" w:rsidP="00333555">
      <w:pPr>
        <w:pStyle w:val="NormaleWeb"/>
        <w:shd w:val="clear" w:color="auto" w:fill="F5F5F5"/>
        <w:rPr>
          <w:rFonts w:ascii="Arial" w:hAnsi="Arial" w:cs="Arial"/>
          <w:color w:val="000000"/>
        </w:rPr>
      </w:pPr>
      <w:r w:rsidRPr="008E04A3">
        <w:rPr>
          <w:rFonts w:ascii="Arial" w:hAnsi="Arial" w:cs="Arial"/>
          <w:color w:val="000000"/>
        </w:rPr>
        <w:t>La </w:t>
      </w:r>
      <w:r w:rsidR="008234D2" w:rsidRPr="008E04A3">
        <w:rPr>
          <w:rFonts w:ascii="Arial" w:hAnsi="Arial" w:cs="Arial"/>
          <w:color w:val="000000"/>
        </w:rPr>
        <w:t>legge 205/17</w:t>
      </w:r>
      <w:r w:rsidRPr="008E04A3">
        <w:rPr>
          <w:rFonts w:ascii="Arial" w:hAnsi="Arial" w:cs="Arial"/>
          <w:color w:val="000000"/>
        </w:rPr>
        <w:t xml:space="preserve"> ha previsto la possibilità di </w:t>
      </w:r>
      <w:r w:rsidRPr="008E04A3">
        <w:rPr>
          <w:rFonts w:ascii="Arial" w:hAnsi="Arial" w:cs="Arial"/>
          <w:color w:val="000000"/>
          <w:u w:val="single"/>
        </w:rPr>
        <w:t>richiedere l’</w:t>
      </w:r>
      <w:r w:rsidRPr="008E04A3">
        <w:rPr>
          <w:rStyle w:val="Enfasigrassetto"/>
          <w:rFonts w:ascii="Arial" w:hAnsi="Arial" w:cs="Arial"/>
          <w:color w:val="000000"/>
          <w:u w:val="single"/>
        </w:rPr>
        <w:t>assegno di ricollocazione </w:t>
      </w:r>
      <w:r w:rsidRPr="008E04A3">
        <w:rPr>
          <w:rFonts w:ascii="Arial" w:hAnsi="Arial" w:cs="Arial"/>
          <w:color w:val="000000"/>
          <w:u w:val="single"/>
        </w:rPr>
        <w:t xml:space="preserve">per quei lavoratori rientranti nei processi di riorganizzazione o crisi aziendali per i quali non è previsto il completo recupero dei livelli </w:t>
      </w:r>
      <w:proofErr w:type="spellStart"/>
      <w:r w:rsidRPr="008E04A3">
        <w:rPr>
          <w:rFonts w:ascii="Arial" w:hAnsi="Arial" w:cs="Arial"/>
          <w:color w:val="000000"/>
          <w:u w:val="single"/>
        </w:rPr>
        <w:t>occupazionali</w:t>
      </w:r>
      <w:r w:rsidR="008234D2" w:rsidRPr="008E04A3">
        <w:rPr>
          <w:rFonts w:ascii="Arial" w:hAnsi="Arial" w:cs="Arial"/>
          <w:color w:val="000000"/>
        </w:rPr>
        <w:t>.</w:t>
      </w:r>
      <w:r w:rsidRPr="008E04A3">
        <w:rPr>
          <w:rFonts w:ascii="Arial" w:hAnsi="Arial" w:cs="Arial"/>
          <w:color w:val="000000"/>
        </w:rPr>
        <w:t>L</w:t>
      </w:r>
      <w:proofErr w:type="spellEnd"/>
      <w:r w:rsidRPr="008E04A3">
        <w:rPr>
          <w:rFonts w:ascii="Arial" w:hAnsi="Arial" w:cs="Arial"/>
          <w:color w:val="000000"/>
        </w:rPr>
        <w:t>'assegno, finalizzato ad ottenere un servizio intensivo di assistenza nella ricerca di un altro lavoro, è spendibile durante il trattamento straordinario di integrazione salariale. In deroga alla normativa generale di riferimento (articolo 25 decreto legislativo n. 150 del 2015), ai lavoratori ammessi all'assegno di ricollocazione non si applica l'obbligo di accettazione di un'offerta di lavoro congrua. </w:t>
      </w:r>
      <w:r w:rsidRPr="008E04A3">
        <w:rPr>
          <w:rFonts w:ascii="Arial" w:hAnsi="Arial" w:cs="Arial"/>
          <w:color w:val="000000"/>
        </w:rPr>
        <w:br/>
        <w:t>Sono previsti poi </w:t>
      </w:r>
      <w:r w:rsidR="008234D2" w:rsidRPr="008E04A3">
        <w:rPr>
          <w:rFonts w:ascii="Arial" w:hAnsi="Arial" w:cs="Arial"/>
          <w:color w:val="000000"/>
        </w:rPr>
        <w:t>incentivi</w:t>
      </w:r>
      <w:r w:rsidRPr="008E04A3">
        <w:rPr>
          <w:rFonts w:ascii="Arial" w:hAnsi="Arial" w:cs="Arial"/>
          <w:color w:val="000000"/>
        </w:rPr>
        <w:t> fiscali per i lavoratori e contributivi per i datori di lavoro che stipulano un contratto di lavoro al termine del servizio.</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FF0000"/>
        </w:rPr>
        <w:t xml:space="preserve">La Cassa Integrazione Guadagni Ordinaria </w:t>
      </w:r>
      <w:r w:rsidRPr="008E04A3">
        <w:rPr>
          <w:rFonts w:ascii="Arial" w:hAnsi="Arial" w:cs="Arial"/>
          <w:color w:val="444444"/>
        </w:rPr>
        <w:t>(</w:t>
      </w:r>
      <w:r w:rsidRPr="008E04A3">
        <w:rPr>
          <w:rStyle w:val="Enfasigrassetto"/>
          <w:rFonts w:ascii="Arial" w:hAnsi="Arial" w:cs="Arial"/>
          <w:color w:val="444444"/>
        </w:rPr>
        <w:t>CIGO</w:t>
      </w:r>
      <w:r w:rsidRPr="008E04A3">
        <w:rPr>
          <w:rFonts w:ascii="Arial" w:hAnsi="Arial" w:cs="Arial"/>
          <w:color w:val="444444"/>
        </w:rPr>
        <w:t>) è un ammortizzatore sociale che può essere richiesto al verificarsi di </w:t>
      </w:r>
      <w:r w:rsidRPr="008E04A3">
        <w:rPr>
          <w:rStyle w:val="Enfasigrassetto"/>
          <w:rFonts w:ascii="Arial" w:hAnsi="Arial" w:cs="Arial"/>
          <w:color w:val="444444"/>
        </w:rPr>
        <w:t>situazioni aziendali dovute ad eventi transitori e non imputabili all’imprenditore o ai lavoratori</w:t>
      </w:r>
      <w:r w:rsidRPr="008E04A3">
        <w:rPr>
          <w:rFonts w:ascii="Arial" w:hAnsi="Arial" w:cs="Arial"/>
          <w:color w:val="444444"/>
        </w:rPr>
        <w:t>, ovvero determinate da situazioni temporanee di mercato. La transitorietà implica la previsione certa della ripresa dell’attività lavorativa. L’integrazione salariale avviene a fronte di una sospensione dell’attività o di una semplice riduzione dell’orario di lavoro.</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444444"/>
        </w:rPr>
        <w:t>il nuovo procedimento di presentazione delle domande- da inoltrare a mezzo PEC entro 15 giorni dalla riduzione o sospensione dell’attività lavorativa - e la successiva attività di valutazione.</w:t>
      </w:r>
      <w:r w:rsidRPr="008E04A3">
        <w:rPr>
          <w:rFonts w:ascii="Arial" w:hAnsi="Arial" w:cs="Arial"/>
          <w:color w:val="444444"/>
        </w:rPr>
        <w:br/>
      </w:r>
      <w:r w:rsidRPr="008E04A3">
        <w:rPr>
          <w:rFonts w:ascii="Arial" w:hAnsi="Arial" w:cs="Arial"/>
          <w:color w:val="444444"/>
        </w:rPr>
        <w:br/>
        <w:t>in caso di eventi oggettivamente non evitabili e non imputabili al datore di lavoro, il termine di presentazione delle istanze della CIGO slitta al mese successivo a quello in cui si è verificato l’evento stesso. e la successiva attività di valutazione.</w:t>
      </w:r>
    </w:p>
    <w:p w:rsidR="00333555" w:rsidRPr="008E04A3" w:rsidRDefault="00333555" w:rsidP="00333555">
      <w:pPr>
        <w:pStyle w:val="NormaleWeb"/>
        <w:shd w:val="clear" w:color="auto" w:fill="F5F5F5"/>
        <w:rPr>
          <w:rFonts w:ascii="Arial" w:hAnsi="Arial" w:cs="Arial"/>
          <w:color w:val="444444"/>
        </w:rPr>
      </w:pPr>
      <w:r w:rsidRPr="008E04A3">
        <w:rPr>
          <w:rStyle w:val="Enfasigrassetto"/>
          <w:rFonts w:ascii="Arial" w:hAnsi="Arial" w:cs="Arial"/>
          <w:color w:val="444444"/>
        </w:rPr>
        <w:t>Le aziende ammesse</w:t>
      </w:r>
      <w:r w:rsidRPr="008E04A3">
        <w:rPr>
          <w:rFonts w:ascii="Arial" w:hAnsi="Arial" w:cs="Arial"/>
          <w:color w:val="444444"/>
        </w:rPr>
        <w:t> alla cassa integrazione ordinaria devono appartenere ai seguenti settori:</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industriali manifatturiere, di trasporti, estrattive, di installazione di impianti, produzione e distribuzione dell'energia, acqua e gas</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Cooperative di produzione e lavoro che svolgano attività lavorative similari a quella degli operai delle imprese industriali, ad eccezione delle cooperative elencate dal D.P.R. 602/1970</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dell'industria boschiva, forestale e del tabacco</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Cooperative agricole, zootecniche e loro consorzi che esercitano attività di trasformazione, manipolazione e commercializzazione di prodotti agricoli propri per i soli dipendenti con contratto di lavoro a tempo indeterminato</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lastRenderedPageBreak/>
        <w:t>Imprese addette al noleggio e alla distribuzione dei film e di sviluppo e stampa di pellicola cinematografica</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industriali per la frangitura delle olive per conto terzi</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produttrici di calcestruzzo preconfezionato</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addette agli impianti elettrici e telefonici</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addette all'armamento ferroviario</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industriali degli enti pubblici, salvo il caso in cui il capitale sia interamente di proprietà pubblica</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industriali e artigiane dell'edilizia e affini</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industriali esercenti l'attività di escavazione e/o lavorazione di materiale lapideo</w:t>
      </w:r>
    </w:p>
    <w:p w:rsidR="00333555" w:rsidRPr="008E04A3" w:rsidRDefault="00333555" w:rsidP="00333555">
      <w:pPr>
        <w:numPr>
          <w:ilvl w:val="0"/>
          <w:numId w:val="43"/>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artigiane che svolgono attività di escavazione e di lavorazione di materiali lapidei, con esclusione di quelle che svolgono strutture ed escavazione.</w:t>
      </w:r>
    </w:p>
    <w:p w:rsidR="00333555" w:rsidRPr="008E04A3" w:rsidRDefault="00333555" w:rsidP="00333555">
      <w:pPr>
        <w:pStyle w:val="NormaleWeb"/>
        <w:shd w:val="clear" w:color="auto" w:fill="F5F5F5"/>
        <w:rPr>
          <w:rFonts w:ascii="Arial" w:hAnsi="Arial" w:cs="Arial"/>
          <w:color w:val="444444"/>
        </w:rPr>
      </w:pPr>
      <w:r w:rsidRPr="008E04A3">
        <w:rPr>
          <w:rStyle w:val="Enfasigrassetto"/>
          <w:rFonts w:ascii="Arial" w:hAnsi="Arial" w:cs="Arial"/>
          <w:color w:val="444444"/>
        </w:rPr>
        <w:t>L’integrazione salariale è dovuta nella misura dell’80%</w:t>
      </w:r>
      <w:r w:rsidRPr="008E04A3">
        <w:rPr>
          <w:rFonts w:ascii="Arial" w:hAnsi="Arial" w:cs="Arial"/>
          <w:color w:val="444444"/>
        </w:rPr>
        <w:t> della retribuzione globale che sarebbe spettata ai lavoratori interessati per le ore di lavoro non prestate comprese tra le zero ore e il limite orario contrattuale.</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444444"/>
        </w:rPr>
        <w:t>La gestione della Cassa integrazione ordinaria </w:t>
      </w:r>
      <w:r w:rsidRPr="008E04A3">
        <w:rPr>
          <w:rStyle w:val="Enfasigrassetto"/>
          <w:rFonts w:ascii="Arial" w:hAnsi="Arial" w:cs="Arial"/>
          <w:color w:val="444444"/>
        </w:rPr>
        <w:t>è di pertinenza</w:t>
      </w:r>
      <w:r w:rsidRPr="008E04A3">
        <w:rPr>
          <w:rFonts w:ascii="Arial" w:hAnsi="Arial" w:cs="Arial"/>
          <w:color w:val="444444"/>
        </w:rPr>
        <w:t> della “Gestione prestazioni temporanee ai lavoratori dipendenti”, istituita presso l'INPS, ma è anticipata ai lavoratori interessati dal datore di lavoro. Nel caso di serie e documentate difficoltà finanziarie</w:t>
      </w:r>
    </w:p>
    <w:p w:rsidR="00E15DE1" w:rsidRPr="008E04A3" w:rsidRDefault="00E15DE1" w:rsidP="00333555">
      <w:p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t>L’importo del trattamento non può superare dei massimali che vengono aggiornati an</w:t>
      </w:r>
      <w:r w:rsidR="004F6B27">
        <w:rPr>
          <w:rFonts w:ascii="Arial" w:hAnsi="Arial" w:cs="Arial"/>
          <w:color w:val="444444"/>
          <w:sz w:val="24"/>
          <w:szCs w:val="24"/>
          <w:shd w:val="clear" w:color="auto" w:fill="F5F5F5"/>
        </w:rPr>
        <w:t>n</w:t>
      </w:r>
      <w:r w:rsidRPr="008E04A3">
        <w:rPr>
          <w:rFonts w:ascii="Arial" w:hAnsi="Arial" w:cs="Arial"/>
          <w:color w:val="444444"/>
          <w:sz w:val="24"/>
          <w:szCs w:val="24"/>
          <w:shd w:val="clear" w:color="auto" w:fill="F5F5F5"/>
        </w:rPr>
        <w:t>ualme</w:t>
      </w:r>
      <w:r w:rsidR="004F6B27">
        <w:rPr>
          <w:rFonts w:ascii="Arial" w:hAnsi="Arial" w:cs="Arial"/>
          <w:color w:val="444444"/>
          <w:sz w:val="24"/>
          <w:szCs w:val="24"/>
          <w:shd w:val="clear" w:color="auto" w:fill="F5F5F5"/>
        </w:rPr>
        <w:t>n</w:t>
      </w:r>
      <w:r w:rsidRPr="008E04A3">
        <w:rPr>
          <w:rFonts w:ascii="Arial" w:hAnsi="Arial" w:cs="Arial"/>
          <w:color w:val="444444"/>
          <w:sz w:val="24"/>
          <w:szCs w:val="24"/>
          <w:shd w:val="clear" w:color="auto" w:fill="F5F5F5"/>
        </w:rPr>
        <w:t>te.</w:t>
      </w:r>
    </w:p>
    <w:p w:rsidR="00E15DE1" w:rsidRPr="008E04A3" w:rsidRDefault="00E15DE1" w:rsidP="00333555">
      <w:p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t>Le ore di cassa integrazione sono soggette agli obblighi contributivi  (con una leggera riduzione pari al 5,84%</w:t>
      </w:r>
    </w:p>
    <w:p w:rsidR="00E15DE1" w:rsidRPr="008E04A3" w:rsidRDefault="00E15DE1" w:rsidP="00333555">
      <w:p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t>E’ prevista a contribuzione figurativa per i periodi di sospensione o riduzione dell’orario di lavoro..</w:t>
      </w:r>
    </w:p>
    <w:p w:rsidR="00E15DE1" w:rsidRPr="008E04A3" w:rsidRDefault="00E15DE1" w:rsidP="00333555">
      <w:p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t>La scelta dei dipendenti da sospendere è dell’imprenditore anche se la dottrina ha delineato dei limiti</w:t>
      </w:r>
    </w:p>
    <w:p w:rsidR="00E15DE1" w:rsidRPr="008E04A3" w:rsidRDefault="00E15DE1" w:rsidP="00333555">
      <w:p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t>I beneficiari sono tenuti al rispetto di alcuni obblighi:</w:t>
      </w:r>
    </w:p>
    <w:p w:rsidR="00E15DE1" w:rsidRPr="008E04A3" w:rsidRDefault="00603100" w:rsidP="00E15DE1">
      <w:pPr>
        <w:pStyle w:val="Paragrafoelenco"/>
        <w:numPr>
          <w:ilvl w:val="0"/>
          <w:numId w:val="49"/>
        </w:num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t xml:space="preserve">Devono presentarsi al </w:t>
      </w:r>
      <w:proofErr w:type="spellStart"/>
      <w:r w:rsidRPr="008E04A3">
        <w:rPr>
          <w:rFonts w:ascii="Arial" w:hAnsi="Arial" w:cs="Arial"/>
          <w:color w:val="444444"/>
          <w:sz w:val="24"/>
          <w:szCs w:val="24"/>
          <w:shd w:val="clear" w:color="auto" w:fill="F5F5F5"/>
        </w:rPr>
        <w:t>CPi</w:t>
      </w:r>
      <w:proofErr w:type="spellEnd"/>
      <w:r w:rsidRPr="008E04A3">
        <w:rPr>
          <w:rFonts w:ascii="Arial" w:hAnsi="Arial" w:cs="Arial"/>
          <w:color w:val="444444"/>
          <w:sz w:val="24"/>
          <w:szCs w:val="24"/>
          <w:shd w:val="clear" w:color="auto" w:fill="F5F5F5"/>
        </w:rPr>
        <w:t xml:space="preserve"> nei casi previsti dalla legge</w:t>
      </w:r>
    </w:p>
    <w:p w:rsidR="00603100" w:rsidRPr="008E04A3" w:rsidRDefault="00603100" w:rsidP="00E15DE1">
      <w:pPr>
        <w:pStyle w:val="Paragrafoelenco"/>
        <w:numPr>
          <w:ilvl w:val="0"/>
          <w:numId w:val="49"/>
        </w:num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t xml:space="preserve">Devono partecipare a programmi di tipo formativo e di riqualificazione </w:t>
      </w:r>
      <w:proofErr w:type="spellStart"/>
      <w:r w:rsidRPr="008E04A3">
        <w:rPr>
          <w:rFonts w:ascii="Arial" w:hAnsi="Arial" w:cs="Arial"/>
          <w:color w:val="444444"/>
          <w:sz w:val="24"/>
          <w:szCs w:val="24"/>
          <w:shd w:val="clear" w:color="auto" w:fill="F5F5F5"/>
        </w:rPr>
        <w:t>nonchè</w:t>
      </w:r>
      <w:proofErr w:type="spellEnd"/>
      <w:r w:rsidRPr="008E04A3">
        <w:rPr>
          <w:rFonts w:ascii="Arial" w:hAnsi="Arial" w:cs="Arial"/>
          <w:color w:val="444444"/>
          <w:sz w:val="24"/>
          <w:szCs w:val="24"/>
          <w:shd w:val="clear" w:color="auto" w:fill="F5F5F5"/>
        </w:rPr>
        <w:t xml:space="preserve"> a svolgere attività di pubblica utilità a beneficio della comunità territoriale di appartenenza</w:t>
      </w:r>
    </w:p>
    <w:p w:rsidR="00E15DE1" w:rsidRPr="008E04A3" w:rsidRDefault="00E15DE1" w:rsidP="00333555">
      <w:pPr>
        <w:rPr>
          <w:rFonts w:ascii="Arial" w:hAnsi="Arial" w:cs="Arial"/>
          <w:color w:val="FF0000"/>
          <w:sz w:val="24"/>
          <w:szCs w:val="24"/>
          <w:shd w:val="clear" w:color="auto" w:fill="F5F5F5"/>
        </w:rPr>
      </w:pPr>
    </w:p>
    <w:p w:rsidR="00333555" w:rsidRPr="008E04A3" w:rsidRDefault="00333555" w:rsidP="00333555">
      <w:pPr>
        <w:rPr>
          <w:rFonts w:ascii="Arial" w:hAnsi="Arial" w:cs="Arial"/>
          <w:color w:val="444444"/>
          <w:sz w:val="24"/>
          <w:szCs w:val="24"/>
          <w:shd w:val="clear" w:color="auto" w:fill="F5F5F5"/>
        </w:rPr>
      </w:pPr>
      <w:r w:rsidRPr="008E04A3">
        <w:rPr>
          <w:rFonts w:ascii="Arial" w:hAnsi="Arial" w:cs="Arial"/>
          <w:color w:val="FF0000"/>
          <w:sz w:val="24"/>
          <w:szCs w:val="24"/>
          <w:shd w:val="clear" w:color="auto" w:fill="F5F5F5"/>
        </w:rPr>
        <w:t>La Cassa Integrazioni Guadagni Straordinaria</w:t>
      </w:r>
      <w:r w:rsidRPr="008E04A3">
        <w:rPr>
          <w:rFonts w:ascii="Arial" w:hAnsi="Arial" w:cs="Arial"/>
          <w:color w:val="444444"/>
          <w:sz w:val="24"/>
          <w:szCs w:val="24"/>
          <w:shd w:val="clear" w:color="auto" w:fill="F5F5F5"/>
        </w:rPr>
        <w:t xml:space="preserve"> (</w:t>
      </w:r>
      <w:r w:rsidRPr="008E04A3">
        <w:rPr>
          <w:rStyle w:val="Enfasigrassetto"/>
          <w:rFonts w:ascii="Arial" w:hAnsi="Arial" w:cs="Arial"/>
          <w:color w:val="444444"/>
          <w:sz w:val="24"/>
          <w:szCs w:val="24"/>
          <w:shd w:val="clear" w:color="auto" w:fill="F5F5F5"/>
        </w:rPr>
        <w:t>CIGS</w:t>
      </w:r>
      <w:r w:rsidRPr="008E04A3">
        <w:rPr>
          <w:rFonts w:ascii="Arial" w:hAnsi="Arial" w:cs="Arial"/>
          <w:color w:val="444444"/>
          <w:sz w:val="24"/>
          <w:szCs w:val="24"/>
          <w:shd w:val="clear" w:color="auto" w:fill="F5F5F5"/>
        </w:rPr>
        <w:t>) è un </w:t>
      </w:r>
      <w:r w:rsidRPr="008E04A3">
        <w:rPr>
          <w:rStyle w:val="Enfasigrassetto"/>
          <w:rFonts w:ascii="Arial" w:hAnsi="Arial" w:cs="Arial"/>
          <w:color w:val="444444"/>
          <w:sz w:val="24"/>
          <w:szCs w:val="24"/>
          <w:shd w:val="clear" w:color="auto" w:fill="F5F5F5"/>
        </w:rPr>
        <w:t>ammortizzatore sociale che viene utilizzato per far fronte a eventi aziendali strutturali </w:t>
      </w:r>
      <w:r w:rsidRPr="008E04A3">
        <w:rPr>
          <w:rFonts w:ascii="Arial" w:hAnsi="Arial" w:cs="Arial"/>
          <w:color w:val="444444"/>
          <w:sz w:val="24"/>
          <w:szCs w:val="24"/>
          <w:shd w:val="clear" w:color="auto" w:fill="F5F5F5"/>
        </w:rPr>
        <w:t>che comunque non compromettano la continuazione dell’attività aziendale. Dal 1° gennaio 2016 è stata eliminata la causale di cessazione dell’attività produttiva o di un ramo di essa e quella relativa alle procedure concorsuali.</w:t>
      </w:r>
    </w:p>
    <w:p w:rsidR="00603100" w:rsidRPr="008E04A3" w:rsidRDefault="00603100" w:rsidP="00333555">
      <w:pPr>
        <w:rPr>
          <w:rFonts w:ascii="Arial" w:hAnsi="Arial" w:cs="Arial"/>
          <w:color w:val="444444"/>
          <w:sz w:val="24"/>
          <w:szCs w:val="24"/>
          <w:shd w:val="clear" w:color="auto" w:fill="F5F5F5"/>
        </w:rPr>
      </w:pPr>
      <w:r w:rsidRPr="008E04A3">
        <w:rPr>
          <w:rFonts w:ascii="Arial" w:hAnsi="Arial" w:cs="Arial"/>
          <w:color w:val="444444"/>
          <w:sz w:val="24"/>
          <w:szCs w:val="24"/>
          <w:shd w:val="clear" w:color="auto" w:fill="F5F5F5"/>
        </w:rPr>
        <w:lastRenderedPageBreak/>
        <w:t>La CIGS co</w:t>
      </w:r>
      <w:r w:rsidR="00252765">
        <w:rPr>
          <w:rFonts w:ascii="Arial" w:hAnsi="Arial" w:cs="Arial"/>
          <w:color w:val="444444"/>
          <w:sz w:val="24"/>
          <w:szCs w:val="24"/>
          <w:shd w:val="clear" w:color="auto" w:fill="F5F5F5"/>
        </w:rPr>
        <w:t>0</w:t>
      </w:r>
      <w:r w:rsidRPr="008E04A3">
        <w:rPr>
          <w:rFonts w:ascii="Arial" w:hAnsi="Arial" w:cs="Arial"/>
          <w:color w:val="444444"/>
          <w:sz w:val="24"/>
          <w:szCs w:val="24"/>
          <w:shd w:val="clear" w:color="auto" w:fill="F5F5F5"/>
        </w:rPr>
        <w:t>nsente la sospensione o riduzione dell’attività lavorativa in presenza di eventi direttamente imputabili al datore di lavoro, anche se devono esser transitorie temporanei comunque:</w:t>
      </w:r>
    </w:p>
    <w:p w:rsidR="00603100" w:rsidRPr="008E04A3" w:rsidRDefault="00603100" w:rsidP="00603100">
      <w:pPr>
        <w:pStyle w:val="Paragrafoelenco"/>
        <w:numPr>
          <w:ilvl w:val="0"/>
          <w:numId w:val="50"/>
        </w:numPr>
        <w:rPr>
          <w:rFonts w:ascii="Arial" w:hAnsi="Arial" w:cs="Arial"/>
          <w:sz w:val="24"/>
          <w:szCs w:val="24"/>
        </w:rPr>
      </w:pPr>
      <w:r w:rsidRPr="008E04A3">
        <w:rPr>
          <w:rFonts w:ascii="Arial" w:hAnsi="Arial" w:cs="Arial"/>
          <w:sz w:val="24"/>
          <w:szCs w:val="24"/>
        </w:rPr>
        <w:t>Riorganizzazione aziendale</w:t>
      </w:r>
    </w:p>
    <w:p w:rsidR="00603100" w:rsidRPr="008E04A3" w:rsidRDefault="00603100" w:rsidP="00603100">
      <w:pPr>
        <w:pStyle w:val="Paragrafoelenco"/>
        <w:numPr>
          <w:ilvl w:val="0"/>
          <w:numId w:val="50"/>
        </w:numPr>
        <w:rPr>
          <w:rFonts w:ascii="Arial" w:hAnsi="Arial" w:cs="Arial"/>
          <w:sz w:val="24"/>
          <w:szCs w:val="24"/>
        </w:rPr>
      </w:pPr>
      <w:r w:rsidRPr="008E04A3">
        <w:rPr>
          <w:rFonts w:ascii="Arial" w:hAnsi="Arial" w:cs="Arial"/>
          <w:sz w:val="24"/>
          <w:szCs w:val="24"/>
        </w:rPr>
        <w:t>Crisi aziendale (ad esclusione della cessazione dell’attività produttiva o di un ramo di questa)</w:t>
      </w:r>
    </w:p>
    <w:p w:rsidR="00603100" w:rsidRPr="008E04A3" w:rsidRDefault="00603100" w:rsidP="00603100">
      <w:pPr>
        <w:pStyle w:val="Paragrafoelenco"/>
        <w:numPr>
          <w:ilvl w:val="0"/>
          <w:numId w:val="50"/>
        </w:numPr>
        <w:rPr>
          <w:rFonts w:ascii="Arial" w:hAnsi="Arial" w:cs="Arial"/>
          <w:sz w:val="24"/>
          <w:szCs w:val="24"/>
        </w:rPr>
      </w:pPr>
      <w:r w:rsidRPr="008E04A3">
        <w:rPr>
          <w:rFonts w:ascii="Arial" w:hAnsi="Arial" w:cs="Arial"/>
          <w:sz w:val="24"/>
          <w:szCs w:val="24"/>
        </w:rPr>
        <w:t xml:space="preserve">Contratto di </w:t>
      </w:r>
      <w:proofErr w:type="spellStart"/>
      <w:r w:rsidRPr="008E04A3">
        <w:rPr>
          <w:rFonts w:ascii="Arial" w:hAnsi="Arial" w:cs="Arial"/>
          <w:sz w:val="24"/>
          <w:szCs w:val="24"/>
        </w:rPr>
        <w:t>solidarieta’</w:t>
      </w:r>
      <w:proofErr w:type="spellEnd"/>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b/>
          <w:bCs/>
          <w:color w:val="444444"/>
        </w:rPr>
        <w:br/>
      </w:r>
      <w:r w:rsidRPr="008E04A3">
        <w:rPr>
          <w:rStyle w:val="Enfasigrassetto"/>
          <w:rFonts w:ascii="Arial" w:hAnsi="Arial" w:cs="Arial"/>
          <w:color w:val="444444"/>
        </w:rPr>
        <w:t>Viene concessa alle seguenti tipologie di aziende con più di 15 dipendenti </w:t>
      </w:r>
      <w:r w:rsidRPr="008E04A3">
        <w:rPr>
          <w:rFonts w:ascii="Arial" w:hAnsi="Arial" w:cs="Arial"/>
          <w:color w:val="444444"/>
        </w:rPr>
        <w:t>(inclusi apprendisti professionalizzanti e dirigenti):</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industriali, comprese quelle edili ed affini</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artigiane che procedono alla sospensione dei lavoratori in conseguenza di sospensioni o riduzioni dell'attività dell'impresa che eserciti l'influsso gestionale prevalente, che si ha quando oltre il 50% del fatturato proviene da una sola committente</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appaltatrici di servizi di mensa o ristorazione, che subiscano una riduzione di attività in dipendenza di situazioni di difficoltà dell'azienda appaltante, che abbiano comportato per quest'ultima il ricorso al trattamento ordinario o straordinario di integrazione salariale</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appaltatrici di servizi di pulizia, anche se costituite in forma di cooperativa, che subiscano una riduzione di attività in conseguenza della riduzione delle attività dell'azienda appaltante, che abbiano comportato per quest'ultima il ricorso al trattamento straordinario di integrazione salariale</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dei settori ausiliari del servizio ferroviario, ovvero del comparto della produzione e della manutenzione del materiale rotabile</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cooperative di trasformazione di prodotti agricoli e loro consorzi</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di vigilanza</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dell’editoria</w:t>
      </w:r>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 xml:space="preserve">Imprese del trasporto aereo e di gestione aeroportuale e società da queste derivate, nonché imprese del sistema </w:t>
      </w:r>
      <w:proofErr w:type="spellStart"/>
      <w:r w:rsidRPr="008E04A3">
        <w:rPr>
          <w:rFonts w:ascii="Arial" w:hAnsi="Arial" w:cs="Arial"/>
          <w:color w:val="444444"/>
          <w:sz w:val="24"/>
          <w:szCs w:val="24"/>
        </w:rPr>
        <w:t>aereoportuale</w:t>
      </w:r>
      <w:proofErr w:type="spellEnd"/>
    </w:p>
    <w:p w:rsidR="00333555" w:rsidRPr="008E04A3" w:rsidRDefault="00333555" w:rsidP="00333555">
      <w:pPr>
        <w:numPr>
          <w:ilvl w:val="0"/>
          <w:numId w:val="45"/>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Partiti e movimenti politici e loro rispettive articolazioni e sezioni territoriali, nei limiti di spesa di 8,5 milioni di euro per l'anno 2015 e di 11,25 milioni di euro annui a decorrere dall'anno 2016.</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444444"/>
        </w:rPr>
        <w:t>Rientrano nell’ambito di fruizione della CIGS anche le imprese appartenenti alle seguenti ulteriori categorie che nel semestre precedente la data di presentazione della domanda di ammissione abbiano occupato mediamente più di 50 dipendenti (inclusi apprendisti e dirigenti):</w:t>
      </w:r>
    </w:p>
    <w:p w:rsidR="00333555" w:rsidRPr="008E04A3" w:rsidRDefault="00333555" w:rsidP="00333555">
      <w:pPr>
        <w:numPr>
          <w:ilvl w:val="0"/>
          <w:numId w:val="46"/>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Imprese esercenti attività commerciali, comprese quelle della logistica</w:t>
      </w:r>
    </w:p>
    <w:p w:rsidR="00333555" w:rsidRPr="008E04A3" w:rsidRDefault="00333555" w:rsidP="00333555">
      <w:pPr>
        <w:numPr>
          <w:ilvl w:val="0"/>
          <w:numId w:val="46"/>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Agenzie di viaggio e turismo, compresi gli operatori turisti.</w:t>
      </w:r>
    </w:p>
    <w:p w:rsidR="00333555" w:rsidRPr="008E04A3" w:rsidRDefault="00333555" w:rsidP="00333555">
      <w:pPr>
        <w:pStyle w:val="NormaleWeb"/>
        <w:shd w:val="clear" w:color="auto" w:fill="F5F5F5"/>
        <w:rPr>
          <w:rFonts w:ascii="Arial" w:hAnsi="Arial" w:cs="Arial"/>
          <w:color w:val="444444"/>
        </w:rPr>
      </w:pPr>
      <w:r w:rsidRPr="008E04A3">
        <w:rPr>
          <w:rStyle w:val="Enfasigrassetto"/>
          <w:rFonts w:ascii="Arial" w:hAnsi="Arial" w:cs="Arial"/>
          <w:color w:val="444444"/>
        </w:rPr>
        <w:t>La durata</w:t>
      </w:r>
      <w:r w:rsidRPr="008E04A3">
        <w:rPr>
          <w:rFonts w:ascii="Arial" w:hAnsi="Arial" w:cs="Arial"/>
          <w:color w:val="444444"/>
        </w:rPr>
        <w:t> del trattamento di CIGS varia in base al presupposto che ha condotto l’azienda a farne richiesta:</w:t>
      </w:r>
    </w:p>
    <w:p w:rsidR="00333555" w:rsidRPr="008E04A3" w:rsidRDefault="00333555" w:rsidP="00333555">
      <w:pPr>
        <w:numPr>
          <w:ilvl w:val="0"/>
          <w:numId w:val="47"/>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Crisi aziendale per cui si preveda un piano di risanamento finalizzato alla continuazione dell’attività e alla salvaguardia occupazionale: 12 mesi</w:t>
      </w:r>
    </w:p>
    <w:p w:rsidR="00333555" w:rsidRPr="008E04A3" w:rsidRDefault="00333555" w:rsidP="00333555">
      <w:pPr>
        <w:numPr>
          <w:ilvl w:val="0"/>
          <w:numId w:val="47"/>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lastRenderedPageBreak/>
        <w:t>Riorganizzazione per cui si preveda un piano di interventi ed investimenti (anche in formazione) per fronteggiare le inefficienze: 24 mesi</w:t>
      </w:r>
    </w:p>
    <w:p w:rsidR="00333555" w:rsidRPr="008E04A3" w:rsidRDefault="00333555" w:rsidP="00333555">
      <w:pPr>
        <w:numPr>
          <w:ilvl w:val="0"/>
          <w:numId w:val="47"/>
        </w:numPr>
        <w:shd w:val="clear" w:color="auto" w:fill="F5F5F5"/>
        <w:spacing w:before="100" w:beforeAutospacing="1" w:after="100" w:afterAutospacing="1" w:line="240" w:lineRule="auto"/>
        <w:rPr>
          <w:rFonts w:ascii="Arial" w:hAnsi="Arial" w:cs="Arial"/>
          <w:color w:val="444444"/>
          <w:sz w:val="24"/>
          <w:szCs w:val="24"/>
        </w:rPr>
      </w:pPr>
      <w:r w:rsidRPr="008E04A3">
        <w:rPr>
          <w:rFonts w:ascii="Arial" w:hAnsi="Arial" w:cs="Arial"/>
          <w:color w:val="444444"/>
          <w:sz w:val="24"/>
          <w:szCs w:val="24"/>
        </w:rPr>
        <w:t>Contratto di solidarietà che implica una riduzione media oraria non superiore al 60 per cento dell’orario - giornaliero, settimanale o mensile - dei lavoratori interessati nel complesso, riduzione che non potrà supererà il 70% rispetto al singolo lavoratore : 24 mesi con la possibilità di arrivare a 36 mesi.</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444444"/>
        </w:rPr>
        <w:t>La durata indicata è da intendersi anche come un periodo continuativo nell’arco del quinquennio mobile. Per la causale dei contratti di solidarietà (escluso i settori dell’edilizia e affini) la durata dei trattamenti viene computata nella misura della metà entro il limite dei 24 mesi nel quinquennio mobile (oltre tale limite il computo avverrà per intero).</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444444"/>
        </w:rPr>
        <w:t>L’integrazione salariale è dovuta nella misura dell’80% della retribuzione globale che sarebbe spettata ai lavoratori interessati per le ore di lavoro non prestate comprese tra le zero ore e ed il limite orario contrattuale. Di norma l’integrazione salariale è anticipata dal datore di lavoro; tuttavia, l’INPS paga direttamente i lavoratori beneficiari per decisione del Ministero del Lavoro, quando per l’impresa ricorrano comprovate difficoltà di ordine finanziario accertate dal servizio ispettivo dell'ITL.</w:t>
      </w:r>
    </w:p>
    <w:p w:rsidR="00603100" w:rsidRPr="008E04A3" w:rsidRDefault="00603100" w:rsidP="00333555">
      <w:pPr>
        <w:pStyle w:val="NormaleWeb"/>
        <w:shd w:val="clear" w:color="auto" w:fill="F5F5F5"/>
        <w:rPr>
          <w:rFonts w:ascii="Arial" w:hAnsi="Arial" w:cs="Arial"/>
          <w:color w:val="444444"/>
        </w:rPr>
      </w:pP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FF0000"/>
        </w:rPr>
        <w:t>La cassa integrazione in deroga</w:t>
      </w:r>
      <w:r w:rsidRPr="008E04A3">
        <w:rPr>
          <w:rFonts w:ascii="Arial" w:hAnsi="Arial" w:cs="Arial"/>
          <w:color w:val="444444"/>
        </w:rPr>
        <w:t xml:space="preserve"> (cd. </w:t>
      </w:r>
      <w:r w:rsidRPr="008E04A3">
        <w:rPr>
          <w:rStyle w:val="Enfasigrassetto"/>
          <w:rFonts w:ascii="Arial" w:hAnsi="Arial" w:cs="Arial"/>
          <w:color w:val="444444"/>
        </w:rPr>
        <w:t>CIGD</w:t>
      </w:r>
      <w:r w:rsidRPr="008E04A3">
        <w:rPr>
          <w:rFonts w:ascii="Arial" w:hAnsi="Arial" w:cs="Arial"/>
          <w:color w:val="444444"/>
        </w:rPr>
        <w:t xml:space="preserve">) è uno strumento di politica passiva, aggiuntivo rispetto a quelli esistenti della cassa integrazione guadagni ordinaria e straordinaria, introdotto a partire del 2005, per garantire un sostegno economico </w:t>
      </w:r>
      <w:r w:rsidRPr="008E04A3">
        <w:rPr>
          <w:rFonts w:ascii="Arial" w:hAnsi="Arial" w:cs="Arial"/>
          <w:color w:val="444444"/>
          <w:u w:val="single"/>
        </w:rPr>
        <w:t>a lavoratori di quelle imprese che non possono beneficiare degli ordinari interventi d’integrazione salariale</w:t>
      </w:r>
      <w:r w:rsidR="00CE1963" w:rsidRPr="008E04A3">
        <w:rPr>
          <w:rFonts w:ascii="Arial" w:hAnsi="Arial" w:cs="Arial"/>
          <w:color w:val="444444"/>
          <w:u w:val="single"/>
        </w:rPr>
        <w:t xml:space="preserve"> cioè </w:t>
      </w:r>
      <w:r w:rsidR="00CE1963" w:rsidRPr="008E04A3">
        <w:rPr>
          <w:rFonts w:ascii="Arial" w:hAnsi="Arial" w:cs="Arial"/>
          <w:color w:val="49535D"/>
          <w:shd w:val="clear" w:color="auto" w:fill="FFFFFF"/>
        </w:rPr>
        <w:t>è un </w:t>
      </w:r>
      <w:r w:rsidR="00CE1963" w:rsidRPr="008E04A3">
        <w:rPr>
          <w:rStyle w:val="Enfasigrassetto"/>
          <w:rFonts w:ascii="Arial" w:hAnsi="Arial" w:cs="Arial"/>
          <w:color w:val="49535D"/>
          <w:shd w:val="clear" w:color="auto" w:fill="FFFFFF"/>
        </w:rPr>
        <w:t>intervento di integrazione salariale</w:t>
      </w:r>
      <w:r w:rsidR="00CE1963" w:rsidRPr="008E04A3">
        <w:rPr>
          <w:rFonts w:ascii="Arial" w:hAnsi="Arial" w:cs="Arial"/>
          <w:color w:val="49535D"/>
          <w:shd w:val="clear" w:color="auto" w:fill="FFFFFF"/>
        </w:rPr>
        <w:t> a sostegno di imprese che non possono ricorrere agli strumenti ordinari perché esclusi all'origine da questa tutela o perché hanno già esaurito il periodo di fruizione delle tutele ordinarie. </w:t>
      </w:r>
      <w:r w:rsidR="00CE1963" w:rsidRPr="008E04A3">
        <w:rPr>
          <w:rFonts w:ascii="Arial" w:hAnsi="Arial" w:cs="Arial"/>
          <w:color w:val="444444"/>
          <w:u w:val="single"/>
        </w:rPr>
        <w:t xml:space="preserve"> </w:t>
      </w:r>
    </w:p>
    <w:p w:rsidR="00CE1963" w:rsidRPr="008E04A3" w:rsidRDefault="00CE1963" w:rsidP="00333555">
      <w:pPr>
        <w:pStyle w:val="NormaleWeb"/>
        <w:shd w:val="clear" w:color="auto" w:fill="F5F5F5"/>
        <w:rPr>
          <w:rFonts w:ascii="Arial" w:hAnsi="Arial" w:cs="Arial"/>
          <w:color w:val="49535D"/>
          <w:shd w:val="clear" w:color="auto" w:fill="FFFFFF"/>
        </w:rPr>
      </w:pPr>
      <w:r w:rsidRPr="008E04A3">
        <w:rPr>
          <w:rFonts w:ascii="Arial" w:hAnsi="Arial" w:cs="Arial"/>
          <w:color w:val="49535D"/>
          <w:shd w:val="clear" w:color="auto" w:fill="FFFFFF"/>
        </w:rPr>
        <w:t>La CIGD può essere </w:t>
      </w:r>
      <w:r w:rsidRPr="008E04A3">
        <w:rPr>
          <w:rStyle w:val="Enfasigrassetto"/>
          <w:rFonts w:ascii="Arial" w:hAnsi="Arial" w:cs="Arial"/>
          <w:color w:val="49535D"/>
          <w:shd w:val="clear" w:color="auto" w:fill="FFFFFF"/>
        </w:rPr>
        <w:t>concessa</w:t>
      </w:r>
      <w:r w:rsidRPr="008E04A3">
        <w:rPr>
          <w:rFonts w:ascii="Arial" w:hAnsi="Arial" w:cs="Arial"/>
          <w:color w:val="49535D"/>
          <w:shd w:val="clear" w:color="auto" w:fill="FFFFFF"/>
        </w:rPr>
        <w:t> </w:t>
      </w:r>
      <w:r w:rsidRPr="008E04A3">
        <w:rPr>
          <w:rStyle w:val="Enfasigrassetto"/>
          <w:rFonts w:ascii="Arial" w:hAnsi="Arial" w:cs="Arial"/>
          <w:color w:val="49535D"/>
          <w:shd w:val="clear" w:color="auto" w:fill="FFFFFF"/>
        </w:rPr>
        <w:t xml:space="preserve">o prorogata ai lavoratori subordinati </w:t>
      </w:r>
      <w:r w:rsidRPr="008E04A3">
        <w:rPr>
          <w:rFonts w:ascii="Arial" w:hAnsi="Arial" w:cs="Arial"/>
          <w:color w:val="49535D"/>
          <w:shd w:val="clear" w:color="auto" w:fill="FFFFFF"/>
        </w:rPr>
        <w:t>con la qualifica di operai, impiegati e quadri, compresi gli apprendisti e i lavoratori somministrati, con un'anzianità lavorativa presso l'impresa di almeno 12 mesi alla data di inizio del periodo di intervento, salvo quanto previsto dall'articolo 6, comma 1, decreto interministeriale 1° agosto 2014, n. 83473.</w:t>
      </w:r>
    </w:p>
    <w:p w:rsidR="00CE1963" w:rsidRPr="008E04A3" w:rsidRDefault="00CE1963" w:rsidP="00333555">
      <w:pPr>
        <w:pStyle w:val="NormaleWeb"/>
        <w:shd w:val="clear" w:color="auto" w:fill="F5F5F5"/>
        <w:rPr>
          <w:rFonts w:ascii="Arial" w:hAnsi="Arial" w:cs="Arial"/>
          <w:color w:val="49535D"/>
          <w:shd w:val="clear" w:color="auto" w:fill="FFFFFF"/>
        </w:rPr>
      </w:pPr>
      <w:r w:rsidRPr="008E04A3">
        <w:rPr>
          <w:rFonts w:ascii="Arial" w:hAnsi="Arial" w:cs="Arial"/>
          <w:color w:val="49535D"/>
          <w:shd w:val="clear" w:color="auto" w:fill="FFFFFF"/>
        </w:rPr>
        <w:t>Il trattamento di CIGD può essere </w:t>
      </w:r>
      <w:r w:rsidRPr="008E04A3">
        <w:rPr>
          <w:rStyle w:val="Enfasigrassetto"/>
          <w:rFonts w:ascii="Arial" w:hAnsi="Arial" w:cs="Arial"/>
          <w:color w:val="49535D"/>
          <w:shd w:val="clear" w:color="auto" w:fill="FFFFFF"/>
        </w:rPr>
        <w:t>richiesto </w:t>
      </w:r>
      <w:r w:rsidRPr="008E04A3">
        <w:rPr>
          <w:rFonts w:ascii="Arial" w:hAnsi="Arial" w:cs="Arial"/>
          <w:color w:val="49535D"/>
          <w:shd w:val="clear" w:color="auto" w:fill="FFFFFF"/>
        </w:rPr>
        <w:t>dai soggetti giuridici qualificati come </w:t>
      </w:r>
      <w:r w:rsidRPr="008E04A3">
        <w:rPr>
          <w:rStyle w:val="Enfasigrassetto"/>
          <w:rFonts w:ascii="Arial" w:hAnsi="Arial" w:cs="Arial"/>
          <w:color w:val="49535D"/>
          <w:shd w:val="clear" w:color="auto" w:fill="FFFFFF"/>
        </w:rPr>
        <w:t>imprese</w:t>
      </w:r>
      <w:r w:rsidRPr="008E04A3">
        <w:rPr>
          <w:rFonts w:ascii="Arial" w:hAnsi="Arial" w:cs="Arial"/>
          <w:color w:val="49535D"/>
          <w:shd w:val="clear" w:color="auto" w:fill="FFFFFF"/>
        </w:rPr>
        <w:t> (ex articolo 2082 del codice civile), dai </w:t>
      </w:r>
      <w:r w:rsidRPr="008E04A3">
        <w:rPr>
          <w:rStyle w:val="Enfasigrassetto"/>
          <w:rFonts w:ascii="Arial" w:hAnsi="Arial" w:cs="Arial"/>
          <w:color w:val="49535D"/>
          <w:shd w:val="clear" w:color="auto" w:fill="FFFFFF"/>
        </w:rPr>
        <w:t>piccoli imprenditori</w:t>
      </w:r>
      <w:r w:rsidRPr="008E04A3">
        <w:rPr>
          <w:rFonts w:ascii="Arial" w:hAnsi="Arial" w:cs="Arial"/>
          <w:color w:val="49535D"/>
          <w:shd w:val="clear" w:color="auto" w:fill="FFFFFF"/>
        </w:rPr>
        <w:t> di cui all'articolo 2083 del codice civile (coltivatori diretti del fondo, artigiani, piccoli commercianti) e dalle </w:t>
      </w:r>
      <w:r w:rsidRPr="008E04A3">
        <w:rPr>
          <w:rStyle w:val="Enfasigrassetto"/>
          <w:rFonts w:ascii="Arial" w:hAnsi="Arial" w:cs="Arial"/>
          <w:color w:val="49535D"/>
          <w:shd w:val="clear" w:color="auto" w:fill="FFFFFF"/>
        </w:rPr>
        <w:t>cooperative sociali</w:t>
      </w:r>
      <w:r w:rsidRPr="008E04A3">
        <w:rPr>
          <w:rFonts w:ascii="Arial" w:hAnsi="Arial" w:cs="Arial"/>
          <w:color w:val="49535D"/>
          <w:shd w:val="clear" w:color="auto" w:fill="FFFFFF"/>
        </w:rPr>
        <w:t> di cui alla legge 8 novembre 1991, n. 381 con riferimento ai lavoratori che hanno instaurato con la cooperativa un rapporto di lavoro subordinato.</w:t>
      </w:r>
    </w:p>
    <w:p w:rsidR="00CE1963" w:rsidRPr="008E04A3" w:rsidRDefault="00CE1963" w:rsidP="00CE1963">
      <w:pPr>
        <w:pStyle w:val="NormaleWeb"/>
        <w:shd w:val="clear" w:color="auto" w:fill="FFFFFF"/>
        <w:spacing w:before="0" w:beforeAutospacing="0" w:after="165" w:afterAutospacing="0"/>
        <w:rPr>
          <w:rFonts w:ascii="Arial" w:hAnsi="Arial" w:cs="Arial"/>
          <w:color w:val="49535D"/>
        </w:rPr>
      </w:pPr>
      <w:r w:rsidRPr="008E04A3">
        <w:rPr>
          <w:rFonts w:ascii="Arial" w:hAnsi="Arial" w:cs="Arial"/>
          <w:color w:val="49535D"/>
        </w:rPr>
        <w:t>La CIGD viene concessa dalla </w:t>
      </w:r>
      <w:r w:rsidRPr="008E04A3">
        <w:rPr>
          <w:rStyle w:val="Enfasigrassetto"/>
          <w:rFonts w:ascii="Arial" w:hAnsi="Arial" w:cs="Arial"/>
          <w:color w:val="49535D"/>
        </w:rPr>
        <w:t>regione o provincia autonoma</w:t>
      </w:r>
      <w:r w:rsidRPr="008E04A3">
        <w:rPr>
          <w:rFonts w:ascii="Arial" w:hAnsi="Arial" w:cs="Arial"/>
          <w:color w:val="49535D"/>
        </w:rPr>
        <w:t> con determina, se la richiesta d'intervento proviene da unità produttive site in un'unica regione o provincia autonoma oppure viene concessa dal </w:t>
      </w:r>
      <w:r w:rsidRPr="008E04A3">
        <w:rPr>
          <w:rStyle w:val="Enfasigrassetto"/>
          <w:rFonts w:ascii="Arial" w:hAnsi="Arial" w:cs="Arial"/>
          <w:color w:val="49535D"/>
        </w:rPr>
        <w:t>Ministero del Lavoro e delle Politiche Sociali</w:t>
      </w:r>
      <w:r w:rsidRPr="008E04A3">
        <w:rPr>
          <w:rFonts w:ascii="Arial" w:hAnsi="Arial" w:cs="Arial"/>
          <w:color w:val="49535D"/>
        </w:rPr>
        <w:t>, di concerto con il Ministero dell'Economia e delle Finanze, con apposito decreto interministeriale, se la richiesta proviene da aziende cosiddette “</w:t>
      </w:r>
      <w:proofErr w:type="spellStart"/>
      <w:r w:rsidRPr="008E04A3">
        <w:rPr>
          <w:rFonts w:ascii="Arial" w:hAnsi="Arial" w:cs="Arial"/>
          <w:color w:val="49535D"/>
        </w:rPr>
        <w:t>plurilocalizzate</w:t>
      </w:r>
      <w:proofErr w:type="spellEnd"/>
      <w:r w:rsidRPr="008E04A3">
        <w:rPr>
          <w:rFonts w:ascii="Arial" w:hAnsi="Arial" w:cs="Arial"/>
          <w:color w:val="49535D"/>
        </w:rPr>
        <w:t>” aventi cioè unità produttive dislocate sull'intero territorio nazionale.</w:t>
      </w:r>
    </w:p>
    <w:p w:rsidR="00CE1963" w:rsidRPr="008E04A3" w:rsidRDefault="00CE1963" w:rsidP="00CE1963">
      <w:pPr>
        <w:pStyle w:val="NormaleWeb"/>
        <w:shd w:val="clear" w:color="auto" w:fill="FFFFFF"/>
        <w:spacing w:before="0" w:beforeAutospacing="0" w:after="165" w:afterAutospacing="0"/>
        <w:rPr>
          <w:rFonts w:ascii="Arial" w:hAnsi="Arial" w:cs="Arial"/>
          <w:color w:val="49535D"/>
        </w:rPr>
      </w:pPr>
      <w:r w:rsidRPr="008E04A3">
        <w:rPr>
          <w:rFonts w:ascii="Arial" w:hAnsi="Arial" w:cs="Arial"/>
          <w:color w:val="49535D"/>
        </w:rPr>
        <w:t>Le regioni e province autonome possono disporre la concessione della CIGD sulla base di risorse che, con appositi decreti, il Ministero del Lavoro e delle Politiche Sociali, di concerto con il Ministero dell'Economia e delle Finanze, mette a disposizione di ciascun ente territoriale.</w:t>
      </w:r>
    </w:p>
    <w:p w:rsidR="00CE1963" w:rsidRPr="008E04A3" w:rsidRDefault="00CE1963" w:rsidP="00CE1963">
      <w:pPr>
        <w:pStyle w:val="NormaleWeb"/>
        <w:shd w:val="clear" w:color="auto" w:fill="FFFFFF"/>
        <w:spacing w:before="0" w:beforeAutospacing="0" w:after="165" w:afterAutospacing="0"/>
        <w:rPr>
          <w:rFonts w:ascii="Arial" w:hAnsi="Arial" w:cs="Arial"/>
          <w:color w:val="49535D"/>
        </w:rPr>
      </w:pPr>
      <w:r w:rsidRPr="008E04A3">
        <w:rPr>
          <w:rFonts w:ascii="Arial" w:hAnsi="Arial" w:cs="Arial"/>
          <w:color w:val="49535D"/>
        </w:rPr>
        <w:lastRenderedPageBreak/>
        <w:t>I limiti di durata massima di concessione del trattamento, in relazione a ciascuna delle unità produttive coinvolte, vanno calcolati con riferimento all'anno civile.</w:t>
      </w:r>
    </w:p>
    <w:p w:rsidR="00CE1963" w:rsidRPr="008E04A3" w:rsidRDefault="00CE1963" w:rsidP="00CE1963">
      <w:pPr>
        <w:pStyle w:val="NormaleWeb"/>
        <w:shd w:val="clear" w:color="auto" w:fill="FFFFFF"/>
        <w:spacing w:before="0" w:beforeAutospacing="0" w:after="165" w:afterAutospacing="0"/>
        <w:rPr>
          <w:rFonts w:ascii="Arial" w:hAnsi="Arial" w:cs="Arial"/>
          <w:color w:val="49535D"/>
        </w:rPr>
      </w:pPr>
      <w:r w:rsidRPr="008E04A3">
        <w:rPr>
          <w:rFonts w:ascii="Arial" w:hAnsi="Arial" w:cs="Arial"/>
          <w:color w:val="49535D"/>
        </w:rPr>
        <w:t>I periodi di CIGD non contribuiscono al raggiungimento del limite dei 36 mesi nel quinquennio previsto per la </w:t>
      </w:r>
      <w:r w:rsidRPr="008E04A3">
        <w:rPr>
          <w:rStyle w:val="glossaryterm"/>
          <w:rFonts w:ascii="Arial" w:hAnsi="Arial" w:cs="Arial"/>
          <w:color w:val="1C2024"/>
          <w:shd w:val="clear" w:color="auto" w:fill="BBDAE4"/>
        </w:rPr>
        <w:t>CIGS</w:t>
      </w:r>
      <w:r w:rsidRPr="008E04A3">
        <w:rPr>
          <w:rFonts w:ascii="Arial" w:hAnsi="Arial" w:cs="Arial"/>
          <w:color w:val="49535D"/>
        </w:rPr>
        <w:t>.</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444444"/>
        </w:rPr>
        <w:t>Concepito come strumento sperimentale di sostegno a reddito in costanza di rapporto, l’ammortizzatore è stato oggetto di diverse proroghe nel corso degli anni. In ultimo, la Legge di Bilancio 2018 e il Decreto Legge n.44/2018 hanno stanziato nuove risorse prevedendo che le Regioni, a seguito di specifici accordi sottoscritti presso le predette unità di crisi, possono autorizzare - per un periodo massimo di 12 mesi - le proroghe in continuità delle prestazioni di cassa integrazione guadagni in deroga concesse entro la data del 31 dicembre 2016 e aventi durata con effetti nell’anno 2017.</w:t>
      </w:r>
    </w:p>
    <w:p w:rsidR="00333555" w:rsidRPr="008E04A3" w:rsidRDefault="00333555" w:rsidP="00333555">
      <w:pPr>
        <w:pStyle w:val="NormaleWeb"/>
        <w:shd w:val="clear" w:color="auto" w:fill="F5F5F5"/>
        <w:rPr>
          <w:rFonts w:ascii="Arial" w:hAnsi="Arial" w:cs="Arial"/>
          <w:color w:val="444444"/>
        </w:rPr>
      </w:pPr>
      <w:r w:rsidRPr="008E04A3">
        <w:rPr>
          <w:rFonts w:ascii="Arial" w:hAnsi="Arial" w:cs="Arial"/>
          <w:color w:val="444444"/>
        </w:rPr>
        <w:t>La Legge di Bilancio 2019 (</w:t>
      </w:r>
      <w:r w:rsidR="008234D2" w:rsidRPr="008E04A3">
        <w:rPr>
          <w:rFonts w:ascii="Arial" w:hAnsi="Arial" w:cs="Arial"/>
          <w:color w:val="444444"/>
        </w:rPr>
        <w:t>legge 145/18</w:t>
      </w:r>
      <w:r w:rsidRPr="008E04A3">
        <w:rPr>
          <w:rFonts w:ascii="Arial" w:hAnsi="Arial" w:cs="Arial"/>
          <w:color w:val="444444"/>
        </w:rPr>
        <w:t>) ha, inoltre, ammesso che il trattamento di </w:t>
      </w:r>
      <w:r w:rsidRPr="008E04A3">
        <w:rPr>
          <w:rStyle w:val="Enfasigrassetto"/>
          <w:rFonts w:ascii="Arial" w:hAnsi="Arial" w:cs="Arial"/>
          <w:color w:val="444444"/>
        </w:rPr>
        <w:t>mobilità in deroga</w:t>
      </w:r>
      <w:r w:rsidRPr="008E04A3">
        <w:rPr>
          <w:rFonts w:ascii="Arial" w:hAnsi="Arial" w:cs="Arial"/>
          <w:color w:val="444444"/>
        </w:rPr>
        <w:t> possa essere concesso, nel limite massimo di dodici mesi, anche in favore dei lavoratori che hanno cessato la cassa integrazione guadagni in deroga nel periodo dal 1° dicembre 2017 al 31 dicembre 2018 e non hanno diritto alla Nuova prestazione di Assicurazione Sociale per l'Impiego (</w:t>
      </w:r>
      <w:proofErr w:type="spellStart"/>
      <w:r w:rsidRPr="008E04A3">
        <w:rPr>
          <w:rFonts w:ascii="Arial" w:hAnsi="Arial" w:cs="Arial"/>
          <w:color w:val="444444"/>
        </w:rPr>
        <w:t>NASpI</w:t>
      </w:r>
      <w:proofErr w:type="spellEnd"/>
      <w:r w:rsidRPr="008E04A3">
        <w:rPr>
          <w:rFonts w:ascii="Arial" w:hAnsi="Arial" w:cs="Arial"/>
          <w:color w:val="444444"/>
        </w:rPr>
        <w:t>).</w:t>
      </w:r>
    </w:p>
    <w:p w:rsidR="00CE1963" w:rsidRPr="008E04A3" w:rsidRDefault="00CE1963" w:rsidP="00CE1963">
      <w:pPr>
        <w:pStyle w:val="NormaleWeb"/>
        <w:shd w:val="clear" w:color="auto" w:fill="FFFFFF"/>
        <w:spacing w:before="0" w:beforeAutospacing="0" w:after="165" w:afterAutospacing="0"/>
        <w:rPr>
          <w:rFonts w:ascii="Arial" w:hAnsi="Arial" w:cs="Arial"/>
          <w:color w:val="49535D"/>
        </w:rPr>
      </w:pPr>
      <w:r w:rsidRPr="008E04A3">
        <w:rPr>
          <w:rStyle w:val="Enfasigrassetto"/>
          <w:rFonts w:ascii="Arial" w:hAnsi="Arial" w:cs="Arial"/>
          <w:color w:val="49535D"/>
        </w:rPr>
        <w:t>l'indennità è pari all'80% della retribuzione</w:t>
      </w:r>
      <w:r w:rsidRPr="008E04A3">
        <w:rPr>
          <w:rFonts w:ascii="Arial" w:hAnsi="Arial" w:cs="Arial"/>
          <w:color w:val="49535D"/>
        </w:rPr>
        <w:t>, comprensiva di eventuali ratei di mensilità aggiuntive, che il dipendente avrebbe percepito per le ore di lavoro non prestate tra le ore zero e il limite dell'orario contrattuale, comunque non oltre le 40 ore settimanali.</w:t>
      </w:r>
    </w:p>
    <w:p w:rsidR="00CE1963" w:rsidRPr="008E04A3" w:rsidRDefault="00CE1963" w:rsidP="00CE1963">
      <w:pPr>
        <w:pStyle w:val="NormaleWeb"/>
        <w:shd w:val="clear" w:color="auto" w:fill="FFFFFF"/>
        <w:spacing w:before="0" w:beforeAutospacing="0" w:after="165" w:afterAutospacing="0"/>
        <w:rPr>
          <w:rFonts w:ascii="Arial" w:hAnsi="Arial" w:cs="Arial"/>
          <w:color w:val="49535D"/>
        </w:rPr>
      </w:pPr>
      <w:r w:rsidRPr="008E04A3">
        <w:rPr>
          <w:rFonts w:ascii="Arial" w:hAnsi="Arial" w:cs="Arial"/>
          <w:color w:val="49535D"/>
        </w:rPr>
        <w:t>L'importo della prestazione non può superare un limite massimo mensile stabilito di anno in anno.</w:t>
      </w:r>
    </w:p>
    <w:p w:rsidR="00CE1963" w:rsidRPr="008E04A3" w:rsidRDefault="00CE1963" w:rsidP="00CE1963">
      <w:pPr>
        <w:pStyle w:val="NormaleWeb"/>
        <w:shd w:val="clear" w:color="auto" w:fill="FFFFFF"/>
        <w:spacing w:before="0" w:beforeAutospacing="0" w:after="165" w:afterAutospacing="0"/>
        <w:rPr>
          <w:rFonts w:ascii="Arial" w:hAnsi="Arial" w:cs="Arial"/>
          <w:color w:val="49535D"/>
          <w:shd w:val="clear" w:color="auto" w:fill="FFFFFF"/>
        </w:rPr>
      </w:pPr>
      <w:r w:rsidRPr="008E04A3">
        <w:rPr>
          <w:rFonts w:ascii="Arial" w:hAnsi="Arial" w:cs="Arial"/>
          <w:color w:val="49535D"/>
          <w:shd w:val="clear" w:color="auto" w:fill="FFFFFF"/>
        </w:rPr>
        <w:t>La CIGD è cumulabile con i compensi derivanti dallo svolgimento di </w:t>
      </w:r>
      <w:r w:rsidRPr="008E04A3">
        <w:rPr>
          <w:rStyle w:val="Enfasigrassetto"/>
          <w:rFonts w:ascii="Arial" w:hAnsi="Arial" w:cs="Arial"/>
          <w:color w:val="49535D"/>
          <w:shd w:val="clear" w:color="auto" w:fill="FFFFFF"/>
        </w:rPr>
        <w:t>prestazioni di lavoro accessorio</w:t>
      </w:r>
      <w:r w:rsidRPr="008E04A3">
        <w:rPr>
          <w:rFonts w:ascii="Arial" w:hAnsi="Arial" w:cs="Arial"/>
          <w:color w:val="49535D"/>
          <w:shd w:val="clear" w:color="auto" w:fill="FFFFFF"/>
        </w:rPr>
        <w:t>, rese in tutti i settori produttivi, nel limite complessivo di 3.000 euro l'anno per anno civile, rivalutabile annualmente sulla base della variazione dell'indice ISTAT dei prezzi al consumo per le famiglie degli operai e degli impiegati. L'INPS provvede a sottrarre dalla </w:t>
      </w:r>
      <w:r w:rsidRPr="008E04A3">
        <w:rPr>
          <w:rStyle w:val="glossaryterm"/>
          <w:rFonts w:ascii="Arial" w:hAnsi="Arial" w:cs="Arial"/>
          <w:color w:val="1C2024"/>
          <w:shd w:val="clear" w:color="auto" w:fill="BBDAE4"/>
        </w:rPr>
        <w:t>contribuzione figurativa</w:t>
      </w:r>
      <w:r w:rsidRPr="008E04A3">
        <w:rPr>
          <w:rFonts w:ascii="Arial" w:hAnsi="Arial" w:cs="Arial"/>
          <w:color w:val="49535D"/>
          <w:shd w:val="clear" w:color="auto" w:fill="FFFFFF"/>
        </w:rPr>
        <w:t> relativa alle prestazioni integrative del salario o di sostegno al reddito gli accrediti contributivi derivanti dalle prestazioni di lavoro accessorio. In questo caso l'interessato non sarà obbligato a presentare la comunicazione preventiva di cui all'articolo 8, comma 3, decreto legislativo 14 settembre 2015, n. 148.</w:t>
      </w:r>
    </w:p>
    <w:p w:rsidR="00CE1963" w:rsidRPr="008E04A3" w:rsidRDefault="00CE1963" w:rsidP="00CE1963">
      <w:pPr>
        <w:pStyle w:val="NormaleWeb"/>
        <w:shd w:val="clear" w:color="auto" w:fill="FFFFFF"/>
        <w:spacing w:before="0" w:beforeAutospacing="0" w:after="165" w:afterAutospacing="0"/>
        <w:rPr>
          <w:rFonts w:ascii="Arial" w:hAnsi="Arial" w:cs="Arial"/>
          <w:color w:val="49535D"/>
        </w:rPr>
      </w:pPr>
    </w:p>
    <w:p w:rsidR="0062755C" w:rsidRPr="008E04A3" w:rsidRDefault="0062755C" w:rsidP="00AA1420">
      <w:pPr>
        <w:pStyle w:val="NormaleWeb"/>
        <w:spacing w:before="0" w:beforeAutospacing="0" w:after="165" w:afterAutospacing="0"/>
        <w:rPr>
          <w:rFonts w:ascii="Arial" w:hAnsi="Arial" w:cs="Arial"/>
        </w:rPr>
      </w:pPr>
    </w:p>
    <w:p w:rsidR="0062755C" w:rsidRPr="008E04A3" w:rsidRDefault="0062755C" w:rsidP="00AA1420">
      <w:pPr>
        <w:pStyle w:val="NormaleWeb"/>
        <w:spacing w:before="0" w:beforeAutospacing="0" w:after="165" w:afterAutospacing="0"/>
        <w:rPr>
          <w:rFonts w:ascii="Arial" w:hAnsi="Arial" w:cs="Arial"/>
        </w:rPr>
      </w:pPr>
    </w:p>
    <w:p w:rsidR="00E56E19" w:rsidRPr="008E04A3" w:rsidRDefault="00CF26F4"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I CONTRATTI </w:t>
      </w:r>
      <w:proofErr w:type="spellStart"/>
      <w:r w:rsidRPr="008E04A3">
        <w:rPr>
          <w:rFonts w:ascii="Arial" w:eastAsia="Times New Roman" w:hAnsi="Arial" w:cs="Arial"/>
          <w:color w:val="000000" w:themeColor="text1"/>
          <w:sz w:val="24"/>
          <w:szCs w:val="24"/>
          <w:lang w:eastAsia="it-IT"/>
        </w:rPr>
        <w:t>DI</w:t>
      </w:r>
      <w:proofErr w:type="spellEnd"/>
      <w:r w:rsidRPr="008E04A3">
        <w:rPr>
          <w:rFonts w:ascii="Arial" w:eastAsia="Times New Roman" w:hAnsi="Arial" w:cs="Arial"/>
          <w:color w:val="000000" w:themeColor="text1"/>
          <w:sz w:val="24"/>
          <w:szCs w:val="24"/>
          <w:lang w:eastAsia="it-IT"/>
        </w:rPr>
        <w:t xml:space="preserve"> SOLIDARIETA’ DIFENSIVA</w:t>
      </w:r>
    </w:p>
    <w:p w:rsidR="00CF26F4" w:rsidRPr="008E04A3" w:rsidRDefault="00CF26F4"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E’ un ammortizzatore sociale concepito </w:t>
      </w:r>
      <w:r w:rsidRPr="008E04A3">
        <w:rPr>
          <w:rFonts w:ascii="Arial" w:eastAsia="Times New Roman" w:hAnsi="Arial" w:cs="Arial"/>
          <w:b/>
          <w:color w:val="000000" w:themeColor="text1"/>
          <w:sz w:val="24"/>
          <w:szCs w:val="24"/>
          <w:lang w:eastAsia="it-IT"/>
        </w:rPr>
        <w:t>per affrontare e risolvere crisi occupazionali ove l possibilità di perdere il posto di lavoro si presenta abbastanza certa</w:t>
      </w:r>
      <w:r w:rsidRPr="008E04A3">
        <w:rPr>
          <w:rFonts w:ascii="Arial" w:eastAsia="Times New Roman" w:hAnsi="Arial" w:cs="Arial"/>
          <w:color w:val="000000" w:themeColor="text1"/>
          <w:sz w:val="24"/>
          <w:szCs w:val="24"/>
          <w:lang w:eastAsia="it-IT"/>
        </w:rPr>
        <w:t xml:space="preserve">. Consistono in accordi </w:t>
      </w:r>
      <w:r w:rsidRPr="008E04A3">
        <w:rPr>
          <w:rFonts w:ascii="Arial" w:eastAsia="Times New Roman" w:hAnsi="Arial" w:cs="Arial"/>
          <w:color w:val="000000" w:themeColor="text1"/>
          <w:sz w:val="24"/>
          <w:szCs w:val="24"/>
          <w:u w:val="single"/>
          <w:lang w:eastAsia="it-IT"/>
        </w:rPr>
        <w:t>aziendali la cui finalità è quella di evitare riduzioni di personale</w:t>
      </w:r>
      <w:r w:rsidRPr="008E04A3">
        <w:rPr>
          <w:rFonts w:ascii="Arial" w:eastAsia="Times New Roman" w:hAnsi="Arial" w:cs="Arial"/>
          <w:color w:val="000000" w:themeColor="text1"/>
          <w:sz w:val="24"/>
          <w:szCs w:val="24"/>
          <w:lang w:eastAsia="it-IT"/>
        </w:rPr>
        <w:t xml:space="preserve"> </w:t>
      </w:r>
      <w:r w:rsidRPr="008E04A3">
        <w:rPr>
          <w:rFonts w:ascii="Arial" w:eastAsia="Times New Roman" w:hAnsi="Arial" w:cs="Arial"/>
          <w:b/>
          <w:color w:val="000000" w:themeColor="text1"/>
          <w:sz w:val="24"/>
          <w:szCs w:val="24"/>
          <w:lang w:eastAsia="it-IT"/>
        </w:rPr>
        <w:t>mediante una generalizzata diminuzione dell’orario di lavoro</w:t>
      </w:r>
      <w:r w:rsidRPr="008E04A3">
        <w:rPr>
          <w:rFonts w:ascii="Arial" w:eastAsia="Times New Roman" w:hAnsi="Arial" w:cs="Arial"/>
          <w:color w:val="000000" w:themeColor="text1"/>
          <w:sz w:val="24"/>
          <w:szCs w:val="24"/>
          <w:lang w:eastAsia="it-IT"/>
        </w:rPr>
        <w:t xml:space="preserve"> dei lavoratori occupati in azienda , attuata in modo giornaliero, settimanale, mensile,annuale..</w:t>
      </w:r>
    </w:p>
    <w:p w:rsidR="00CF26F4" w:rsidRPr="008E04A3" w:rsidRDefault="00CF26F4" w:rsidP="00D57A38">
      <w:pPr>
        <w:shd w:val="clear" w:color="auto" w:fill="FFFFFF"/>
        <w:spacing w:after="150" w:line="240" w:lineRule="auto"/>
        <w:rPr>
          <w:rFonts w:ascii="Arial" w:eastAsia="Times New Roman" w:hAnsi="Arial" w:cs="Arial"/>
          <w:color w:val="000000" w:themeColor="text1"/>
          <w:sz w:val="24"/>
          <w:szCs w:val="24"/>
          <w:u w:val="single"/>
          <w:lang w:eastAsia="it-IT"/>
        </w:rPr>
      </w:pPr>
      <w:r w:rsidRPr="008E04A3">
        <w:rPr>
          <w:rFonts w:ascii="Arial" w:eastAsia="Times New Roman" w:hAnsi="Arial" w:cs="Arial"/>
          <w:color w:val="000000" w:themeColor="text1"/>
          <w:sz w:val="24"/>
          <w:szCs w:val="24"/>
          <w:lang w:eastAsia="it-IT"/>
        </w:rPr>
        <w:t xml:space="preserve">La loro stipulazione comporta per i lavoratori, </w:t>
      </w:r>
      <w:r w:rsidRPr="008E04A3">
        <w:rPr>
          <w:rFonts w:ascii="Arial" w:eastAsia="Times New Roman" w:hAnsi="Arial" w:cs="Arial"/>
          <w:color w:val="000000" w:themeColor="text1"/>
          <w:sz w:val="24"/>
          <w:szCs w:val="24"/>
          <w:u w:val="single"/>
          <w:lang w:eastAsia="it-IT"/>
        </w:rPr>
        <w:t>la concessione del trattamento di integrazione salariale per compensare la parte di retribuzione persa</w:t>
      </w:r>
      <w:r w:rsidRPr="008E04A3">
        <w:rPr>
          <w:rFonts w:ascii="Arial" w:eastAsia="Times New Roman" w:hAnsi="Arial" w:cs="Arial"/>
          <w:color w:val="000000" w:themeColor="text1"/>
          <w:sz w:val="24"/>
          <w:szCs w:val="24"/>
          <w:lang w:eastAsia="it-IT"/>
        </w:rPr>
        <w:t xml:space="preserve"> a seguito della riduzione  dell’orario di lavoro,men</w:t>
      </w:r>
      <w:r w:rsidR="00B92203" w:rsidRPr="008E04A3">
        <w:rPr>
          <w:rFonts w:ascii="Arial" w:eastAsia="Times New Roman" w:hAnsi="Arial" w:cs="Arial"/>
          <w:color w:val="000000" w:themeColor="text1"/>
          <w:sz w:val="24"/>
          <w:szCs w:val="24"/>
          <w:lang w:eastAsia="it-IT"/>
        </w:rPr>
        <w:t>t</w:t>
      </w:r>
      <w:r w:rsidRPr="008E04A3">
        <w:rPr>
          <w:rFonts w:ascii="Arial" w:eastAsia="Times New Roman" w:hAnsi="Arial" w:cs="Arial"/>
          <w:color w:val="000000" w:themeColor="text1"/>
          <w:sz w:val="24"/>
          <w:szCs w:val="24"/>
          <w:lang w:eastAsia="it-IT"/>
        </w:rPr>
        <w:t xml:space="preserve">re a favore dei </w:t>
      </w:r>
      <w:r w:rsidRPr="008E04A3">
        <w:rPr>
          <w:rFonts w:ascii="Arial" w:eastAsia="Times New Roman" w:hAnsi="Arial" w:cs="Arial"/>
          <w:color w:val="000000" w:themeColor="text1"/>
          <w:sz w:val="24"/>
          <w:szCs w:val="24"/>
          <w:u w:val="single"/>
          <w:lang w:eastAsia="it-IT"/>
        </w:rPr>
        <w:t>datori è prevista la riduzione dei contributi previdenziali e assistenziali.</w:t>
      </w:r>
    </w:p>
    <w:p w:rsidR="00CF26F4" w:rsidRPr="008E04A3" w:rsidRDefault="00CF26F4"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lastRenderedPageBreak/>
        <w:t xml:space="preserve">L’ammontare dell’integrazione salariale è pari </w:t>
      </w:r>
      <w:r w:rsidRPr="008E04A3">
        <w:rPr>
          <w:rFonts w:ascii="Arial" w:eastAsia="Times New Roman" w:hAnsi="Arial" w:cs="Arial"/>
          <w:b/>
          <w:color w:val="000000" w:themeColor="text1"/>
          <w:sz w:val="24"/>
          <w:szCs w:val="24"/>
          <w:lang w:eastAsia="it-IT"/>
        </w:rPr>
        <w:t>al 60</w:t>
      </w:r>
      <w:r w:rsidRPr="008E04A3">
        <w:rPr>
          <w:rFonts w:ascii="Arial" w:eastAsia="Times New Roman" w:hAnsi="Arial" w:cs="Arial"/>
          <w:color w:val="000000" w:themeColor="text1"/>
          <w:sz w:val="24"/>
          <w:szCs w:val="24"/>
          <w:lang w:eastAsia="it-IT"/>
        </w:rPr>
        <w:t xml:space="preserve">% della retribuzione perduta per effetto riduzione orario di lavoro. Ad eccezione di quelle che hanno presentato istanza per procedura concorsuale. </w:t>
      </w:r>
    </w:p>
    <w:p w:rsidR="00CF26F4" w:rsidRPr="008E04A3" w:rsidRDefault="00CF26F4"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L’integrazione può esser corrisposta per un </w:t>
      </w:r>
      <w:proofErr w:type="spellStart"/>
      <w:r w:rsidRPr="008E04A3">
        <w:rPr>
          <w:rFonts w:ascii="Arial" w:eastAsia="Times New Roman" w:hAnsi="Arial" w:cs="Arial"/>
          <w:color w:val="000000" w:themeColor="text1"/>
          <w:sz w:val="24"/>
          <w:szCs w:val="24"/>
          <w:u w:val="single"/>
          <w:lang w:eastAsia="it-IT"/>
        </w:rPr>
        <w:t>max</w:t>
      </w:r>
      <w:proofErr w:type="spellEnd"/>
      <w:r w:rsidRPr="008E04A3">
        <w:rPr>
          <w:rFonts w:ascii="Arial" w:eastAsia="Times New Roman" w:hAnsi="Arial" w:cs="Arial"/>
          <w:color w:val="000000" w:themeColor="text1"/>
          <w:sz w:val="24"/>
          <w:szCs w:val="24"/>
          <w:u w:val="single"/>
          <w:lang w:eastAsia="it-IT"/>
        </w:rPr>
        <w:t xml:space="preserve"> di 24 mesi prorogabili per </w:t>
      </w:r>
      <w:proofErr w:type="spellStart"/>
      <w:r w:rsidR="00B92203" w:rsidRPr="008E04A3">
        <w:rPr>
          <w:rFonts w:ascii="Arial" w:eastAsia="Times New Roman" w:hAnsi="Arial" w:cs="Arial"/>
          <w:color w:val="000000" w:themeColor="text1"/>
          <w:sz w:val="24"/>
          <w:szCs w:val="24"/>
          <w:u w:val="single"/>
          <w:lang w:eastAsia="it-IT"/>
        </w:rPr>
        <w:t>al</w:t>
      </w:r>
      <w:r w:rsidRPr="008E04A3">
        <w:rPr>
          <w:rFonts w:ascii="Arial" w:eastAsia="Times New Roman" w:hAnsi="Arial" w:cs="Arial"/>
          <w:color w:val="000000" w:themeColor="text1"/>
          <w:sz w:val="24"/>
          <w:szCs w:val="24"/>
          <w:u w:val="single"/>
          <w:lang w:eastAsia="it-IT"/>
        </w:rPr>
        <w:t>ri</w:t>
      </w:r>
      <w:proofErr w:type="spellEnd"/>
      <w:r w:rsidRPr="008E04A3">
        <w:rPr>
          <w:rFonts w:ascii="Arial" w:eastAsia="Times New Roman" w:hAnsi="Arial" w:cs="Arial"/>
          <w:color w:val="000000" w:themeColor="text1"/>
          <w:sz w:val="24"/>
          <w:szCs w:val="24"/>
          <w:u w:val="single"/>
          <w:lang w:eastAsia="it-IT"/>
        </w:rPr>
        <w:t xml:space="preserve"> 24</w:t>
      </w:r>
      <w:r w:rsidRPr="008E04A3">
        <w:rPr>
          <w:rFonts w:ascii="Arial" w:eastAsia="Times New Roman" w:hAnsi="Arial" w:cs="Arial"/>
          <w:color w:val="000000" w:themeColor="text1"/>
          <w:sz w:val="24"/>
          <w:szCs w:val="24"/>
          <w:lang w:eastAsia="it-IT"/>
        </w:rPr>
        <w:t xml:space="preserve"> (36 per aree svantaggiate). </w:t>
      </w:r>
      <w:r w:rsidRPr="008E04A3">
        <w:rPr>
          <w:rFonts w:ascii="Arial" w:eastAsia="Times New Roman" w:hAnsi="Arial" w:cs="Arial"/>
          <w:color w:val="000000" w:themeColor="text1"/>
          <w:sz w:val="24"/>
          <w:szCs w:val="24"/>
          <w:u w:val="single"/>
          <w:lang w:eastAsia="it-IT"/>
        </w:rPr>
        <w:t>Possono ricorrere a tale tipologia di contratti le aziende rientranti nel campo di applicazione della CIG (</w:t>
      </w:r>
      <w:r w:rsidRPr="008E04A3">
        <w:rPr>
          <w:rFonts w:ascii="Arial" w:eastAsia="Times New Roman" w:hAnsi="Arial" w:cs="Arial"/>
          <w:color w:val="000000" w:themeColor="text1"/>
          <w:sz w:val="24"/>
          <w:szCs w:val="24"/>
          <w:lang w:eastAsia="it-IT"/>
        </w:rPr>
        <w:t>contratto solidarietà di tipo A)</w:t>
      </w:r>
    </w:p>
    <w:p w:rsidR="00CF26F4" w:rsidRPr="008E04A3" w:rsidRDefault="00CF26F4"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Alle imprese </w:t>
      </w:r>
      <w:r w:rsidRPr="008E04A3">
        <w:rPr>
          <w:rFonts w:ascii="Arial" w:eastAsia="Times New Roman" w:hAnsi="Arial" w:cs="Arial"/>
          <w:color w:val="000000" w:themeColor="text1"/>
          <w:sz w:val="24"/>
          <w:szCs w:val="24"/>
          <w:u w:val="single"/>
          <w:lang w:eastAsia="it-IT"/>
        </w:rPr>
        <w:t>non destinatarie di tale normativa CIG</w:t>
      </w:r>
      <w:r w:rsidRPr="008E04A3">
        <w:rPr>
          <w:rFonts w:ascii="Arial" w:eastAsia="Times New Roman" w:hAnsi="Arial" w:cs="Arial"/>
          <w:color w:val="000000" w:themeColor="text1"/>
          <w:sz w:val="24"/>
          <w:szCs w:val="24"/>
          <w:lang w:eastAsia="it-IT"/>
        </w:rPr>
        <w:t xml:space="preserve">, che hanno avviato una procedura di mobilità , o che hanno in corso procedure di licenziamenti plurimi,si possono applicare i </w:t>
      </w:r>
      <w:r w:rsidRPr="008E04A3">
        <w:rPr>
          <w:rFonts w:ascii="Arial" w:eastAsia="Times New Roman" w:hAnsi="Arial" w:cs="Arial"/>
          <w:color w:val="000000" w:themeColor="text1"/>
          <w:sz w:val="24"/>
          <w:szCs w:val="24"/>
          <w:u w:val="single"/>
          <w:lang w:eastAsia="it-IT"/>
        </w:rPr>
        <w:t>contratti di solidarietà di tipo B</w:t>
      </w:r>
      <w:r w:rsidR="00141785" w:rsidRPr="008E04A3">
        <w:rPr>
          <w:rFonts w:ascii="Arial" w:eastAsia="Times New Roman" w:hAnsi="Arial" w:cs="Arial"/>
          <w:color w:val="000000" w:themeColor="text1"/>
          <w:sz w:val="24"/>
          <w:szCs w:val="24"/>
          <w:lang w:eastAsia="it-IT"/>
        </w:rPr>
        <w:t xml:space="preserve"> (solidarietà piccola) c</w:t>
      </w:r>
      <w:r w:rsidR="00B92203" w:rsidRPr="008E04A3">
        <w:rPr>
          <w:rFonts w:ascii="Arial" w:eastAsia="Times New Roman" w:hAnsi="Arial" w:cs="Arial"/>
          <w:color w:val="000000" w:themeColor="text1"/>
          <w:sz w:val="24"/>
          <w:szCs w:val="24"/>
          <w:lang w:eastAsia="it-IT"/>
        </w:rPr>
        <w:t>h</w:t>
      </w:r>
      <w:r w:rsidR="00141785" w:rsidRPr="008E04A3">
        <w:rPr>
          <w:rFonts w:ascii="Arial" w:eastAsia="Times New Roman" w:hAnsi="Arial" w:cs="Arial"/>
          <w:color w:val="000000" w:themeColor="text1"/>
          <w:sz w:val="24"/>
          <w:szCs w:val="24"/>
          <w:lang w:eastAsia="it-IT"/>
        </w:rPr>
        <w:t xml:space="preserve">e prevedono l’erogazione di un contributo pari al </w:t>
      </w:r>
      <w:r w:rsidR="00141785" w:rsidRPr="008E04A3">
        <w:rPr>
          <w:rFonts w:ascii="Arial" w:eastAsia="Times New Roman" w:hAnsi="Arial" w:cs="Arial"/>
          <w:b/>
          <w:color w:val="000000" w:themeColor="text1"/>
          <w:sz w:val="24"/>
          <w:szCs w:val="24"/>
          <w:lang w:eastAsia="it-IT"/>
        </w:rPr>
        <w:t>50</w:t>
      </w:r>
      <w:r w:rsidR="00141785" w:rsidRPr="008E04A3">
        <w:rPr>
          <w:rFonts w:ascii="Arial" w:eastAsia="Times New Roman" w:hAnsi="Arial" w:cs="Arial"/>
          <w:color w:val="000000" w:themeColor="text1"/>
          <w:sz w:val="24"/>
          <w:szCs w:val="24"/>
          <w:lang w:eastAsia="it-IT"/>
        </w:rPr>
        <w:t>% del monte ore perse, da dividere tra azienda e lavoratori</w:t>
      </w:r>
      <w:r w:rsidRPr="008E04A3">
        <w:rPr>
          <w:rFonts w:ascii="Arial" w:eastAsia="Times New Roman" w:hAnsi="Arial" w:cs="Arial"/>
          <w:color w:val="000000" w:themeColor="text1"/>
          <w:sz w:val="24"/>
          <w:szCs w:val="24"/>
          <w:lang w:eastAsia="it-IT"/>
        </w:rPr>
        <w:t xml:space="preserve"> </w:t>
      </w:r>
    </w:p>
    <w:p w:rsidR="00141785" w:rsidRPr="008E04A3" w:rsidRDefault="00141785" w:rsidP="00141785">
      <w:pPr>
        <w:pStyle w:val="NormaleWeb"/>
        <w:shd w:val="clear" w:color="auto" w:fill="F5F5F5"/>
        <w:rPr>
          <w:rFonts w:ascii="Arial" w:hAnsi="Arial" w:cs="Arial"/>
          <w:color w:val="000000"/>
        </w:rPr>
      </w:pPr>
      <w:r w:rsidRPr="008E04A3">
        <w:rPr>
          <w:rStyle w:val="Enfasigrassetto"/>
          <w:rFonts w:ascii="Arial" w:hAnsi="Arial" w:cs="Arial"/>
          <w:color w:val="000000"/>
        </w:rPr>
        <w:t xml:space="preserve">I fondi di solidarietà  bilaterali sono </w:t>
      </w:r>
      <w:r w:rsidR="00B92203" w:rsidRPr="008E04A3">
        <w:rPr>
          <w:rStyle w:val="Enfasigrassetto"/>
          <w:rFonts w:ascii="Arial" w:hAnsi="Arial" w:cs="Arial"/>
          <w:color w:val="000000"/>
        </w:rPr>
        <w:t xml:space="preserve">previsti </w:t>
      </w:r>
      <w:r w:rsidRPr="008E04A3">
        <w:rPr>
          <w:rFonts w:ascii="Arial" w:hAnsi="Arial" w:cs="Arial"/>
          <w:color w:val="000000"/>
        </w:rPr>
        <w:t xml:space="preserve">per i settori non coperti dalle norme in materia di integrazione salariale si basano sul principio di bilateralità in quanto al </w:t>
      </w:r>
      <w:r w:rsidRPr="008E04A3">
        <w:rPr>
          <w:rFonts w:ascii="Arial" w:hAnsi="Arial" w:cs="Arial"/>
          <w:b/>
          <w:color w:val="000000"/>
        </w:rPr>
        <w:t>sostentamento del fondo contribuiscono sia i datori di lavoro che i lavoratori</w:t>
      </w:r>
      <w:r w:rsidRPr="008E04A3">
        <w:rPr>
          <w:rFonts w:ascii="Arial" w:hAnsi="Arial" w:cs="Arial"/>
          <w:color w:val="000000"/>
        </w:rPr>
        <w:t>.</w:t>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t xml:space="preserve">L’art 26 del DLGS 148/2016 ha previsto che le organizzazioni sindacali e imprenditoriali più rappresentative a livello </w:t>
      </w:r>
      <w:r w:rsidRPr="008E04A3">
        <w:rPr>
          <w:rFonts w:ascii="Arial" w:hAnsi="Arial" w:cs="Arial"/>
          <w:color w:val="000000"/>
          <w:u w:val="single"/>
        </w:rPr>
        <w:t>nazionale stipulano accordi e contratti collettivi aventi ad oggetto la costituzione di fondi di solidarietà bilaterali nei settori esclusi dall’ambito di applicazione dei trattamenti di integrazione salariale.</w:t>
      </w:r>
      <w:r w:rsidRPr="008E04A3">
        <w:rPr>
          <w:rFonts w:ascii="Arial" w:hAnsi="Arial" w:cs="Arial"/>
          <w:color w:val="000000"/>
        </w:rPr>
        <w:t xml:space="preserve"> </w:t>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t>Le tipologie di Fondo sono tre:</w:t>
      </w:r>
    </w:p>
    <w:p w:rsidR="00141785" w:rsidRPr="008E04A3" w:rsidRDefault="00141785" w:rsidP="00141785">
      <w:pPr>
        <w:numPr>
          <w:ilvl w:val="0"/>
          <w:numId w:val="48"/>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Fondi di solidarietà bilaterali di nuova costituzione</w:t>
      </w:r>
    </w:p>
    <w:p w:rsidR="00141785" w:rsidRPr="008E04A3" w:rsidRDefault="00141785" w:rsidP="00141785">
      <w:pPr>
        <w:numPr>
          <w:ilvl w:val="0"/>
          <w:numId w:val="48"/>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Fondi di solidarietà alternativi operanti nell’ambito di consolidati sistemi di bilateralità</w:t>
      </w:r>
    </w:p>
    <w:p w:rsidR="00141785" w:rsidRPr="008E04A3" w:rsidRDefault="00141785" w:rsidP="00141785">
      <w:pPr>
        <w:numPr>
          <w:ilvl w:val="0"/>
          <w:numId w:val="48"/>
        </w:numPr>
        <w:shd w:val="clear" w:color="auto" w:fill="F5F5F5"/>
        <w:spacing w:before="100" w:beforeAutospacing="1" w:after="100" w:afterAutospacing="1" w:line="240" w:lineRule="auto"/>
        <w:rPr>
          <w:rFonts w:ascii="Arial" w:hAnsi="Arial" w:cs="Arial"/>
          <w:color w:val="000000"/>
          <w:sz w:val="24"/>
          <w:szCs w:val="24"/>
        </w:rPr>
      </w:pPr>
      <w:r w:rsidRPr="008E04A3">
        <w:rPr>
          <w:rFonts w:ascii="Arial" w:hAnsi="Arial" w:cs="Arial"/>
          <w:color w:val="000000"/>
          <w:sz w:val="24"/>
          <w:szCs w:val="24"/>
        </w:rPr>
        <w:t>Fondo di solidarietà residuale che dal 1° gennaio 2015 assumerà la denominazione di Fondo di integrazione salariale (F.I.S.).</w:t>
      </w:r>
    </w:p>
    <w:p w:rsidR="00141785" w:rsidRPr="008E04A3" w:rsidRDefault="00141785" w:rsidP="00141785">
      <w:pPr>
        <w:pStyle w:val="NormaleWeb"/>
        <w:shd w:val="clear" w:color="auto" w:fill="F5F5F5"/>
        <w:rPr>
          <w:rFonts w:ascii="Arial" w:hAnsi="Arial" w:cs="Arial"/>
          <w:color w:val="000000"/>
        </w:rPr>
      </w:pPr>
      <w:r w:rsidRPr="008E04A3">
        <w:rPr>
          <w:rStyle w:val="Enfasigrassetto"/>
          <w:rFonts w:ascii="Arial" w:hAnsi="Arial" w:cs="Arial"/>
          <w:color w:val="000000"/>
        </w:rPr>
        <w:t>Fondi di solidarietà bilaterali di nuova costituzione</w:t>
      </w:r>
      <w:r w:rsidRPr="008E04A3">
        <w:rPr>
          <w:rFonts w:ascii="Arial" w:hAnsi="Arial" w:cs="Arial"/>
          <w:color w:val="000000"/>
        </w:rPr>
        <w:t>. L’istituzione è obbligatoria per le imprese che occupano </w:t>
      </w:r>
      <w:r w:rsidRPr="008E04A3">
        <w:rPr>
          <w:rStyle w:val="Enfasigrassetto"/>
          <w:rFonts w:ascii="Arial" w:hAnsi="Arial" w:cs="Arial"/>
          <w:color w:val="000000"/>
        </w:rPr>
        <w:t>più di 5 dipendenti </w:t>
      </w:r>
      <w:r w:rsidRPr="008E04A3">
        <w:rPr>
          <w:rFonts w:ascii="Arial" w:hAnsi="Arial" w:cs="Arial"/>
          <w:color w:val="000000"/>
        </w:rPr>
        <w:t>(compresi gli apprendisti</w:t>
      </w:r>
      <w:r w:rsidRPr="008E04A3">
        <w:rPr>
          <w:rFonts w:ascii="Arial" w:hAnsi="Arial" w:cs="Arial"/>
          <w:color w:val="000000"/>
          <w:u w:val="single"/>
        </w:rPr>
        <w:t>), in tutti i settori nei quali non si applicano le disposizioni in materia di integrazione salariale</w:t>
      </w:r>
      <w:r w:rsidRPr="008E04A3">
        <w:rPr>
          <w:rFonts w:ascii="Arial" w:hAnsi="Arial" w:cs="Arial"/>
          <w:color w:val="000000"/>
        </w:rPr>
        <w:t xml:space="preserve"> ed avviene su iniziativa delle organizzazioni sindacali e imprenditoriali presso l’INPS a seguito di un apposito decreto del Ministro del Lavoro e delle Politiche sociali, di concerto con il Ministro dell’Economia e delle Finanze. Potranno poi confluire nel fondo anche eventuali fondi interprofessionali già operanti. Il Decreto Legislativo n.148/2015 ha ampliato la possibilità di costituire fondi di questo tipo anche ai settori già coperti dalla CIG. Per i fondi già costituiti è previsto il loro adeguamento alla nuova normativa entro il 31 dicembre 2015.</w:t>
      </w:r>
    </w:p>
    <w:p w:rsidR="00141785" w:rsidRPr="008E04A3" w:rsidRDefault="00141785" w:rsidP="00141785">
      <w:pPr>
        <w:pStyle w:val="NormaleWeb"/>
        <w:shd w:val="clear" w:color="auto" w:fill="F5F5F5"/>
        <w:rPr>
          <w:rFonts w:ascii="Arial" w:hAnsi="Arial" w:cs="Arial"/>
          <w:color w:val="000000"/>
        </w:rPr>
      </w:pPr>
      <w:r w:rsidRPr="008E04A3">
        <w:rPr>
          <w:rStyle w:val="Enfasigrassetto"/>
          <w:rFonts w:ascii="Arial" w:hAnsi="Arial" w:cs="Arial"/>
          <w:color w:val="000000"/>
        </w:rPr>
        <w:t>Fondi di solidarietà alternativi</w:t>
      </w:r>
      <w:r w:rsidRPr="008E04A3">
        <w:rPr>
          <w:rFonts w:ascii="Arial" w:hAnsi="Arial" w:cs="Arial"/>
          <w:color w:val="000000"/>
        </w:rPr>
        <w:t>. Sono considerati tali quelli già operanti in sistemi di bilateralità consolidata che abbiano adeguato le proprie fonti istitutive e normative entro la data di entrata in vigore del Decreto Legislativo n.148/2015 (ad esempio quello dell’artigianato). Le novità riguardano le prestazioni erogate che devono essere almeno l’assegno ordinario  o, in alternativa, l’assegno di solidarietà che potranno essere fruite per un periodo massimo di 26 settimane in un biennio mobile. Inoltre l’aliquota di finanziamento, ripartita tra datore di lavoro e lavoratore, a decorrere dal 2016, sarà pari al 0,45% della retribuzione imponibile previdenziale.</w:t>
      </w:r>
    </w:p>
    <w:p w:rsidR="00141785" w:rsidRPr="008E04A3" w:rsidRDefault="00141785" w:rsidP="00141785">
      <w:pPr>
        <w:pStyle w:val="NormaleWeb"/>
        <w:shd w:val="clear" w:color="auto" w:fill="F5F5F5"/>
        <w:rPr>
          <w:rFonts w:ascii="Arial" w:hAnsi="Arial" w:cs="Arial"/>
          <w:color w:val="000000"/>
        </w:rPr>
      </w:pPr>
      <w:r w:rsidRPr="008E04A3">
        <w:rPr>
          <w:rStyle w:val="Enfasigrassetto"/>
          <w:rFonts w:ascii="Arial" w:hAnsi="Arial" w:cs="Arial"/>
          <w:color w:val="000000"/>
        </w:rPr>
        <w:t>Fondo di solidarietà residuale. </w:t>
      </w:r>
      <w:r w:rsidRPr="008E04A3">
        <w:rPr>
          <w:rFonts w:ascii="Arial" w:hAnsi="Arial" w:cs="Arial"/>
          <w:color w:val="000000"/>
        </w:rPr>
        <w:t>Sono soggetti a questa disciplina i datori di lavoro che non rientrano né nelle due fattispecie di fondi precedenti né nella normativa relativa alla CIG.</w:t>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lastRenderedPageBreak/>
        <w:t>A partire dal 1° gennaio 2016 tale fondo prende la denominazione di </w:t>
      </w:r>
      <w:r w:rsidRPr="008E04A3">
        <w:rPr>
          <w:rStyle w:val="Enfasigrassetto"/>
          <w:rFonts w:ascii="Arial" w:hAnsi="Arial" w:cs="Arial"/>
          <w:color w:val="000000"/>
        </w:rPr>
        <w:t>Fondo di Integrazione Salariale</w:t>
      </w:r>
      <w:r w:rsidRPr="008E04A3">
        <w:rPr>
          <w:rFonts w:ascii="Arial" w:hAnsi="Arial" w:cs="Arial"/>
          <w:color w:val="000000"/>
        </w:rPr>
        <w:t xml:space="preserve"> (F.I.S.). Le prestazioni garantite dal fondo sono </w:t>
      </w:r>
      <w:r w:rsidRPr="008E04A3">
        <w:rPr>
          <w:rFonts w:ascii="Arial" w:hAnsi="Arial" w:cs="Arial"/>
          <w:b/>
          <w:color w:val="000000"/>
        </w:rPr>
        <w:t>l’assegno ordinario</w:t>
      </w:r>
      <w:r w:rsidRPr="008E04A3">
        <w:rPr>
          <w:rFonts w:ascii="Arial" w:hAnsi="Arial" w:cs="Arial"/>
          <w:color w:val="000000"/>
        </w:rPr>
        <w:t xml:space="preserve"> (solo per i datori che occupano mediamente più di quindici dipendenti) </w:t>
      </w:r>
      <w:r w:rsidRPr="008E04A3">
        <w:rPr>
          <w:rFonts w:ascii="Arial" w:hAnsi="Arial" w:cs="Arial"/>
          <w:b/>
          <w:color w:val="000000"/>
        </w:rPr>
        <w:t>e l’assegno di solidarietà</w:t>
      </w:r>
      <w:r w:rsidRPr="008E04A3">
        <w:rPr>
          <w:rFonts w:ascii="Arial" w:hAnsi="Arial" w:cs="Arial"/>
          <w:color w:val="000000"/>
        </w:rPr>
        <w:t xml:space="preserve"> (anche per i datori che occupano mediamente tra i 5 ed i 15 dipendenti). </w:t>
      </w:r>
      <w:r w:rsidRPr="008E04A3">
        <w:rPr>
          <w:rFonts w:ascii="Arial" w:hAnsi="Arial" w:cs="Arial"/>
          <w:color w:val="000000"/>
        </w:rPr>
        <w:br/>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t>L’</w:t>
      </w:r>
      <w:r w:rsidRPr="008E04A3">
        <w:rPr>
          <w:rStyle w:val="Enfasigrassetto"/>
          <w:rFonts w:ascii="Arial" w:hAnsi="Arial" w:cs="Arial"/>
          <w:color w:val="000000"/>
        </w:rPr>
        <w:t>assegno ordinario </w:t>
      </w:r>
      <w:r w:rsidRPr="008E04A3">
        <w:rPr>
          <w:rFonts w:ascii="Arial" w:hAnsi="Arial" w:cs="Arial"/>
          <w:color w:val="000000"/>
        </w:rPr>
        <w:t xml:space="preserve">è legata alle causali di sospensione o riduzione dell’attività lavorativa tipiche della CIG e riprende altresì i periodi di durata massima dalla stessa disciplina prevista da CIGO e CIGS. </w:t>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t>L’</w:t>
      </w:r>
      <w:r w:rsidRPr="008E04A3">
        <w:rPr>
          <w:rStyle w:val="Enfasigrassetto"/>
          <w:rFonts w:ascii="Arial" w:hAnsi="Arial" w:cs="Arial"/>
          <w:color w:val="000000"/>
        </w:rPr>
        <w:t>assegno di solidarietà </w:t>
      </w:r>
      <w:r w:rsidRPr="008E04A3">
        <w:rPr>
          <w:rFonts w:ascii="Arial" w:hAnsi="Arial" w:cs="Arial"/>
          <w:color w:val="000000"/>
        </w:rPr>
        <w:t>sostituisce i contratti di solidarietà di tipo B e sarà garantito dal FIR a decorrere dal 1° gennaio 2016, intervenendo laddove ci sia una riduzione dell’orario di lavoro concordata tramite accordi collettivi aziendali. La sua durata massima è fissata in 12 mesi in un biennio mobile. La riduzione non dovrà superare il 60% dell’orario giornaliero, settimanale o mensile dei lavoratori interessati e, in particolare, rispetto al singolo lavoratore la riduzione complessiva del suo orario di lavoro non potrà essere superiore al 70%. Le aliquote di finanziamento sono differenziate: 0,45% per i datori di lavoro che occupano dai 5 ai 15 dipendenti; 0,65% per i datori di lavoro con più di 15 dipendenti. Mentre la contribuzione addizionale a carico dei datori di lavoro è pari al 4% della retribuzione persa.</w:t>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t>Parallelamente per quanto avviene per i trattamenti di CIG, sono compresi nella platea dei beneficiari delle prestazioni fondiarie anche gli </w:t>
      </w:r>
      <w:r w:rsidRPr="008E04A3">
        <w:rPr>
          <w:rStyle w:val="Enfasigrassetto"/>
          <w:rFonts w:ascii="Arial" w:hAnsi="Arial" w:cs="Arial"/>
          <w:color w:val="000000"/>
        </w:rPr>
        <w:t>apprendisti professionalizzanti</w:t>
      </w:r>
      <w:r w:rsidRPr="008E04A3">
        <w:rPr>
          <w:rFonts w:ascii="Arial" w:hAnsi="Arial" w:cs="Arial"/>
          <w:color w:val="000000"/>
        </w:rPr>
        <w:t>, prevedendo un prolungamento del periodo di apprendistato pari alla sospensione o riduzione dell’orario di lavoro.</w:t>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t>I fondi di solidarietà possono erogare </w:t>
      </w:r>
      <w:r w:rsidRPr="008E04A3">
        <w:rPr>
          <w:rStyle w:val="Enfasigrassetto"/>
          <w:rFonts w:ascii="Arial" w:hAnsi="Arial" w:cs="Arial"/>
          <w:color w:val="000000"/>
        </w:rPr>
        <w:t>ulteriori prestazioni</w:t>
      </w:r>
      <w:r w:rsidRPr="008E04A3">
        <w:rPr>
          <w:rFonts w:ascii="Arial" w:hAnsi="Arial" w:cs="Arial"/>
          <w:color w:val="000000"/>
        </w:rPr>
        <w:t> rispetto a quelle illustrate. Ad esempio, si può trattare di prestazioni integrative – rispetto all’importo o alla durata - di quelle pubbliche previste in caso di cessazione dal rapporto di lavoro o in relazione alle integrazioni salariali; di assegni straordinari per favorire i processi di agevolazione all'esodo, a lavoratori che raggiungano i requisiti previsti per il pensionamento di vecchiaia o anticipato nei successivi cinque anni; di contributi al finanziamento di programmi formativi di riconversione o riqualificazione professionale, anche tramite gli appositi fondi nazionali o dell'Unione europea.</w:t>
      </w:r>
    </w:p>
    <w:p w:rsidR="00141785" w:rsidRPr="008E04A3" w:rsidRDefault="00141785" w:rsidP="00141785">
      <w:pPr>
        <w:pStyle w:val="NormaleWeb"/>
        <w:shd w:val="clear" w:color="auto" w:fill="F5F5F5"/>
        <w:rPr>
          <w:rFonts w:ascii="Arial" w:hAnsi="Arial" w:cs="Arial"/>
          <w:color w:val="000000"/>
        </w:rPr>
      </w:pPr>
      <w:r w:rsidRPr="008E04A3">
        <w:rPr>
          <w:rFonts w:ascii="Arial" w:hAnsi="Arial" w:cs="Arial"/>
          <w:color w:val="000000"/>
        </w:rPr>
        <w:t>Il Decreto Legislativo n.148/2015 introduce alcuni </w:t>
      </w:r>
      <w:r w:rsidRPr="008E04A3">
        <w:rPr>
          <w:rStyle w:val="Enfasigrassetto"/>
          <w:rFonts w:ascii="Arial" w:hAnsi="Arial" w:cs="Arial"/>
          <w:color w:val="000000"/>
        </w:rPr>
        <w:t>principi basilari</w:t>
      </w:r>
      <w:r w:rsidRPr="008E04A3">
        <w:rPr>
          <w:rFonts w:ascii="Arial" w:hAnsi="Arial" w:cs="Arial"/>
          <w:color w:val="000000"/>
        </w:rPr>
        <w:t> per il funzionamento dei fondi. Dal punto di vista finanziario, deve essere garantito il pareggio di bilancio, non potendo erogarsi prestazioni qualora non vi siano disponibilità sufficienti. Le risorse provengono infatti dalla contribuzione, ordinaria ed addizionale, ripartita tra datori di lavoro e lavoratori nella misura rispettivamente di due terzi ed un terzo. Inoltre la norma prevede che i componenti dei Comitati amministratori dei fondi di solidarietà bilaterali debbano possedere i requisiti di competenza e di  onorabilità, oltre a non avere eventuali conflitto d’interesse rispetto alla carica assunta.</w:t>
      </w:r>
    </w:p>
    <w:p w:rsidR="00141785" w:rsidRPr="008E04A3" w:rsidRDefault="00141785" w:rsidP="00D57A38">
      <w:pPr>
        <w:shd w:val="clear" w:color="auto" w:fill="FFFFFF"/>
        <w:spacing w:after="150" w:line="240" w:lineRule="auto"/>
        <w:rPr>
          <w:rFonts w:ascii="Arial" w:eastAsia="Times New Roman" w:hAnsi="Arial" w:cs="Arial"/>
          <w:color w:val="000000" w:themeColor="text1"/>
          <w:sz w:val="24"/>
          <w:szCs w:val="24"/>
          <w:lang w:eastAsia="it-IT"/>
        </w:rPr>
      </w:pPr>
    </w:p>
    <w:p w:rsidR="002E6C02" w:rsidRDefault="002E6C02" w:rsidP="00D57A38">
      <w:pPr>
        <w:shd w:val="clear" w:color="auto" w:fill="FFFFFF"/>
        <w:spacing w:after="150" w:line="240" w:lineRule="auto"/>
        <w:rPr>
          <w:rFonts w:ascii="Arial" w:eastAsia="Times New Roman" w:hAnsi="Arial" w:cs="Arial"/>
          <w:color w:val="000000" w:themeColor="text1"/>
          <w:sz w:val="24"/>
          <w:szCs w:val="24"/>
          <w:lang w:eastAsia="it-IT"/>
        </w:rPr>
      </w:pPr>
    </w:p>
    <w:p w:rsidR="002E6C02" w:rsidRDefault="002E6C02" w:rsidP="00D57A38">
      <w:pPr>
        <w:shd w:val="clear" w:color="auto" w:fill="FFFFFF"/>
        <w:spacing w:after="150" w:line="240" w:lineRule="auto"/>
        <w:rPr>
          <w:rFonts w:ascii="Arial" w:eastAsia="Times New Roman" w:hAnsi="Arial" w:cs="Arial"/>
          <w:color w:val="000000" w:themeColor="text1"/>
          <w:sz w:val="24"/>
          <w:szCs w:val="24"/>
          <w:lang w:eastAsia="it-IT"/>
        </w:rPr>
      </w:pPr>
    </w:p>
    <w:p w:rsidR="002E6C02" w:rsidRDefault="002E6C02" w:rsidP="00D57A38">
      <w:pPr>
        <w:shd w:val="clear" w:color="auto" w:fill="FFFFFF"/>
        <w:spacing w:after="150" w:line="240" w:lineRule="auto"/>
        <w:rPr>
          <w:rFonts w:ascii="Arial" w:eastAsia="Times New Roman" w:hAnsi="Arial" w:cs="Arial"/>
          <w:color w:val="000000" w:themeColor="text1"/>
          <w:sz w:val="24"/>
          <w:szCs w:val="24"/>
          <w:lang w:eastAsia="it-IT"/>
        </w:rPr>
      </w:pPr>
    </w:p>
    <w:p w:rsidR="00CF26F4" w:rsidRPr="008E04A3" w:rsidRDefault="009643D1"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lastRenderedPageBreak/>
        <w:t xml:space="preserve">TUTELE IN CASO </w:t>
      </w:r>
      <w:proofErr w:type="spellStart"/>
      <w:r w:rsidRPr="008E04A3">
        <w:rPr>
          <w:rFonts w:ascii="Arial" w:eastAsia="Times New Roman" w:hAnsi="Arial" w:cs="Arial"/>
          <w:color w:val="000000" w:themeColor="text1"/>
          <w:sz w:val="24"/>
          <w:szCs w:val="24"/>
          <w:lang w:eastAsia="it-IT"/>
        </w:rPr>
        <w:t>DI</w:t>
      </w:r>
      <w:proofErr w:type="spellEnd"/>
      <w:r w:rsidRPr="008E04A3">
        <w:rPr>
          <w:rFonts w:ascii="Arial" w:eastAsia="Times New Roman" w:hAnsi="Arial" w:cs="Arial"/>
          <w:color w:val="000000" w:themeColor="text1"/>
          <w:sz w:val="24"/>
          <w:szCs w:val="24"/>
          <w:lang w:eastAsia="it-IT"/>
        </w:rPr>
        <w:t xml:space="preserve"> CESSAZIONE DEL RAPPORTO</w:t>
      </w:r>
    </w:p>
    <w:p w:rsidR="00672727" w:rsidRPr="008E04A3" w:rsidRDefault="00672727"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MISURE </w:t>
      </w:r>
      <w:proofErr w:type="spellStart"/>
      <w:r w:rsidRPr="008E04A3">
        <w:rPr>
          <w:rFonts w:ascii="Arial" w:eastAsia="Times New Roman" w:hAnsi="Arial" w:cs="Arial"/>
          <w:color w:val="000000" w:themeColor="text1"/>
          <w:sz w:val="24"/>
          <w:szCs w:val="24"/>
          <w:lang w:eastAsia="it-IT"/>
        </w:rPr>
        <w:t>DI</w:t>
      </w:r>
      <w:proofErr w:type="spellEnd"/>
      <w:r w:rsidRPr="008E04A3">
        <w:rPr>
          <w:rFonts w:ascii="Arial" w:eastAsia="Times New Roman" w:hAnsi="Arial" w:cs="Arial"/>
          <w:color w:val="000000" w:themeColor="text1"/>
          <w:sz w:val="24"/>
          <w:szCs w:val="24"/>
          <w:lang w:eastAsia="it-IT"/>
        </w:rPr>
        <w:t xml:space="preserve"> CONTRASTO ALLA POVERTA’</w:t>
      </w:r>
    </w:p>
    <w:p w:rsidR="00324BC3" w:rsidRPr="008E04A3" w:rsidRDefault="00324BC3" w:rsidP="00D57A38">
      <w:pPr>
        <w:shd w:val="clear" w:color="auto" w:fill="FFFFFF"/>
        <w:spacing w:after="150" w:line="240" w:lineRule="auto"/>
        <w:rPr>
          <w:rFonts w:ascii="Arial" w:eastAsia="Times New Roman" w:hAnsi="Arial" w:cs="Arial"/>
          <w:color w:val="000000" w:themeColor="text1"/>
          <w:sz w:val="24"/>
          <w:szCs w:val="24"/>
          <w:lang w:eastAsia="it-IT"/>
        </w:rPr>
      </w:pPr>
      <w:proofErr w:type="spellStart"/>
      <w:r w:rsidRPr="008E04A3">
        <w:rPr>
          <w:rFonts w:ascii="Arial" w:eastAsia="Times New Roman" w:hAnsi="Arial" w:cs="Arial"/>
          <w:color w:val="000000" w:themeColor="text1"/>
          <w:sz w:val="24"/>
          <w:szCs w:val="24"/>
          <w:lang w:eastAsia="it-IT"/>
        </w:rPr>
        <w:t>NASpl</w:t>
      </w:r>
      <w:proofErr w:type="spellEnd"/>
    </w:p>
    <w:p w:rsidR="00324BC3" w:rsidRPr="008E04A3" w:rsidRDefault="00324BC3" w:rsidP="00324BC3">
      <w:pPr>
        <w:spacing w:after="165" w:line="240" w:lineRule="auto"/>
        <w:rPr>
          <w:rFonts w:ascii="Arial" w:eastAsia="Times New Roman" w:hAnsi="Arial" w:cs="Arial"/>
          <w:b/>
          <w:bCs/>
          <w:color w:val="007DB3"/>
          <w:sz w:val="24"/>
          <w:szCs w:val="24"/>
          <w:lang w:eastAsia="it-IT"/>
        </w:rPr>
      </w:pPr>
      <w:r w:rsidRPr="008E04A3">
        <w:rPr>
          <w:rFonts w:ascii="Arial" w:eastAsia="Times New Roman" w:hAnsi="Arial" w:cs="Arial"/>
          <w:sz w:val="24"/>
          <w:szCs w:val="24"/>
          <w:lang w:eastAsia="it-IT"/>
        </w:rPr>
        <w:t>La </w:t>
      </w:r>
      <w:r w:rsidRPr="008E04A3">
        <w:rPr>
          <w:rFonts w:ascii="Arial" w:eastAsia="Times New Roman" w:hAnsi="Arial" w:cs="Arial"/>
          <w:b/>
          <w:bCs/>
          <w:sz w:val="24"/>
          <w:szCs w:val="24"/>
          <w:lang w:eastAsia="it-IT"/>
        </w:rPr>
        <w:t>Nuova Assicurazione Sociale per l'Impiego</w:t>
      </w:r>
      <w:r w:rsidRPr="008E04A3">
        <w:rPr>
          <w:rFonts w:ascii="Arial" w:eastAsia="Times New Roman" w:hAnsi="Arial" w:cs="Arial"/>
          <w:sz w:val="24"/>
          <w:szCs w:val="24"/>
          <w:lang w:eastAsia="it-IT"/>
        </w:rPr>
        <w:t> (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xml:space="preserve">) è una indennità mensile di disoccupazione, istituita dall'art. 1 del decreto legislativo 4 marzo 2015, n. 22 - che sostituisce le precedenti prestazioni di disoccupazione </w:t>
      </w:r>
      <w:proofErr w:type="spellStart"/>
      <w:r w:rsidRPr="008E04A3">
        <w:rPr>
          <w:rFonts w:ascii="Arial" w:eastAsia="Times New Roman" w:hAnsi="Arial" w:cs="Arial"/>
          <w:sz w:val="24"/>
          <w:szCs w:val="24"/>
          <w:lang w:eastAsia="it-IT"/>
        </w:rPr>
        <w:t>ASpI</w:t>
      </w:r>
      <w:proofErr w:type="spellEnd"/>
      <w:r w:rsidRPr="008E04A3">
        <w:rPr>
          <w:rFonts w:ascii="Arial" w:eastAsia="Times New Roman" w:hAnsi="Arial" w:cs="Arial"/>
          <w:sz w:val="24"/>
          <w:szCs w:val="24"/>
          <w:lang w:eastAsia="it-IT"/>
        </w:rPr>
        <w:t xml:space="preserve"> e </w:t>
      </w:r>
      <w:proofErr w:type="spellStart"/>
      <w:r w:rsidRPr="008E04A3">
        <w:rPr>
          <w:rFonts w:ascii="Arial" w:eastAsia="Times New Roman" w:hAnsi="Arial" w:cs="Arial"/>
          <w:sz w:val="24"/>
          <w:szCs w:val="24"/>
          <w:lang w:eastAsia="it-IT"/>
        </w:rPr>
        <w:t>MiniASpI</w:t>
      </w:r>
      <w:proofErr w:type="spellEnd"/>
      <w:r w:rsidRPr="008E04A3">
        <w:rPr>
          <w:rFonts w:ascii="Arial" w:eastAsia="Times New Roman" w:hAnsi="Arial" w:cs="Arial"/>
          <w:sz w:val="24"/>
          <w:szCs w:val="24"/>
          <w:lang w:eastAsia="it-IT"/>
        </w:rPr>
        <w:t> - in relazione agli eventi di disoccupazione involontaria che si sono verificati a decorrere dal 1° maggio 2015. 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è erogata su domanda dell'interessato.</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spetta ai lavoratori con rapporto di lavoro subordinato che hanno perduto involontariamente l'occupazione, compresi:</w:t>
      </w:r>
    </w:p>
    <w:p w:rsidR="00324BC3" w:rsidRPr="008E04A3" w:rsidRDefault="00324BC3" w:rsidP="00324BC3">
      <w:pPr>
        <w:numPr>
          <w:ilvl w:val="0"/>
          <w:numId w:val="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apprendisti;</w:t>
      </w:r>
    </w:p>
    <w:p w:rsidR="00324BC3" w:rsidRPr="008E04A3" w:rsidRDefault="00324BC3" w:rsidP="00324BC3">
      <w:pPr>
        <w:numPr>
          <w:ilvl w:val="0"/>
          <w:numId w:val="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soci lavoratori di cooperative con rapporto di lavoro subordinato con le medesime cooperative;</w:t>
      </w:r>
    </w:p>
    <w:p w:rsidR="00324BC3" w:rsidRPr="008E04A3" w:rsidRDefault="00324BC3" w:rsidP="00324BC3">
      <w:pPr>
        <w:numPr>
          <w:ilvl w:val="0"/>
          <w:numId w:val="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personale artistico con rapporto di lavoro subordinato;</w:t>
      </w:r>
    </w:p>
    <w:p w:rsidR="00324BC3" w:rsidRPr="008E04A3" w:rsidRDefault="00324BC3" w:rsidP="00324BC3">
      <w:pPr>
        <w:numPr>
          <w:ilvl w:val="0"/>
          <w:numId w:val="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dipendenti a tempo determinato delle pubbliche amministrazioni.</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Non possono accedere alla prestazione:</w:t>
      </w:r>
    </w:p>
    <w:p w:rsidR="00324BC3" w:rsidRPr="008E04A3" w:rsidRDefault="00324BC3" w:rsidP="00324BC3">
      <w:pPr>
        <w:numPr>
          <w:ilvl w:val="0"/>
          <w:numId w:val="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dipendenti a tempo indeterminato delle pubbliche amministrazioni;</w:t>
      </w:r>
    </w:p>
    <w:p w:rsidR="00324BC3" w:rsidRPr="008E04A3" w:rsidRDefault="00324BC3" w:rsidP="00324BC3">
      <w:pPr>
        <w:numPr>
          <w:ilvl w:val="0"/>
          <w:numId w:val="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operai agricoli a tempo determinato e indeterminato;</w:t>
      </w:r>
    </w:p>
    <w:p w:rsidR="00324BC3" w:rsidRPr="008E04A3" w:rsidRDefault="00324BC3" w:rsidP="00324BC3">
      <w:pPr>
        <w:numPr>
          <w:ilvl w:val="0"/>
          <w:numId w:val="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lavoratori extracomunitari con permesso di soggiorno per lavoro stagionale, per i quali resta confermata la specifica normativa;</w:t>
      </w:r>
    </w:p>
    <w:p w:rsidR="00324BC3" w:rsidRPr="008E04A3" w:rsidRDefault="00324BC3" w:rsidP="00324BC3">
      <w:pPr>
        <w:numPr>
          <w:ilvl w:val="0"/>
          <w:numId w:val="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lavoratori che hanno maturato i requisiti per il pensionamento di vecchiaia o anticipato;</w:t>
      </w:r>
    </w:p>
    <w:p w:rsidR="00324BC3" w:rsidRPr="008E04A3" w:rsidRDefault="00324BC3" w:rsidP="00324BC3">
      <w:pPr>
        <w:numPr>
          <w:ilvl w:val="0"/>
          <w:numId w:val="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lavoratori titolari di assegno ordinario di invalidità, qualora non optino per 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di disoccupazione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w:t>
      </w:r>
      <w:r w:rsidRPr="008E04A3">
        <w:rPr>
          <w:rFonts w:ascii="Arial" w:eastAsia="Times New Roman" w:hAnsi="Arial" w:cs="Arial"/>
          <w:b/>
          <w:sz w:val="24"/>
          <w:szCs w:val="24"/>
          <w:lang w:eastAsia="it-IT"/>
        </w:rPr>
        <w:t>spetta a partire</w:t>
      </w:r>
      <w:r w:rsidRPr="008E04A3">
        <w:rPr>
          <w:rFonts w:ascii="Arial" w:eastAsia="Times New Roman" w:hAnsi="Arial" w:cs="Arial"/>
          <w:sz w:val="24"/>
          <w:szCs w:val="24"/>
          <w:lang w:eastAsia="it-IT"/>
        </w:rPr>
        <w:t>:</w:t>
      </w:r>
    </w:p>
    <w:p w:rsidR="00324BC3" w:rsidRPr="008E04A3" w:rsidRDefault="00324BC3" w:rsidP="00324BC3">
      <w:pPr>
        <w:numPr>
          <w:ilvl w:val="0"/>
          <w:numId w:val="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dall'ottavo giorno successivo alla data di cessazione del rapporto di lavoro, se la domanda è presentata entro l'ottavo giorno. Dal giorno successivo alla presentazione della domanda, se presentata dopo l'ottavo giorno successivo alla cessazione, ma entro i termini di legge;</w:t>
      </w:r>
    </w:p>
    <w:p w:rsidR="00324BC3" w:rsidRPr="008E04A3" w:rsidRDefault="00324BC3" w:rsidP="00324BC3">
      <w:pPr>
        <w:numPr>
          <w:ilvl w:val="0"/>
          <w:numId w:val="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i/>
          <w:sz w:val="24"/>
          <w:szCs w:val="24"/>
          <w:lang w:eastAsia="it-IT"/>
        </w:rPr>
        <w:t>dall'ottavo giorno successivo al termine del periodo di maternità, malattia, infortunio sul lavoro/malattia professionale o preavviso</w:t>
      </w:r>
      <w:r w:rsidRPr="008E04A3">
        <w:rPr>
          <w:rFonts w:ascii="Arial" w:eastAsia="Times New Roman" w:hAnsi="Arial" w:cs="Arial"/>
          <w:sz w:val="24"/>
          <w:szCs w:val="24"/>
          <w:lang w:eastAsia="it-IT"/>
        </w:rPr>
        <w:t xml:space="preserve">, se la domanda è presentata entro </w:t>
      </w:r>
      <w:r w:rsidRPr="008E04A3">
        <w:rPr>
          <w:rFonts w:ascii="Arial" w:eastAsia="Times New Roman" w:hAnsi="Arial" w:cs="Arial"/>
          <w:sz w:val="24"/>
          <w:szCs w:val="24"/>
          <w:lang w:eastAsia="it-IT"/>
        </w:rPr>
        <w:lastRenderedPageBreak/>
        <w:t>l'ottavo giorno. Dal giorno successivo alla presentazione della domanda, se viene presentata dopo l'ottavo giorno ma entro i termini di legge;</w:t>
      </w:r>
    </w:p>
    <w:p w:rsidR="00324BC3" w:rsidRPr="008E04A3" w:rsidRDefault="00324BC3" w:rsidP="00324BC3">
      <w:pPr>
        <w:numPr>
          <w:ilvl w:val="0"/>
          <w:numId w:val="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 trentottesimo giorno successivo al licenziamento per giusta causa, se la domanda è presentata entro detto trentottesimo giorno. Dal giorno successivo alla presentazione della domanda, se viene presentata oltre il trentottesimo giorno successivo al licenziamento, ma entro i termini di legge.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L'eventuale rioccupazione nel corso degli otto giorni che seguono la cessazione non dà luogo alla sospensione della prestazione e dovrà essere presentata una nuova domanda di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in caso di cessazione involontaria dalla suddetta rioccupazione (circolare INPS 12 maggio 2015, n. 94).</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è </w:t>
      </w:r>
      <w:r w:rsidRPr="008E04A3">
        <w:rPr>
          <w:rFonts w:ascii="Arial" w:eastAsia="Times New Roman" w:hAnsi="Arial" w:cs="Arial"/>
          <w:b/>
          <w:bCs/>
          <w:sz w:val="24"/>
          <w:szCs w:val="24"/>
          <w:lang w:eastAsia="it-IT"/>
        </w:rPr>
        <w:t>corrisposta mensilmente </w:t>
      </w:r>
      <w:r w:rsidRPr="008E04A3">
        <w:rPr>
          <w:rFonts w:ascii="Arial" w:eastAsia="Times New Roman" w:hAnsi="Arial" w:cs="Arial"/>
          <w:b/>
          <w:sz w:val="24"/>
          <w:szCs w:val="24"/>
          <w:lang w:eastAsia="it-IT"/>
        </w:rPr>
        <w:t>per un numero di settimane pari alla metà delle settimane contributive presenti negli ultimi quattro anni</w:t>
      </w:r>
      <w:r w:rsidRPr="008E04A3">
        <w:rPr>
          <w:rFonts w:ascii="Arial" w:eastAsia="Times New Roman" w:hAnsi="Arial" w:cs="Arial"/>
          <w:sz w:val="24"/>
          <w:szCs w:val="24"/>
          <w:lang w:eastAsia="it-IT"/>
        </w:rPr>
        <w:t>. Ai fini del calcolo della durata non sono computati i periodi di contribuzione che hanno già dato luogo a erogazione di prestazioni di disoccupazione. Analogamente non è computata la contribuzione che ha prodotto prestazioni fruite in unica soluzione in forma anticipata.</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Non avendo prodotto alcuna prestazione, i periodi di contribuzione relativi al rapporto o ai rapporti di lavoro successivi all'ultima prestazione di disoccupazione sono sempre utili per la determinazione della durata di una nuova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3F24F3" w:rsidRPr="008E04A3" w:rsidRDefault="00324BC3" w:rsidP="00324BC3">
      <w:pPr>
        <w:spacing w:after="165" w:line="240" w:lineRule="auto"/>
        <w:rPr>
          <w:rFonts w:ascii="Arial" w:eastAsia="Times New Roman" w:hAnsi="Arial" w:cs="Arial"/>
          <w:color w:val="1C2024"/>
          <w:sz w:val="24"/>
          <w:szCs w:val="24"/>
          <w:lang w:eastAsia="it-IT"/>
        </w:rPr>
      </w:pPr>
      <w:r w:rsidRPr="008E04A3">
        <w:rPr>
          <w:rFonts w:ascii="Arial" w:eastAsia="Times New Roman" w:hAnsi="Arial" w:cs="Arial"/>
          <w:b/>
          <w:sz w:val="24"/>
          <w:szCs w:val="24"/>
          <w:lang w:eastAsia="it-IT"/>
        </w:rPr>
        <w:t>I periodi di fruizione della </w:t>
      </w:r>
      <w:proofErr w:type="spellStart"/>
      <w:r w:rsidRPr="008E04A3">
        <w:rPr>
          <w:rFonts w:ascii="Arial" w:eastAsia="Times New Roman" w:hAnsi="Arial" w:cs="Arial"/>
          <w:b/>
          <w:color w:val="1C2024"/>
          <w:sz w:val="24"/>
          <w:szCs w:val="24"/>
          <w:lang w:eastAsia="it-IT"/>
        </w:rPr>
        <w:t>NASpI</w:t>
      </w:r>
      <w:proofErr w:type="spellEnd"/>
      <w:r w:rsidRPr="008E04A3">
        <w:rPr>
          <w:rFonts w:ascii="Arial" w:eastAsia="Times New Roman" w:hAnsi="Arial" w:cs="Arial"/>
          <w:b/>
          <w:sz w:val="24"/>
          <w:szCs w:val="24"/>
          <w:lang w:eastAsia="it-IT"/>
        </w:rPr>
        <w:t> sono coperti da </w:t>
      </w:r>
      <w:r w:rsidRPr="008E04A3">
        <w:rPr>
          <w:rFonts w:ascii="Arial" w:eastAsia="Times New Roman" w:hAnsi="Arial" w:cs="Arial"/>
          <w:b/>
          <w:color w:val="1C2024"/>
          <w:sz w:val="24"/>
          <w:szCs w:val="24"/>
          <w:lang w:eastAsia="it-IT"/>
        </w:rPr>
        <w:t>contribuzione</w:t>
      </w:r>
      <w:r w:rsidRPr="008E04A3">
        <w:rPr>
          <w:rFonts w:ascii="Arial" w:eastAsia="Times New Roman" w:hAnsi="Arial" w:cs="Arial"/>
          <w:color w:val="1C2024"/>
          <w:sz w:val="24"/>
          <w:szCs w:val="24"/>
          <w:lang w:eastAsia="it-IT"/>
        </w:rPr>
        <w:t xml:space="preserve"> </w:t>
      </w:r>
      <w:r w:rsidR="008234D2" w:rsidRPr="008E04A3">
        <w:rPr>
          <w:rFonts w:ascii="Arial" w:eastAsia="Times New Roman" w:hAnsi="Arial" w:cs="Arial"/>
          <w:color w:val="1C2024"/>
          <w:sz w:val="24"/>
          <w:szCs w:val="24"/>
          <w:lang w:eastAsia="it-IT"/>
        </w:rPr>
        <w:t>.</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 xml:space="preserve">Chi intende avviare </w:t>
      </w:r>
      <w:r w:rsidRPr="008E04A3">
        <w:rPr>
          <w:rFonts w:ascii="Arial" w:eastAsia="Times New Roman" w:hAnsi="Arial" w:cs="Arial"/>
          <w:b/>
          <w:sz w:val="24"/>
          <w:szCs w:val="24"/>
          <w:lang w:eastAsia="it-IT"/>
        </w:rPr>
        <w:t>un'attività lavorativa autonoma o d'impresa individuale</w:t>
      </w:r>
      <w:r w:rsidRPr="008E04A3">
        <w:rPr>
          <w:rFonts w:ascii="Arial" w:eastAsia="Times New Roman" w:hAnsi="Arial" w:cs="Arial"/>
          <w:sz w:val="24"/>
          <w:szCs w:val="24"/>
          <w:lang w:eastAsia="it-IT"/>
        </w:rPr>
        <w:t xml:space="preserve"> o vuole sottoscrivere una quota di capitale sociale di una cooperativa, nella quale il rapporto mutualistico ha ad oggetto la prestazione di attività lavorativa da parte del socio, può </w:t>
      </w:r>
      <w:r w:rsidRPr="008E04A3">
        <w:rPr>
          <w:rFonts w:ascii="Arial" w:eastAsia="Times New Roman" w:hAnsi="Arial" w:cs="Arial"/>
          <w:b/>
          <w:sz w:val="24"/>
          <w:szCs w:val="24"/>
          <w:lang w:eastAsia="it-IT"/>
        </w:rPr>
        <w:t>richiedere la liquidazione anticipata</w:t>
      </w:r>
      <w:r w:rsidRPr="008E04A3">
        <w:rPr>
          <w:rFonts w:ascii="Arial" w:eastAsia="Times New Roman" w:hAnsi="Arial" w:cs="Arial"/>
          <w:sz w:val="24"/>
          <w:szCs w:val="24"/>
          <w:lang w:eastAsia="it-IT"/>
        </w:rPr>
        <w:t xml:space="preserve"> e in un'unica soluzione della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3F24F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b/>
          <w:sz w:val="24"/>
          <w:szCs w:val="24"/>
          <w:lang w:eastAsia="it-IT"/>
        </w:rPr>
        <w:t>La misura della prestazione è pari al 75% della retribuzione media mensile imponibile ai fini previdenziali degli ultimi quattro anni</w:t>
      </w:r>
      <w:r w:rsidRPr="008E04A3">
        <w:rPr>
          <w:rFonts w:ascii="Arial" w:eastAsia="Times New Roman" w:hAnsi="Arial" w:cs="Arial"/>
          <w:sz w:val="24"/>
          <w:szCs w:val="24"/>
          <w:lang w:eastAsia="it-IT"/>
        </w:rPr>
        <w:t xml:space="preserve">, se la retribuzione è inferiore a un importo di riferimento stabilito dalla legge e rivalutato annualmente sulla base della variazione dell’indice ISTAT e reso noto ogni anno dall’INPS </w:t>
      </w:r>
    </w:p>
    <w:p w:rsidR="00856E39"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 xml:space="preserve">Se la retribuzione media è superiore al predetto importo di riferimento annuo (1.208,15 euro per il 2018), la misura della prestazione è invece pari al 75% dell'importo di riferimento annuo stabilito dalla legge (1.208,15 euro per il 2018) sommato al 25% della differenza tra la retribuzione media mensile e il suddetto importo stabilito dalla legge. In ogni, caso l'importo dell'indennità non può superare un limite massimo individuato con legge e rivalutato annualmente sulla base della variazione dell’indice ISTAT </w:t>
      </w:r>
    </w:p>
    <w:p w:rsidR="00324BC3" w:rsidRPr="008E04A3" w:rsidRDefault="00324BC3" w:rsidP="00324BC3">
      <w:pPr>
        <w:spacing w:after="165" w:line="240" w:lineRule="auto"/>
        <w:rPr>
          <w:rFonts w:ascii="Arial" w:eastAsia="Times New Roman" w:hAnsi="Arial" w:cs="Arial"/>
          <w:b/>
          <w:sz w:val="24"/>
          <w:szCs w:val="24"/>
          <w:lang w:eastAsia="it-IT"/>
        </w:rPr>
      </w:pPr>
      <w:r w:rsidRPr="008E04A3">
        <w:rPr>
          <w:rFonts w:ascii="Arial" w:eastAsia="Times New Roman" w:hAnsi="Arial" w:cs="Arial"/>
          <w:b/>
          <w:sz w:val="24"/>
          <w:szCs w:val="24"/>
          <w:lang w:eastAsia="it-IT"/>
        </w:rPr>
        <w:t>A partire dal primo giorno del quarto mese di fruizione, all'indennità si applica una riduzione del 3% per ciascun mese.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è commisurata alla retribuzione imponibile ai fini previdenziali degli ultimi quattro anni (comprensiva degli elementi continuativi e non continuativi e delle mensilità aggiuntive), divisa per il totale delle settimane di contribuzione (indipendentemente dalla verifica del minimale) e moltiplicata per il coefficiente numerico 4,33.</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L'importo dell'indennità </w:t>
      </w:r>
      <w:r w:rsidRPr="008E04A3">
        <w:rPr>
          <w:rFonts w:ascii="Arial" w:eastAsia="Times New Roman" w:hAnsi="Arial" w:cs="Arial"/>
          <w:b/>
          <w:bCs/>
          <w:sz w:val="24"/>
          <w:szCs w:val="24"/>
          <w:lang w:eastAsia="it-IT"/>
        </w:rPr>
        <w:t>si riduce</w:t>
      </w:r>
      <w:r w:rsidRPr="008E04A3">
        <w:rPr>
          <w:rFonts w:ascii="Arial" w:eastAsia="Times New Roman" w:hAnsi="Arial" w:cs="Arial"/>
          <w:sz w:val="24"/>
          <w:szCs w:val="24"/>
          <w:lang w:eastAsia="it-IT"/>
        </w:rPr>
        <w:t> nei seguenti casi:</w:t>
      </w:r>
    </w:p>
    <w:p w:rsidR="00324BC3" w:rsidRPr="008E04A3" w:rsidRDefault="00324BC3" w:rsidP="00324BC3">
      <w:pPr>
        <w:numPr>
          <w:ilvl w:val="0"/>
          <w:numId w:val="1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 xml:space="preserve">attività svolta in forma autonoma che genera un reddito annuo corrispondente a un'imposta lorda pari o inferiore alle detrazioni spettanti ai sensi dell'articolo 13 del Testo Unico delle Imposte sui Redditi (TUIR) – decreto del Presidente della Repubblica 22 dicembre 1986, n. 917 – e cioè pari a 4.800 euro. L'indennità viene ridotta dell'80% dei redditi previsti, rapportato al periodo di tempo intercorrente tra la data di inizio dell'attività e la data di fine dell'indennità, o la fine dell'anno, se antecedente. Il soggetto beneficiario deve informare l'INPS – utilizzando il </w:t>
      </w:r>
      <w:proofErr w:type="spellStart"/>
      <w:r w:rsidRPr="008E04A3">
        <w:rPr>
          <w:rFonts w:ascii="Arial" w:eastAsia="Times New Roman" w:hAnsi="Arial" w:cs="Arial"/>
          <w:sz w:val="24"/>
          <w:szCs w:val="24"/>
          <w:lang w:eastAsia="it-IT"/>
        </w:rPr>
        <w:t>modulo</w:t>
      </w:r>
      <w:r w:rsidRPr="008E04A3">
        <w:rPr>
          <w:rFonts w:ascii="Arial" w:eastAsia="Times New Roman" w:hAnsi="Arial" w:cs="Arial"/>
          <w:color w:val="1C2024"/>
          <w:sz w:val="24"/>
          <w:szCs w:val="24"/>
          <w:lang w:eastAsia="it-IT"/>
        </w:rPr>
        <w:t>NASpI</w:t>
      </w:r>
      <w:r w:rsidRPr="008E04A3">
        <w:rPr>
          <w:rFonts w:ascii="Arial" w:eastAsia="Times New Roman" w:hAnsi="Arial" w:cs="Arial"/>
          <w:sz w:val="24"/>
          <w:szCs w:val="24"/>
          <w:lang w:eastAsia="it-IT"/>
        </w:rPr>
        <w:t>-com</w:t>
      </w:r>
      <w:proofErr w:type="spellEnd"/>
      <w:r w:rsidRPr="008E04A3">
        <w:rPr>
          <w:rFonts w:ascii="Arial" w:eastAsia="Times New Roman" w:hAnsi="Arial" w:cs="Arial"/>
          <w:sz w:val="24"/>
          <w:szCs w:val="24"/>
          <w:lang w:eastAsia="it-IT"/>
        </w:rPr>
        <w:t xml:space="preserve"> (SR161 reperibile sul sito nella sezione “Prestazioni e servizi&gt;Tutti i moduli”) – entro un mese dall'inizio dell'attività o dall'invio della domanda di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se l'attività preesisteva, dichiarando il reddito annuo che prevede di trarne. La mancata comunicazione del reddito presunto – anche se pari a zero – entro il predetto termine comporta decadenza dalla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324BC3" w:rsidRPr="008E04A3" w:rsidRDefault="00324BC3" w:rsidP="00324BC3">
      <w:pPr>
        <w:numPr>
          <w:ilvl w:val="0"/>
          <w:numId w:val="1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nuova occupazione con contratto di lavoro subordinato o parasubordinato che genera un reddito annuo corrispondente a un'imposta lorda pari o inferiore alle detrazioni spettanti ai sensi dell'art. 13 del TUIR e cioè pari a 8.000 euro. L'indennità viene ridotta dell'80% dei redditi previsti, rapportato al periodo di tempo intercorrente tra la data di inizio dell'attività e la data di fine dell'indennità o la fine dell'anno, se antecedente. In tale caso la prestazione ridotta si mantiene solo ricorrendo le seguenti condizioni:</w:t>
      </w:r>
    </w:p>
    <w:p w:rsidR="00324BC3" w:rsidRPr="008E04A3" w:rsidRDefault="00324BC3" w:rsidP="00324BC3">
      <w:pPr>
        <w:numPr>
          <w:ilvl w:val="1"/>
          <w:numId w:val="1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xml:space="preserve">che il soggetto beneficiario comunichi all'INPS entro un mese dall'inizio dell'attività o dall'invio della domanda </w:t>
      </w:r>
      <w:proofErr w:type="spellStart"/>
      <w:r w:rsidRPr="008E04A3">
        <w:rPr>
          <w:rFonts w:ascii="Arial" w:eastAsia="Times New Roman" w:hAnsi="Arial" w:cs="Arial"/>
          <w:sz w:val="24"/>
          <w:szCs w:val="24"/>
          <w:lang w:eastAsia="it-IT"/>
        </w:rPr>
        <w:t>di</w:t>
      </w:r>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se antecedente, il reddito annuo percepito;</w:t>
      </w:r>
    </w:p>
    <w:p w:rsidR="00324BC3" w:rsidRPr="008E04A3" w:rsidRDefault="00324BC3" w:rsidP="00324BC3">
      <w:pPr>
        <w:numPr>
          <w:ilvl w:val="1"/>
          <w:numId w:val="1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che il datore di lavoro o l'utilizzatore (nel caso di contratto di somministrazione) siano diversi dal datore di lavoro o dall'utilizzatore per i quali il soggetto ha prestato la propria attività lavorativa e che non presentino rispetto a essi rapporti di collegamento/controllo ovvero assetti proprietari coincidenti;</w:t>
      </w:r>
    </w:p>
    <w:p w:rsidR="00324BC3" w:rsidRPr="008E04A3" w:rsidRDefault="00324BC3" w:rsidP="00324BC3">
      <w:pPr>
        <w:numPr>
          <w:ilvl w:val="0"/>
          <w:numId w:val="1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se il titolare di</w:t>
      </w:r>
      <w:r w:rsidRPr="008E04A3">
        <w:rPr>
          <w:rFonts w:ascii="Arial" w:eastAsia="Times New Roman" w:hAnsi="Arial" w:cs="Arial"/>
          <w:b/>
          <w:bCs/>
          <w:sz w:val="24"/>
          <w:szCs w:val="24"/>
          <w:lang w:eastAsia="it-IT"/>
        </w:rPr>
        <w:t> </w:t>
      </w:r>
      <w:r w:rsidRPr="008E04A3">
        <w:rPr>
          <w:rFonts w:ascii="Arial" w:eastAsia="Times New Roman" w:hAnsi="Arial" w:cs="Arial"/>
          <w:sz w:val="24"/>
          <w:szCs w:val="24"/>
          <w:lang w:eastAsia="it-IT"/>
        </w:rPr>
        <w:t>due o più rapporti di lavoro subordinato a tempo parziale</w:t>
      </w:r>
      <w:r w:rsidRPr="008E04A3">
        <w:rPr>
          <w:rFonts w:ascii="Arial" w:eastAsia="Times New Roman" w:hAnsi="Arial" w:cs="Arial"/>
          <w:b/>
          <w:bCs/>
          <w:sz w:val="24"/>
          <w:szCs w:val="24"/>
          <w:lang w:eastAsia="it-IT"/>
        </w:rPr>
        <w:t> </w:t>
      </w:r>
      <w:r w:rsidRPr="008E04A3">
        <w:rPr>
          <w:rFonts w:ascii="Arial" w:eastAsia="Times New Roman" w:hAnsi="Arial" w:cs="Arial"/>
          <w:sz w:val="24"/>
          <w:szCs w:val="24"/>
          <w:lang w:eastAsia="it-IT"/>
        </w:rPr>
        <w:t xml:space="preserve">cessa da uno dei rapporti - a seguito di licenziamento, dimissioni per giusta causa, o di risoluzione consensuale del rapporto di lavoro intervenuta nell'ambito della </w:t>
      </w:r>
      <w:r w:rsidRPr="008E04A3">
        <w:rPr>
          <w:rFonts w:ascii="Arial" w:eastAsia="Times New Roman" w:hAnsi="Arial" w:cs="Arial"/>
          <w:sz w:val="24"/>
          <w:szCs w:val="24"/>
          <w:lang w:eastAsia="it-IT"/>
        </w:rPr>
        <w:lastRenderedPageBreak/>
        <w:t xml:space="preserve">procedura di cui all'articolo 7 della legge 15 luglio 1966, n. 604, come modificato dal comma 40 dell'articolo 1 della legge 28 giugno 2012, n. 92 - con diritto alla indennità di disoccupazione sempre che il reddito percepito dal rapporto di lavoro rimasto in essere corrisponda a un'imposta lorda pari o inferiore alle detrazioni spettanti ai sensi dell'art. 13 del TUIR e cioè pari a 8.000 euro. In questo caso, </w:t>
      </w:r>
      <w:proofErr w:type="spellStart"/>
      <w:r w:rsidRPr="008E04A3">
        <w:rPr>
          <w:rFonts w:ascii="Arial" w:eastAsia="Times New Roman" w:hAnsi="Arial" w:cs="Arial"/>
          <w:sz w:val="24"/>
          <w:szCs w:val="24"/>
          <w:lang w:eastAsia="it-IT"/>
        </w:rPr>
        <w:t>la</w:t>
      </w:r>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è ridotta di un importo pari all'80% del reddito previsto, rapportato al periodo di tempo intercorrente tra la data di inizio del contratto di lavoro subordinato e la data di fine dell'indennità o la fine dell'anno, se antecedente, a condizione che il percettore comunichi all'INPS entro un mese dalla domanda di prestazione il reddito annuo previsto derivante dal o dai rapporti rimasti in essere, anche se pari a zero;</w:t>
      </w:r>
    </w:p>
    <w:p w:rsidR="00324BC3" w:rsidRPr="008E04A3" w:rsidRDefault="00324BC3" w:rsidP="00324BC3">
      <w:pPr>
        <w:numPr>
          <w:ilvl w:val="0"/>
          <w:numId w:val="1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rioccupazione con contratto di lavoro intermittente, con o senza obbligo di risposta alla chiamata, alle condizioni indicate dalla </w:t>
      </w:r>
      <w:hyperlink r:id="rId5" w:tooltip="Vai alla circolare" w:history="1">
        <w:r w:rsidRPr="008E04A3">
          <w:rPr>
            <w:rFonts w:ascii="Arial" w:eastAsia="Times New Roman" w:hAnsi="Arial" w:cs="Arial"/>
            <w:color w:val="49535D"/>
            <w:sz w:val="24"/>
            <w:szCs w:val="24"/>
            <w:lang w:eastAsia="it-IT"/>
          </w:rPr>
          <w:t>circolare INPS 29 luglio 2015, n. 142</w:t>
        </w:r>
      </w:hyperlink>
      <w:r w:rsidRPr="008E04A3">
        <w:rPr>
          <w:rFonts w:ascii="Arial" w:eastAsia="Times New Roman" w:hAnsi="Arial" w:cs="Arial"/>
          <w:sz w:val="24"/>
          <w:szCs w:val="24"/>
          <w:lang w:eastAsia="it-IT"/>
        </w:rPr>
        <w:t> e dal messaggio 16 marzo 2018, n. 1162.</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caso di prestazione di lavoro occasionale, l’indennità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è interamente cumulabile con i compensi derivanti dallo svolgimento di tale tipologia di lavoro nei limiti di compensi di importo non superiore a 5.000 euro per anno civile (art. 54 bis, comma 4, decreto-legge 24 aprile 2017, n. 50, convertito in legge 21 giugno 2017, n. 96 e </w:t>
      </w:r>
      <w:hyperlink r:id="rId6" w:tooltip="Vai alla circolare" w:history="1">
        <w:r w:rsidRPr="008E04A3">
          <w:rPr>
            <w:rFonts w:ascii="Arial" w:eastAsia="Times New Roman" w:hAnsi="Arial" w:cs="Arial"/>
            <w:color w:val="49535D"/>
            <w:sz w:val="24"/>
            <w:szCs w:val="24"/>
            <w:lang w:eastAsia="it-IT"/>
          </w:rPr>
          <w:t>circolare INPS 23 novembre 2017, n. 174</w:t>
        </w:r>
      </w:hyperlink>
      <w:r w:rsidRPr="008E04A3">
        <w:rPr>
          <w:rFonts w:ascii="Arial" w:eastAsia="Times New Roman" w:hAnsi="Arial" w:cs="Arial"/>
          <w:sz w:val="24"/>
          <w:szCs w:val="24"/>
          <w:lang w:eastAsia="it-IT"/>
        </w:rPr>
        <w:t>)</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prestazione è</w:t>
      </w:r>
      <w:r w:rsidRPr="008E04A3">
        <w:rPr>
          <w:rFonts w:ascii="Arial" w:eastAsia="Times New Roman" w:hAnsi="Arial" w:cs="Arial"/>
          <w:b/>
          <w:bCs/>
          <w:sz w:val="24"/>
          <w:szCs w:val="24"/>
          <w:lang w:eastAsia="it-IT"/>
        </w:rPr>
        <w:t> sospesa</w:t>
      </w:r>
      <w:r w:rsidRPr="008E04A3">
        <w:rPr>
          <w:rFonts w:ascii="Arial" w:eastAsia="Times New Roman" w:hAnsi="Arial" w:cs="Arial"/>
          <w:sz w:val="24"/>
          <w:szCs w:val="24"/>
          <w:lang w:eastAsia="it-IT"/>
        </w:rPr>
        <w:t> in caso di:</w:t>
      </w:r>
    </w:p>
    <w:p w:rsidR="00324BC3" w:rsidRPr="008E04A3" w:rsidRDefault="00324BC3" w:rsidP="00324BC3">
      <w:pPr>
        <w:numPr>
          <w:ilvl w:val="0"/>
          <w:numId w:val="1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rioccupazione</w:t>
      </w:r>
      <w:r w:rsidRPr="008E04A3">
        <w:rPr>
          <w:rFonts w:ascii="Arial" w:eastAsia="Times New Roman" w:hAnsi="Arial" w:cs="Arial"/>
          <w:sz w:val="24"/>
          <w:szCs w:val="24"/>
          <w:lang w:eastAsia="it-IT"/>
        </w:rPr>
        <w:t> con contratto di lavoro subordinato di durata non superiore a sei mesi. L'indennità è sospesa d'ufficio per la durata del rapporto di lavoro sulla base delle comunicazioni obbligatorie, salvo che il beneficiario della prestazione non effettui la comunicazione del reddito annuo presunto ai fini del cumulo e sempre che il reddito sia inferiore a 8.000 euro;</w:t>
      </w:r>
    </w:p>
    <w:p w:rsidR="00324BC3" w:rsidRPr="008E04A3" w:rsidRDefault="00324BC3" w:rsidP="00324BC3">
      <w:pPr>
        <w:numPr>
          <w:ilvl w:val="0"/>
          <w:numId w:val="1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nuova occupazione</w:t>
      </w:r>
      <w:r w:rsidRPr="008E04A3">
        <w:rPr>
          <w:rFonts w:ascii="Arial" w:eastAsia="Times New Roman" w:hAnsi="Arial" w:cs="Arial"/>
          <w:sz w:val="24"/>
          <w:szCs w:val="24"/>
          <w:lang w:eastAsia="it-IT"/>
        </w:rPr>
        <w:t> in Paesi dell'UE o con cui l'Italia ha stipulato convenzioni bilaterali in tema di assicurazione contro la disoccupazione o in Paesi extracomunitari (vedi sezione a seguire dedicata al lavoro all’estero).</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prestazione</w:t>
      </w:r>
      <w:r w:rsidRPr="008E04A3">
        <w:rPr>
          <w:rFonts w:ascii="Arial" w:eastAsia="Times New Roman" w:hAnsi="Arial" w:cs="Arial"/>
          <w:b/>
          <w:bCs/>
          <w:sz w:val="24"/>
          <w:szCs w:val="24"/>
          <w:lang w:eastAsia="it-IT"/>
        </w:rPr>
        <w:t> decade</w:t>
      </w:r>
      <w:r w:rsidRPr="008E04A3">
        <w:rPr>
          <w:rFonts w:ascii="Arial" w:eastAsia="Times New Roman" w:hAnsi="Arial" w:cs="Arial"/>
          <w:sz w:val="24"/>
          <w:szCs w:val="24"/>
          <w:lang w:eastAsia="it-IT"/>
        </w:rPr>
        <w:t> se il lavoratore:</w:t>
      </w:r>
    </w:p>
    <w:p w:rsidR="00324BC3" w:rsidRPr="008E04A3" w:rsidRDefault="00324BC3" w:rsidP="00324BC3">
      <w:pPr>
        <w:numPr>
          <w:ilvl w:val="0"/>
          <w:numId w:val="1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perde lo stato di disoccupazione;</w:t>
      </w:r>
    </w:p>
    <w:p w:rsidR="00324BC3" w:rsidRPr="008E04A3" w:rsidRDefault="00324BC3" w:rsidP="00324BC3">
      <w:pPr>
        <w:numPr>
          <w:ilvl w:val="0"/>
          <w:numId w:val="1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inizia un'attività di lavoro subordinato, di durata superiore a sei mesi o a tempo indeterminato senza comunicare all'INPS il reddito presunto che ne deriva, entro un mese dal suo inizio;</w:t>
      </w:r>
    </w:p>
    <w:p w:rsidR="00324BC3" w:rsidRPr="008E04A3" w:rsidRDefault="00324BC3" w:rsidP="00324BC3">
      <w:pPr>
        <w:numPr>
          <w:ilvl w:val="0"/>
          <w:numId w:val="1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non comunica, entro un mese dalla domanda della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xml:space="preserve">, il reddito che deriva da un altro o da altri rapporti di lavoro part </w:t>
      </w:r>
      <w:proofErr w:type="spellStart"/>
      <w:r w:rsidRPr="008E04A3">
        <w:rPr>
          <w:rFonts w:ascii="Arial" w:eastAsia="Times New Roman" w:hAnsi="Arial" w:cs="Arial"/>
          <w:sz w:val="24"/>
          <w:szCs w:val="24"/>
          <w:lang w:eastAsia="it-IT"/>
        </w:rPr>
        <w:t>time</w:t>
      </w:r>
      <w:proofErr w:type="spellEnd"/>
      <w:r w:rsidRPr="008E04A3">
        <w:rPr>
          <w:rFonts w:ascii="Arial" w:eastAsia="Times New Roman" w:hAnsi="Arial" w:cs="Arial"/>
          <w:sz w:val="24"/>
          <w:szCs w:val="24"/>
          <w:lang w:eastAsia="it-IT"/>
        </w:rPr>
        <w:t xml:space="preserve"> quando cessa almeno uno tra vari rapporti di lavoro a tempo parziale che ha dato diritto alla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324BC3" w:rsidRPr="008E04A3" w:rsidRDefault="00324BC3" w:rsidP="00324BC3">
      <w:pPr>
        <w:numPr>
          <w:ilvl w:val="0"/>
          <w:numId w:val="1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inizia un'attività lavorativa autonoma o parasubordinata senza comunicare il reddito presunto, entro un mese dal suo inizio;</w:t>
      </w:r>
    </w:p>
    <w:p w:rsidR="00324BC3" w:rsidRPr="008E04A3" w:rsidRDefault="00324BC3" w:rsidP="00324BC3">
      <w:pPr>
        <w:numPr>
          <w:ilvl w:val="0"/>
          <w:numId w:val="1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raggiunge i requisiti per il pensionamento di vecchiaia o anticipato;</w:t>
      </w:r>
    </w:p>
    <w:p w:rsidR="00324BC3" w:rsidRPr="008E04A3" w:rsidRDefault="00324BC3" w:rsidP="00324BC3">
      <w:pPr>
        <w:numPr>
          <w:ilvl w:val="0"/>
          <w:numId w:val="1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acquisisce il diritto all'assegno ordinario di invalidità e non opta per l'indennità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324BC3" w:rsidRPr="008E04A3" w:rsidRDefault="00324BC3" w:rsidP="00324BC3">
      <w:pPr>
        <w:numPr>
          <w:ilvl w:val="0"/>
          <w:numId w:val="1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nei casi previsti dall'art. 21, comma 7, del decreto legislativo 14 settembre 2015, n. 150 non partecipa, in assenza di giustificato motivo, alle iniziative di orientamento predisposte dai Centri per l'Impiego.</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L'articolo 21 del decreto legislativo 150/2015 rafforza i meccanismi di condizionalità per la fruizione delle prestazioni di disoccupazione, integrando e specificando le disposizioni dell'articolo 7 del decreto legislativo 22/2015, sugli obblighi di partecipazione alle misure di politica attiva del disoccupato. Secondo l'articolo 21, l'inosservanza degli obblighi comporta sanzioni proporzionali, che vanno dalla decurtazione di una frazione o di un'intera mensilità della prestazione, fino alla decadenza dalla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e dallo stato di disoccupazione.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caso di </w:t>
      </w:r>
      <w:r w:rsidRPr="008E04A3">
        <w:rPr>
          <w:rFonts w:ascii="Arial" w:eastAsia="Times New Roman" w:hAnsi="Arial" w:cs="Arial"/>
          <w:b/>
          <w:bCs/>
          <w:sz w:val="24"/>
          <w:szCs w:val="24"/>
          <w:lang w:eastAsia="it-IT"/>
        </w:rPr>
        <w:t>lavoro all'estero</w:t>
      </w:r>
      <w:r w:rsidRPr="008E04A3">
        <w:rPr>
          <w:rFonts w:ascii="Arial" w:eastAsia="Times New Roman" w:hAnsi="Arial" w:cs="Arial"/>
          <w:sz w:val="24"/>
          <w:szCs w:val="24"/>
          <w:lang w:eastAsia="it-IT"/>
        </w:rPr>
        <w:t>:</w:t>
      </w:r>
    </w:p>
    <w:p w:rsidR="00324BC3" w:rsidRPr="008E04A3" w:rsidRDefault="00324BC3" w:rsidP="00324BC3">
      <w:pPr>
        <w:numPr>
          <w:ilvl w:val="0"/>
          <w:numId w:val="13"/>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recandosi in un Paese UE, in Svizzera, Liechtenstein, Norvegia e Islanda </w:t>
      </w:r>
      <w:r w:rsidRPr="008E04A3">
        <w:rPr>
          <w:rFonts w:ascii="Arial" w:eastAsia="Times New Roman" w:hAnsi="Arial" w:cs="Arial"/>
          <w:b/>
          <w:bCs/>
          <w:sz w:val="24"/>
          <w:szCs w:val="24"/>
          <w:lang w:eastAsia="it-IT"/>
        </w:rPr>
        <w:t>alla ricerca di lavoro</w:t>
      </w:r>
      <w:r w:rsidRPr="008E04A3">
        <w:rPr>
          <w:rFonts w:ascii="Arial" w:eastAsia="Times New Roman" w:hAnsi="Arial" w:cs="Arial"/>
          <w:sz w:val="24"/>
          <w:szCs w:val="24"/>
          <w:lang w:eastAsia="it-IT"/>
        </w:rPr>
        <w:t>, il diritto alla prestazione di disoccupazione viene conservato per un massimo di tre mesi nel rispetto dei Regolamenti CE 883/2004 e 987/2009; dal primo giorno del quarto mese si conserva il diritto a percepire la prestazione, ma nel rispetto delle regole di condizionalità di cui agli artt. 20 e 21 del d.lgs. 150/2015 la cui violazione comporta l’applicazione delle conseguenti misure sanzionatorie;</w:t>
      </w:r>
    </w:p>
    <w:p w:rsidR="00324BC3" w:rsidRPr="008E04A3" w:rsidRDefault="00324BC3" w:rsidP="00324BC3">
      <w:pPr>
        <w:numPr>
          <w:ilvl w:val="0"/>
          <w:numId w:val="13"/>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recandosi in un Paese UE, in Svizzera, Liechtenstein, Norvegia e Islanda o in un Paese extracomunitario </w:t>
      </w:r>
      <w:r w:rsidRPr="008E04A3">
        <w:rPr>
          <w:rFonts w:ascii="Arial" w:eastAsia="Times New Roman" w:hAnsi="Arial" w:cs="Arial"/>
          <w:b/>
          <w:bCs/>
          <w:sz w:val="24"/>
          <w:szCs w:val="24"/>
          <w:lang w:eastAsia="it-IT"/>
        </w:rPr>
        <w:t>per motivi diversi dalla ricerca di lavoro</w:t>
      </w:r>
      <w:r w:rsidRPr="008E04A3">
        <w:rPr>
          <w:rFonts w:ascii="Arial" w:eastAsia="Times New Roman" w:hAnsi="Arial" w:cs="Arial"/>
          <w:sz w:val="24"/>
          <w:szCs w:val="24"/>
          <w:lang w:eastAsia="it-IT"/>
        </w:rPr>
        <w:t xml:space="preserve">, si conserva il diritto a percepire la prestazione, ma nel rispetto delle regole di condizionalità di cui </w:t>
      </w:r>
      <w:r w:rsidRPr="008E04A3">
        <w:rPr>
          <w:rFonts w:ascii="Arial" w:eastAsia="Times New Roman" w:hAnsi="Arial" w:cs="Arial"/>
          <w:sz w:val="24"/>
          <w:szCs w:val="24"/>
          <w:lang w:eastAsia="it-IT"/>
        </w:rPr>
        <w:lastRenderedPageBreak/>
        <w:t>agli artt. 20 e 21 del d.lgs. 150/2015 la cui violazione comporta l’applicazione delle conseguenti misure sanzionatorie;</w:t>
      </w:r>
    </w:p>
    <w:p w:rsidR="00324BC3" w:rsidRPr="008E04A3" w:rsidRDefault="00324BC3" w:rsidP="00324BC3">
      <w:pPr>
        <w:numPr>
          <w:ilvl w:val="0"/>
          <w:numId w:val="13"/>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recandosi in un Paese extracomunitario </w:t>
      </w:r>
      <w:r w:rsidRPr="008E04A3">
        <w:rPr>
          <w:rFonts w:ascii="Arial" w:eastAsia="Times New Roman" w:hAnsi="Arial" w:cs="Arial"/>
          <w:b/>
          <w:bCs/>
          <w:sz w:val="24"/>
          <w:szCs w:val="24"/>
          <w:lang w:eastAsia="it-IT"/>
        </w:rPr>
        <w:t>alla ricerca di lavoro</w:t>
      </w:r>
      <w:r w:rsidRPr="008E04A3">
        <w:rPr>
          <w:rFonts w:ascii="Arial" w:eastAsia="Times New Roman" w:hAnsi="Arial" w:cs="Arial"/>
          <w:sz w:val="24"/>
          <w:szCs w:val="24"/>
          <w:lang w:eastAsia="it-IT"/>
        </w:rPr>
        <w:t> si conserva il diritto a percepire la prestazione, ma nel rispetto delle regole di condizionalità di cui agli artt. 20 e 21 del d.lgs. 150/2015 la cui violazione comporta l’applicazione delle conseguenti misure sanzionatorie (circolare INPS 28 novembre 2017, n. 177).</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b/>
          <w:bCs/>
          <w:sz w:val="24"/>
          <w:szCs w:val="24"/>
          <w:lang w:eastAsia="it-IT"/>
        </w:rPr>
        <w:t>Stato di disoccupazione </w:t>
      </w:r>
      <w:r w:rsidRPr="008E04A3">
        <w:rPr>
          <w:rFonts w:ascii="Arial" w:eastAsia="Times New Roman" w:hAnsi="Arial" w:cs="Arial"/>
          <w:sz w:val="24"/>
          <w:szCs w:val="24"/>
          <w:lang w:eastAsia="it-IT"/>
        </w:rPr>
        <w:br/>
        <w:t>Si considerano </w:t>
      </w:r>
      <w:r w:rsidRPr="008E04A3">
        <w:rPr>
          <w:rFonts w:ascii="Arial" w:eastAsia="Times New Roman" w:hAnsi="Arial" w:cs="Arial"/>
          <w:b/>
          <w:bCs/>
          <w:sz w:val="24"/>
          <w:szCs w:val="24"/>
          <w:lang w:eastAsia="it-IT"/>
        </w:rPr>
        <w:t>disoccupati</w:t>
      </w:r>
      <w:r w:rsidRPr="008E04A3">
        <w:rPr>
          <w:rFonts w:ascii="Arial" w:eastAsia="Times New Roman" w:hAnsi="Arial" w:cs="Arial"/>
          <w:sz w:val="24"/>
          <w:szCs w:val="24"/>
          <w:lang w:eastAsia="it-IT"/>
        </w:rPr>
        <w:t> i soggetti privi di impiego che abbiano perduto involontariamente la propria occupazione e che dichiarino in forma telematica al portale nazionale delle politiche del lavoro la propria immediata disponibilità allo svolgimento di attività lavorativa e alla partecipazione alle misure di politica attiva del lavoro concordate con il Centro per l'Impiego. La presentazione della domanda di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equivale a rilascio della predetta dichiarazione di immediata disponibilità (DID). Nei 15 giorni successivi alla presentazione della domanda, il richiedente deve recarsi presso il Centro per l'Impiego per la stipula del patto di servizio personalizzato. In mancanza, l’assicurato è convocato dal Centro per l’Impiego.</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Lo stato di disoccupazione deve essere involontario; sono esclusi pertanto i lavoratori il cui rapporto di lavoro sia cessato a seguito di dimissioni o di risoluzione consensuale. Tuttavia l'accesso alla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sussistendo gli altri requisiti, è consentito anche nei seguenti casi:</w:t>
      </w:r>
    </w:p>
    <w:p w:rsidR="00324BC3" w:rsidRPr="008E04A3" w:rsidRDefault="00324BC3" w:rsidP="00324BC3">
      <w:pPr>
        <w:numPr>
          <w:ilvl w:val="0"/>
          <w:numId w:val="1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dimissioni per giusta causa</w:t>
      </w:r>
      <w:r w:rsidRPr="008E04A3">
        <w:rPr>
          <w:rFonts w:ascii="Arial" w:eastAsia="Times New Roman" w:hAnsi="Arial" w:cs="Arial"/>
          <w:sz w:val="24"/>
          <w:szCs w:val="24"/>
          <w:lang w:eastAsia="it-IT"/>
        </w:rPr>
        <w:t xml:space="preserve">, qualora le dimissioni non siano riconducibili alla libera scelta del lavoratore ma siano indotte da comportamenti altrui che implicano la condizione di </w:t>
      </w:r>
      <w:proofErr w:type="spellStart"/>
      <w:r w:rsidRPr="008E04A3">
        <w:rPr>
          <w:rFonts w:ascii="Arial" w:eastAsia="Times New Roman" w:hAnsi="Arial" w:cs="Arial"/>
          <w:sz w:val="24"/>
          <w:szCs w:val="24"/>
          <w:lang w:eastAsia="it-IT"/>
        </w:rPr>
        <w:t>improseguibilità</w:t>
      </w:r>
      <w:proofErr w:type="spellEnd"/>
      <w:r w:rsidRPr="008E04A3">
        <w:rPr>
          <w:rFonts w:ascii="Arial" w:eastAsia="Times New Roman" w:hAnsi="Arial" w:cs="Arial"/>
          <w:sz w:val="24"/>
          <w:szCs w:val="24"/>
          <w:lang w:eastAsia="it-IT"/>
        </w:rPr>
        <w:t xml:space="preserve"> del rapporto di lavoro (circolare INPS 20 ottobre 2003, n. 163);</w:t>
      </w:r>
    </w:p>
    <w:p w:rsidR="00324BC3" w:rsidRPr="008E04A3" w:rsidRDefault="00324BC3" w:rsidP="00324BC3">
      <w:pPr>
        <w:numPr>
          <w:ilvl w:val="0"/>
          <w:numId w:val="1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dimissioni intervenute durante il periodo tutelato di maternità</w:t>
      </w:r>
      <w:r w:rsidRPr="008E04A3">
        <w:rPr>
          <w:rFonts w:ascii="Arial" w:eastAsia="Times New Roman" w:hAnsi="Arial" w:cs="Arial"/>
          <w:sz w:val="24"/>
          <w:szCs w:val="24"/>
          <w:lang w:eastAsia="it-IT"/>
        </w:rPr>
        <w:t>, ossia a partire da 300 giorni prima della data presunta del parto e fino al compimento del primo anno di vita del bambino;</w:t>
      </w:r>
    </w:p>
    <w:p w:rsidR="00324BC3" w:rsidRPr="008E04A3" w:rsidRDefault="00324BC3" w:rsidP="00324BC3">
      <w:pPr>
        <w:numPr>
          <w:ilvl w:val="0"/>
          <w:numId w:val="1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risoluzione consensuale del rapporto di lavoro</w:t>
      </w:r>
      <w:r w:rsidRPr="008E04A3">
        <w:rPr>
          <w:rFonts w:ascii="Arial" w:eastAsia="Times New Roman" w:hAnsi="Arial" w:cs="Arial"/>
          <w:sz w:val="24"/>
          <w:szCs w:val="24"/>
          <w:lang w:eastAsia="it-IT"/>
        </w:rPr>
        <w:t>, purché sia intervenuta </w:t>
      </w:r>
      <w:r w:rsidRPr="008E04A3">
        <w:rPr>
          <w:rFonts w:ascii="Arial" w:eastAsia="Times New Roman" w:hAnsi="Arial" w:cs="Arial"/>
          <w:b/>
          <w:bCs/>
          <w:sz w:val="24"/>
          <w:szCs w:val="24"/>
          <w:lang w:eastAsia="it-IT"/>
        </w:rPr>
        <w:t>nell'ambito della procedura di conciliazione presso la direzione territoriale del lavoro</w:t>
      </w:r>
      <w:r w:rsidRPr="008E04A3">
        <w:rPr>
          <w:rFonts w:ascii="Arial" w:eastAsia="Times New Roman" w:hAnsi="Arial" w:cs="Arial"/>
          <w:sz w:val="24"/>
          <w:szCs w:val="24"/>
          <w:lang w:eastAsia="it-IT"/>
        </w:rPr>
        <w:t> secondo le modalità di cui all'art. 7 della legge 15 luglio 1966, n. 604 come sostituito dall'art. 1, comma 40, della legge n. 92 del 2012;</w:t>
      </w:r>
    </w:p>
    <w:p w:rsidR="00324BC3" w:rsidRPr="008E04A3" w:rsidRDefault="00324BC3" w:rsidP="00324BC3">
      <w:pPr>
        <w:numPr>
          <w:ilvl w:val="0"/>
          <w:numId w:val="1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risoluzione consensuale a seguito del rifiuto del lavoratore di trasferirsi</w:t>
      </w:r>
      <w:r w:rsidRPr="008E04A3">
        <w:rPr>
          <w:rFonts w:ascii="Arial" w:eastAsia="Times New Roman" w:hAnsi="Arial" w:cs="Arial"/>
          <w:sz w:val="24"/>
          <w:szCs w:val="24"/>
          <w:lang w:eastAsia="it-IT"/>
        </w:rPr>
        <w:t> presso la sede della stessa azienda distante più di 50 km dalla residenza del lavoratore e/o mediamente raggiungibile con i mezzi pubblici in 80 minuti o più;</w:t>
      </w:r>
    </w:p>
    <w:p w:rsidR="00324BC3" w:rsidRPr="008E04A3" w:rsidRDefault="00324BC3" w:rsidP="00324BC3">
      <w:pPr>
        <w:numPr>
          <w:ilvl w:val="0"/>
          <w:numId w:val="1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lastRenderedPageBreak/>
        <w:t>licenziamento con accettazione dell'offerta di conciliazione</w:t>
      </w:r>
      <w:r w:rsidRPr="008E04A3">
        <w:rPr>
          <w:rFonts w:ascii="Arial" w:eastAsia="Times New Roman" w:hAnsi="Arial" w:cs="Arial"/>
          <w:sz w:val="24"/>
          <w:szCs w:val="24"/>
          <w:lang w:eastAsia="it-IT"/>
        </w:rPr>
        <w:t> di cui all'art. 6 del decreto legislativo 4 marzo 2015, n. 23;</w:t>
      </w:r>
    </w:p>
    <w:p w:rsidR="00324BC3" w:rsidRPr="008E04A3" w:rsidRDefault="00324BC3" w:rsidP="00324BC3">
      <w:pPr>
        <w:numPr>
          <w:ilvl w:val="0"/>
          <w:numId w:val="1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licenziamento disciplinare</w:t>
      </w:r>
      <w:r w:rsidRPr="008E04A3">
        <w:rPr>
          <w:rFonts w:ascii="Arial" w:eastAsia="Times New Roman" w:hAnsi="Arial" w:cs="Arial"/>
          <w:sz w:val="24"/>
          <w:szCs w:val="24"/>
          <w:lang w:eastAsia="it-IT"/>
        </w:rPr>
        <w:t>.</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b/>
          <w:bCs/>
          <w:sz w:val="24"/>
          <w:szCs w:val="24"/>
          <w:lang w:eastAsia="it-IT"/>
        </w:rPr>
        <w:t>Requisito contributivo</w:t>
      </w:r>
      <w:r w:rsidRPr="008E04A3">
        <w:rPr>
          <w:rFonts w:ascii="Arial" w:eastAsia="Times New Roman" w:hAnsi="Arial" w:cs="Arial"/>
          <w:sz w:val="24"/>
          <w:szCs w:val="24"/>
          <w:lang w:eastAsia="it-IT"/>
        </w:rPr>
        <w:t> </w:t>
      </w:r>
      <w:r w:rsidRPr="008E04A3">
        <w:rPr>
          <w:rFonts w:ascii="Arial" w:eastAsia="Times New Roman" w:hAnsi="Arial" w:cs="Arial"/>
          <w:sz w:val="24"/>
          <w:szCs w:val="24"/>
          <w:lang w:eastAsia="it-IT"/>
        </w:rPr>
        <w:br/>
        <w:t>Sono necessarie almeno 13 settimane di contribuzione contro la disoccupazione nei 4 anni precedenti l'inizio del periodo di disoccupazione. Per contribuzione utile si intende anche quella dovuta, ma non versata, e sono valide tutte le settimane retribuite, purché risulti erogata o dovuta per ciascuna settimana una retribuzione non inferiore ai minimali settimanali (legge 11 novembre 1983, n. 638 e legge 7 dicembre 1989, n. 389). La disposizione relativa alle retribuzioni di riferimento </w:t>
      </w:r>
      <w:r w:rsidRPr="008E04A3">
        <w:rPr>
          <w:rFonts w:ascii="Arial" w:eastAsia="Times New Roman" w:hAnsi="Arial" w:cs="Arial"/>
          <w:b/>
          <w:bCs/>
          <w:sz w:val="24"/>
          <w:szCs w:val="24"/>
          <w:lang w:eastAsia="it-IT"/>
        </w:rPr>
        <w:t>non si applica</w:t>
      </w:r>
      <w:r w:rsidRPr="008E04A3">
        <w:rPr>
          <w:rFonts w:ascii="Arial" w:eastAsia="Times New Roman" w:hAnsi="Arial" w:cs="Arial"/>
          <w:sz w:val="24"/>
          <w:szCs w:val="24"/>
          <w:lang w:eastAsia="it-IT"/>
        </w:rPr>
        <w:t> ai lavoratori addetti ai servizi domestici e familiari, agli operai agricoli e agli apprendisti, per i quali continuano a permanere le regole vigenti.</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Per il perfezionamento del requisito contributivo, si considerano utili:</w:t>
      </w:r>
    </w:p>
    <w:p w:rsidR="00324BC3" w:rsidRPr="008E04A3" w:rsidRDefault="00324BC3" w:rsidP="00324BC3">
      <w:pPr>
        <w:numPr>
          <w:ilvl w:val="0"/>
          <w:numId w:val="1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 </w:t>
      </w:r>
      <w:r w:rsidRPr="008E04A3">
        <w:rPr>
          <w:rFonts w:ascii="Arial" w:eastAsia="Times New Roman" w:hAnsi="Arial" w:cs="Arial"/>
          <w:b/>
          <w:bCs/>
          <w:sz w:val="24"/>
          <w:szCs w:val="24"/>
          <w:lang w:eastAsia="it-IT"/>
        </w:rPr>
        <w:t>contributi previdenziali</w:t>
      </w:r>
      <w:r w:rsidRPr="008E04A3">
        <w:rPr>
          <w:rFonts w:ascii="Arial" w:eastAsia="Times New Roman" w:hAnsi="Arial" w:cs="Arial"/>
          <w:sz w:val="24"/>
          <w:szCs w:val="24"/>
          <w:lang w:eastAsia="it-IT"/>
        </w:rPr>
        <w:t> comprensivi di quota contro la disoccupazione versati durante il rapporto di lavoro subordinato;</w:t>
      </w:r>
    </w:p>
    <w:p w:rsidR="00324BC3" w:rsidRPr="008E04A3" w:rsidRDefault="00324BC3" w:rsidP="00324BC3">
      <w:pPr>
        <w:numPr>
          <w:ilvl w:val="0"/>
          <w:numId w:val="1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 </w:t>
      </w:r>
      <w:r w:rsidRPr="008E04A3">
        <w:rPr>
          <w:rFonts w:ascii="Arial" w:eastAsia="Times New Roman" w:hAnsi="Arial" w:cs="Arial"/>
          <w:b/>
          <w:bCs/>
          <w:color w:val="1C2024"/>
          <w:sz w:val="24"/>
          <w:szCs w:val="24"/>
          <w:lang w:eastAsia="it-IT"/>
        </w:rPr>
        <w:t>contributi figurativi</w:t>
      </w:r>
      <w:r w:rsidRPr="008E04A3">
        <w:rPr>
          <w:rFonts w:ascii="Arial" w:eastAsia="Times New Roman" w:hAnsi="Arial" w:cs="Arial"/>
          <w:b/>
          <w:bCs/>
          <w:sz w:val="24"/>
          <w:szCs w:val="24"/>
          <w:lang w:eastAsia="it-IT"/>
        </w:rPr>
        <w:t> accreditati per maternità obbligatoria</w:t>
      </w:r>
      <w:r w:rsidRPr="008E04A3">
        <w:rPr>
          <w:rFonts w:ascii="Arial" w:eastAsia="Times New Roman" w:hAnsi="Arial" w:cs="Arial"/>
          <w:sz w:val="24"/>
          <w:szCs w:val="24"/>
          <w:lang w:eastAsia="it-IT"/>
        </w:rPr>
        <w:t>, se all'inizio dell'astensione risulta già versata o dovuta contribuzione e per i periodi di congedo parentale, se indennizzati e intervenuti in costanza di rapporto di lavoro;</w:t>
      </w:r>
    </w:p>
    <w:p w:rsidR="00324BC3" w:rsidRPr="008E04A3" w:rsidRDefault="00324BC3" w:rsidP="00324BC3">
      <w:pPr>
        <w:numPr>
          <w:ilvl w:val="0"/>
          <w:numId w:val="1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 </w:t>
      </w:r>
      <w:r w:rsidRPr="008E04A3">
        <w:rPr>
          <w:rFonts w:ascii="Arial" w:eastAsia="Times New Roman" w:hAnsi="Arial" w:cs="Arial"/>
          <w:b/>
          <w:bCs/>
          <w:sz w:val="24"/>
          <w:szCs w:val="24"/>
          <w:lang w:eastAsia="it-IT"/>
        </w:rPr>
        <w:t>periodi di lavoro all'estero</w:t>
      </w:r>
      <w:r w:rsidRPr="008E04A3">
        <w:rPr>
          <w:rFonts w:ascii="Arial" w:eastAsia="Times New Roman" w:hAnsi="Arial" w:cs="Arial"/>
          <w:sz w:val="24"/>
          <w:szCs w:val="24"/>
          <w:lang w:eastAsia="it-IT"/>
        </w:rPr>
        <w:t> in  Paesi comunitari o convenzionati dov'è prevista la possibilità di totalizzazione;</w:t>
      </w:r>
    </w:p>
    <w:p w:rsidR="00324BC3" w:rsidRPr="008E04A3" w:rsidRDefault="00324BC3" w:rsidP="00324BC3">
      <w:pPr>
        <w:numPr>
          <w:ilvl w:val="0"/>
          <w:numId w:val="1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 </w:t>
      </w:r>
      <w:r w:rsidRPr="008E04A3">
        <w:rPr>
          <w:rFonts w:ascii="Arial" w:eastAsia="Times New Roman" w:hAnsi="Arial" w:cs="Arial"/>
          <w:b/>
          <w:bCs/>
          <w:sz w:val="24"/>
          <w:szCs w:val="24"/>
          <w:lang w:eastAsia="it-IT"/>
        </w:rPr>
        <w:t>periodi di astensione dal lavoro </w:t>
      </w:r>
      <w:r w:rsidRPr="008E04A3">
        <w:rPr>
          <w:rFonts w:ascii="Arial" w:eastAsia="Times New Roman" w:hAnsi="Arial" w:cs="Arial"/>
          <w:sz w:val="24"/>
          <w:szCs w:val="24"/>
          <w:lang w:eastAsia="it-IT"/>
        </w:rPr>
        <w:t>per malattia dei figli fino agli 8 anni, per massimo cinque giorni lavorativi nell'anno solare.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Se il lavoratore ha periodi di lavoro nel settore agricolo e altri in settori non agricoli, i periodi possono essere cumulati per ottenere l'indennità di disoccupazione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purché nel quadriennio di osservazione risulti prevalente la contribuzione non agricola. Qualora nel quadriennio si evidenzi prevalenza di contribuzione agricola è possibile procedere - per determinare la prevalenza – all'osservazione dei soli ultimi 12 mesi precedenti la cessazione del rapporto di lavoro. Se in quest'ultimo periodo vi è prevalenza di contribuzione extra agricola, la domanda di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xml:space="preserve">, in presenza di tutti gli altri requisiti, è </w:t>
      </w:r>
      <w:proofErr w:type="spellStart"/>
      <w:r w:rsidRPr="008E04A3">
        <w:rPr>
          <w:rFonts w:ascii="Arial" w:eastAsia="Times New Roman" w:hAnsi="Arial" w:cs="Arial"/>
          <w:sz w:val="24"/>
          <w:szCs w:val="24"/>
          <w:lang w:eastAsia="it-IT"/>
        </w:rPr>
        <w:t>accoglibile</w:t>
      </w:r>
      <w:proofErr w:type="spellEnd"/>
      <w:r w:rsidRPr="008E04A3">
        <w:rPr>
          <w:rFonts w:ascii="Arial" w:eastAsia="Times New Roman" w:hAnsi="Arial" w:cs="Arial"/>
          <w:sz w:val="24"/>
          <w:szCs w:val="24"/>
          <w:lang w:eastAsia="it-IT"/>
        </w:rPr>
        <w:t>. Non sono invece considerati utili in quanto non coperti da contribuzione effettiva, i seguenti periodi coperti da </w:t>
      </w:r>
      <w:r w:rsidRPr="008E04A3">
        <w:rPr>
          <w:rFonts w:ascii="Arial" w:eastAsia="Times New Roman" w:hAnsi="Arial" w:cs="Arial"/>
          <w:color w:val="1C2024"/>
          <w:sz w:val="24"/>
          <w:szCs w:val="24"/>
          <w:lang w:eastAsia="it-IT"/>
        </w:rPr>
        <w:t>contribuzione figurativa</w:t>
      </w:r>
      <w:r w:rsidRPr="008E04A3">
        <w:rPr>
          <w:rFonts w:ascii="Arial" w:eastAsia="Times New Roman" w:hAnsi="Arial" w:cs="Arial"/>
          <w:sz w:val="24"/>
          <w:szCs w:val="24"/>
          <w:lang w:eastAsia="it-IT"/>
        </w:rPr>
        <w:t>:</w:t>
      </w:r>
    </w:p>
    <w:p w:rsidR="00324BC3" w:rsidRPr="008E04A3" w:rsidRDefault="00324BC3" w:rsidP="00324BC3">
      <w:pPr>
        <w:numPr>
          <w:ilvl w:val="0"/>
          <w:numId w:val="1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malattia e infortunio sul lavoro</w:t>
      </w:r>
      <w:r w:rsidRPr="008E04A3">
        <w:rPr>
          <w:rFonts w:ascii="Arial" w:eastAsia="Times New Roman" w:hAnsi="Arial" w:cs="Arial"/>
          <w:sz w:val="24"/>
          <w:szCs w:val="24"/>
          <w:lang w:eastAsia="it-IT"/>
        </w:rPr>
        <w:t>, se non c'è integrazione della retribuzione da parte del datore di lavoro, nel rispetto del minimale retributivo;</w:t>
      </w:r>
    </w:p>
    <w:p w:rsidR="00324BC3" w:rsidRPr="008E04A3" w:rsidRDefault="00324BC3" w:rsidP="00324BC3">
      <w:pPr>
        <w:numPr>
          <w:ilvl w:val="0"/>
          <w:numId w:val="1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cassa integrazione straordinaria e ordinaria</w:t>
      </w:r>
      <w:r w:rsidRPr="008E04A3">
        <w:rPr>
          <w:rFonts w:ascii="Arial" w:eastAsia="Times New Roman" w:hAnsi="Arial" w:cs="Arial"/>
          <w:sz w:val="24"/>
          <w:szCs w:val="24"/>
          <w:lang w:eastAsia="it-IT"/>
        </w:rPr>
        <w:t> con sospensione dell'attività a zero ore;</w:t>
      </w:r>
    </w:p>
    <w:p w:rsidR="00324BC3" w:rsidRPr="008E04A3" w:rsidRDefault="00324BC3" w:rsidP="00324BC3">
      <w:pPr>
        <w:numPr>
          <w:ilvl w:val="0"/>
          <w:numId w:val="1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lastRenderedPageBreak/>
        <w:t>contratti di solidarietà</w:t>
      </w:r>
      <w:r w:rsidRPr="008E04A3">
        <w:rPr>
          <w:rFonts w:ascii="Arial" w:eastAsia="Times New Roman" w:hAnsi="Arial" w:cs="Arial"/>
          <w:sz w:val="24"/>
          <w:szCs w:val="24"/>
          <w:lang w:eastAsia="it-IT"/>
        </w:rPr>
        <w:t>, risalenti nel tempo e utilizzati in concreto a zero ore;</w:t>
      </w:r>
    </w:p>
    <w:p w:rsidR="00324BC3" w:rsidRPr="008E04A3" w:rsidRDefault="00324BC3" w:rsidP="00324BC3">
      <w:pPr>
        <w:numPr>
          <w:ilvl w:val="0"/>
          <w:numId w:val="1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assenza per permessi e congedi</w:t>
      </w:r>
      <w:r w:rsidRPr="008E04A3">
        <w:rPr>
          <w:rFonts w:ascii="Arial" w:eastAsia="Times New Roman" w:hAnsi="Arial" w:cs="Arial"/>
          <w:sz w:val="24"/>
          <w:szCs w:val="24"/>
          <w:lang w:eastAsia="it-IT"/>
        </w:rPr>
        <w:t> fruiti dal lavoratore, che sia coniuge convivente, genitore, figlio convivente, fratello o sorella convivente di soggetto con handicap in situazione di gravità;</w:t>
      </w:r>
    </w:p>
    <w:p w:rsidR="00324BC3" w:rsidRPr="008E04A3" w:rsidRDefault="00324BC3" w:rsidP="00324BC3">
      <w:pPr>
        <w:numPr>
          <w:ilvl w:val="0"/>
          <w:numId w:val="1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aspettativa non retribuita per funzioni pubbliche elettive o cariche sindacali</w:t>
      </w:r>
      <w:r w:rsidRPr="008E04A3">
        <w:rPr>
          <w:rFonts w:ascii="Arial" w:eastAsia="Times New Roman" w:hAnsi="Arial" w:cs="Arial"/>
          <w:sz w:val="24"/>
          <w:szCs w:val="24"/>
          <w:lang w:eastAsia="it-IT"/>
        </w:rPr>
        <w:t>, ai sensi dell'articolo 31 della legge 20 maggio 1970, n. 300.</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Non sono considerati utili i periodi di lavoro all’estero presso Stati con i quali l'Italia non ha stipulato accordi bilaterali in tema di assicurazione contro la disoccupazione.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Per la determinazione del quadriennio di verifica del requisito contributivo, i periodi non utili devono essere neutralizzati con conseguente ampliamento del quadriennio di riferimento.</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Per quanto riguarda </w:t>
      </w:r>
      <w:r w:rsidRPr="008E04A3">
        <w:rPr>
          <w:rFonts w:ascii="Arial" w:eastAsia="Times New Roman" w:hAnsi="Arial" w:cs="Arial"/>
          <w:b/>
          <w:bCs/>
          <w:sz w:val="24"/>
          <w:szCs w:val="24"/>
          <w:lang w:eastAsia="it-IT"/>
        </w:rPr>
        <w:t>i lavoratori con rapporto di lavoro in somministrazione, con contratto di lavoro intermittente e i lavoratori inseriti nelle procedure di riqualificazione professionale</w:t>
      </w:r>
      <w:r w:rsidRPr="008E04A3">
        <w:rPr>
          <w:rFonts w:ascii="Arial" w:eastAsia="Times New Roman" w:hAnsi="Arial" w:cs="Arial"/>
          <w:sz w:val="24"/>
          <w:szCs w:val="24"/>
          <w:lang w:eastAsia="it-IT"/>
        </w:rPr>
        <w:t xml:space="preserve">(d. </w:t>
      </w:r>
      <w:proofErr w:type="spellStart"/>
      <w:r w:rsidRPr="008E04A3">
        <w:rPr>
          <w:rFonts w:ascii="Arial" w:eastAsia="Times New Roman" w:hAnsi="Arial" w:cs="Arial"/>
          <w:sz w:val="24"/>
          <w:szCs w:val="24"/>
          <w:lang w:eastAsia="it-IT"/>
        </w:rPr>
        <w:t>lgs</w:t>
      </w:r>
      <w:proofErr w:type="spellEnd"/>
      <w:r w:rsidRPr="008E04A3">
        <w:rPr>
          <w:rFonts w:ascii="Arial" w:eastAsia="Times New Roman" w:hAnsi="Arial" w:cs="Arial"/>
          <w:sz w:val="24"/>
          <w:szCs w:val="24"/>
          <w:lang w:eastAsia="it-IT"/>
        </w:rPr>
        <w:t>. 15 giugno 2015, n. 81) - le cui attività lavorative sono caratterizzate da periodi di lavoro e di non lavoro con carattere di imprevedibilità, non riconducibile alla volontà dei lavoratori - i periodi di non lavoro non sono neutralizzati ai fini della ricerca del requisito contributivo (circolare INPS 27 novembre 2015, n. 194).</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b/>
          <w:bCs/>
          <w:sz w:val="24"/>
          <w:szCs w:val="24"/>
          <w:lang w:eastAsia="it-IT"/>
        </w:rPr>
        <w:t>Requisito lavorativo</w:t>
      </w:r>
      <w:r w:rsidRPr="008E04A3">
        <w:rPr>
          <w:rFonts w:ascii="Arial" w:eastAsia="Times New Roman" w:hAnsi="Arial" w:cs="Arial"/>
          <w:sz w:val="24"/>
          <w:szCs w:val="24"/>
          <w:lang w:eastAsia="it-IT"/>
        </w:rPr>
        <w:t> </w:t>
      </w:r>
      <w:r w:rsidRPr="008E04A3">
        <w:rPr>
          <w:rFonts w:ascii="Arial" w:eastAsia="Times New Roman" w:hAnsi="Arial" w:cs="Arial"/>
          <w:sz w:val="24"/>
          <w:szCs w:val="24"/>
          <w:lang w:eastAsia="it-IT"/>
        </w:rPr>
        <w:br/>
        <w:t>Sono necessarie almeno 30 giornate di lavoro effettivo nei 12 mesi che precedono l'inizio del periodo di disoccupazione. Le giornate di lavoro effettivo sono quelle di effettiva presenza al lavoro, a prescindere dalla loro durata oraria.</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b/>
          <w:bCs/>
          <w:sz w:val="24"/>
          <w:szCs w:val="24"/>
          <w:lang w:eastAsia="it-IT"/>
        </w:rPr>
        <w:t>Per i</w:t>
      </w:r>
      <w:r w:rsidRPr="008E04A3">
        <w:rPr>
          <w:rFonts w:ascii="Arial" w:eastAsia="Times New Roman" w:hAnsi="Arial" w:cs="Arial"/>
          <w:sz w:val="24"/>
          <w:szCs w:val="24"/>
          <w:lang w:eastAsia="it-IT"/>
        </w:rPr>
        <w:t> </w:t>
      </w:r>
      <w:r w:rsidRPr="008E04A3">
        <w:rPr>
          <w:rFonts w:ascii="Arial" w:eastAsia="Times New Roman" w:hAnsi="Arial" w:cs="Arial"/>
          <w:b/>
          <w:bCs/>
          <w:sz w:val="24"/>
          <w:szCs w:val="24"/>
          <w:lang w:eastAsia="it-IT"/>
        </w:rPr>
        <w:t>lavoratori addetti ai servizi domestici e familiari</w:t>
      </w:r>
      <w:r w:rsidRPr="008E04A3">
        <w:rPr>
          <w:rFonts w:ascii="Arial" w:eastAsia="Times New Roman" w:hAnsi="Arial" w:cs="Arial"/>
          <w:sz w:val="24"/>
          <w:szCs w:val="24"/>
          <w:lang w:eastAsia="it-IT"/>
        </w:rPr>
        <w:t>, per i quali non si conosce il numero di giornate effettivamente lavorate, la presenza al lavoro per almeno trenta giornate negli ultimi 12 mesi si determina con lo stesso sistema usato per l'accredito della contribuzione e per il pagamento delle prestazioni dei lavoratori domestici: la presenza di 5 settimane di contribuzione, considerate convenzionalmente di  6 giorni l'una, equivale a 30 giornate di lavoro.</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Tenuto conto che per l'accredito delle settimane si fa riferimento al trimestre solare e che per la copertura di una settimana sono necessarie 24 ore, le </w:t>
      </w:r>
      <w:r w:rsidRPr="008E04A3">
        <w:rPr>
          <w:rFonts w:ascii="Arial" w:eastAsia="Times New Roman" w:hAnsi="Arial" w:cs="Arial"/>
          <w:b/>
          <w:bCs/>
          <w:sz w:val="24"/>
          <w:szCs w:val="24"/>
          <w:lang w:eastAsia="it-IT"/>
        </w:rPr>
        <w:t>settimane accreditate nel trimestre</w:t>
      </w:r>
      <w:r w:rsidRPr="008E04A3">
        <w:rPr>
          <w:rFonts w:ascii="Arial" w:eastAsia="Times New Roman" w:hAnsi="Arial" w:cs="Arial"/>
          <w:sz w:val="24"/>
          <w:szCs w:val="24"/>
          <w:lang w:eastAsia="it-IT"/>
        </w:rPr>
        <w:t> si calcolano sommando tutte le ore di lavoro presenti nel trimestre e dividendole per 24: ad esempio, 80 ore lavorate nel trimestre/24 = 3,33 settimane di contribuzione, arrotondate a 4.</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Il requisito è soddisfatto quando, nei 12 mesi che precedono l'inizio del periodo di disoccupazione, il numero di settimane risultante dalla somma dei contributi settimanali riconosciuti per ciascun trimestre e versati dal datore di lavoro o dai datori di lavoro – se il lavoratore aveva in essere più rapporti – è pari almeno a 5.</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b/>
          <w:bCs/>
          <w:sz w:val="24"/>
          <w:szCs w:val="24"/>
          <w:lang w:eastAsia="it-IT"/>
        </w:rPr>
        <w:t>Per le altre categorie di lavoratori</w:t>
      </w:r>
      <w:r w:rsidRPr="008E04A3">
        <w:rPr>
          <w:rFonts w:ascii="Arial" w:eastAsia="Times New Roman" w:hAnsi="Arial" w:cs="Arial"/>
          <w:sz w:val="24"/>
          <w:szCs w:val="24"/>
          <w:lang w:eastAsia="it-IT"/>
        </w:rPr>
        <w:t>, per i quali non è possibile risalire al numero di giornate lavorate (</w:t>
      </w:r>
      <w:r w:rsidRPr="008E04A3">
        <w:rPr>
          <w:rFonts w:ascii="Arial" w:eastAsia="Times New Roman" w:hAnsi="Arial" w:cs="Arial"/>
          <w:b/>
          <w:bCs/>
          <w:sz w:val="24"/>
          <w:szCs w:val="24"/>
          <w:lang w:eastAsia="it-IT"/>
        </w:rPr>
        <w:t>lavoratori a domicilio </w:t>
      </w:r>
      <w:r w:rsidRPr="008E04A3">
        <w:rPr>
          <w:rFonts w:ascii="Arial" w:eastAsia="Times New Roman" w:hAnsi="Arial" w:cs="Arial"/>
          <w:sz w:val="24"/>
          <w:szCs w:val="24"/>
          <w:lang w:eastAsia="it-IT"/>
        </w:rPr>
        <w:t>e </w:t>
      </w:r>
      <w:r w:rsidRPr="008E04A3">
        <w:rPr>
          <w:rFonts w:ascii="Arial" w:eastAsia="Times New Roman" w:hAnsi="Arial" w:cs="Arial"/>
          <w:b/>
          <w:bCs/>
          <w:sz w:val="24"/>
          <w:szCs w:val="24"/>
          <w:lang w:eastAsia="it-IT"/>
        </w:rPr>
        <w:t>lavoratori con dati contributivi derivanti da formulari esteri</w:t>
      </w:r>
      <w:r w:rsidRPr="008E04A3">
        <w:rPr>
          <w:rFonts w:ascii="Arial" w:eastAsia="Times New Roman" w:hAnsi="Arial" w:cs="Arial"/>
          <w:sz w:val="24"/>
          <w:szCs w:val="24"/>
          <w:lang w:eastAsia="it-IT"/>
        </w:rPr>
        <w:t>), il requisito è soddisfatto in presenza di 5 settimane di contribuzione utile nei dodici mesi precedenti l'evento di cessazione.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Nel caso dei </w:t>
      </w:r>
      <w:r w:rsidRPr="008E04A3">
        <w:rPr>
          <w:rFonts w:ascii="Arial" w:eastAsia="Times New Roman" w:hAnsi="Arial" w:cs="Arial"/>
          <w:b/>
          <w:bCs/>
          <w:sz w:val="24"/>
          <w:szCs w:val="24"/>
          <w:lang w:eastAsia="it-IT"/>
        </w:rPr>
        <w:t>lavoratori agricoli</w:t>
      </w:r>
      <w:r w:rsidRPr="008E04A3">
        <w:rPr>
          <w:rFonts w:ascii="Arial" w:eastAsia="Times New Roman" w:hAnsi="Arial" w:cs="Arial"/>
          <w:sz w:val="24"/>
          <w:szCs w:val="24"/>
          <w:lang w:eastAsia="it-IT"/>
        </w:rPr>
        <w:t>, quando il numero delle giornate lavorate non risulta dagli archivi telematici o se questi non risultano ancora aggiornati, per la verifica delle 30 giornate di lavoro effettivo negli ultimi dodici mesi si farà ricorso alle buste paga del lavoratore.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Alcuni eventi, se si verificano o sono in corso nei 12 mesi che precedono la disoccupazione, determinano </w:t>
      </w:r>
      <w:r w:rsidRPr="008E04A3">
        <w:rPr>
          <w:rFonts w:ascii="Arial" w:eastAsia="Times New Roman" w:hAnsi="Arial" w:cs="Arial"/>
          <w:b/>
          <w:bCs/>
          <w:sz w:val="24"/>
          <w:szCs w:val="24"/>
          <w:lang w:eastAsia="it-IT"/>
        </w:rPr>
        <w:t>l'ampliamento del periodo di 12 mesi</w:t>
      </w:r>
      <w:r w:rsidRPr="008E04A3">
        <w:rPr>
          <w:rFonts w:ascii="Arial" w:eastAsia="Times New Roman" w:hAnsi="Arial" w:cs="Arial"/>
          <w:sz w:val="24"/>
          <w:szCs w:val="24"/>
          <w:lang w:eastAsia="it-IT"/>
        </w:rPr>
        <w:t> all'interno del quale ricercare il requisito delle 30 giornate. Tali eventi sono:</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malattia e infortunio sul lavoro;</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cassa integrazione straordinaria e ordinaria con sospensione dell'attività a zero ore;</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periodi interessati da contratti di solidarietà, risalenti nel tempo e utilizzati in concreto a zero ore;</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assenze per congedi e permessi fruiti dal lavoratore, che sia coniuge convivente, genitore, figlio convivente, fratello o sorella convivente di soggetto con handicap in situazione di gravità;</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periodi di assenza dal lavoro per congedo obbligatorio di maternità, purché, all'inizio dell'astensione, risulti già versata o dovuta contribuzione;</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periodi di assenza per congedo parentale, purché regolarmente indennizzati ed intervenuti in costanza di rapporto di lavoro;</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periodi di percezione dell'indennità di disponibilità e quelli durante i quali il lavoratore, in somministrazione con contratto di lavoro a tempo indeterminato, è inserito nelle procedure di riqualificazione;</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periodi di fruizione di aspettativa non retribuita per motivi politici e sindacali, prevista dall'articolo 31 della legge n. 300 del 1970;</w:t>
      </w:r>
    </w:p>
    <w:p w:rsidR="00324BC3" w:rsidRPr="008E04A3" w:rsidRDefault="00324BC3" w:rsidP="00324BC3">
      <w:pPr>
        <w:numPr>
          <w:ilvl w:val="0"/>
          <w:numId w:val="1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periodi di lavoro all'estero presso stati con i quali l'Italia non ha stipulato accordi bilaterali in tema di assicurazione contro la disoccupazione.</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domanda deve essere presentata all'INPS </w:t>
      </w:r>
      <w:r w:rsidRPr="008E04A3">
        <w:rPr>
          <w:rFonts w:ascii="Arial" w:eastAsia="Times New Roman" w:hAnsi="Arial" w:cs="Arial"/>
          <w:b/>
          <w:bCs/>
          <w:sz w:val="24"/>
          <w:szCs w:val="24"/>
          <w:lang w:eastAsia="it-IT"/>
        </w:rPr>
        <w:t>esclusivamente in via telematica</w:t>
      </w:r>
      <w:r w:rsidRPr="008E04A3">
        <w:rPr>
          <w:rFonts w:ascii="Arial" w:eastAsia="Times New Roman" w:hAnsi="Arial" w:cs="Arial"/>
          <w:sz w:val="24"/>
          <w:szCs w:val="24"/>
          <w:lang w:eastAsia="it-IT"/>
        </w:rPr>
        <w:t> e a pena di decadenza entro 68 giorni, che decorrono:</w:t>
      </w:r>
    </w:p>
    <w:p w:rsidR="00324BC3" w:rsidRPr="008E04A3" w:rsidRDefault="00324BC3" w:rsidP="00324BC3">
      <w:pPr>
        <w:numPr>
          <w:ilvl w:val="0"/>
          <w:numId w:val="1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dalla data di cessazione del rapporto di lavoro;</w:t>
      </w:r>
    </w:p>
    <w:p w:rsidR="00324BC3" w:rsidRPr="008E04A3" w:rsidRDefault="00324BC3" w:rsidP="00324BC3">
      <w:pPr>
        <w:numPr>
          <w:ilvl w:val="0"/>
          <w:numId w:val="1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dalla cessazione del periodo di maternità indennizzato qualora la maternità sia insorta nel corso del rapporto di lavoro successivamente cessato;</w:t>
      </w:r>
    </w:p>
    <w:p w:rsidR="00324BC3" w:rsidRPr="008E04A3" w:rsidRDefault="00324BC3" w:rsidP="00324BC3">
      <w:pPr>
        <w:numPr>
          <w:ilvl w:val="0"/>
          <w:numId w:val="1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dalla cessazione del periodo di malattia indennizzato o di infortunio sul lavoro/malattia professionale, qualora siano insorti nel corso del rapporto di lavoro successivamente cessato;</w:t>
      </w:r>
    </w:p>
    <w:p w:rsidR="00324BC3" w:rsidRPr="008E04A3" w:rsidRDefault="00324BC3" w:rsidP="00324BC3">
      <w:pPr>
        <w:numPr>
          <w:ilvl w:val="0"/>
          <w:numId w:val="1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dalla definizione della vertenza sindacale o dalla data di notifica della sentenza giudiziaria;</w:t>
      </w:r>
    </w:p>
    <w:p w:rsidR="00324BC3" w:rsidRPr="008E04A3" w:rsidRDefault="00324BC3" w:rsidP="00324BC3">
      <w:pPr>
        <w:numPr>
          <w:ilvl w:val="0"/>
          <w:numId w:val="1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dalla cessazione del periodo corrispondente all'indennità di mancato preavviso ragguagliato a giornate;</w:t>
      </w:r>
    </w:p>
    <w:p w:rsidR="00324BC3" w:rsidRPr="008E04A3" w:rsidRDefault="00324BC3" w:rsidP="00324BC3">
      <w:pPr>
        <w:numPr>
          <w:ilvl w:val="0"/>
          <w:numId w:val="1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 trentottesimo giorno dopo la data di cessazione, in caso di licenziamento per giusta causa.</w:t>
      </w:r>
    </w:p>
    <w:p w:rsidR="00324BC3" w:rsidRPr="008E04A3" w:rsidRDefault="00324BC3" w:rsidP="00324BC3">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Il termine per la presentazione della domanda è sospeso nei seguenti casi:</w:t>
      </w:r>
    </w:p>
    <w:p w:rsidR="00324BC3" w:rsidRPr="008E04A3" w:rsidRDefault="00324BC3" w:rsidP="00324BC3">
      <w:pPr>
        <w:numPr>
          <w:ilvl w:val="0"/>
          <w:numId w:val="1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in caso di </w:t>
      </w:r>
      <w:r w:rsidRPr="008E04A3">
        <w:rPr>
          <w:rFonts w:ascii="Arial" w:eastAsia="Times New Roman" w:hAnsi="Arial" w:cs="Arial"/>
          <w:b/>
          <w:bCs/>
          <w:sz w:val="24"/>
          <w:szCs w:val="24"/>
          <w:lang w:eastAsia="it-IT"/>
        </w:rPr>
        <w:t>maternità indennizzabile insorta entro i 68 giorni dalla data di cessazione del rapporto di lavoro</w:t>
      </w:r>
      <w:r w:rsidRPr="008E04A3">
        <w:rPr>
          <w:rFonts w:ascii="Arial" w:eastAsia="Times New Roman" w:hAnsi="Arial" w:cs="Arial"/>
          <w:sz w:val="24"/>
          <w:szCs w:val="24"/>
          <w:lang w:eastAsia="it-IT"/>
        </w:rPr>
        <w:t> Il termine è sospeso per un periodo pari alla durata dell’evento di maternità indennizzato e riprende a decorrere per la parte residua al termine del predetto evento;</w:t>
      </w:r>
    </w:p>
    <w:p w:rsidR="00324BC3" w:rsidRPr="008E04A3" w:rsidRDefault="00324BC3" w:rsidP="00324BC3">
      <w:pPr>
        <w:numPr>
          <w:ilvl w:val="0"/>
          <w:numId w:val="1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in caso di </w:t>
      </w:r>
      <w:r w:rsidRPr="008E04A3">
        <w:rPr>
          <w:rFonts w:ascii="Arial" w:eastAsia="Times New Roman" w:hAnsi="Arial" w:cs="Arial"/>
          <w:b/>
          <w:bCs/>
          <w:sz w:val="24"/>
          <w:szCs w:val="24"/>
          <w:lang w:eastAsia="it-IT"/>
        </w:rPr>
        <w:t>malattia comune indennizzabile da parte dell’INPS o di infortunio sul lavoro/malattia professionale indennizzabile da parte dell’INAIL, insorti entro i 60 giorni dalla data di cessazione del rapporto di lavoro a tempo indeterminato</w:t>
      </w:r>
      <w:r w:rsidRPr="008E04A3">
        <w:rPr>
          <w:rFonts w:ascii="Arial" w:eastAsia="Times New Roman" w:hAnsi="Arial" w:cs="Arial"/>
          <w:sz w:val="24"/>
          <w:szCs w:val="24"/>
          <w:lang w:eastAsia="it-IT"/>
        </w:rPr>
        <w:t>, il termine  è sospeso per la durata della malattia o dell’infortunio e riprende a decorrere per la parte residua al termine della malattia o dell’infortunio</w:t>
      </w:r>
    </w:p>
    <w:p w:rsidR="00E56E19" w:rsidRPr="008E04A3" w:rsidRDefault="00E56E19"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DIS-COLL</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L’articolo 15, decreto legislativo 4 marzo 2015, n. 22, ha istituito, in via sperimentale per l’anno 2015, in relazione agli eventi di disoccupazione verificatisi dal 1° gennaio al 31 dicembre 2015, l’indennità di disoccupazione mensile, denominata DIS-COLL, in favore dei </w:t>
      </w:r>
      <w:r w:rsidRPr="008E04A3">
        <w:rPr>
          <w:rFonts w:ascii="Arial" w:eastAsia="Times New Roman" w:hAnsi="Arial" w:cs="Arial"/>
          <w:b/>
          <w:bCs/>
          <w:sz w:val="24"/>
          <w:szCs w:val="24"/>
          <w:lang w:eastAsia="it-IT"/>
        </w:rPr>
        <w:t>collaboratori coordinati e continuativi</w:t>
      </w:r>
      <w:r w:rsidRPr="008E04A3">
        <w:rPr>
          <w:rFonts w:ascii="Arial" w:eastAsia="Times New Roman" w:hAnsi="Arial" w:cs="Arial"/>
          <w:sz w:val="24"/>
          <w:szCs w:val="24"/>
          <w:lang w:eastAsia="it-IT"/>
        </w:rPr>
        <w:t>, </w:t>
      </w:r>
      <w:r w:rsidRPr="008E04A3">
        <w:rPr>
          <w:rFonts w:ascii="Arial" w:eastAsia="Times New Roman" w:hAnsi="Arial" w:cs="Arial"/>
          <w:b/>
          <w:bCs/>
          <w:sz w:val="24"/>
          <w:szCs w:val="24"/>
          <w:lang w:eastAsia="it-IT"/>
        </w:rPr>
        <w:t>anche a progetto</w:t>
      </w:r>
      <w:r w:rsidRPr="008E04A3">
        <w:rPr>
          <w:rFonts w:ascii="Arial" w:eastAsia="Times New Roman" w:hAnsi="Arial" w:cs="Arial"/>
          <w:sz w:val="24"/>
          <w:szCs w:val="24"/>
          <w:lang w:eastAsia="it-IT"/>
        </w:rPr>
        <w:t>, che abbiano perduto involontariamente la propria occupazione.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 xml:space="preserve">Successivamente, con ulteriori interventi normativi (articolo 1, comma 310, legge 28 dicembre 2015, n. 208 e articolo 3, comma 3 </w:t>
      </w:r>
      <w:proofErr w:type="spellStart"/>
      <w:r w:rsidRPr="008E04A3">
        <w:rPr>
          <w:rFonts w:ascii="Arial" w:eastAsia="Times New Roman" w:hAnsi="Arial" w:cs="Arial"/>
          <w:sz w:val="24"/>
          <w:szCs w:val="24"/>
          <w:lang w:eastAsia="it-IT"/>
        </w:rPr>
        <w:t>octies</w:t>
      </w:r>
      <w:proofErr w:type="spellEnd"/>
      <w:r w:rsidRPr="008E04A3">
        <w:rPr>
          <w:rFonts w:ascii="Arial" w:eastAsia="Times New Roman" w:hAnsi="Arial" w:cs="Arial"/>
          <w:sz w:val="24"/>
          <w:szCs w:val="24"/>
          <w:lang w:eastAsia="it-IT"/>
        </w:rPr>
        <w:t>, decreto-legge 30 dicembre 2016, n. 244 convertito, con modificazioni, dalla legge 27 febbraio 2017, n. 19) il legislatore ha esteso la tutela rispettivamente agli eventi di disoccupazione verificatisi a far data dal 1° gennaio al 31 dicembre 2016 e dal 1° gennaio al 30 giugno 2017.</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Infine l’articolo 7, legge 22 maggio 2017, n. 81, ha disposto, attraverso la modifica e integrazione dell’articolo 15 del modificato d.lgs. 22/2015, </w:t>
      </w:r>
      <w:r w:rsidRPr="008E04A3">
        <w:rPr>
          <w:rFonts w:ascii="Arial" w:eastAsia="Times New Roman" w:hAnsi="Arial" w:cs="Arial"/>
          <w:b/>
          <w:bCs/>
          <w:sz w:val="24"/>
          <w:szCs w:val="24"/>
          <w:lang w:eastAsia="it-IT"/>
        </w:rPr>
        <w:t>la stabilizzazione e l’estensione</w:t>
      </w:r>
      <w:r w:rsidRPr="008E04A3">
        <w:rPr>
          <w:rFonts w:ascii="Arial" w:eastAsia="Times New Roman" w:hAnsi="Arial" w:cs="Arial"/>
          <w:sz w:val="24"/>
          <w:szCs w:val="24"/>
          <w:lang w:eastAsia="it-IT"/>
        </w:rPr>
        <w:t xml:space="preserve"> dell’indennità di disoccupazione per i lavoratori con rapporto di collaborazione coordinata e continuativa </w:t>
      </w:r>
      <w:proofErr w:type="spellStart"/>
      <w:r w:rsidRPr="008E04A3">
        <w:rPr>
          <w:rFonts w:ascii="Arial" w:eastAsia="Times New Roman" w:hAnsi="Arial" w:cs="Arial"/>
          <w:sz w:val="24"/>
          <w:szCs w:val="24"/>
          <w:lang w:eastAsia="it-IT"/>
        </w:rPr>
        <w:t>DIS-COLL</w:t>
      </w:r>
      <w:proofErr w:type="spellEnd"/>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In particolare l’articolo 15, comma 15, del modificato d.lgs. 22/2015, ha previsto che a decorrere dal 1° luglio 2017 l’indennità DIS-COLL sia riconosciuta ai collaboratori coordinati e continuativi, anche a progetto, nonché </w:t>
      </w:r>
      <w:r w:rsidRPr="008E04A3">
        <w:rPr>
          <w:rFonts w:ascii="Arial" w:eastAsia="Times New Roman" w:hAnsi="Arial" w:cs="Arial"/>
          <w:b/>
          <w:bCs/>
          <w:sz w:val="24"/>
          <w:szCs w:val="24"/>
          <w:lang w:eastAsia="it-IT"/>
        </w:rPr>
        <w:t>agli assegnisti e ai dottorandi di ricerca con borsa di studio </w:t>
      </w:r>
      <w:r w:rsidRPr="008E04A3">
        <w:rPr>
          <w:rFonts w:ascii="Arial" w:eastAsia="Times New Roman" w:hAnsi="Arial" w:cs="Arial"/>
          <w:sz w:val="24"/>
          <w:szCs w:val="24"/>
          <w:lang w:eastAsia="it-IT"/>
        </w:rPr>
        <w:t>in relazione agli eventi di disoccupazione verificatisi a decorrere dalla data del 1° luglio 2017.</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Il medesimo comma 15 bis ha inoltre disposto che a decorrere dal 1° luglio 2017 per </w:t>
      </w:r>
      <w:r w:rsidRPr="008E04A3">
        <w:rPr>
          <w:rFonts w:ascii="Arial" w:eastAsia="Times New Roman" w:hAnsi="Arial" w:cs="Arial"/>
          <w:b/>
          <w:bCs/>
          <w:sz w:val="24"/>
          <w:szCs w:val="24"/>
          <w:lang w:eastAsia="it-IT"/>
        </w:rPr>
        <w:t>i collaboratori, gli assegnisti e i dottorandi di ricerca con borsa di studio</w:t>
      </w:r>
      <w:r w:rsidRPr="008E04A3">
        <w:rPr>
          <w:rFonts w:ascii="Arial" w:eastAsia="Times New Roman" w:hAnsi="Arial" w:cs="Arial"/>
          <w:sz w:val="24"/>
          <w:szCs w:val="24"/>
          <w:lang w:eastAsia="it-IT"/>
        </w:rPr>
        <w:t> che hanno diritto di percepire la DIS-COLL, nonché per </w:t>
      </w:r>
      <w:r w:rsidRPr="008E04A3">
        <w:rPr>
          <w:rFonts w:ascii="Arial" w:eastAsia="Times New Roman" w:hAnsi="Arial" w:cs="Arial"/>
          <w:b/>
          <w:bCs/>
          <w:sz w:val="24"/>
          <w:szCs w:val="24"/>
          <w:lang w:eastAsia="it-IT"/>
        </w:rPr>
        <w:t>gli amministratori e i sindaci</w:t>
      </w:r>
      <w:r w:rsidRPr="008E04A3">
        <w:rPr>
          <w:rFonts w:ascii="Arial" w:eastAsia="Times New Roman" w:hAnsi="Arial" w:cs="Arial"/>
          <w:sz w:val="24"/>
          <w:szCs w:val="24"/>
          <w:lang w:eastAsia="it-IT"/>
        </w:rPr>
        <w:t> di cui al comma 1 dell’articolo 15 del modificato d.lgs. 22/2015, è dovuta un'aliquota contributiva aggiuntiva pari allo 0,51%.</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di disoccupazione DIS-COLL spetta ai </w:t>
      </w:r>
      <w:r w:rsidRPr="008E04A3">
        <w:rPr>
          <w:rFonts w:ascii="Arial" w:eastAsia="Times New Roman" w:hAnsi="Arial" w:cs="Arial"/>
          <w:b/>
          <w:bCs/>
          <w:sz w:val="24"/>
          <w:szCs w:val="24"/>
          <w:lang w:eastAsia="it-IT"/>
        </w:rPr>
        <w:t>collaboratori coordinati e continuativi</w:t>
      </w:r>
      <w:r w:rsidRPr="008E04A3">
        <w:rPr>
          <w:rFonts w:ascii="Arial" w:eastAsia="Times New Roman" w:hAnsi="Arial" w:cs="Arial"/>
          <w:sz w:val="24"/>
          <w:szCs w:val="24"/>
          <w:lang w:eastAsia="it-IT"/>
        </w:rPr>
        <w:t>, anche a progetto, che hanno perso involontariamente l’occupazione dal 1° gennaio 2015 e che sono iscritti in via esclusiva alla Gestione Separata presso l’INPS. A partire dal 1° luglio 2017 il beneficio è stato esteso anche </w:t>
      </w:r>
      <w:r w:rsidRPr="008E04A3">
        <w:rPr>
          <w:rFonts w:ascii="Arial" w:eastAsia="Times New Roman" w:hAnsi="Arial" w:cs="Arial"/>
          <w:b/>
          <w:bCs/>
          <w:sz w:val="24"/>
          <w:szCs w:val="24"/>
          <w:lang w:eastAsia="it-IT"/>
        </w:rPr>
        <w:t>agli assegnisti e ai dottorandi di ricerca con borsa di studio</w:t>
      </w:r>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w:t>
      </w:r>
      <w:r w:rsidRPr="008E04A3">
        <w:rPr>
          <w:rFonts w:ascii="Arial" w:eastAsia="Times New Roman" w:hAnsi="Arial" w:cs="Arial"/>
          <w:b/>
          <w:bCs/>
          <w:sz w:val="24"/>
          <w:szCs w:val="24"/>
          <w:lang w:eastAsia="it-IT"/>
        </w:rPr>
        <w:t>non spetta</w:t>
      </w:r>
      <w:r w:rsidRPr="008E04A3">
        <w:rPr>
          <w:rFonts w:ascii="Arial" w:eastAsia="Times New Roman" w:hAnsi="Arial" w:cs="Arial"/>
          <w:sz w:val="24"/>
          <w:szCs w:val="24"/>
          <w:lang w:eastAsia="it-IT"/>
        </w:rPr>
        <w:t> a:</w:t>
      </w:r>
    </w:p>
    <w:p w:rsidR="00672727" w:rsidRPr="008E04A3" w:rsidRDefault="00672727" w:rsidP="00672727">
      <w:pPr>
        <w:numPr>
          <w:ilvl w:val="0"/>
          <w:numId w:val="2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collaboratori titolari di pensione;</w:t>
      </w:r>
    </w:p>
    <w:p w:rsidR="00672727" w:rsidRPr="008E04A3" w:rsidRDefault="00672727" w:rsidP="00672727">
      <w:pPr>
        <w:numPr>
          <w:ilvl w:val="0"/>
          <w:numId w:val="2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titolari di partita IVA;</w:t>
      </w:r>
    </w:p>
    <w:p w:rsidR="00672727" w:rsidRPr="008E04A3" w:rsidRDefault="00672727" w:rsidP="00672727">
      <w:pPr>
        <w:numPr>
          <w:ilvl w:val="0"/>
          <w:numId w:val="2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amministratori e sindaci;</w:t>
      </w:r>
    </w:p>
    <w:p w:rsidR="00672727" w:rsidRPr="008E04A3" w:rsidRDefault="00672727" w:rsidP="00672727">
      <w:pPr>
        <w:numPr>
          <w:ilvl w:val="0"/>
          <w:numId w:val="2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revisori di società;</w:t>
      </w:r>
    </w:p>
    <w:p w:rsidR="00672727" w:rsidRPr="008E04A3" w:rsidRDefault="00672727" w:rsidP="00672727">
      <w:pPr>
        <w:numPr>
          <w:ilvl w:val="0"/>
          <w:numId w:val="2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associazioni e altri enti con o senza personalità giuridica.</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di disoccupazione DIS-COLL spetta:</w:t>
      </w:r>
    </w:p>
    <w:p w:rsidR="00672727" w:rsidRPr="008E04A3" w:rsidRDefault="00672727" w:rsidP="00672727">
      <w:pPr>
        <w:numPr>
          <w:ilvl w:val="0"/>
          <w:numId w:val="2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dall'ottavo giorno successivo alla cessazione del rapporto di collaborazione/assegno di ricerca/dottorato di ricerca con borsa di studio, se la domanda è presentata entro l'ottavo giorno;</w:t>
      </w:r>
    </w:p>
    <w:p w:rsidR="00672727" w:rsidRPr="008E04A3" w:rsidRDefault="00672727" w:rsidP="00672727">
      <w:pPr>
        <w:numPr>
          <w:ilvl w:val="0"/>
          <w:numId w:val="2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 giorno successivo alla presentazione della domanda, se è presentata oltre l'ottavo giorno successivo alla cessazione;</w:t>
      </w:r>
    </w:p>
    <w:p w:rsidR="00672727" w:rsidRPr="008E04A3" w:rsidRDefault="00672727" w:rsidP="00672727">
      <w:pPr>
        <w:numPr>
          <w:ilvl w:val="0"/>
          <w:numId w:val="2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dall'ottavo giorno successivo alla fine del periodo di maternità o di degenza ospedaliera, se la domanda è presentata durante il periodo di maternità o degenza ospedaliera indennizzati;</w:t>
      </w:r>
    </w:p>
    <w:p w:rsidR="00672727" w:rsidRPr="008E04A3" w:rsidRDefault="00672727" w:rsidP="00672727">
      <w:pPr>
        <w:numPr>
          <w:ilvl w:val="0"/>
          <w:numId w:val="2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dal giorno successivo alla presentazione della domanda, se è presentata dopo il termine del periodo di maternità o di degenza ospedaliera ma comunque entro i termini di legge.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Con riferimento alla </w:t>
      </w:r>
      <w:r w:rsidRPr="008E04A3">
        <w:rPr>
          <w:rFonts w:ascii="Arial" w:eastAsia="Times New Roman" w:hAnsi="Arial" w:cs="Arial"/>
          <w:b/>
          <w:bCs/>
          <w:sz w:val="24"/>
          <w:szCs w:val="24"/>
          <w:lang w:eastAsia="it-IT"/>
        </w:rPr>
        <w:t>tutela previdenziale della malattia</w:t>
      </w:r>
      <w:r w:rsidRPr="008E04A3">
        <w:rPr>
          <w:rFonts w:ascii="Arial" w:eastAsia="Times New Roman" w:hAnsi="Arial" w:cs="Arial"/>
          <w:sz w:val="24"/>
          <w:szCs w:val="24"/>
          <w:lang w:eastAsia="it-IT"/>
        </w:rPr>
        <w:t> di cui all’articolo 1, comma 788, legge 27 dicembre 2006, n. 296 si rinvia a quanto già specificato nella </w:t>
      </w:r>
      <w:hyperlink r:id="rId7" w:history="1">
        <w:r w:rsidRPr="008E04A3">
          <w:rPr>
            <w:rFonts w:ascii="Arial" w:eastAsia="Times New Roman" w:hAnsi="Arial" w:cs="Arial"/>
            <w:color w:val="49535D"/>
            <w:sz w:val="24"/>
            <w:szCs w:val="24"/>
            <w:lang w:eastAsia="it-IT"/>
          </w:rPr>
          <w:t xml:space="preserve">circolare INPS 16 </w:t>
        </w:r>
        <w:r w:rsidRPr="008E04A3">
          <w:rPr>
            <w:rFonts w:ascii="Arial" w:eastAsia="Times New Roman" w:hAnsi="Arial" w:cs="Arial"/>
            <w:color w:val="49535D"/>
            <w:sz w:val="24"/>
            <w:szCs w:val="24"/>
            <w:lang w:eastAsia="it-IT"/>
          </w:rPr>
          <w:lastRenderedPageBreak/>
          <w:t>aprile 2007, n. 76</w:t>
        </w:r>
      </w:hyperlink>
      <w:r w:rsidRPr="008E04A3">
        <w:rPr>
          <w:rFonts w:ascii="Arial" w:eastAsia="Times New Roman" w:hAnsi="Arial" w:cs="Arial"/>
          <w:sz w:val="24"/>
          <w:szCs w:val="24"/>
          <w:lang w:eastAsia="it-IT"/>
        </w:rPr>
        <w:t> in merito alla necessaria sussistenza del rapporto di lavoro ancora in corso di validità nel periodo dell’evento di malattia ai fini dell’</w:t>
      </w:r>
      <w:proofErr w:type="spellStart"/>
      <w:r w:rsidRPr="008E04A3">
        <w:rPr>
          <w:rFonts w:ascii="Arial" w:eastAsia="Times New Roman" w:hAnsi="Arial" w:cs="Arial"/>
          <w:sz w:val="24"/>
          <w:szCs w:val="24"/>
          <w:lang w:eastAsia="it-IT"/>
        </w:rPr>
        <w:t>indennizzabilità</w:t>
      </w:r>
      <w:proofErr w:type="spellEnd"/>
      <w:r w:rsidRPr="008E04A3">
        <w:rPr>
          <w:rFonts w:ascii="Arial" w:eastAsia="Times New Roman" w:hAnsi="Arial" w:cs="Arial"/>
          <w:sz w:val="24"/>
          <w:szCs w:val="24"/>
          <w:lang w:eastAsia="it-IT"/>
        </w:rPr>
        <w:t xml:space="preserve"> della prestazione di malattia. Pertanto gli eventi di malattia insorti durante il rapporto di collaborazione/assegno di ricerca/dottorato di ricerca con borsa di studio e proseguiti oltre la cessazione di quest’ultimo nonché quelli insorti dopo la cessazione del rapporto di collaborazione/assegno di ricerca/dottorato di ricerca con borsa di studio</w:t>
      </w:r>
      <w:r w:rsidRPr="008E04A3">
        <w:rPr>
          <w:rFonts w:ascii="Arial" w:eastAsia="Times New Roman" w:hAnsi="Arial" w:cs="Arial"/>
          <w:b/>
          <w:bCs/>
          <w:sz w:val="24"/>
          <w:szCs w:val="24"/>
          <w:lang w:eastAsia="it-IT"/>
        </w:rPr>
        <w:t> non determinano</w:t>
      </w:r>
      <w:r w:rsidRPr="008E04A3">
        <w:rPr>
          <w:rFonts w:ascii="Arial" w:eastAsia="Times New Roman" w:hAnsi="Arial" w:cs="Arial"/>
          <w:sz w:val="24"/>
          <w:szCs w:val="24"/>
          <w:lang w:eastAsia="it-IT"/>
        </w:rPr>
        <w:t> </w:t>
      </w:r>
      <w:r w:rsidRPr="008E04A3">
        <w:rPr>
          <w:rFonts w:ascii="Arial" w:eastAsia="Times New Roman" w:hAnsi="Arial" w:cs="Arial"/>
          <w:b/>
          <w:bCs/>
          <w:sz w:val="24"/>
          <w:szCs w:val="24"/>
          <w:lang w:eastAsia="it-IT"/>
        </w:rPr>
        <w:t xml:space="preserve">né slittamento né </w:t>
      </w:r>
      <w:proofErr w:type="spellStart"/>
      <w:r w:rsidRPr="008E04A3">
        <w:rPr>
          <w:rFonts w:ascii="Arial" w:eastAsia="Times New Roman" w:hAnsi="Arial" w:cs="Arial"/>
          <w:b/>
          <w:bCs/>
          <w:sz w:val="24"/>
          <w:szCs w:val="24"/>
          <w:lang w:eastAsia="it-IT"/>
        </w:rPr>
        <w:t>sospensione</w:t>
      </w:r>
      <w:r w:rsidRPr="008E04A3">
        <w:rPr>
          <w:rFonts w:ascii="Arial" w:eastAsia="Times New Roman" w:hAnsi="Arial" w:cs="Arial"/>
          <w:sz w:val="24"/>
          <w:szCs w:val="24"/>
          <w:lang w:eastAsia="it-IT"/>
        </w:rPr>
        <w:t>del</w:t>
      </w:r>
      <w:proofErr w:type="spellEnd"/>
      <w:r w:rsidRPr="008E04A3">
        <w:rPr>
          <w:rFonts w:ascii="Arial" w:eastAsia="Times New Roman" w:hAnsi="Arial" w:cs="Arial"/>
          <w:sz w:val="24"/>
          <w:szCs w:val="24"/>
          <w:lang w:eastAsia="it-IT"/>
        </w:rPr>
        <w:t xml:space="preserve"> termine di presentazione della domanda di indennità DIS-COLL e non incidono sulla decorrenza della indennità </w:t>
      </w:r>
      <w:proofErr w:type="spellStart"/>
      <w:r w:rsidRPr="008E04A3">
        <w:rPr>
          <w:rFonts w:ascii="Arial" w:eastAsia="Times New Roman" w:hAnsi="Arial" w:cs="Arial"/>
          <w:sz w:val="24"/>
          <w:szCs w:val="24"/>
          <w:lang w:eastAsia="it-IT"/>
        </w:rPr>
        <w:t>DIS-COLL</w:t>
      </w:r>
      <w:proofErr w:type="spellEnd"/>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  La DIS-COLL è corrisposta mensilmente per un numero di mesi pari alla </w:t>
      </w:r>
      <w:r w:rsidRPr="008E04A3">
        <w:rPr>
          <w:rFonts w:ascii="Arial" w:eastAsia="Times New Roman" w:hAnsi="Arial" w:cs="Arial"/>
          <w:b/>
          <w:bCs/>
          <w:sz w:val="24"/>
          <w:szCs w:val="24"/>
          <w:lang w:eastAsia="it-IT"/>
        </w:rPr>
        <w:t>metà dei mesi di contribuzione </w:t>
      </w:r>
      <w:r w:rsidRPr="008E04A3">
        <w:rPr>
          <w:rFonts w:ascii="Arial" w:eastAsia="Times New Roman" w:hAnsi="Arial" w:cs="Arial"/>
          <w:sz w:val="24"/>
          <w:szCs w:val="24"/>
          <w:lang w:eastAsia="it-IT"/>
        </w:rPr>
        <w:t>presenti nel periodo compreso tra il 1° gennaio dell’anno civile precedente l’evento di cessazione del rapporto di collaborazione e l’evento stesso.</w:t>
      </w:r>
      <w:r w:rsidRPr="008E04A3">
        <w:rPr>
          <w:rFonts w:ascii="Arial" w:eastAsia="Times New Roman" w:hAnsi="Arial" w:cs="Arial"/>
          <w:sz w:val="24"/>
          <w:szCs w:val="24"/>
          <w:lang w:eastAsia="it-IT"/>
        </w:rPr>
        <w:br/>
        <w:t>Ai soli fini della durata non sono computati i periodi contributivi che hanno già dato luogo a erogazione della prestazione. In ogni caso, la prestazione DIS-COLL può essere corrisposta per una durata massima di </w:t>
      </w:r>
      <w:r w:rsidRPr="008E04A3">
        <w:rPr>
          <w:rFonts w:ascii="Arial" w:eastAsia="Times New Roman" w:hAnsi="Arial" w:cs="Arial"/>
          <w:b/>
          <w:bCs/>
          <w:sz w:val="24"/>
          <w:szCs w:val="24"/>
          <w:lang w:eastAsia="it-IT"/>
        </w:rPr>
        <w:t>sei mesi</w:t>
      </w:r>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Qualora la prestazione sia fruita parzialmente, in occasione della presentazione di una nuova domanda di DIS-COLL non saranno computati ai fini del calcolo della durata un numero di mesi di contribuzione pari al </w:t>
      </w:r>
      <w:r w:rsidRPr="008E04A3">
        <w:rPr>
          <w:rFonts w:ascii="Arial" w:eastAsia="Times New Roman" w:hAnsi="Arial" w:cs="Arial"/>
          <w:b/>
          <w:bCs/>
          <w:sz w:val="24"/>
          <w:szCs w:val="24"/>
          <w:lang w:eastAsia="it-IT"/>
        </w:rPr>
        <w:t>doppio dei mesi </w:t>
      </w:r>
      <w:r w:rsidRPr="008E04A3">
        <w:rPr>
          <w:rFonts w:ascii="Arial" w:eastAsia="Times New Roman" w:hAnsi="Arial" w:cs="Arial"/>
          <w:sz w:val="24"/>
          <w:szCs w:val="24"/>
          <w:lang w:eastAsia="it-IT"/>
        </w:rPr>
        <w:t>di prestazione fruiti.</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virtù dell’indirizzo reso dal </w:t>
      </w:r>
      <w:r w:rsidRPr="008E04A3">
        <w:rPr>
          <w:rFonts w:ascii="Arial" w:eastAsia="Times New Roman" w:hAnsi="Arial" w:cs="Arial"/>
          <w:b/>
          <w:bCs/>
          <w:sz w:val="24"/>
          <w:szCs w:val="24"/>
          <w:lang w:eastAsia="it-IT"/>
        </w:rPr>
        <w:t>Ministero del Lavoro e delle Politiche Sociali</w:t>
      </w:r>
      <w:r w:rsidRPr="008E04A3">
        <w:rPr>
          <w:rFonts w:ascii="Arial" w:eastAsia="Times New Roman" w:hAnsi="Arial" w:cs="Arial"/>
          <w:sz w:val="24"/>
          <w:szCs w:val="24"/>
          <w:lang w:eastAsia="it-IT"/>
        </w:rPr>
        <w:t> con nota del 21 aprile 2015, esclusivamente ai fini del calcolo della misura e della durata della prestazione, per “mesi di contribuzione o frazione di essi” si intendono i mesi o le frazioni di mese di durata del rapporto o dei rapporti di collaborazione. Così operando, ai fini della determinazione della durata della prestazione è possibile prendere a riferimento anche le singole frazioni di mese.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fruizione dell’indennità DIS-COLL non dà diritto alla </w:t>
      </w:r>
      <w:r w:rsidRPr="008E04A3">
        <w:rPr>
          <w:rFonts w:ascii="Arial" w:eastAsia="Times New Roman" w:hAnsi="Arial" w:cs="Arial"/>
          <w:b/>
          <w:bCs/>
          <w:sz w:val="24"/>
          <w:szCs w:val="24"/>
          <w:lang w:eastAsia="it-IT"/>
        </w:rPr>
        <w:t>contribuzione figurativa</w:t>
      </w:r>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DIS-COLL è rapportata al </w:t>
      </w:r>
      <w:r w:rsidRPr="008E04A3">
        <w:rPr>
          <w:rFonts w:ascii="Arial" w:eastAsia="Times New Roman" w:hAnsi="Arial" w:cs="Arial"/>
          <w:b/>
          <w:bCs/>
          <w:sz w:val="24"/>
          <w:szCs w:val="24"/>
          <w:lang w:eastAsia="it-IT"/>
        </w:rPr>
        <w:t>reddito imponibile ai fini previdenziali</w:t>
      </w:r>
      <w:r w:rsidRPr="008E04A3">
        <w:rPr>
          <w:rFonts w:ascii="Arial" w:eastAsia="Times New Roman" w:hAnsi="Arial" w:cs="Arial"/>
          <w:sz w:val="24"/>
          <w:szCs w:val="24"/>
          <w:lang w:eastAsia="it-IT"/>
        </w:rPr>
        <w:t> risultante dal versamento dei contributi effettuati, derivanti dai rapporti di collaborazione in relazione ai quali è riconosciuto il diritto all’indennità in parola, relativo all’anno in cui si è verificato l’evento di cessazione dal rapporto di lavoro e all’anno civile precedente, diviso per il numero di mesi di contribuzione o frazione di essi.</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virtù del richiamato indirizzo del </w:t>
      </w:r>
      <w:r w:rsidRPr="008E04A3">
        <w:rPr>
          <w:rFonts w:ascii="Arial" w:eastAsia="Times New Roman" w:hAnsi="Arial" w:cs="Arial"/>
          <w:b/>
          <w:bCs/>
          <w:sz w:val="24"/>
          <w:szCs w:val="24"/>
          <w:lang w:eastAsia="it-IT"/>
        </w:rPr>
        <w:t>Ministero del Lavoro e delle Politiche Sociali</w:t>
      </w:r>
      <w:r w:rsidRPr="008E04A3">
        <w:rPr>
          <w:rFonts w:ascii="Arial" w:eastAsia="Times New Roman" w:hAnsi="Arial" w:cs="Arial"/>
          <w:sz w:val="24"/>
          <w:szCs w:val="24"/>
          <w:lang w:eastAsia="it-IT"/>
        </w:rPr>
        <w:t> reso con nota del 21 aprile 2015, anche ai fini del calcolo della misura della prestazione, per “mesi di contribuzione o frazione di essi” si intendono i mesi o le frazioni di mese di durata del rapporto di collaborazione. Così operando, ai fini della determinazione della base di calcolo e della misura della prestazione è possibile prendere a riferimento anche le singole frazioni di mese.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di disoccupazione è pari al </w:t>
      </w:r>
      <w:r w:rsidRPr="008E04A3">
        <w:rPr>
          <w:rFonts w:ascii="Arial" w:eastAsia="Times New Roman" w:hAnsi="Arial" w:cs="Arial"/>
          <w:b/>
          <w:bCs/>
          <w:sz w:val="24"/>
          <w:szCs w:val="24"/>
          <w:lang w:eastAsia="it-IT"/>
        </w:rPr>
        <w:t>75% del reddito medio mensile</w:t>
      </w:r>
      <w:r w:rsidRPr="008E04A3">
        <w:rPr>
          <w:rFonts w:ascii="Arial" w:eastAsia="Times New Roman" w:hAnsi="Arial" w:cs="Arial"/>
          <w:sz w:val="24"/>
          <w:szCs w:val="24"/>
          <w:lang w:eastAsia="it-IT"/>
        </w:rPr>
        <w:t>, come sopra determinato, quando detto reddito è inferiore a 1.195 euro (per il 2015, 2016 e 2017), rivalutato ogni anno sulla base della variazione dell'indice ISTAT dei prezzi al consumo per le famiglie degli operai e degli impiegati dell’anno precedente. È, invece, pari al </w:t>
      </w:r>
      <w:r w:rsidRPr="008E04A3">
        <w:rPr>
          <w:rFonts w:ascii="Arial" w:eastAsia="Times New Roman" w:hAnsi="Arial" w:cs="Arial"/>
          <w:b/>
          <w:bCs/>
          <w:sz w:val="24"/>
          <w:szCs w:val="24"/>
          <w:lang w:eastAsia="it-IT"/>
        </w:rPr>
        <w:t>75% dell'importo di 1.195 euro</w:t>
      </w:r>
      <w:r w:rsidRPr="008E04A3">
        <w:rPr>
          <w:rFonts w:ascii="Arial" w:eastAsia="Times New Roman" w:hAnsi="Arial" w:cs="Arial"/>
          <w:sz w:val="24"/>
          <w:szCs w:val="24"/>
          <w:lang w:eastAsia="it-IT"/>
        </w:rPr>
        <w:t>, maggiorato del 25% della differenza tra il reddito medio mensile e 1.195 euro, quando il reddito medio mensile che costituisce base di calcolo della DIS-COLL sia superiore al predetto importo di 1.195 euro.</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ogni caso, per il 2015, 2016 e 2017, l'importo dell'indennità </w:t>
      </w:r>
      <w:r w:rsidRPr="008E04A3">
        <w:rPr>
          <w:rFonts w:ascii="Arial" w:eastAsia="Times New Roman" w:hAnsi="Arial" w:cs="Arial"/>
          <w:b/>
          <w:bCs/>
          <w:sz w:val="24"/>
          <w:szCs w:val="24"/>
          <w:lang w:eastAsia="it-IT"/>
        </w:rPr>
        <w:t>non può superare i 1.300 euro</w:t>
      </w:r>
      <w:r w:rsidRPr="008E04A3">
        <w:rPr>
          <w:rFonts w:ascii="Arial" w:eastAsia="Times New Roman" w:hAnsi="Arial" w:cs="Arial"/>
          <w:sz w:val="24"/>
          <w:szCs w:val="24"/>
          <w:lang w:eastAsia="it-IT"/>
        </w:rPr>
        <w:t>, rivalutati annualmente.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A partire dal quarto mese di fruizione (91° giorno), l'indennità DIS-COLL si riduce ogni mese in misura pari al 3%.</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Se il beneficiario dell'indennità </w:t>
      </w:r>
      <w:r w:rsidRPr="008E04A3">
        <w:rPr>
          <w:rFonts w:ascii="Arial" w:eastAsia="Times New Roman" w:hAnsi="Arial" w:cs="Arial"/>
          <w:b/>
          <w:bCs/>
          <w:sz w:val="24"/>
          <w:szCs w:val="24"/>
          <w:lang w:eastAsia="it-IT"/>
        </w:rPr>
        <w:t>si rioccupa con contratto di lavoro subordinato</w:t>
      </w:r>
      <w:r w:rsidRPr="008E04A3">
        <w:rPr>
          <w:rFonts w:ascii="Arial" w:eastAsia="Times New Roman" w:hAnsi="Arial" w:cs="Arial"/>
          <w:sz w:val="24"/>
          <w:szCs w:val="24"/>
          <w:lang w:eastAsia="it-IT"/>
        </w:rPr>
        <w:t> di durata pari o inferiore a cinque giorni, la prestazione è sospesa. La </w:t>
      </w:r>
      <w:r w:rsidRPr="008E04A3">
        <w:rPr>
          <w:rFonts w:ascii="Arial" w:eastAsia="Times New Roman" w:hAnsi="Arial" w:cs="Arial"/>
          <w:b/>
          <w:bCs/>
          <w:sz w:val="24"/>
          <w:szCs w:val="24"/>
          <w:lang w:eastAsia="it-IT"/>
        </w:rPr>
        <w:t>sospensione</w:t>
      </w:r>
      <w:r w:rsidRPr="008E04A3">
        <w:rPr>
          <w:rFonts w:ascii="Arial" w:eastAsia="Times New Roman" w:hAnsi="Arial" w:cs="Arial"/>
          <w:sz w:val="24"/>
          <w:szCs w:val="24"/>
          <w:lang w:eastAsia="it-IT"/>
        </w:rPr>
        <w:t> opera d'ufficio sulla base delle comunicazioni obbligatorie. Al termine del periodo di sospensione la prestazione è corrisposta nuovamente per il periodo residuo spettante.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Il beneficiario di indennità DIS-COLL che intraprenda o sviluppi un’</w:t>
      </w:r>
      <w:r w:rsidRPr="008E04A3">
        <w:rPr>
          <w:rFonts w:ascii="Arial" w:eastAsia="Times New Roman" w:hAnsi="Arial" w:cs="Arial"/>
          <w:b/>
          <w:bCs/>
          <w:sz w:val="24"/>
          <w:szCs w:val="24"/>
          <w:lang w:eastAsia="it-IT"/>
        </w:rPr>
        <w:t>attività lavorativa autonoma</w:t>
      </w:r>
      <w:r w:rsidRPr="008E04A3">
        <w:rPr>
          <w:rFonts w:ascii="Arial" w:eastAsia="Times New Roman" w:hAnsi="Arial" w:cs="Arial"/>
          <w:sz w:val="24"/>
          <w:szCs w:val="24"/>
          <w:lang w:eastAsia="it-IT"/>
        </w:rPr>
        <w:t>, </w:t>
      </w:r>
      <w:r w:rsidRPr="008E04A3">
        <w:rPr>
          <w:rFonts w:ascii="Arial" w:eastAsia="Times New Roman" w:hAnsi="Arial" w:cs="Arial"/>
          <w:b/>
          <w:bCs/>
          <w:sz w:val="24"/>
          <w:szCs w:val="24"/>
          <w:lang w:eastAsia="it-IT"/>
        </w:rPr>
        <w:t>di impresa individuale o un’attività parasubordinata</w:t>
      </w:r>
      <w:r w:rsidRPr="008E04A3">
        <w:rPr>
          <w:rFonts w:ascii="Arial" w:eastAsia="Times New Roman" w:hAnsi="Arial" w:cs="Arial"/>
          <w:sz w:val="24"/>
          <w:szCs w:val="24"/>
          <w:lang w:eastAsia="it-IT"/>
        </w:rPr>
        <w:t> deve comunicare all’INPS entro 30 giorni rispettivamente dall’inizio dell’attività o, se questa era preesistente, dalla data di presentazione della domanda di DIS-COLL, il reddito che presume di trarre dalla predetta attività.</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L'importo dell'indennità </w:t>
      </w:r>
      <w:r w:rsidRPr="008E04A3">
        <w:rPr>
          <w:rFonts w:ascii="Arial" w:eastAsia="Times New Roman" w:hAnsi="Arial" w:cs="Arial"/>
          <w:b/>
          <w:bCs/>
          <w:sz w:val="24"/>
          <w:szCs w:val="24"/>
          <w:lang w:eastAsia="it-IT"/>
        </w:rPr>
        <w:t>si riduce</w:t>
      </w:r>
      <w:r w:rsidRPr="008E04A3">
        <w:rPr>
          <w:rFonts w:ascii="Arial" w:eastAsia="Times New Roman" w:hAnsi="Arial" w:cs="Arial"/>
          <w:sz w:val="24"/>
          <w:szCs w:val="24"/>
          <w:lang w:eastAsia="it-IT"/>
        </w:rPr>
        <w:t> nei casi di svolgimento da parte del beneficiario di:</w:t>
      </w:r>
    </w:p>
    <w:p w:rsidR="00672727" w:rsidRPr="008E04A3" w:rsidRDefault="00672727" w:rsidP="00672727">
      <w:pPr>
        <w:numPr>
          <w:ilvl w:val="0"/>
          <w:numId w:val="2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attività lavorativa in forma autonoma dalla quale derivi un reddito che corrisponde a un’imposta lorda pari o inferiore alle detrazioni spettanti ai sensi dell’articolo 13 del Testo Unico delle Imposte sui Redditi (TUIR), 4.800 euro per lavoro autonomo e 8mila euro per lavoro parasubordinato;</w:t>
      </w:r>
    </w:p>
    <w:p w:rsidR="00672727" w:rsidRPr="008E04A3" w:rsidRDefault="00672727" w:rsidP="00672727">
      <w:pPr>
        <w:numPr>
          <w:ilvl w:val="0"/>
          <w:numId w:val="22"/>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attività di lavoro accessorio dalla quale derivi un compenso superiore a 3mila euro netti (4mila euro lordi) per anno civile.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entrambi i casi, l'indennità è ridotta di un importo pari all'80% del reddito presunto, rapportato al periodo di tempo intercorrente tra la data di inizio dell’attività, autonoma o occasionale di tipo accessorio, e il termine finale di godimento dell’indennità o, se precedente, la fine dell’anno.</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L’indennità DIS-COLL è interamente cumulabile con i compensi derivanti dallo svolgimento di lavoro accessorio nel limite complessivo di 3mila euro netti (4mila euro lordi) per anno civile.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Il decreto-legge 24 aprile 2017, n. 50, convertito con modificazioni dalla legge 21 giugno 2017, n. 96, all’articolo 54 bis, pone la disciplina delle prestazioni di lavoro occasionali, individuando i limiti e le modalità di svolgimento delle stesse. </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particolare, il comma 1, lettera a, del richiamato articolo 54 bis dispone che è ammessa la possibilità di acquisire prestazioni di lavoro occasionali, intendendosi per tali le attività lavorative che danno luogo, nel corso di un anno civile per ciascun prestatore, con riferimento alla totalità degli utilizzatori, a compensi di importo complessivamente non superiore a 5mila euro.</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L’articolo 54 bis, comma 4, prevede, anche, che i compensi percepiti dal prestatore sono esenti da imposizione fiscale e non incidono sullo stato di disoccupazione.</w:t>
      </w:r>
      <w:r w:rsidRPr="008E04A3">
        <w:rPr>
          <w:rFonts w:ascii="Arial" w:eastAsia="Times New Roman" w:hAnsi="Arial" w:cs="Arial"/>
          <w:sz w:val="24"/>
          <w:szCs w:val="24"/>
          <w:lang w:eastAsia="it-IT"/>
        </w:rPr>
        <w:br/>
        <w:t>Alla luce delle disposizioni sopra richiamate, il beneficiario della prestazione DIS-COLL può svolgere prestazioni di lavoro occasionale nei limiti di compensi di importo non superiore a 5mila euro per anno civile. Entro detti limiti l’indennità DIS-COLL è interamente cumulabile con i compensi derivanti dallo svolgimento di lavoro occasionale e il beneficiario della prestazione DIS-COLL non è tenuto a comunicare all’INPS il compenso derivante dalla predetta attività.</w:t>
      </w:r>
    </w:p>
    <w:p w:rsidR="00672727" w:rsidRPr="008E04A3" w:rsidRDefault="00672727" w:rsidP="008234D2">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Si richiama infine il comma 8 dell’articolo 54 bis in esame il quale prevede, tra l’altro, che nel caso di prestatori di lavoro occasionale percettori di prestazioni di sostegno del reddito l’INPS provvede a sottrarre dalla </w:t>
      </w:r>
      <w:r w:rsidRPr="008E04A3">
        <w:rPr>
          <w:rFonts w:ascii="Arial" w:eastAsia="Times New Roman" w:hAnsi="Arial" w:cs="Arial"/>
          <w:color w:val="1C2024"/>
          <w:sz w:val="24"/>
          <w:szCs w:val="24"/>
          <w:lang w:eastAsia="it-IT"/>
        </w:rPr>
        <w:t>contribuzione figurativa</w:t>
      </w:r>
      <w:r w:rsidRPr="008E04A3">
        <w:rPr>
          <w:rFonts w:ascii="Arial" w:eastAsia="Times New Roman" w:hAnsi="Arial" w:cs="Arial"/>
          <w:sz w:val="24"/>
          <w:szCs w:val="24"/>
          <w:lang w:eastAsia="it-IT"/>
        </w:rPr>
        <w:t> relativa a dette prestazioni gli accrediti contributivi derivanti dalle prestazioni di lavoro occasionali. Al riguardo si precisa, tuttavia, che tale previsione non trova applicazione nella ipotesi di prestatore di lavoro occasionale percettore di indennità DIS-COLL in quanto l’articolo 15, comma 7, d.lgs. 22/2015, in materia di DIS-COLL dispone che per i periodi di fruizione di detta indennità non sono riconosciuti i </w:t>
      </w:r>
      <w:r w:rsidRPr="008E04A3">
        <w:rPr>
          <w:rFonts w:ascii="Arial" w:eastAsia="Times New Roman" w:hAnsi="Arial" w:cs="Arial"/>
          <w:color w:val="1C2024"/>
          <w:sz w:val="24"/>
          <w:szCs w:val="24"/>
          <w:lang w:eastAsia="it-IT"/>
        </w:rPr>
        <w:t xml:space="preserve">contributi </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 beneficiario decade dall'indennità nei seguenti casi:</w:t>
      </w:r>
    </w:p>
    <w:p w:rsidR="00672727" w:rsidRPr="008E04A3" w:rsidRDefault="00672727" w:rsidP="00672727">
      <w:pPr>
        <w:numPr>
          <w:ilvl w:val="0"/>
          <w:numId w:val="2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perdita dello stato di disoccupazione;</w:t>
      </w:r>
    </w:p>
    <w:p w:rsidR="00672727" w:rsidRPr="008E04A3" w:rsidRDefault="00672727" w:rsidP="00672727">
      <w:pPr>
        <w:numPr>
          <w:ilvl w:val="0"/>
          <w:numId w:val="2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inizio di un'attività di lavoro autonoma, di impresa individuale o di un'attività parasubordinata, senza provvedere alla comunicazione all'INPS, entro 30 giorni dall’inizio dell’attività o, se questa preesisteva, dalla data di presentazione della domanda di DIS-COLL, del reddito che si presume trarre dall’attività stessa;</w:t>
      </w:r>
    </w:p>
    <w:p w:rsidR="00672727" w:rsidRPr="008E04A3" w:rsidRDefault="00672727" w:rsidP="00672727">
      <w:pPr>
        <w:numPr>
          <w:ilvl w:val="0"/>
          <w:numId w:val="2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rioccupazione con contratto di lavoro subordinato di durata superiore a cinque giorni;</w:t>
      </w:r>
    </w:p>
    <w:p w:rsidR="00672727" w:rsidRPr="008E04A3" w:rsidRDefault="00672727" w:rsidP="00672727">
      <w:pPr>
        <w:numPr>
          <w:ilvl w:val="0"/>
          <w:numId w:val="2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titolarità di trattamenti pensionistici diretti;</w:t>
      </w:r>
    </w:p>
    <w:p w:rsidR="00672727" w:rsidRPr="008E04A3" w:rsidRDefault="00672727" w:rsidP="00672727">
      <w:pPr>
        <w:numPr>
          <w:ilvl w:val="0"/>
          <w:numId w:val="2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acquisizione del diritto all'assegno ordinario di invalidità, salvo il caso in cui il percettore opti per l’indennità DIS-COLL;</w:t>
      </w:r>
    </w:p>
    <w:p w:rsidR="00672727" w:rsidRPr="008E04A3" w:rsidRDefault="00672727" w:rsidP="00672727">
      <w:pPr>
        <w:numPr>
          <w:ilvl w:val="0"/>
          <w:numId w:val="24"/>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non regolare partecipazione alle iniziative di attivazione lavorativa e ai percorsi di riqualificazione professionale proposti dai servizi competenti (articolo 7, d.lgs. 22/2015). Al riguardo va evidenziato che l’articolo 21 del decreto legislativo 15 settembre 2015, n. 150, ha introdotto misure di rafforzamento dei meccanismi di condizionalità, integrando e specificando le disposizioni dell’articolo 7, d.lgs. 22/2015, relative agli obblighi di partecipazione alle misure di politica attiva del disoccupato.</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caso di inosservanza degli obblighi, l’articolo 21 ha introdotto un sistema di</w:t>
      </w:r>
      <w:r w:rsidRPr="008E04A3">
        <w:rPr>
          <w:rFonts w:ascii="Arial" w:eastAsia="Times New Roman" w:hAnsi="Arial" w:cs="Arial"/>
          <w:b/>
          <w:bCs/>
          <w:sz w:val="24"/>
          <w:szCs w:val="24"/>
          <w:lang w:eastAsia="it-IT"/>
        </w:rPr>
        <w:t> sanzioni proporzionali</w:t>
      </w:r>
      <w:r w:rsidRPr="008E04A3">
        <w:rPr>
          <w:rFonts w:ascii="Arial" w:eastAsia="Times New Roman" w:hAnsi="Arial" w:cs="Arial"/>
          <w:sz w:val="24"/>
          <w:szCs w:val="24"/>
          <w:lang w:eastAsia="it-IT"/>
        </w:rPr>
        <w:t> che vanno dalla decurtazione di una frazione o di un'intera mensilità di prestazione, fino alla decadenza dalla prestazione e dallo stato di disoccupazione.</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È prevista la sanzione della decadenza dalla prestazione nei seguenti casi:</w:t>
      </w:r>
    </w:p>
    <w:p w:rsidR="00672727" w:rsidRPr="008E04A3" w:rsidRDefault="00672727" w:rsidP="00672727">
      <w:pPr>
        <w:numPr>
          <w:ilvl w:val="0"/>
          <w:numId w:val="2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mancata partecipazione, dalla terza convocazione e in assenza di giustificato motivo, alle iniziative e ai laboratori per il rafforzamento delle competenze nella ricerca attiva di lavoro;</w:t>
      </w:r>
    </w:p>
    <w:p w:rsidR="00672727" w:rsidRPr="008E04A3" w:rsidRDefault="00672727" w:rsidP="00672727">
      <w:pPr>
        <w:numPr>
          <w:ilvl w:val="0"/>
          <w:numId w:val="2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mancata partecipazione, dalla seconda convocazione e in assenza di giustificato motivo, alle iniziative di carattere formativo, di riqualificazione o altre iniziative di politica attiva o di attivazione e in caso di mancata partecipazione allo svolgimento di attività ai fini di pubblica utilità a beneficio della comunità territoriale di appartenenza;</w:t>
      </w:r>
    </w:p>
    <w:p w:rsidR="00672727" w:rsidRPr="008E04A3" w:rsidRDefault="00672727" w:rsidP="00672727">
      <w:pPr>
        <w:numPr>
          <w:ilvl w:val="0"/>
          <w:numId w:val="2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xml:space="preserve">mancata presentazione, a partire dalla terza convocazione e in assenza di giustificato motivo, alle convocazioni o agli appuntamenti previsti per la conferma dello stato di disoccupazione, per la </w:t>
      </w:r>
      <w:proofErr w:type="spellStart"/>
      <w:r w:rsidRPr="008E04A3">
        <w:rPr>
          <w:rFonts w:ascii="Arial" w:eastAsia="Times New Roman" w:hAnsi="Arial" w:cs="Arial"/>
          <w:sz w:val="24"/>
          <w:szCs w:val="24"/>
          <w:lang w:eastAsia="it-IT"/>
        </w:rPr>
        <w:t>profilazione</w:t>
      </w:r>
      <w:proofErr w:type="spellEnd"/>
      <w:r w:rsidRPr="008E04A3">
        <w:rPr>
          <w:rFonts w:ascii="Arial" w:eastAsia="Times New Roman" w:hAnsi="Arial" w:cs="Arial"/>
          <w:sz w:val="24"/>
          <w:szCs w:val="24"/>
          <w:lang w:eastAsia="it-IT"/>
        </w:rPr>
        <w:t xml:space="preserve"> e la stipula del patto di servizio personalizzato e per la frequenza ordinaria di contatti con il responsabile delle attività;</w:t>
      </w:r>
    </w:p>
    <w:p w:rsidR="00672727" w:rsidRPr="008E04A3" w:rsidRDefault="00672727" w:rsidP="00672727">
      <w:pPr>
        <w:numPr>
          <w:ilvl w:val="0"/>
          <w:numId w:val="25"/>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mancata accettazione di un'offerta di lavoro congrua, come definita dall'articolo 25, d.lgs. 150/2015.</w:t>
      </w:r>
    </w:p>
    <w:p w:rsidR="00E56E19" w:rsidRPr="008E04A3" w:rsidRDefault="00E56E19" w:rsidP="00672727">
      <w:pPr>
        <w:spacing w:before="100" w:beforeAutospacing="1" w:after="100" w:afterAutospacing="1" w:line="461" w:lineRule="atLeast"/>
        <w:rPr>
          <w:rFonts w:ascii="Arial" w:eastAsia="Times New Roman" w:hAnsi="Arial" w:cs="Arial"/>
          <w:sz w:val="24"/>
          <w:szCs w:val="24"/>
          <w:lang w:eastAsia="it-IT"/>
        </w:rPr>
      </w:pPr>
    </w:p>
    <w:p w:rsidR="00672727" w:rsidRPr="008E04A3" w:rsidRDefault="00672727" w:rsidP="00672727">
      <w:p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ASDI</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w:t>
      </w:r>
      <w:r w:rsidRPr="008E04A3">
        <w:rPr>
          <w:rFonts w:ascii="Arial" w:eastAsia="Times New Roman" w:hAnsi="Arial" w:cs="Arial"/>
          <w:b/>
          <w:bCs/>
          <w:sz w:val="24"/>
          <w:szCs w:val="24"/>
          <w:lang w:eastAsia="it-IT"/>
        </w:rPr>
        <w:t>ASDI</w:t>
      </w:r>
      <w:r w:rsidRPr="008E04A3">
        <w:rPr>
          <w:rFonts w:ascii="Arial" w:eastAsia="Times New Roman" w:hAnsi="Arial" w:cs="Arial"/>
          <w:sz w:val="24"/>
          <w:szCs w:val="24"/>
          <w:lang w:eastAsia="it-IT"/>
        </w:rPr>
        <w:t> </w:t>
      </w:r>
      <w:r w:rsidRPr="008E04A3">
        <w:rPr>
          <w:rFonts w:ascii="Arial" w:eastAsia="Times New Roman" w:hAnsi="Arial" w:cs="Arial"/>
          <w:b/>
          <w:bCs/>
          <w:sz w:val="24"/>
          <w:szCs w:val="24"/>
          <w:lang w:eastAsia="it-IT"/>
        </w:rPr>
        <w:t>(Assegno Sociale di Disoccupazione)</w:t>
      </w:r>
      <w:r w:rsidRPr="008E04A3">
        <w:rPr>
          <w:rFonts w:ascii="Arial" w:eastAsia="Times New Roman" w:hAnsi="Arial" w:cs="Arial"/>
          <w:sz w:val="24"/>
          <w:szCs w:val="24"/>
          <w:lang w:eastAsia="it-IT"/>
        </w:rPr>
        <w:t> consiste nell'</w:t>
      </w:r>
      <w:r w:rsidRPr="008E04A3">
        <w:rPr>
          <w:rFonts w:ascii="Arial" w:eastAsia="Times New Roman" w:hAnsi="Arial" w:cs="Arial"/>
          <w:b/>
          <w:bCs/>
          <w:sz w:val="24"/>
          <w:szCs w:val="24"/>
          <w:lang w:eastAsia="it-IT"/>
        </w:rPr>
        <w:t>indennità economica per la ricollocazione dei lavoratori disoccupati</w:t>
      </w:r>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prestazione ASDI (articolo 16, decreto legislativo 4 marzo 2015, n. 22) ha la funzione di fornire una </w:t>
      </w:r>
      <w:r w:rsidRPr="008E04A3">
        <w:rPr>
          <w:rFonts w:ascii="Arial" w:eastAsia="Times New Roman" w:hAnsi="Arial" w:cs="Arial"/>
          <w:b/>
          <w:bCs/>
          <w:sz w:val="24"/>
          <w:szCs w:val="24"/>
          <w:lang w:eastAsia="it-IT"/>
        </w:rPr>
        <w:t>tutela di sostegno al reddito</w:t>
      </w:r>
      <w:r w:rsidRPr="008E04A3">
        <w:rPr>
          <w:rFonts w:ascii="Arial" w:eastAsia="Times New Roman" w:hAnsi="Arial" w:cs="Arial"/>
          <w:sz w:val="24"/>
          <w:szCs w:val="24"/>
          <w:lang w:eastAsia="it-IT"/>
        </w:rPr>
        <w:t> ai lavoratori già beneficiari della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che siano disoccupati e si trovino in una condizione economica di bisogno.</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prestazione è rivolta ai </w:t>
      </w:r>
      <w:r w:rsidRPr="008E04A3">
        <w:rPr>
          <w:rFonts w:ascii="Arial" w:eastAsia="Times New Roman" w:hAnsi="Arial" w:cs="Arial"/>
          <w:b/>
          <w:bCs/>
          <w:sz w:val="24"/>
          <w:szCs w:val="24"/>
          <w:lang w:eastAsia="it-IT"/>
        </w:rPr>
        <w:t>lavoratori disoccupati</w:t>
      </w:r>
      <w:r w:rsidRPr="008E04A3">
        <w:rPr>
          <w:rFonts w:ascii="Arial" w:eastAsia="Times New Roman" w:hAnsi="Arial" w:cs="Arial"/>
          <w:sz w:val="24"/>
          <w:szCs w:val="24"/>
          <w:lang w:eastAsia="it-IT"/>
        </w:rPr>
        <w:t> che abbiano usufruito per intero della </w:t>
      </w:r>
      <w:proofErr w:type="spellStart"/>
      <w:r w:rsidRPr="008E04A3">
        <w:rPr>
          <w:rFonts w:ascii="Arial" w:eastAsia="Times New Roman" w:hAnsi="Arial" w:cs="Arial"/>
          <w:b/>
          <w:bCs/>
          <w:color w:val="1C2024"/>
          <w:sz w:val="24"/>
          <w:szCs w:val="24"/>
          <w:lang w:eastAsia="it-IT"/>
        </w:rPr>
        <w:t>NASpI</w:t>
      </w:r>
      <w:proofErr w:type="spellEnd"/>
      <w:r w:rsidRPr="008E04A3">
        <w:rPr>
          <w:rFonts w:ascii="Arial" w:eastAsia="Times New Roman" w:hAnsi="Arial" w:cs="Arial"/>
          <w:sz w:val="24"/>
          <w:szCs w:val="24"/>
          <w:lang w:eastAsia="it-IT"/>
        </w:rPr>
        <w:t> .</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 percezione dell’ASDI spetta inoltre, in quanto compatibile, a chi già si avvale dei seguenti trattamenti assistenziali o pensionistici:</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assegno o indennità a cieco civile;</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assegno o indennità a sordomuti;</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indennità ex legge 28 dicembre 2001, n. 448 e legge 24 dicembre 2003, n. 350;</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assegno o indennità a invalidi civili;</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pensione ai superstiti;</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pensione di guerra;</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pensione facoltativa;</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rendite vitalizie da infortunio;</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pensione a carico di stati esteri con i quali non esistono convenzioni internazionali in materia di sicurezza sociale;</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pensione a carico dell’assicurazione di un altro stato membro dell’Unione europea;</w:t>
      </w:r>
    </w:p>
    <w:p w:rsidR="00672727" w:rsidRPr="008E04A3" w:rsidRDefault="00672727" w:rsidP="00672727">
      <w:pPr>
        <w:numPr>
          <w:ilvl w:val="0"/>
          <w:numId w:val="26"/>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pensione privilegiata tabellare, quale per esempio quella conferita per infermità contratta durante il servizio militare obbligatorio, avente titolo risarcitorio in assenza di un rapporto di impiego o di servizio continuativo.</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Ai sensi dell’articolo 16, decreto legislativo 4 marzo 2015, n. 22 e dell’articolo 7, comma 1, decreto interministeriale del 29 ottobre 2015, l’</w:t>
      </w:r>
      <w:r w:rsidRPr="008E04A3">
        <w:rPr>
          <w:rFonts w:ascii="Arial" w:eastAsia="Times New Roman" w:hAnsi="Arial" w:cs="Arial"/>
          <w:b/>
          <w:bCs/>
          <w:sz w:val="24"/>
          <w:szCs w:val="24"/>
          <w:lang w:eastAsia="it-IT"/>
        </w:rPr>
        <w:t>ASDI decorre dal primo giorno</w:t>
      </w:r>
      <w:r w:rsidRPr="008E04A3">
        <w:rPr>
          <w:rFonts w:ascii="Arial" w:eastAsia="Times New Roman" w:hAnsi="Arial" w:cs="Arial"/>
          <w:sz w:val="24"/>
          <w:szCs w:val="24"/>
          <w:lang w:eastAsia="it-IT"/>
        </w:rPr>
        <w:t> successivo al termine del periodo di completa fruizione della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L'assegno è erogato mensilmente per la durata massima di </w:t>
      </w:r>
      <w:r w:rsidRPr="008E04A3">
        <w:rPr>
          <w:rFonts w:ascii="Arial" w:eastAsia="Times New Roman" w:hAnsi="Arial" w:cs="Arial"/>
          <w:b/>
          <w:bCs/>
          <w:sz w:val="24"/>
          <w:szCs w:val="24"/>
          <w:lang w:eastAsia="it-IT"/>
        </w:rPr>
        <w:t>sei mesi</w:t>
      </w:r>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L’articolo 3, comma 2, decreto interministeriale 29 ottobre 2015 stabilisce che </w:t>
      </w:r>
      <w:r w:rsidRPr="008E04A3">
        <w:rPr>
          <w:rFonts w:ascii="Arial" w:eastAsia="Times New Roman" w:hAnsi="Arial" w:cs="Arial"/>
          <w:b/>
          <w:bCs/>
          <w:sz w:val="24"/>
          <w:szCs w:val="24"/>
          <w:lang w:eastAsia="it-IT"/>
        </w:rPr>
        <w:t xml:space="preserve">l’importo dell’ASDI è pari al 75% dell’ultima </w:t>
      </w:r>
      <w:proofErr w:type="spellStart"/>
      <w:r w:rsidRPr="008E04A3">
        <w:rPr>
          <w:rFonts w:ascii="Arial" w:eastAsia="Times New Roman" w:hAnsi="Arial" w:cs="Arial"/>
          <w:b/>
          <w:bCs/>
          <w:sz w:val="24"/>
          <w:szCs w:val="24"/>
          <w:lang w:eastAsia="it-IT"/>
        </w:rPr>
        <w:t>indennità</w:t>
      </w:r>
      <w:r w:rsidRPr="008E04A3">
        <w:rPr>
          <w:rFonts w:ascii="Arial" w:eastAsia="Times New Roman" w:hAnsi="Arial" w:cs="Arial"/>
          <w:b/>
          <w:bCs/>
          <w:color w:val="1C2024"/>
          <w:sz w:val="24"/>
          <w:szCs w:val="24"/>
          <w:lang w:eastAsia="it-IT"/>
        </w:rPr>
        <w:t>NASpI</w:t>
      </w:r>
      <w:proofErr w:type="spellEnd"/>
      <w:r w:rsidRPr="008E04A3">
        <w:rPr>
          <w:rFonts w:ascii="Arial" w:eastAsia="Times New Roman" w:hAnsi="Arial" w:cs="Arial"/>
          <w:b/>
          <w:bCs/>
          <w:sz w:val="24"/>
          <w:szCs w:val="24"/>
          <w:lang w:eastAsia="it-IT"/>
        </w:rPr>
        <w:t> percepita</w:t>
      </w:r>
      <w:r w:rsidRPr="008E04A3">
        <w:rPr>
          <w:rFonts w:ascii="Arial" w:eastAsia="Times New Roman" w:hAnsi="Arial" w:cs="Arial"/>
          <w:sz w:val="24"/>
          <w:szCs w:val="24"/>
          <w:lang w:eastAsia="it-IT"/>
        </w:rPr>
        <w:t> e comunque in misura non superiore all’ammontare dell’assegno sociale, di cui all’articolo 3, comma 6, legge 8 agosto 1995, n. 335. Detta prestazione ha natura assistenziale ed è, pertanto, esente dall’imposta sul reddito delle persone fisiche, ai sensi dell’articolo 34, comma 3, decreto del Presidente della Repubblica 29 settembre 1973, n. 601.</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Alla luce del collegamento con 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 che è calcolata e pagata in giorni, l’ASDI viene erogata con le medesime modalità.</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w:t>
      </w:r>
      <w:r w:rsidRPr="008E04A3">
        <w:rPr>
          <w:rFonts w:ascii="Arial" w:eastAsia="Times New Roman" w:hAnsi="Arial" w:cs="Arial"/>
          <w:b/>
          <w:bCs/>
          <w:sz w:val="24"/>
          <w:szCs w:val="24"/>
          <w:lang w:eastAsia="it-IT"/>
        </w:rPr>
        <w:t>importo dell’ASDI</w:t>
      </w:r>
      <w:r w:rsidRPr="008E04A3">
        <w:rPr>
          <w:rFonts w:ascii="Arial" w:eastAsia="Times New Roman" w:hAnsi="Arial" w:cs="Arial"/>
          <w:sz w:val="24"/>
          <w:szCs w:val="24"/>
          <w:lang w:eastAsia="it-IT"/>
        </w:rPr>
        <w:t>, ai sensi dell’articolo 16, d.lgs. 22/2015 e dell’articolo 3, decreto interministeriale del 29 ottobre 2015, </w:t>
      </w:r>
      <w:r w:rsidRPr="008E04A3">
        <w:rPr>
          <w:rFonts w:ascii="Arial" w:eastAsia="Times New Roman" w:hAnsi="Arial" w:cs="Arial"/>
          <w:b/>
          <w:bCs/>
          <w:sz w:val="24"/>
          <w:szCs w:val="24"/>
          <w:lang w:eastAsia="it-IT"/>
        </w:rPr>
        <w:t>è pari al 75% dell’ultima indennità </w:t>
      </w:r>
      <w:proofErr w:type="spellStart"/>
      <w:r w:rsidRPr="008E04A3">
        <w:rPr>
          <w:rFonts w:ascii="Arial" w:eastAsia="Times New Roman" w:hAnsi="Arial" w:cs="Arial"/>
          <w:b/>
          <w:bCs/>
          <w:color w:val="1C2024"/>
          <w:sz w:val="24"/>
          <w:szCs w:val="24"/>
          <w:lang w:eastAsia="it-IT"/>
        </w:rPr>
        <w:t>NASpI</w:t>
      </w:r>
      <w:proofErr w:type="spellEnd"/>
      <w:r w:rsidRPr="008E04A3">
        <w:rPr>
          <w:rFonts w:ascii="Arial" w:eastAsia="Times New Roman" w:hAnsi="Arial" w:cs="Arial"/>
          <w:b/>
          <w:bCs/>
          <w:sz w:val="24"/>
          <w:szCs w:val="24"/>
          <w:lang w:eastAsia="it-IT"/>
        </w:rPr>
        <w:t> percepita</w:t>
      </w:r>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Detto importo non può, in ogni caso, eccedere quello dell’assegno sociale ed essere inferiore a quello della Carta acquisti, come stabilito dal medesimo articolo 16, d.lgs. 22/2015, nonché dall’articolo 3, decreto interministeriale 29 ottobre 2015.</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L’importo dell’assegno di disoccupazione ASDI viene decurtato in caso di:</w:t>
      </w:r>
    </w:p>
    <w:p w:rsidR="00672727" w:rsidRPr="008E04A3" w:rsidRDefault="00672727" w:rsidP="00672727">
      <w:pPr>
        <w:numPr>
          <w:ilvl w:val="0"/>
          <w:numId w:val="2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mancata presentazione per la prima volta del percettore ASDI</w:t>
      </w:r>
      <w:r w:rsidRPr="008E04A3">
        <w:rPr>
          <w:rFonts w:ascii="Arial" w:eastAsia="Times New Roman" w:hAnsi="Arial" w:cs="Arial"/>
          <w:sz w:val="24"/>
          <w:szCs w:val="24"/>
          <w:lang w:eastAsia="it-IT"/>
        </w:rPr>
        <w:t>, in assenza di giustificato motivo, alla convocazione da parte del Centro per l’Impiego competente (articolo 21, comma 8, lettera a) 1, decreto legislativo 14 settembre 2015, n. 150 e articolo 6, comma 2, decreto interministeriale del 29 ottobre 2015);</w:t>
      </w:r>
    </w:p>
    <w:p w:rsidR="00672727" w:rsidRPr="008E04A3" w:rsidRDefault="00672727" w:rsidP="00672727">
      <w:pPr>
        <w:numPr>
          <w:ilvl w:val="0"/>
          <w:numId w:val="2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mancata presentazione per la seconda volta del percettore ASDI</w:t>
      </w:r>
      <w:r w:rsidRPr="008E04A3">
        <w:rPr>
          <w:rFonts w:ascii="Arial" w:eastAsia="Times New Roman" w:hAnsi="Arial" w:cs="Arial"/>
          <w:sz w:val="24"/>
          <w:szCs w:val="24"/>
          <w:lang w:eastAsia="it-IT"/>
        </w:rPr>
        <w:t>, in assenza di giustificato motivo, alla convocazione da parte del Centro per l’Impiego competente (articolo 21, comma 8, lettera a) 2, decreto legislativo 14 settembre 2015, n. 150 e articolo 6, comma 2, decreto interministeriale del 29 ottobre 2015);</w:t>
      </w:r>
    </w:p>
    <w:p w:rsidR="00672727" w:rsidRPr="008E04A3" w:rsidRDefault="00672727" w:rsidP="00672727">
      <w:pPr>
        <w:numPr>
          <w:ilvl w:val="0"/>
          <w:numId w:val="27"/>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lastRenderedPageBreak/>
        <w:t>mancata partecipazione</w:t>
      </w:r>
      <w:r w:rsidRPr="008E04A3">
        <w:rPr>
          <w:rFonts w:ascii="Arial" w:eastAsia="Times New Roman" w:hAnsi="Arial" w:cs="Arial"/>
          <w:sz w:val="24"/>
          <w:szCs w:val="24"/>
          <w:lang w:eastAsia="it-IT"/>
        </w:rPr>
        <w:t>, per la prima volta, </w:t>
      </w:r>
      <w:r w:rsidRPr="008E04A3">
        <w:rPr>
          <w:rFonts w:ascii="Arial" w:eastAsia="Times New Roman" w:hAnsi="Arial" w:cs="Arial"/>
          <w:b/>
          <w:bCs/>
          <w:sz w:val="24"/>
          <w:szCs w:val="24"/>
          <w:lang w:eastAsia="it-IT"/>
        </w:rPr>
        <w:t>alle iniziative di orientamento</w:t>
      </w:r>
      <w:r w:rsidRPr="008E04A3">
        <w:rPr>
          <w:rFonts w:ascii="Arial" w:eastAsia="Times New Roman" w:hAnsi="Arial" w:cs="Arial"/>
          <w:sz w:val="24"/>
          <w:szCs w:val="24"/>
          <w:lang w:eastAsia="it-IT"/>
        </w:rPr>
        <w:t> (articolo 21, comma 8, lettera b) 1, decreto legislativo 14 settembre 2015, n. 150 e articolo 6, comma 2, decreto interministeriale del 29 ottobre 2015).</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tali fattispecie avviene una parziale decurtazione dell’ASDI, pari a </w:t>
      </w:r>
      <w:r w:rsidRPr="008E04A3">
        <w:rPr>
          <w:rFonts w:ascii="Arial" w:eastAsia="Times New Roman" w:hAnsi="Arial" w:cs="Arial"/>
          <w:b/>
          <w:bCs/>
          <w:sz w:val="24"/>
          <w:szCs w:val="24"/>
          <w:lang w:eastAsia="it-IT"/>
        </w:rPr>
        <w:t>un quarto di una mensilità</w:t>
      </w:r>
      <w:r w:rsidRPr="008E04A3">
        <w:rPr>
          <w:rFonts w:ascii="Arial" w:eastAsia="Times New Roman" w:hAnsi="Arial" w:cs="Arial"/>
          <w:sz w:val="24"/>
          <w:szCs w:val="24"/>
          <w:lang w:eastAsia="it-IT"/>
        </w:rPr>
        <w:t>, fermi restando gli eventuali incrementi per carichi di famiglia;</w:t>
      </w:r>
    </w:p>
    <w:p w:rsidR="00672727" w:rsidRPr="008E04A3" w:rsidRDefault="00672727" w:rsidP="00672727">
      <w:pPr>
        <w:numPr>
          <w:ilvl w:val="0"/>
          <w:numId w:val="2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nuova occupazione</w:t>
      </w:r>
      <w:r w:rsidRPr="008E04A3">
        <w:rPr>
          <w:rFonts w:ascii="Arial" w:eastAsia="Times New Roman" w:hAnsi="Arial" w:cs="Arial"/>
          <w:sz w:val="24"/>
          <w:szCs w:val="24"/>
          <w:lang w:eastAsia="it-IT"/>
        </w:rPr>
        <w:t>, con contratto di lavoro subordinato, dalla quale derivi un reddito inferiore al minimo annuo escluso da imposizione fiscale, indipendentemente dalla durata del rapporto di lavoro (articolo 4, comma 1, decreto interministeriale del 29 ottobre 2015);</w:t>
      </w:r>
    </w:p>
    <w:p w:rsidR="00672727" w:rsidRPr="008E04A3" w:rsidRDefault="00672727" w:rsidP="00672727">
      <w:pPr>
        <w:numPr>
          <w:ilvl w:val="0"/>
          <w:numId w:val="28"/>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avvio di attività lavorativa in forma autonoma o di impresa individuale</w:t>
      </w:r>
      <w:r w:rsidRPr="008E04A3">
        <w:rPr>
          <w:rFonts w:ascii="Arial" w:eastAsia="Times New Roman" w:hAnsi="Arial" w:cs="Arial"/>
          <w:sz w:val="24"/>
          <w:szCs w:val="24"/>
          <w:lang w:eastAsia="it-IT"/>
        </w:rPr>
        <w:t>, dalla quale si ricavi un reddito che corrisponda a un’imposta lorda pari o inferiore alle detrazioni spettanti ai sensi dell’articolo 13, Testo Unico delle imposte sui redditi di cui al decreto del Presidente della Repubblica 22 dicembre 1986, n. 917 (articolo 4, comma 1 del decreto interministeriale 29 ottobre 2015).</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In questi casi l’ASDI è ridotta di un importo pari all'</w:t>
      </w:r>
      <w:r w:rsidRPr="008E04A3">
        <w:rPr>
          <w:rFonts w:ascii="Arial" w:eastAsia="Times New Roman" w:hAnsi="Arial" w:cs="Arial"/>
          <w:b/>
          <w:bCs/>
          <w:sz w:val="24"/>
          <w:szCs w:val="24"/>
          <w:lang w:eastAsia="it-IT"/>
        </w:rPr>
        <w:t>80% del reddito previsto</w:t>
      </w:r>
      <w:r w:rsidRPr="008E04A3">
        <w:rPr>
          <w:rFonts w:ascii="Arial" w:eastAsia="Times New Roman" w:hAnsi="Arial" w:cs="Arial"/>
          <w:sz w:val="24"/>
          <w:szCs w:val="24"/>
          <w:lang w:eastAsia="it-IT"/>
        </w:rPr>
        <w:t>, rapportato al periodo di tempo intercorrente tra la data di inizio dell'occupazione/attività e la data di fine dell'indennità o, se antecedente, la fine dell'anno.</w:t>
      </w:r>
      <w:r w:rsidRPr="008E04A3">
        <w:rPr>
          <w:rFonts w:ascii="Arial" w:eastAsia="Times New Roman" w:hAnsi="Arial" w:cs="Arial"/>
          <w:sz w:val="24"/>
          <w:szCs w:val="24"/>
          <w:lang w:eastAsia="it-IT"/>
        </w:rPr>
        <w:br/>
        <w:t xml:space="preserve">Tale riduzione non si applica agli eventuali incrementi per carichi di famiglia. L’evento è comunicato con il modello </w:t>
      </w:r>
      <w:proofErr w:type="spellStart"/>
      <w:r w:rsidRPr="008E04A3">
        <w:rPr>
          <w:rFonts w:ascii="Arial" w:eastAsia="Times New Roman" w:hAnsi="Arial" w:cs="Arial"/>
          <w:sz w:val="24"/>
          <w:szCs w:val="24"/>
          <w:lang w:eastAsia="it-IT"/>
        </w:rPr>
        <w:t>ASDI-com</w:t>
      </w:r>
      <w:proofErr w:type="spellEnd"/>
      <w:r w:rsidRPr="008E04A3">
        <w:rPr>
          <w:rFonts w:ascii="Arial" w:eastAsia="Times New Roman" w:hAnsi="Arial" w:cs="Arial"/>
          <w:sz w:val="24"/>
          <w:szCs w:val="24"/>
          <w:lang w:eastAsia="it-IT"/>
        </w:rPr>
        <w:t xml:space="preserve"> entro un mese dall’inizio della attività.</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Il beneficiario dell’ASDI decade dalla fruizione dell’assegno nei medesimi casi di decadenza previsti per la </w:t>
      </w:r>
      <w:proofErr w:type="spellStart"/>
      <w:r w:rsidRPr="008E04A3">
        <w:rPr>
          <w:rFonts w:ascii="Arial" w:eastAsia="Times New Roman" w:hAnsi="Arial" w:cs="Arial"/>
          <w:color w:val="1C2024"/>
          <w:sz w:val="24"/>
          <w:szCs w:val="24"/>
          <w:lang w:eastAsia="it-IT"/>
        </w:rPr>
        <w:t>NASpI</w:t>
      </w:r>
      <w:proofErr w:type="spellEnd"/>
      <w:r w:rsidRPr="008E04A3">
        <w:rPr>
          <w:rFonts w:ascii="Arial" w:eastAsia="Times New Roman" w:hAnsi="Arial" w:cs="Arial"/>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Ulteriori cause di </w:t>
      </w:r>
      <w:r w:rsidRPr="008E04A3">
        <w:rPr>
          <w:rFonts w:ascii="Arial" w:eastAsia="Times New Roman" w:hAnsi="Arial" w:cs="Arial"/>
          <w:b/>
          <w:bCs/>
          <w:sz w:val="24"/>
          <w:szCs w:val="24"/>
          <w:lang w:eastAsia="it-IT"/>
        </w:rPr>
        <w:t>decadenza</w:t>
      </w:r>
      <w:r w:rsidRPr="008E04A3">
        <w:rPr>
          <w:rFonts w:ascii="Arial" w:eastAsia="Times New Roman" w:hAnsi="Arial" w:cs="Arial"/>
          <w:sz w:val="24"/>
          <w:szCs w:val="24"/>
          <w:lang w:eastAsia="it-IT"/>
        </w:rPr>
        <w:t> dalla fruizione dell’ASDI sono le seguenti:</w:t>
      </w:r>
    </w:p>
    <w:p w:rsidR="00672727" w:rsidRPr="008E04A3" w:rsidRDefault="00672727" w:rsidP="00672727">
      <w:pPr>
        <w:numPr>
          <w:ilvl w:val="0"/>
          <w:numId w:val="2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perdita dello stato di disoccupazione</w:t>
      </w:r>
      <w:r w:rsidRPr="008E04A3">
        <w:rPr>
          <w:rFonts w:ascii="Arial" w:eastAsia="Times New Roman" w:hAnsi="Arial" w:cs="Arial"/>
          <w:sz w:val="24"/>
          <w:szCs w:val="24"/>
          <w:lang w:eastAsia="it-IT"/>
        </w:rPr>
        <w:t> per instaurazione di un rapporto di lavoro subordinato, di durata superiore a sei mesi, il cui reddito annuale sia superiore al reddito minimo escluso da imposizione fiscale (articolo 4, comma 1, decreto interministeriale 29 ottobre 2015 e articolo 9, comma 1, decreto legislativo n. 22/2015);</w:t>
      </w:r>
    </w:p>
    <w:p w:rsidR="00672727" w:rsidRPr="008E04A3" w:rsidRDefault="00672727" w:rsidP="00672727">
      <w:pPr>
        <w:numPr>
          <w:ilvl w:val="0"/>
          <w:numId w:val="2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superamento del valore massimo della soglia</w:t>
      </w:r>
      <w:r w:rsidRPr="008E04A3">
        <w:rPr>
          <w:rFonts w:ascii="Arial" w:eastAsia="Times New Roman" w:hAnsi="Arial" w:cs="Arial"/>
          <w:sz w:val="24"/>
          <w:szCs w:val="24"/>
          <w:lang w:eastAsia="it-IT"/>
        </w:rPr>
        <w:t> </w:t>
      </w:r>
      <w:r w:rsidRPr="008E04A3">
        <w:rPr>
          <w:rFonts w:ascii="Arial" w:eastAsia="Times New Roman" w:hAnsi="Arial" w:cs="Arial"/>
          <w:color w:val="1C2024"/>
          <w:sz w:val="24"/>
          <w:szCs w:val="24"/>
          <w:lang w:eastAsia="it-IT"/>
        </w:rPr>
        <w:t>ISEE</w:t>
      </w:r>
      <w:r w:rsidRPr="008E04A3">
        <w:rPr>
          <w:rFonts w:ascii="Arial" w:eastAsia="Times New Roman" w:hAnsi="Arial" w:cs="Arial"/>
          <w:sz w:val="24"/>
          <w:szCs w:val="24"/>
          <w:lang w:eastAsia="it-IT"/>
        </w:rPr>
        <w:t> a seguito dell’aggiornamento entro il 31 gennaio della </w:t>
      </w:r>
      <w:r w:rsidRPr="008E04A3">
        <w:rPr>
          <w:rFonts w:ascii="Arial" w:eastAsia="Times New Roman" w:hAnsi="Arial" w:cs="Arial"/>
          <w:color w:val="1C2024"/>
          <w:sz w:val="24"/>
          <w:szCs w:val="24"/>
          <w:lang w:eastAsia="it-IT"/>
        </w:rPr>
        <w:t>DSU</w:t>
      </w:r>
      <w:r w:rsidRPr="008E04A3">
        <w:rPr>
          <w:rFonts w:ascii="Arial" w:eastAsia="Times New Roman" w:hAnsi="Arial" w:cs="Arial"/>
          <w:sz w:val="24"/>
          <w:szCs w:val="24"/>
          <w:lang w:eastAsia="it-IT"/>
        </w:rPr>
        <w:t> scaduta (articolo 2, comma 1, lettera d), decreto interministeriale 29 ottobre 2015);</w:t>
      </w:r>
    </w:p>
    <w:p w:rsidR="00672727" w:rsidRPr="008E04A3" w:rsidRDefault="00672727" w:rsidP="00672727">
      <w:pPr>
        <w:numPr>
          <w:ilvl w:val="0"/>
          <w:numId w:val="2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lastRenderedPageBreak/>
        <w:t>superamento valore massimo della soglia </w:t>
      </w:r>
      <w:r w:rsidRPr="008E04A3">
        <w:rPr>
          <w:rFonts w:ascii="Arial" w:eastAsia="Times New Roman" w:hAnsi="Arial" w:cs="Arial"/>
          <w:b/>
          <w:bCs/>
          <w:color w:val="1C2024"/>
          <w:sz w:val="24"/>
          <w:szCs w:val="24"/>
          <w:lang w:eastAsia="it-IT"/>
        </w:rPr>
        <w:t>ISEE</w:t>
      </w:r>
      <w:r w:rsidRPr="008E04A3">
        <w:rPr>
          <w:rFonts w:ascii="Arial" w:eastAsia="Times New Roman" w:hAnsi="Arial" w:cs="Arial"/>
          <w:sz w:val="24"/>
          <w:szCs w:val="24"/>
          <w:lang w:eastAsia="it-IT"/>
        </w:rPr>
        <w:t> a seguito del ricalcolo </w:t>
      </w:r>
      <w:r w:rsidRPr="008E04A3">
        <w:rPr>
          <w:rFonts w:ascii="Arial" w:eastAsia="Times New Roman" w:hAnsi="Arial" w:cs="Arial"/>
          <w:color w:val="1C2024"/>
          <w:sz w:val="24"/>
          <w:szCs w:val="24"/>
          <w:lang w:eastAsia="it-IT"/>
        </w:rPr>
        <w:t>ISEE</w:t>
      </w:r>
      <w:r w:rsidRPr="008E04A3">
        <w:rPr>
          <w:rFonts w:ascii="Arial" w:eastAsia="Times New Roman" w:hAnsi="Arial" w:cs="Arial"/>
          <w:sz w:val="24"/>
          <w:szCs w:val="24"/>
          <w:lang w:eastAsia="it-IT"/>
        </w:rPr>
        <w:t> per rioccupazione (articolo 4, comma 3, decreto interministeriale 29 ottobre 2015);</w:t>
      </w:r>
    </w:p>
    <w:p w:rsidR="00672727" w:rsidRPr="008E04A3" w:rsidRDefault="00672727" w:rsidP="00672727">
      <w:pPr>
        <w:numPr>
          <w:ilvl w:val="0"/>
          <w:numId w:val="2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mancata presentazione di una nuova </w:t>
      </w:r>
      <w:r w:rsidRPr="008E04A3">
        <w:rPr>
          <w:rFonts w:ascii="Arial" w:eastAsia="Times New Roman" w:hAnsi="Arial" w:cs="Arial"/>
          <w:b/>
          <w:bCs/>
          <w:color w:val="1C2024"/>
          <w:sz w:val="24"/>
          <w:szCs w:val="24"/>
          <w:lang w:eastAsia="it-IT"/>
        </w:rPr>
        <w:t>DSU</w:t>
      </w:r>
      <w:r w:rsidRPr="008E04A3">
        <w:rPr>
          <w:rFonts w:ascii="Arial" w:eastAsia="Times New Roman" w:hAnsi="Arial" w:cs="Arial"/>
          <w:sz w:val="24"/>
          <w:szCs w:val="24"/>
          <w:lang w:eastAsia="it-IT"/>
        </w:rPr>
        <w:t>, entro i 30 giorni dalla richiesta, a seguito della scadenza di validità dell’ </w:t>
      </w:r>
      <w:proofErr w:type="spellStart"/>
      <w:r w:rsidRPr="008E04A3">
        <w:rPr>
          <w:rFonts w:ascii="Arial" w:eastAsia="Times New Roman" w:hAnsi="Arial" w:cs="Arial"/>
          <w:color w:val="1C2024"/>
          <w:sz w:val="24"/>
          <w:szCs w:val="24"/>
          <w:lang w:eastAsia="it-IT"/>
        </w:rPr>
        <w:t>ISEE</w:t>
      </w:r>
      <w:r w:rsidRPr="008E04A3">
        <w:rPr>
          <w:rFonts w:ascii="Arial" w:eastAsia="Times New Roman" w:hAnsi="Arial" w:cs="Arial"/>
          <w:sz w:val="24"/>
          <w:szCs w:val="24"/>
          <w:lang w:eastAsia="it-IT"/>
        </w:rPr>
        <w:t>corrente</w:t>
      </w:r>
      <w:proofErr w:type="spellEnd"/>
      <w:r w:rsidRPr="008E04A3">
        <w:rPr>
          <w:rFonts w:ascii="Arial" w:eastAsia="Times New Roman" w:hAnsi="Arial" w:cs="Arial"/>
          <w:sz w:val="24"/>
          <w:szCs w:val="24"/>
          <w:lang w:eastAsia="it-IT"/>
        </w:rPr>
        <w:t xml:space="preserve"> (articolo 9, comma 7, decreto del Presidente del Consiglio dei ministri 5 dicembre 2013, n. 159);</w:t>
      </w:r>
    </w:p>
    <w:p w:rsidR="00672727" w:rsidRPr="008E04A3" w:rsidRDefault="00672727" w:rsidP="00672727">
      <w:pPr>
        <w:numPr>
          <w:ilvl w:val="0"/>
          <w:numId w:val="2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scadenza del termine del 31 gennaio</w:t>
      </w:r>
      <w:r w:rsidRPr="008E04A3">
        <w:rPr>
          <w:rFonts w:ascii="Arial" w:eastAsia="Times New Roman" w:hAnsi="Arial" w:cs="Arial"/>
          <w:sz w:val="24"/>
          <w:szCs w:val="24"/>
          <w:lang w:eastAsia="it-IT"/>
        </w:rPr>
        <w:t> e, dopo la sospensione, mancata presentazione di una nuova </w:t>
      </w:r>
      <w:r w:rsidRPr="008E04A3">
        <w:rPr>
          <w:rFonts w:ascii="Arial" w:eastAsia="Times New Roman" w:hAnsi="Arial" w:cs="Arial"/>
          <w:color w:val="1C2024"/>
          <w:sz w:val="24"/>
          <w:szCs w:val="24"/>
          <w:lang w:eastAsia="it-IT"/>
        </w:rPr>
        <w:t>DSU</w:t>
      </w:r>
      <w:r w:rsidRPr="008E04A3">
        <w:rPr>
          <w:rFonts w:ascii="Arial" w:eastAsia="Times New Roman" w:hAnsi="Arial" w:cs="Arial"/>
          <w:sz w:val="24"/>
          <w:szCs w:val="24"/>
          <w:lang w:eastAsia="it-IT"/>
        </w:rPr>
        <w:t>, entro i 30 giorni dalla richiesta;</w:t>
      </w:r>
    </w:p>
    <w:p w:rsidR="00672727" w:rsidRPr="008E04A3" w:rsidRDefault="00672727" w:rsidP="00672727">
      <w:pPr>
        <w:numPr>
          <w:ilvl w:val="0"/>
          <w:numId w:val="2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mancata comunicazione dei redditi da lavoro</w:t>
      </w:r>
      <w:r w:rsidRPr="008E04A3">
        <w:rPr>
          <w:rFonts w:ascii="Arial" w:eastAsia="Times New Roman" w:hAnsi="Arial" w:cs="Arial"/>
          <w:sz w:val="24"/>
          <w:szCs w:val="24"/>
          <w:lang w:eastAsia="it-IT"/>
        </w:rPr>
        <w:t> autonomo e da impresa individuale entro il 31 marzo dell’anno successivo a quello di riferimento, da parte dei beneficiari esentati dalla presentazione della dichiarazione dei redditi. In questo caso, il beneficiario è tenuto a restituire l’ASDI percepito dalla data di inizio dell'attività lavorativa in argomento (articolo 4, comma 1, decreto interministeriale 29 ottobre 2015 e articoli 9 e 10, d.lgs. 22/2015);</w:t>
      </w:r>
    </w:p>
    <w:p w:rsidR="00672727" w:rsidRPr="008E04A3" w:rsidRDefault="00672727" w:rsidP="00672727">
      <w:pPr>
        <w:numPr>
          <w:ilvl w:val="0"/>
          <w:numId w:val="29"/>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violazione delle regole di condizionalità</w:t>
      </w:r>
      <w:r w:rsidRPr="008E04A3">
        <w:rPr>
          <w:rFonts w:ascii="Arial" w:eastAsia="Times New Roman" w:hAnsi="Arial" w:cs="Arial"/>
          <w:sz w:val="24"/>
          <w:szCs w:val="24"/>
          <w:lang w:eastAsia="it-IT"/>
        </w:rPr>
        <w:t> di cui all'articolo 21, commi 8 e seguenti, d.lgs. 150/2015 e all’articolo 6, commi 2 e 3, ultimo capoverso e comma 4, decreto interministeriale 29 ottobre 2015.</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L’erogazione dell’assegno di disoccupazione ASDI viene </w:t>
      </w:r>
      <w:r w:rsidRPr="008E04A3">
        <w:rPr>
          <w:rFonts w:ascii="Arial" w:eastAsia="Times New Roman" w:hAnsi="Arial" w:cs="Arial"/>
          <w:b/>
          <w:bCs/>
          <w:sz w:val="24"/>
          <w:szCs w:val="24"/>
          <w:lang w:eastAsia="it-IT"/>
        </w:rPr>
        <w:t>sospesa </w:t>
      </w:r>
      <w:r w:rsidRPr="008E04A3">
        <w:rPr>
          <w:rFonts w:ascii="Arial" w:eastAsia="Times New Roman" w:hAnsi="Arial" w:cs="Arial"/>
          <w:sz w:val="24"/>
          <w:szCs w:val="24"/>
          <w:lang w:eastAsia="it-IT"/>
        </w:rPr>
        <w:t>nei casi sotto riportati:</w:t>
      </w:r>
    </w:p>
    <w:p w:rsidR="00672727" w:rsidRPr="008E04A3" w:rsidRDefault="00672727" w:rsidP="00672727">
      <w:pPr>
        <w:numPr>
          <w:ilvl w:val="0"/>
          <w:numId w:val="3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mancato aggiornamento della </w:t>
      </w:r>
      <w:r w:rsidRPr="008E04A3">
        <w:rPr>
          <w:rFonts w:ascii="Arial" w:eastAsia="Times New Roman" w:hAnsi="Arial" w:cs="Arial"/>
          <w:b/>
          <w:bCs/>
          <w:color w:val="1C2024"/>
          <w:sz w:val="24"/>
          <w:szCs w:val="24"/>
          <w:lang w:eastAsia="it-IT"/>
        </w:rPr>
        <w:t>DSU</w:t>
      </w:r>
      <w:r w:rsidRPr="008E04A3">
        <w:rPr>
          <w:rFonts w:ascii="Arial" w:eastAsia="Times New Roman" w:hAnsi="Arial" w:cs="Arial"/>
          <w:sz w:val="24"/>
          <w:szCs w:val="24"/>
          <w:lang w:eastAsia="it-IT"/>
        </w:rPr>
        <w:t> ai fini </w:t>
      </w:r>
      <w:r w:rsidRPr="008E04A3">
        <w:rPr>
          <w:rFonts w:ascii="Arial" w:eastAsia="Times New Roman" w:hAnsi="Arial" w:cs="Arial"/>
          <w:color w:val="1C2024"/>
          <w:sz w:val="24"/>
          <w:szCs w:val="24"/>
          <w:lang w:eastAsia="it-IT"/>
        </w:rPr>
        <w:t>ISEE</w:t>
      </w:r>
      <w:r w:rsidRPr="008E04A3">
        <w:rPr>
          <w:rFonts w:ascii="Arial" w:eastAsia="Times New Roman" w:hAnsi="Arial" w:cs="Arial"/>
          <w:sz w:val="24"/>
          <w:szCs w:val="24"/>
          <w:lang w:eastAsia="it-IT"/>
        </w:rPr>
        <w:t> entro il 31 gennaio dell’anno di percezione della prestazione (articolo 2, comma 1, lettera d), decreto interministeriale 29 ottobre 2015). In caso di mancato riscontro al 31 gennaio della presentazione della nuova </w:t>
      </w:r>
      <w:r w:rsidRPr="008E04A3">
        <w:rPr>
          <w:rFonts w:ascii="Arial" w:eastAsia="Times New Roman" w:hAnsi="Arial" w:cs="Arial"/>
          <w:color w:val="1C2024"/>
          <w:sz w:val="24"/>
          <w:szCs w:val="24"/>
          <w:lang w:eastAsia="it-IT"/>
        </w:rPr>
        <w:t>DSU</w:t>
      </w:r>
      <w:r w:rsidRPr="008E04A3">
        <w:rPr>
          <w:rFonts w:ascii="Arial" w:eastAsia="Times New Roman" w:hAnsi="Arial" w:cs="Arial"/>
          <w:sz w:val="24"/>
          <w:szCs w:val="24"/>
          <w:lang w:eastAsia="it-IT"/>
        </w:rPr>
        <w:t>, l’erogazione viene sospesa dal 1° febbraio;</w:t>
      </w:r>
    </w:p>
    <w:p w:rsidR="00672727" w:rsidRPr="008E04A3" w:rsidRDefault="00672727" w:rsidP="00672727">
      <w:pPr>
        <w:numPr>
          <w:ilvl w:val="0"/>
          <w:numId w:val="3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t>nuova occupazione</w:t>
      </w:r>
      <w:r w:rsidRPr="008E04A3">
        <w:rPr>
          <w:rFonts w:ascii="Arial" w:eastAsia="Times New Roman" w:hAnsi="Arial" w:cs="Arial"/>
          <w:sz w:val="24"/>
          <w:szCs w:val="24"/>
          <w:lang w:eastAsia="it-IT"/>
        </w:rPr>
        <w:t>, con contratto di lavoro subordinato, dalla quale derivi un reddito superiore al minimo annuo escluso da imposizione fiscale, ma con durata dell’attività lavorativa inferiore a sei mesi (articolo 4, comma 1, decreto interministeriale 29 ottobre 2015 e articolo 9, d.lgs. 22/2015);</w:t>
      </w:r>
    </w:p>
    <w:p w:rsidR="00672727" w:rsidRPr="008E04A3" w:rsidRDefault="00672727" w:rsidP="00672727">
      <w:pPr>
        <w:numPr>
          <w:ilvl w:val="0"/>
          <w:numId w:val="3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xml:space="preserve">nuova occupazione, con contratto di lavoro subordinato, con durata dell’attività lavorativa inferiore a 6 mesi, in mancanza di presentazione del modello </w:t>
      </w:r>
      <w:proofErr w:type="spellStart"/>
      <w:r w:rsidRPr="008E04A3">
        <w:rPr>
          <w:rFonts w:ascii="Arial" w:eastAsia="Times New Roman" w:hAnsi="Arial" w:cs="Arial"/>
          <w:sz w:val="24"/>
          <w:szCs w:val="24"/>
          <w:lang w:eastAsia="it-IT"/>
        </w:rPr>
        <w:t>ASDI-com</w:t>
      </w:r>
      <w:proofErr w:type="spellEnd"/>
      <w:r w:rsidRPr="008E04A3">
        <w:rPr>
          <w:rFonts w:ascii="Arial" w:eastAsia="Times New Roman" w:hAnsi="Arial" w:cs="Arial"/>
          <w:sz w:val="24"/>
          <w:szCs w:val="24"/>
          <w:lang w:eastAsia="it-IT"/>
        </w:rPr>
        <w:t xml:space="preserve"> e per 30 giorni dall’invio dello stesso (articolo 4, comma 1, decreto interministeriale 29 ottobre 2015 e articolo 9, d.lgs. 22/2015);</w:t>
      </w:r>
    </w:p>
    <w:p w:rsidR="00672727" w:rsidRPr="008E04A3" w:rsidRDefault="00672727" w:rsidP="00672727">
      <w:pPr>
        <w:numPr>
          <w:ilvl w:val="0"/>
          <w:numId w:val="30"/>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b/>
          <w:bCs/>
          <w:sz w:val="24"/>
          <w:szCs w:val="24"/>
          <w:lang w:eastAsia="it-IT"/>
        </w:rPr>
        <w:lastRenderedPageBreak/>
        <w:t>scadenza del periodo di validità dell’ </w:t>
      </w:r>
      <w:r w:rsidRPr="008E04A3">
        <w:rPr>
          <w:rFonts w:ascii="Arial" w:eastAsia="Times New Roman" w:hAnsi="Arial" w:cs="Arial"/>
          <w:b/>
          <w:bCs/>
          <w:color w:val="1C2024"/>
          <w:sz w:val="24"/>
          <w:szCs w:val="24"/>
          <w:lang w:eastAsia="it-IT"/>
        </w:rPr>
        <w:t>ISEE</w:t>
      </w:r>
      <w:r w:rsidRPr="008E04A3">
        <w:rPr>
          <w:rFonts w:ascii="Arial" w:eastAsia="Times New Roman" w:hAnsi="Arial" w:cs="Arial"/>
          <w:b/>
          <w:bCs/>
          <w:sz w:val="24"/>
          <w:szCs w:val="24"/>
          <w:lang w:eastAsia="it-IT"/>
        </w:rPr>
        <w:t> corrente</w:t>
      </w:r>
      <w:r w:rsidRPr="008E04A3">
        <w:rPr>
          <w:rFonts w:ascii="Arial" w:eastAsia="Times New Roman" w:hAnsi="Arial" w:cs="Arial"/>
          <w:sz w:val="24"/>
          <w:szCs w:val="24"/>
          <w:lang w:eastAsia="it-IT"/>
        </w:rPr>
        <w:t>, se entro i successivi due mesi di validità dello stesso non è presentata una nuova </w:t>
      </w:r>
      <w:r w:rsidRPr="008E04A3">
        <w:rPr>
          <w:rFonts w:ascii="Arial" w:eastAsia="Times New Roman" w:hAnsi="Arial" w:cs="Arial"/>
          <w:color w:val="1C2024"/>
          <w:sz w:val="24"/>
          <w:szCs w:val="24"/>
          <w:lang w:eastAsia="it-IT"/>
        </w:rPr>
        <w:t>DSU</w:t>
      </w:r>
      <w:r w:rsidRPr="008E04A3">
        <w:rPr>
          <w:rFonts w:ascii="Arial" w:eastAsia="Times New Roman" w:hAnsi="Arial" w:cs="Arial"/>
          <w:sz w:val="24"/>
          <w:szCs w:val="24"/>
          <w:lang w:eastAsia="it-IT"/>
        </w:rPr>
        <w:t>. In tal caso l’erogazione viene sospesa per 30 giorni e il percettore di ASDI è invitato a presentare la nuova </w:t>
      </w:r>
      <w:r w:rsidRPr="008E04A3">
        <w:rPr>
          <w:rFonts w:ascii="Arial" w:eastAsia="Times New Roman" w:hAnsi="Arial" w:cs="Arial"/>
          <w:color w:val="1C2024"/>
          <w:sz w:val="24"/>
          <w:szCs w:val="24"/>
          <w:lang w:eastAsia="it-IT"/>
        </w:rPr>
        <w:t>DSU</w:t>
      </w:r>
      <w:r w:rsidRPr="008E04A3">
        <w:rPr>
          <w:rFonts w:ascii="Arial" w:eastAsia="Times New Roman" w:hAnsi="Arial" w:cs="Arial"/>
          <w:sz w:val="24"/>
          <w:szCs w:val="24"/>
          <w:lang w:eastAsia="it-IT"/>
        </w:rPr>
        <w:t> per l’ </w:t>
      </w:r>
      <w:r w:rsidRPr="008E04A3">
        <w:rPr>
          <w:rFonts w:ascii="Arial" w:eastAsia="Times New Roman" w:hAnsi="Arial" w:cs="Arial"/>
          <w:color w:val="1C2024"/>
          <w:sz w:val="24"/>
          <w:szCs w:val="24"/>
          <w:lang w:eastAsia="it-IT"/>
        </w:rPr>
        <w:t>ISEE</w:t>
      </w:r>
      <w:r w:rsidRPr="008E04A3">
        <w:rPr>
          <w:rFonts w:ascii="Arial" w:eastAsia="Times New Roman" w:hAnsi="Arial" w:cs="Arial"/>
          <w:sz w:val="24"/>
          <w:szCs w:val="24"/>
          <w:lang w:eastAsia="it-IT"/>
        </w:rPr>
        <w:t> o l’ </w:t>
      </w:r>
      <w:r w:rsidRPr="008E04A3">
        <w:rPr>
          <w:rFonts w:ascii="Arial" w:eastAsia="Times New Roman" w:hAnsi="Arial" w:cs="Arial"/>
          <w:color w:val="1C2024"/>
          <w:sz w:val="24"/>
          <w:szCs w:val="24"/>
          <w:lang w:eastAsia="it-IT"/>
        </w:rPr>
        <w:t>ISEE</w:t>
      </w:r>
      <w:r w:rsidRPr="008E04A3">
        <w:rPr>
          <w:rFonts w:ascii="Arial" w:eastAsia="Times New Roman" w:hAnsi="Arial" w:cs="Arial"/>
          <w:sz w:val="24"/>
          <w:szCs w:val="24"/>
          <w:lang w:eastAsia="it-IT"/>
        </w:rPr>
        <w:t> corrente, entro 30 giorni dalla ricezione della comunicazione di sospensione</w:t>
      </w:r>
      <w:r w:rsidRPr="008E04A3">
        <w:rPr>
          <w:rFonts w:ascii="Arial" w:eastAsia="Times New Roman" w:hAnsi="Arial" w:cs="Arial"/>
          <w:b/>
          <w:bCs/>
          <w:sz w:val="24"/>
          <w:szCs w:val="24"/>
          <w:lang w:eastAsia="it-IT"/>
        </w:rPr>
        <w:t>.</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Il beneficiario dell’ASDI decade, inoltre, dalla prestazione nelle ipotesi in cui divenga titolare dei seguenti trattamenti assistenziali o pensionistici:</w:t>
      </w:r>
    </w:p>
    <w:p w:rsidR="00672727" w:rsidRPr="008E04A3" w:rsidRDefault="00672727" w:rsidP="00672727">
      <w:pPr>
        <w:numPr>
          <w:ilvl w:val="0"/>
          <w:numId w:val="3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assegno sociale;</w:t>
      </w:r>
    </w:p>
    <w:p w:rsidR="00672727" w:rsidRPr="008E04A3" w:rsidRDefault="00672727" w:rsidP="00672727">
      <w:pPr>
        <w:numPr>
          <w:ilvl w:val="0"/>
          <w:numId w:val="3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pensione di vecchiaia;</w:t>
      </w:r>
    </w:p>
    <w:p w:rsidR="00672727" w:rsidRPr="008E04A3" w:rsidRDefault="00672727" w:rsidP="00672727">
      <w:pPr>
        <w:numPr>
          <w:ilvl w:val="0"/>
          <w:numId w:val="31"/>
        </w:numPr>
        <w:spacing w:before="100" w:beforeAutospacing="1" w:after="100" w:afterAutospacing="1" w:line="461"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pensione di anzianità o anticipata.</w:t>
      </w:r>
    </w:p>
    <w:p w:rsidR="00672727" w:rsidRPr="008E04A3" w:rsidRDefault="00672727" w:rsidP="00672727">
      <w:pPr>
        <w:spacing w:after="165" w:line="240" w:lineRule="auto"/>
        <w:rPr>
          <w:rFonts w:ascii="Arial" w:eastAsia="Times New Roman" w:hAnsi="Arial" w:cs="Arial"/>
          <w:sz w:val="24"/>
          <w:szCs w:val="24"/>
          <w:lang w:eastAsia="it-IT"/>
        </w:rPr>
      </w:pPr>
      <w:r w:rsidRPr="008E04A3">
        <w:rPr>
          <w:rFonts w:ascii="Arial" w:eastAsia="Times New Roman" w:hAnsi="Arial" w:cs="Arial"/>
          <w:sz w:val="24"/>
          <w:szCs w:val="24"/>
          <w:lang w:eastAsia="it-IT"/>
        </w:rPr>
        <w:t>Qualora il percettore di ASDI dell’assegno sia titolare di trattamenti pensionistici di inabilità dovrà optare per una delle due prestazioni. Qualora, invece, la titolarità dell’assegno ordinario di invalidità o di pensione di invalidità intervenga nel corso della percezione dell’ASDI, la facoltà di opzione dovrà essere esercitata entro i successivi 60 giorni.</w:t>
      </w:r>
    </w:p>
    <w:p w:rsidR="00D57A38" w:rsidRPr="008E04A3" w:rsidRDefault="00D57A38" w:rsidP="00D57A38">
      <w:pPr>
        <w:shd w:val="clear" w:color="auto" w:fill="FFFFFF"/>
        <w:spacing w:after="150" w:line="240" w:lineRule="auto"/>
        <w:rPr>
          <w:rFonts w:ascii="Arial" w:eastAsia="Times New Roman" w:hAnsi="Arial" w:cs="Arial"/>
          <w:b/>
          <w:color w:val="000000" w:themeColor="text1"/>
          <w:sz w:val="24"/>
          <w:szCs w:val="24"/>
          <w:lang w:eastAsia="it-IT"/>
        </w:rPr>
      </w:pPr>
      <w:r w:rsidRPr="008E04A3">
        <w:rPr>
          <w:rFonts w:ascii="Arial" w:eastAsia="Times New Roman" w:hAnsi="Arial" w:cs="Arial"/>
          <w:b/>
          <w:color w:val="000000" w:themeColor="text1"/>
          <w:sz w:val="24"/>
          <w:szCs w:val="24"/>
          <w:lang w:eastAsia="it-IT"/>
        </w:rPr>
        <w:t>REI</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Reddito di inclusione (REI) è una misura di contrasto alla povertà dal carattere universale, condizionata alla valutazione della condizione economica. I cittadini possono richiederlo dal 1° dicembre 2017 presso il Comune di residenza o eventuali altri punti di accesso indicati dai Comuni. Il REI si compone di due parti:</w:t>
      </w:r>
    </w:p>
    <w:p w:rsidR="00D57A38" w:rsidRPr="008E04A3" w:rsidRDefault="00D57A38" w:rsidP="00D57A38">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un </w:t>
      </w:r>
      <w:r w:rsidRPr="008E04A3">
        <w:rPr>
          <w:rFonts w:ascii="Arial" w:eastAsia="Times New Roman" w:hAnsi="Arial" w:cs="Arial"/>
          <w:b/>
          <w:bCs/>
          <w:color w:val="000000" w:themeColor="text1"/>
          <w:sz w:val="24"/>
          <w:szCs w:val="24"/>
          <w:lang w:eastAsia="it-IT"/>
        </w:rPr>
        <w:t>beneficio economico</w:t>
      </w:r>
      <w:r w:rsidRPr="008E04A3">
        <w:rPr>
          <w:rFonts w:ascii="Arial" w:eastAsia="Times New Roman" w:hAnsi="Arial" w:cs="Arial"/>
          <w:color w:val="000000" w:themeColor="text1"/>
          <w:sz w:val="24"/>
          <w:szCs w:val="24"/>
          <w:lang w:eastAsia="it-IT"/>
        </w:rPr>
        <w:t>, erogato mensilmente attraverso una carta di pagamento elettronica (Carta REI);</w:t>
      </w:r>
    </w:p>
    <w:p w:rsidR="00D57A38" w:rsidRPr="008E04A3" w:rsidRDefault="00D57A38" w:rsidP="00D57A38">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un </w:t>
      </w:r>
      <w:r w:rsidRPr="008E04A3">
        <w:rPr>
          <w:rFonts w:ascii="Arial" w:eastAsia="Times New Roman" w:hAnsi="Arial" w:cs="Arial"/>
          <w:b/>
          <w:bCs/>
          <w:color w:val="000000" w:themeColor="text1"/>
          <w:sz w:val="24"/>
          <w:szCs w:val="24"/>
          <w:lang w:eastAsia="it-IT"/>
        </w:rPr>
        <w:t>progetto personalizzato</w:t>
      </w:r>
      <w:r w:rsidRPr="008E04A3">
        <w:rPr>
          <w:rFonts w:ascii="Arial" w:eastAsia="Times New Roman" w:hAnsi="Arial" w:cs="Arial"/>
          <w:color w:val="000000" w:themeColor="text1"/>
          <w:sz w:val="24"/>
          <w:szCs w:val="24"/>
          <w:lang w:eastAsia="it-IT"/>
        </w:rPr>
        <w:t> di attivazione e di inclusione sociale e lavorativa volto al superamento della condizione di povertà, predisposto sotto la regia dei servizi sociali del Comune.</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color w:val="000000" w:themeColor="text1"/>
          <w:sz w:val="24"/>
          <w:szCs w:val="24"/>
          <w:u w:val="single"/>
          <w:lang w:eastAsia="it-IT"/>
        </w:rPr>
        <w:t xml:space="preserve">Dal 1° gennaio 2018 il REI ha sostituito il SIA (SOSTEGNO PER ICLUSIONE ATTIVA) E ASDI (ASSEGNO </w:t>
      </w:r>
      <w:proofErr w:type="spellStart"/>
      <w:r w:rsidRPr="008E04A3">
        <w:rPr>
          <w:rFonts w:ascii="Arial" w:eastAsia="Times New Roman" w:hAnsi="Arial" w:cs="Arial"/>
          <w:b/>
          <w:color w:val="000000" w:themeColor="text1"/>
          <w:sz w:val="24"/>
          <w:szCs w:val="24"/>
          <w:u w:val="single"/>
          <w:lang w:eastAsia="it-IT"/>
        </w:rPr>
        <w:t>DI</w:t>
      </w:r>
      <w:proofErr w:type="spellEnd"/>
      <w:r w:rsidRPr="008E04A3">
        <w:rPr>
          <w:rFonts w:ascii="Arial" w:eastAsia="Times New Roman" w:hAnsi="Arial" w:cs="Arial"/>
          <w:b/>
          <w:color w:val="000000" w:themeColor="text1"/>
          <w:sz w:val="24"/>
          <w:szCs w:val="24"/>
          <w:u w:val="single"/>
          <w:lang w:eastAsia="it-IT"/>
        </w:rPr>
        <w:t xml:space="preserve"> DISOCCUPAZIONE). </w:t>
      </w:r>
      <w:r w:rsidRPr="008E04A3">
        <w:rPr>
          <w:rFonts w:ascii="Arial" w:eastAsia="Times New Roman" w:hAnsi="Arial" w:cs="Arial"/>
          <w:color w:val="000000" w:themeColor="text1"/>
          <w:sz w:val="24"/>
          <w:szCs w:val="24"/>
          <w:lang w:eastAsia="it-IT"/>
        </w:rPr>
        <w:br/>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REI viene erogato alle famiglie in possesso dei seguenti requisiti.</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Requisiti di residenza e soggiorno</w:t>
      </w:r>
      <w:r w:rsidRPr="008E04A3">
        <w:rPr>
          <w:rFonts w:ascii="Arial" w:eastAsia="Times New Roman" w:hAnsi="Arial" w:cs="Arial"/>
          <w:b/>
          <w:bCs/>
          <w:color w:val="000000" w:themeColor="text1"/>
          <w:sz w:val="24"/>
          <w:szCs w:val="24"/>
          <w:lang w:eastAsia="it-IT"/>
        </w:rPr>
        <w:br/>
      </w:r>
      <w:r w:rsidRPr="008E04A3">
        <w:rPr>
          <w:rFonts w:ascii="Arial" w:eastAsia="Times New Roman" w:hAnsi="Arial" w:cs="Arial"/>
          <w:color w:val="000000" w:themeColor="text1"/>
          <w:sz w:val="24"/>
          <w:szCs w:val="24"/>
          <w:lang w:eastAsia="it-IT"/>
        </w:rPr>
        <w:t>Il richiedente deve essere congiuntamente:</w:t>
      </w:r>
    </w:p>
    <w:p w:rsidR="00D57A38" w:rsidRPr="008E04A3" w:rsidRDefault="00D57A38" w:rsidP="00D57A38">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cittadino dell'Unione o suo familiare che sia titolare del diritto di soggiorno o del diritto di soggiorno permanente, ovvero cittadino di paesi terzi in possesso del permesso di soggiorno UE per soggiornanti di lungo periodo;</w:t>
      </w:r>
    </w:p>
    <w:p w:rsidR="00D57A38" w:rsidRPr="008E04A3" w:rsidRDefault="00D57A38" w:rsidP="00D57A38">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residente in Italia, in via continuativa, da almeno due anni al momento della presentazione della domanda.</w:t>
      </w:r>
    </w:p>
    <w:p w:rsidR="008E04A3" w:rsidRPr="008E04A3" w:rsidRDefault="008E04A3" w:rsidP="00D57A38">
      <w:pPr>
        <w:shd w:val="clear" w:color="auto" w:fill="FFFFFF"/>
        <w:spacing w:after="150" w:line="240" w:lineRule="auto"/>
        <w:rPr>
          <w:rFonts w:ascii="Arial" w:eastAsia="Times New Roman" w:hAnsi="Arial" w:cs="Arial"/>
          <w:b/>
          <w:bCs/>
          <w:color w:val="000000" w:themeColor="text1"/>
          <w:sz w:val="24"/>
          <w:szCs w:val="24"/>
          <w:lang w:eastAsia="it-IT"/>
        </w:rPr>
      </w:pP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lastRenderedPageBreak/>
        <w:t>Requisiti familiari</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Nell'ottica della progressiva estensione della misura, la Legge di Bilancio 2018 (art. 1, comma 192) abroga dal 1° luglio 2018 tutti i requisiti familiari (presenza di un minorenne, di una persona disabile, di una donna in gravidanza, di un disoccupato ultra 55enne). Pertanto, </w:t>
      </w:r>
      <w:r w:rsidRPr="008E04A3">
        <w:rPr>
          <w:rFonts w:ascii="Arial" w:eastAsia="Times New Roman" w:hAnsi="Arial" w:cs="Arial"/>
          <w:b/>
          <w:bCs/>
          <w:color w:val="000000" w:themeColor="text1"/>
          <w:sz w:val="24"/>
          <w:szCs w:val="24"/>
          <w:lang w:eastAsia="it-IT"/>
        </w:rPr>
        <w:t>a partire dal 1° giugno 2018, possono presentare domanda tutti coloro che possiedono gli altri requisiti, indipendentemente dalla composizione familiare</w:t>
      </w:r>
      <w:r w:rsidRPr="008E04A3">
        <w:rPr>
          <w:rFonts w:ascii="Arial" w:eastAsia="Times New Roman" w:hAnsi="Arial" w:cs="Arial"/>
          <w:color w:val="000000" w:themeColor="text1"/>
          <w:sz w:val="24"/>
          <w:szCs w:val="24"/>
          <w:lang w:eastAsia="it-IT"/>
        </w:rPr>
        <w:t>.</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Al riguardo si sottolinea che </w:t>
      </w:r>
      <w:r w:rsidRPr="008E04A3">
        <w:rPr>
          <w:rFonts w:ascii="Arial" w:eastAsia="Times New Roman" w:hAnsi="Arial" w:cs="Arial"/>
          <w:b/>
          <w:bCs/>
          <w:color w:val="000000" w:themeColor="text1"/>
          <w:sz w:val="24"/>
          <w:szCs w:val="24"/>
          <w:lang w:eastAsia="it-IT"/>
        </w:rPr>
        <w:t>il nucleo familiare di riferimento per il calcolo dell'ISEE non coincide necessariamente con la famiglia anagrafica</w:t>
      </w:r>
      <w:r w:rsidRPr="008E04A3">
        <w:rPr>
          <w:rFonts w:ascii="Arial" w:eastAsia="Times New Roman" w:hAnsi="Arial" w:cs="Arial"/>
          <w:color w:val="000000" w:themeColor="text1"/>
          <w:sz w:val="24"/>
          <w:szCs w:val="24"/>
          <w:lang w:eastAsia="it-IT"/>
        </w:rPr>
        <w:t>. Salvo casi particolari, la normativa ISEE prevede infatti che i coniugi fanno parte dello stesso nucleo anche se con diversa residenza anagrafica; i figli minori di 18 anni fanno parte del nucleo del genitore con il quale convivono; i figli maggiorenni, se non sono coniugati e non hanno figli, fanno parte del nucleo familiare dei genitori anche se non conviventi, se risultano a loro carico ai fini Irpef. A tal fine si chiarisce che sono considerati fiscalmente a carico se hanno redditi non superiori alla soglia di euro 2840,51, al lordo degli oneri deducibili.</w:t>
      </w:r>
      <w:r w:rsidRPr="008E04A3">
        <w:rPr>
          <w:rFonts w:ascii="Arial" w:eastAsia="Times New Roman" w:hAnsi="Arial" w:cs="Arial"/>
          <w:color w:val="000000" w:themeColor="text1"/>
          <w:sz w:val="24"/>
          <w:szCs w:val="24"/>
          <w:lang w:eastAsia="it-IT"/>
        </w:rPr>
        <w:br/>
      </w:r>
    </w:p>
    <w:p w:rsidR="00D57A38" w:rsidRPr="008E04A3" w:rsidRDefault="00D57A38" w:rsidP="00D57A38">
      <w:pPr>
        <w:shd w:val="clear" w:color="auto" w:fill="FFFFFF"/>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Requisiti economici</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nucleo familiare deve essere in possesso congiuntamente di:</w:t>
      </w:r>
    </w:p>
    <w:p w:rsidR="00D57A38" w:rsidRPr="008E04A3" w:rsidRDefault="00D57A38" w:rsidP="00D57A38">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un valore ISEE in corso di validità non superiore a </w:t>
      </w:r>
      <w:r w:rsidRPr="008E04A3">
        <w:rPr>
          <w:rFonts w:ascii="Arial" w:eastAsia="Times New Roman" w:hAnsi="Arial" w:cs="Arial"/>
          <w:b/>
          <w:bCs/>
          <w:color w:val="000000" w:themeColor="text1"/>
          <w:sz w:val="24"/>
          <w:szCs w:val="24"/>
          <w:lang w:eastAsia="it-IT"/>
        </w:rPr>
        <w:t>6mila euro;</w:t>
      </w:r>
    </w:p>
    <w:p w:rsidR="00D57A38" w:rsidRPr="008E04A3" w:rsidRDefault="00D57A38" w:rsidP="00D57A38">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un valore ISRE (l'indicatore reddituale dell'ISEE, ossia l'ISR diviso la scala di equivalenza, al netto delle maggiorazioni) non superiore a </w:t>
      </w:r>
      <w:r w:rsidRPr="008E04A3">
        <w:rPr>
          <w:rFonts w:ascii="Arial" w:eastAsia="Times New Roman" w:hAnsi="Arial" w:cs="Arial"/>
          <w:b/>
          <w:bCs/>
          <w:color w:val="000000" w:themeColor="text1"/>
          <w:sz w:val="24"/>
          <w:szCs w:val="24"/>
          <w:lang w:eastAsia="it-IT"/>
        </w:rPr>
        <w:t>3mila euro</w:t>
      </w:r>
      <w:r w:rsidRPr="008E04A3">
        <w:rPr>
          <w:rFonts w:ascii="Arial" w:eastAsia="Times New Roman" w:hAnsi="Arial" w:cs="Arial"/>
          <w:color w:val="000000" w:themeColor="text1"/>
          <w:sz w:val="24"/>
          <w:szCs w:val="24"/>
          <w:lang w:eastAsia="it-IT"/>
        </w:rPr>
        <w:t>;</w:t>
      </w:r>
    </w:p>
    <w:p w:rsidR="00D57A38" w:rsidRPr="008E04A3" w:rsidRDefault="00D57A38" w:rsidP="00D57A38">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un valore del patrimonio immobiliare, diverso dalla casa di abitazione, non superiore a </w:t>
      </w:r>
      <w:r w:rsidRPr="008E04A3">
        <w:rPr>
          <w:rFonts w:ascii="Arial" w:eastAsia="Times New Roman" w:hAnsi="Arial" w:cs="Arial"/>
          <w:b/>
          <w:bCs/>
          <w:color w:val="000000" w:themeColor="text1"/>
          <w:sz w:val="24"/>
          <w:szCs w:val="24"/>
          <w:lang w:eastAsia="it-IT"/>
        </w:rPr>
        <w:t>20mila</w:t>
      </w:r>
      <w:r w:rsidRPr="008E04A3">
        <w:rPr>
          <w:rFonts w:ascii="Arial" w:eastAsia="Times New Roman" w:hAnsi="Arial" w:cs="Arial"/>
          <w:color w:val="000000" w:themeColor="text1"/>
          <w:sz w:val="24"/>
          <w:szCs w:val="24"/>
          <w:lang w:eastAsia="it-IT"/>
        </w:rPr>
        <w:t> euro;</w:t>
      </w:r>
    </w:p>
    <w:p w:rsidR="00D57A38" w:rsidRPr="008E04A3" w:rsidRDefault="00D57A38" w:rsidP="00D57A38">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un valore del patrimonio mobiliare (depositi, conti correnti) non superiore a </w:t>
      </w:r>
      <w:r w:rsidRPr="008E04A3">
        <w:rPr>
          <w:rFonts w:ascii="Arial" w:eastAsia="Times New Roman" w:hAnsi="Arial" w:cs="Arial"/>
          <w:b/>
          <w:bCs/>
          <w:color w:val="000000" w:themeColor="text1"/>
          <w:sz w:val="24"/>
          <w:szCs w:val="24"/>
          <w:lang w:eastAsia="it-IT"/>
        </w:rPr>
        <w:t>10mila</w:t>
      </w:r>
      <w:r w:rsidRPr="008E04A3">
        <w:rPr>
          <w:rFonts w:ascii="Arial" w:eastAsia="Times New Roman" w:hAnsi="Arial" w:cs="Arial"/>
          <w:color w:val="000000" w:themeColor="text1"/>
          <w:sz w:val="24"/>
          <w:szCs w:val="24"/>
          <w:lang w:eastAsia="it-IT"/>
        </w:rPr>
        <w:t> euro (ridotto a 8 mila euro per la coppia e a 6 mila euro per la persona sola). </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Altri requisiti</w:t>
      </w:r>
      <w:r w:rsidRPr="008E04A3">
        <w:rPr>
          <w:rFonts w:ascii="Arial" w:eastAsia="Times New Roman" w:hAnsi="Arial" w:cs="Arial"/>
          <w:b/>
          <w:bCs/>
          <w:color w:val="000000" w:themeColor="text1"/>
          <w:sz w:val="24"/>
          <w:szCs w:val="24"/>
          <w:lang w:eastAsia="it-IT"/>
        </w:rPr>
        <w:br/>
      </w:r>
      <w:r w:rsidRPr="008E04A3">
        <w:rPr>
          <w:rFonts w:ascii="Arial" w:eastAsia="Times New Roman" w:hAnsi="Arial" w:cs="Arial"/>
          <w:color w:val="000000" w:themeColor="text1"/>
          <w:sz w:val="24"/>
          <w:szCs w:val="24"/>
          <w:lang w:eastAsia="it-IT"/>
        </w:rPr>
        <w:t>Per accedere al REI è inoltre necessario che ciascun componente del nucleo familiare:</w:t>
      </w:r>
    </w:p>
    <w:p w:rsidR="00D57A38" w:rsidRPr="008E04A3" w:rsidRDefault="00D57A38" w:rsidP="00D57A38">
      <w:pPr>
        <w:numPr>
          <w:ilvl w:val="0"/>
          <w:numId w:val="4"/>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non percepisca già prestazioni di assicurazione sociale per l'impiego (</w:t>
      </w:r>
      <w:proofErr w:type="spellStart"/>
      <w:r w:rsidR="00232D7A" w:rsidRPr="008E04A3">
        <w:rPr>
          <w:rFonts w:ascii="Arial" w:eastAsia="Times New Roman" w:hAnsi="Arial" w:cs="Arial"/>
          <w:color w:val="000000" w:themeColor="text1"/>
          <w:sz w:val="24"/>
          <w:szCs w:val="24"/>
          <w:lang w:eastAsia="it-IT"/>
        </w:rPr>
        <w:fldChar w:fldCharType="begin"/>
      </w:r>
      <w:r w:rsidRPr="008E04A3">
        <w:rPr>
          <w:rFonts w:ascii="Arial" w:eastAsia="Times New Roman" w:hAnsi="Arial" w:cs="Arial"/>
          <w:color w:val="000000" w:themeColor="text1"/>
          <w:sz w:val="24"/>
          <w:szCs w:val="24"/>
          <w:lang w:eastAsia="it-IT"/>
        </w:rPr>
        <w:instrText xml:space="preserve"> HYPERLINK "http://www.anpal.gov.it/Cittadini/Naspi/Pagine/default.aspx" \o "vai al sito dell'ANPAL" </w:instrText>
      </w:r>
      <w:r w:rsidR="00232D7A" w:rsidRPr="008E04A3">
        <w:rPr>
          <w:rFonts w:ascii="Arial" w:eastAsia="Times New Roman" w:hAnsi="Arial" w:cs="Arial"/>
          <w:color w:val="000000" w:themeColor="text1"/>
          <w:sz w:val="24"/>
          <w:szCs w:val="24"/>
          <w:lang w:eastAsia="it-IT"/>
        </w:rPr>
        <w:fldChar w:fldCharType="separate"/>
      </w:r>
      <w:r w:rsidRPr="008E04A3">
        <w:rPr>
          <w:rFonts w:ascii="Arial" w:eastAsia="Times New Roman" w:hAnsi="Arial" w:cs="Arial"/>
          <w:color w:val="000000" w:themeColor="text1"/>
          <w:sz w:val="24"/>
          <w:szCs w:val="24"/>
          <w:lang w:eastAsia="it-IT"/>
        </w:rPr>
        <w:t>NASpI</w:t>
      </w:r>
      <w:proofErr w:type="spellEnd"/>
      <w:r w:rsidR="00232D7A" w:rsidRPr="008E04A3">
        <w:rPr>
          <w:rFonts w:ascii="Arial" w:eastAsia="Times New Roman" w:hAnsi="Arial" w:cs="Arial"/>
          <w:color w:val="000000" w:themeColor="text1"/>
          <w:sz w:val="24"/>
          <w:szCs w:val="24"/>
          <w:lang w:eastAsia="it-IT"/>
        </w:rPr>
        <w:fldChar w:fldCharType="end"/>
      </w:r>
      <w:r w:rsidRPr="008E04A3">
        <w:rPr>
          <w:rFonts w:ascii="Arial" w:eastAsia="Times New Roman" w:hAnsi="Arial" w:cs="Arial"/>
          <w:color w:val="000000" w:themeColor="text1"/>
          <w:sz w:val="24"/>
          <w:szCs w:val="24"/>
          <w:lang w:eastAsia="it-IT"/>
        </w:rPr>
        <w:t>) o altri ammortizzatori sociali di sostegno al reddito in caso di disoccupazione involontaria;</w:t>
      </w:r>
    </w:p>
    <w:p w:rsidR="00D57A38" w:rsidRPr="008E04A3" w:rsidRDefault="00D57A38" w:rsidP="00D57A38">
      <w:pPr>
        <w:numPr>
          <w:ilvl w:val="0"/>
          <w:numId w:val="4"/>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non possieda autoveicoli e/o motoveicoli immatricolati la prima volta nei 24 mesi antecedenti la richiesta (sono esclusi gli autoveicoli e i motoveicoli per cui è prevista una agevolazione fiscale in favore delle persone con disabilità);</w:t>
      </w:r>
    </w:p>
    <w:p w:rsidR="00D57A38" w:rsidRPr="008E04A3" w:rsidRDefault="00D57A38" w:rsidP="00D57A38">
      <w:pPr>
        <w:numPr>
          <w:ilvl w:val="0"/>
          <w:numId w:val="4"/>
        </w:numPr>
        <w:shd w:val="clear" w:color="auto" w:fill="FFFFFF"/>
        <w:spacing w:before="100" w:beforeAutospacing="1" w:after="100" w:afterAutospacing="1"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non possieda navi e imbarcazioni da diporto (art. 3, c.1, D.lgs. 171/2005).</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IL BENEFICIO ECONOMICO</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beneficio economico varia in base al numero dei componenti il nucleo familiare (vedi tabella 1) e dipende dalle risorse economiche già possedute dal nucleo medesimo.</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Tabella 1: valore mensile massimo del beneficio economico</w:t>
      </w:r>
    </w:p>
    <w:tbl>
      <w:tblPr>
        <w:tblW w:w="4920" w:type="dxa"/>
        <w:shd w:val="clear" w:color="auto" w:fill="FFFFFF"/>
        <w:tblCellMar>
          <w:top w:w="15" w:type="dxa"/>
          <w:left w:w="15" w:type="dxa"/>
          <w:bottom w:w="15" w:type="dxa"/>
          <w:right w:w="15" w:type="dxa"/>
        </w:tblCellMar>
        <w:tblLook w:val="04A0"/>
      </w:tblPr>
      <w:tblGrid>
        <w:gridCol w:w="2460"/>
        <w:gridCol w:w="2460"/>
      </w:tblGrid>
      <w:tr w:rsidR="00D57A38" w:rsidRPr="008E04A3" w:rsidTr="00D57A38">
        <w:tc>
          <w:tcPr>
            <w:tcW w:w="2460" w:type="dxa"/>
            <w:shd w:val="clear" w:color="auto" w:fill="005594"/>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w:t>
            </w:r>
            <w:r w:rsidRPr="008E04A3">
              <w:rPr>
                <w:rFonts w:ascii="Arial" w:eastAsia="Times New Roman" w:hAnsi="Arial" w:cs="Arial"/>
                <w:b/>
                <w:bCs/>
                <w:color w:val="000000" w:themeColor="text1"/>
                <w:sz w:val="24"/>
                <w:szCs w:val="24"/>
                <w:lang w:eastAsia="it-IT"/>
              </w:rPr>
              <w:t>Numero componenti</w:t>
            </w:r>
            <w:r w:rsidRPr="008E04A3">
              <w:rPr>
                <w:rFonts w:ascii="Arial" w:eastAsia="Times New Roman" w:hAnsi="Arial" w:cs="Arial"/>
                <w:color w:val="000000" w:themeColor="text1"/>
                <w:sz w:val="24"/>
                <w:szCs w:val="24"/>
                <w:lang w:eastAsia="it-IT"/>
              </w:rPr>
              <w:br/>
            </w:r>
          </w:p>
        </w:tc>
        <w:tc>
          <w:tcPr>
            <w:tcW w:w="2460" w:type="dxa"/>
            <w:shd w:val="clear" w:color="auto" w:fill="005594"/>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​Beneficio massimo mensile</w:t>
            </w:r>
            <w:r w:rsidRPr="008E04A3">
              <w:rPr>
                <w:rFonts w:ascii="Arial" w:eastAsia="Times New Roman" w:hAnsi="Arial" w:cs="Arial"/>
                <w:color w:val="000000" w:themeColor="text1"/>
                <w:sz w:val="24"/>
                <w:szCs w:val="24"/>
                <w:lang w:eastAsia="it-IT"/>
              </w:rPr>
              <w:br/>
            </w:r>
          </w:p>
        </w:tc>
      </w:tr>
      <w:tr w:rsidR="00D57A38" w:rsidRPr="008E04A3" w:rsidTr="00D57A38">
        <w:tc>
          <w:tcPr>
            <w:tcW w:w="2460"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​1</w:t>
            </w:r>
            <w:r w:rsidRPr="008E04A3">
              <w:rPr>
                <w:rFonts w:ascii="Arial" w:eastAsia="Times New Roman" w:hAnsi="Arial" w:cs="Arial"/>
                <w:color w:val="000000" w:themeColor="text1"/>
                <w:sz w:val="24"/>
                <w:szCs w:val="24"/>
                <w:lang w:eastAsia="it-IT"/>
              </w:rPr>
              <w:br/>
            </w:r>
          </w:p>
        </w:tc>
        <w:tc>
          <w:tcPr>
            <w:tcW w:w="2460"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lastRenderedPageBreak/>
              <w:t>​187, 50 €</w:t>
            </w:r>
            <w:r w:rsidRPr="008E04A3">
              <w:rPr>
                <w:rFonts w:ascii="Arial" w:eastAsia="Times New Roman" w:hAnsi="Arial" w:cs="Arial"/>
                <w:color w:val="000000" w:themeColor="text1"/>
                <w:sz w:val="24"/>
                <w:szCs w:val="24"/>
                <w:lang w:eastAsia="it-IT"/>
              </w:rPr>
              <w:br/>
            </w:r>
          </w:p>
        </w:tc>
      </w:tr>
      <w:tr w:rsidR="00D57A38" w:rsidRPr="008E04A3" w:rsidTr="00D57A38">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lastRenderedPageBreak/>
              <w:t>​2</w:t>
            </w:r>
            <w:r w:rsidRPr="008E04A3">
              <w:rPr>
                <w:rFonts w:ascii="Arial" w:eastAsia="Times New Roman" w:hAnsi="Arial" w:cs="Arial"/>
                <w:color w:val="000000" w:themeColor="text1"/>
                <w:sz w:val="24"/>
                <w:szCs w:val="24"/>
                <w:lang w:eastAsia="it-IT"/>
              </w:rPr>
              <w:br/>
            </w:r>
          </w:p>
        </w:tc>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​294, 50 €</w:t>
            </w:r>
            <w:r w:rsidRPr="008E04A3">
              <w:rPr>
                <w:rFonts w:ascii="Arial" w:eastAsia="Times New Roman" w:hAnsi="Arial" w:cs="Arial"/>
                <w:color w:val="000000" w:themeColor="text1"/>
                <w:sz w:val="24"/>
                <w:szCs w:val="24"/>
                <w:lang w:eastAsia="it-IT"/>
              </w:rPr>
              <w:br/>
            </w:r>
          </w:p>
        </w:tc>
      </w:tr>
      <w:tr w:rsidR="00D57A38" w:rsidRPr="008E04A3" w:rsidTr="00D57A38">
        <w:tc>
          <w:tcPr>
            <w:tcW w:w="0" w:type="auto"/>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​3</w:t>
            </w:r>
            <w:r w:rsidRPr="008E04A3">
              <w:rPr>
                <w:rFonts w:ascii="Arial" w:eastAsia="Times New Roman" w:hAnsi="Arial" w:cs="Arial"/>
                <w:color w:val="000000" w:themeColor="text1"/>
                <w:sz w:val="24"/>
                <w:szCs w:val="24"/>
                <w:lang w:eastAsia="it-IT"/>
              </w:rPr>
              <w:br/>
            </w:r>
          </w:p>
        </w:tc>
        <w:tc>
          <w:tcPr>
            <w:tcW w:w="0" w:type="auto"/>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​382, 50 €</w:t>
            </w:r>
            <w:r w:rsidRPr="008E04A3">
              <w:rPr>
                <w:rFonts w:ascii="Arial" w:eastAsia="Times New Roman" w:hAnsi="Arial" w:cs="Arial"/>
                <w:color w:val="000000" w:themeColor="text1"/>
                <w:sz w:val="24"/>
                <w:szCs w:val="24"/>
                <w:lang w:eastAsia="it-IT"/>
              </w:rPr>
              <w:br/>
            </w:r>
          </w:p>
        </w:tc>
      </w:tr>
      <w:tr w:rsidR="00D57A38" w:rsidRPr="008E04A3" w:rsidTr="00D57A38">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​4</w:t>
            </w:r>
            <w:r w:rsidRPr="008E04A3">
              <w:rPr>
                <w:rFonts w:ascii="Arial" w:eastAsia="Times New Roman" w:hAnsi="Arial" w:cs="Arial"/>
                <w:color w:val="000000" w:themeColor="text1"/>
                <w:sz w:val="24"/>
                <w:szCs w:val="24"/>
                <w:lang w:eastAsia="it-IT"/>
              </w:rPr>
              <w:br/>
            </w:r>
          </w:p>
        </w:tc>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​461,25 €</w:t>
            </w:r>
            <w:r w:rsidRPr="008E04A3">
              <w:rPr>
                <w:rFonts w:ascii="Arial" w:eastAsia="Times New Roman" w:hAnsi="Arial" w:cs="Arial"/>
                <w:color w:val="000000" w:themeColor="text1"/>
                <w:sz w:val="24"/>
                <w:szCs w:val="24"/>
                <w:lang w:eastAsia="it-IT"/>
              </w:rPr>
              <w:br/>
            </w:r>
          </w:p>
        </w:tc>
      </w:tr>
      <w:tr w:rsidR="00D57A38" w:rsidRPr="008E04A3" w:rsidTr="00D57A38">
        <w:tc>
          <w:tcPr>
            <w:tcW w:w="0" w:type="auto"/>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​5</w:t>
            </w:r>
          </w:p>
        </w:tc>
        <w:tc>
          <w:tcPr>
            <w:tcW w:w="0" w:type="auto"/>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w:t>
            </w:r>
            <w:r w:rsidRPr="008E04A3">
              <w:rPr>
                <w:rFonts w:ascii="Arial" w:eastAsia="Times New Roman" w:hAnsi="Arial" w:cs="Arial"/>
                <w:b/>
                <w:bCs/>
                <w:color w:val="000000" w:themeColor="text1"/>
                <w:sz w:val="24"/>
                <w:szCs w:val="24"/>
                <w:lang w:eastAsia="it-IT"/>
              </w:rPr>
              <w:t>534,37 €*</w:t>
            </w:r>
          </w:p>
        </w:tc>
      </w:tr>
      <w:tr w:rsidR="00D57A38" w:rsidRPr="008E04A3" w:rsidTr="00D57A38">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​6 o più</w:t>
            </w:r>
            <w:r w:rsidRPr="008E04A3">
              <w:rPr>
                <w:rFonts w:ascii="Arial" w:eastAsia="Times New Roman" w:hAnsi="Arial" w:cs="Arial"/>
                <w:color w:val="000000" w:themeColor="text1"/>
                <w:sz w:val="24"/>
                <w:szCs w:val="24"/>
                <w:lang w:eastAsia="it-IT"/>
              </w:rPr>
              <w:br/>
            </w:r>
          </w:p>
        </w:tc>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​539,82 €*</w:t>
            </w:r>
          </w:p>
        </w:tc>
      </w:tr>
    </w:tbl>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i/>
          <w:iCs/>
          <w:color w:val="000000" w:themeColor="text1"/>
          <w:sz w:val="24"/>
          <w:szCs w:val="24"/>
          <w:lang w:eastAsia="it-IT"/>
        </w:rPr>
        <w:t>* Importi modificati per effetto della Legge di Bilancio 2018</w:t>
      </w:r>
      <w:r w:rsidRPr="008E04A3">
        <w:rPr>
          <w:rFonts w:ascii="Arial" w:eastAsia="Times New Roman" w:hAnsi="Arial" w:cs="Arial"/>
          <w:color w:val="000000" w:themeColor="text1"/>
          <w:sz w:val="24"/>
          <w:szCs w:val="24"/>
          <w:lang w:eastAsia="it-IT"/>
        </w:rPr>
        <w:br/>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In particolare, il valore del beneficio massimo mensile è </w:t>
      </w:r>
      <w:r w:rsidRPr="008E04A3">
        <w:rPr>
          <w:rFonts w:ascii="Arial" w:eastAsia="Times New Roman" w:hAnsi="Arial" w:cs="Arial"/>
          <w:b/>
          <w:bCs/>
          <w:color w:val="000000" w:themeColor="text1"/>
          <w:sz w:val="24"/>
          <w:szCs w:val="24"/>
          <w:lang w:eastAsia="it-IT"/>
        </w:rPr>
        <w:t>ridotto dell'importo mensile degli eventuali trattamenti assistenziali</w:t>
      </w:r>
      <w:r w:rsidRPr="008E04A3">
        <w:rPr>
          <w:rFonts w:ascii="Arial" w:eastAsia="Times New Roman" w:hAnsi="Arial" w:cs="Arial"/>
          <w:color w:val="000000" w:themeColor="text1"/>
          <w:sz w:val="24"/>
          <w:szCs w:val="24"/>
          <w:lang w:eastAsia="it-IT"/>
        </w:rPr>
        <w:t> percepiti dalla famiglia nel periodo di fruizione del REI, esclusi quelli non sottoposti alla prova dei mezzi, come ad esempio l'indennità di accompagnamento.</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Inoltre, se i componenti del nucleo familiare percepiscono dei redditi, il beneficio mensile del REI è ulteriormente </w:t>
      </w:r>
      <w:r w:rsidRPr="008E04A3">
        <w:rPr>
          <w:rFonts w:ascii="Arial" w:eastAsia="Times New Roman" w:hAnsi="Arial" w:cs="Arial"/>
          <w:b/>
          <w:bCs/>
          <w:color w:val="000000" w:themeColor="text1"/>
          <w:sz w:val="24"/>
          <w:szCs w:val="24"/>
          <w:lang w:eastAsia="it-IT"/>
        </w:rPr>
        <w:t>ridotto di un importo pari al valore dell'ISR</w:t>
      </w:r>
      <w:r w:rsidRPr="008E04A3">
        <w:rPr>
          <w:rFonts w:ascii="Arial" w:eastAsia="Times New Roman" w:hAnsi="Arial" w:cs="Arial"/>
          <w:color w:val="000000" w:themeColor="text1"/>
          <w:sz w:val="24"/>
          <w:szCs w:val="24"/>
          <w:lang w:eastAsia="it-IT"/>
        </w:rPr>
        <w:t> adottato ai fini ISEE (non considerando i benefici assistenziali già sottratti). L'ISR tiene conto, tra l'altro, delle spese per l'affitto (che vengono sottratte dai redditi fino a un massimo di 7mila euro, incrementato di 500 euro per ogni figlio convivente successivo al secondo) e dei redditi da lavoro dipendente (che vengono sottratti per il 20%, fino ad un massimo di 3mila euro).</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beneficio viene concesso per un periodo massimo di 18 mesi e, se necessario, potrà essere rinnovato per ulteriori 12 mesi. In tal caso, la richiesta di rinnovo potrà essere inoltrata non prima di 6 mesi dall'erogazione dell'ultima mensilità.</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Per fruire del REI occorre avere una attestazione ISEE in corso di validità</w:t>
      </w:r>
      <w:r w:rsidRPr="008E04A3">
        <w:rPr>
          <w:rFonts w:ascii="Arial" w:eastAsia="Times New Roman" w:hAnsi="Arial" w:cs="Arial"/>
          <w:color w:val="000000" w:themeColor="text1"/>
          <w:sz w:val="24"/>
          <w:szCs w:val="24"/>
          <w:lang w:eastAsia="it-IT"/>
        </w:rPr>
        <w:t>. Poiché l'ISEE ordinario scade a gennaio di ogni anno, al fine di evitare la sospensione del beneficio, chi presenta la domanda per il REI dal 1° gennaio 2018 deve essere già in possesso dell'attestazione ISEE 2018.</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w:t>
      </w:r>
      <w:r w:rsidRPr="008E04A3">
        <w:rPr>
          <w:rFonts w:ascii="Arial" w:eastAsia="Times New Roman" w:hAnsi="Arial" w:cs="Arial"/>
          <w:b/>
          <w:bCs/>
          <w:color w:val="000000" w:themeColor="text1"/>
          <w:sz w:val="24"/>
          <w:szCs w:val="24"/>
          <w:lang w:eastAsia="it-IT"/>
        </w:rPr>
        <w:t>l versamento del beneficio decorre dal mese successivo alla richiesta</w:t>
      </w:r>
      <w:r w:rsidRPr="008E04A3">
        <w:rPr>
          <w:rFonts w:ascii="Arial" w:eastAsia="Times New Roman" w:hAnsi="Arial" w:cs="Arial"/>
          <w:color w:val="000000" w:themeColor="text1"/>
          <w:sz w:val="24"/>
          <w:szCs w:val="24"/>
          <w:lang w:eastAsia="it-IT"/>
        </w:rPr>
        <w:t>. </w:t>
      </w:r>
      <w:r w:rsidRPr="008E04A3">
        <w:rPr>
          <w:rFonts w:ascii="Arial" w:eastAsia="Times New Roman" w:hAnsi="Arial" w:cs="Arial"/>
          <w:b/>
          <w:bCs/>
          <w:color w:val="000000" w:themeColor="text1"/>
          <w:sz w:val="24"/>
          <w:szCs w:val="24"/>
          <w:lang w:eastAsia="it-IT"/>
        </w:rPr>
        <w:t>Condizione necessaria per accedere al beneficio è aver sottoscritto il Progetto personalizzato</w:t>
      </w:r>
      <w:r w:rsidRPr="008E04A3">
        <w:rPr>
          <w:rFonts w:ascii="Arial" w:eastAsia="Times New Roman" w:hAnsi="Arial" w:cs="Arial"/>
          <w:color w:val="000000" w:themeColor="text1"/>
          <w:sz w:val="24"/>
          <w:szCs w:val="24"/>
          <w:lang w:eastAsia="it-IT"/>
        </w:rPr>
        <w:t>,</w:t>
      </w:r>
      <w:r w:rsidRPr="008E04A3">
        <w:rPr>
          <w:rFonts w:ascii="Arial" w:eastAsia="Times New Roman" w:hAnsi="Arial" w:cs="Arial"/>
          <w:b/>
          <w:bCs/>
          <w:color w:val="000000" w:themeColor="text1"/>
          <w:sz w:val="24"/>
          <w:szCs w:val="24"/>
          <w:lang w:eastAsia="it-IT"/>
        </w:rPr>
        <w:t> </w:t>
      </w:r>
      <w:r w:rsidRPr="008E04A3">
        <w:rPr>
          <w:rFonts w:ascii="Arial" w:eastAsia="Times New Roman" w:hAnsi="Arial" w:cs="Arial"/>
          <w:color w:val="000000" w:themeColor="text1"/>
          <w:sz w:val="24"/>
          <w:szCs w:val="24"/>
          <w:lang w:eastAsia="it-IT"/>
        </w:rPr>
        <w:t>con il quale la famiglia è tenuta a svolgere determinate attività.</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Se il nucleo familiare non rispetta gli impegni previsti nel progetto senza giustificato motivo o se, per effetto di dichiarazioni false rilasciate nell'attestazione ISEE, risulta aver percepito un importo superiore a quello che gli sarebbe spettato, l'importo versato sulla Carta può essere decurtato fino ad arrivare, nei casi più gravi, alla sospensione e alla decadenza del beneficio. Sono inoltre previste sanzioni fino a 5mila euro nel caso in cui il beneficio sia stato fruito in maniera del tutto illegittima per effetto di dichiarazioni false riscontrate nell'attestazione ISEE volte a nascondere una situazione di relativo benessere.</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Calcolo del beneficio massimo mensile</w:t>
      </w:r>
      <w:r w:rsidRPr="008E04A3">
        <w:rPr>
          <w:rFonts w:ascii="Arial" w:eastAsia="Times New Roman" w:hAnsi="Arial" w:cs="Arial"/>
          <w:b/>
          <w:bCs/>
          <w:color w:val="000000" w:themeColor="text1"/>
          <w:sz w:val="24"/>
          <w:szCs w:val="24"/>
          <w:lang w:eastAsia="it-IT"/>
        </w:rPr>
        <w:br/>
      </w:r>
      <w:r w:rsidRPr="008E04A3">
        <w:rPr>
          <w:rFonts w:ascii="Arial" w:eastAsia="Times New Roman" w:hAnsi="Arial" w:cs="Arial"/>
          <w:color w:val="000000" w:themeColor="text1"/>
          <w:sz w:val="24"/>
          <w:szCs w:val="24"/>
          <w:lang w:eastAsia="it-IT"/>
        </w:rPr>
        <w:t xml:space="preserve">Per una famiglia composta da un singolo componente, la soglia di riferimento per il calcolo del beneficio massimo  è pari a 2.250 euro (vale a dire il 75% dei 3mila euro previsti dal decreto in sede di prima applicazione) e cresce in base al numero dei componenti il nucleo </w:t>
      </w:r>
      <w:r w:rsidRPr="008E04A3">
        <w:rPr>
          <w:rFonts w:ascii="Arial" w:eastAsia="Times New Roman" w:hAnsi="Arial" w:cs="Arial"/>
          <w:color w:val="000000" w:themeColor="text1"/>
          <w:sz w:val="24"/>
          <w:szCs w:val="24"/>
          <w:lang w:eastAsia="it-IT"/>
        </w:rPr>
        <w:lastRenderedPageBreak/>
        <w:t>familiare, sulla base della scala di equivalenza dell'ISEE. Il beneficio massimo mensile si ottiene, quindi, dividendo l'importo annuo per 12 mensilità (vedi tabella 1).</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Tabella 2: importo annuo del beneficio massimo</w:t>
      </w:r>
    </w:p>
    <w:tbl>
      <w:tblPr>
        <w:tblW w:w="13350" w:type="dxa"/>
        <w:shd w:val="clear" w:color="auto" w:fill="FFFFFF"/>
        <w:tblCellMar>
          <w:top w:w="15" w:type="dxa"/>
          <w:left w:w="15" w:type="dxa"/>
          <w:bottom w:w="15" w:type="dxa"/>
          <w:right w:w="15" w:type="dxa"/>
        </w:tblCellMar>
        <w:tblLook w:val="04A0"/>
      </w:tblPr>
      <w:tblGrid>
        <w:gridCol w:w="3089"/>
        <w:gridCol w:w="4413"/>
        <w:gridCol w:w="5848"/>
      </w:tblGrid>
      <w:tr w:rsidR="00D57A38" w:rsidRPr="008E04A3" w:rsidTr="00D57A38">
        <w:tc>
          <w:tcPr>
            <w:tcW w:w="2100" w:type="dxa"/>
            <w:shd w:val="clear" w:color="auto" w:fill="005594"/>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​Numero componenti</w:t>
            </w:r>
            <w:r w:rsidRPr="008E04A3">
              <w:rPr>
                <w:rFonts w:ascii="Arial" w:eastAsia="Times New Roman" w:hAnsi="Arial" w:cs="Arial"/>
                <w:color w:val="000000" w:themeColor="text1"/>
                <w:sz w:val="24"/>
                <w:szCs w:val="24"/>
                <w:lang w:eastAsia="it-IT"/>
              </w:rPr>
              <w:br/>
            </w:r>
          </w:p>
        </w:tc>
        <w:tc>
          <w:tcPr>
            <w:tcW w:w="3000" w:type="dxa"/>
            <w:shd w:val="clear" w:color="auto" w:fill="005594"/>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​Scala di equivalenza ISEE</w:t>
            </w:r>
            <w:r w:rsidRPr="008E04A3">
              <w:rPr>
                <w:rFonts w:ascii="Arial" w:eastAsia="Times New Roman" w:hAnsi="Arial" w:cs="Arial"/>
                <w:color w:val="000000" w:themeColor="text1"/>
                <w:sz w:val="24"/>
                <w:szCs w:val="24"/>
                <w:lang w:eastAsia="it-IT"/>
              </w:rPr>
              <w:br/>
            </w:r>
          </w:p>
        </w:tc>
        <w:tc>
          <w:tcPr>
            <w:tcW w:w="3975" w:type="dxa"/>
            <w:shd w:val="clear" w:color="auto" w:fill="005594"/>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​Soglia di riferimento in sede di prima applicazione</w:t>
            </w:r>
            <w:r w:rsidRPr="008E04A3">
              <w:rPr>
                <w:rFonts w:ascii="Arial" w:eastAsia="Times New Roman" w:hAnsi="Arial" w:cs="Arial"/>
                <w:color w:val="000000" w:themeColor="text1"/>
                <w:sz w:val="24"/>
                <w:szCs w:val="24"/>
                <w:lang w:eastAsia="it-IT"/>
              </w:rPr>
              <w:br/>
            </w:r>
          </w:p>
        </w:tc>
      </w:tr>
      <w:tr w:rsidR="00D57A38" w:rsidRPr="008E04A3" w:rsidTr="00D57A38">
        <w:tc>
          <w:tcPr>
            <w:tcW w:w="2100"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​1</w:t>
            </w:r>
            <w:r w:rsidRPr="008E04A3">
              <w:rPr>
                <w:rFonts w:ascii="Arial" w:eastAsia="Times New Roman" w:hAnsi="Arial" w:cs="Arial"/>
                <w:color w:val="000000" w:themeColor="text1"/>
                <w:sz w:val="24"/>
                <w:szCs w:val="24"/>
                <w:lang w:eastAsia="it-IT"/>
              </w:rPr>
              <w:br/>
            </w:r>
          </w:p>
        </w:tc>
        <w:tc>
          <w:tcPr>
            <w:tcW w:w="3000"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1.00</w:t>
            </w:r>
          </w:p>
        </w:tc>
        <w:tc>
          <w:tcPr>
            <w:tcW w:w="3975"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2.250,00 €</w:t>
            </w:r>
            <w:r w:rsidRPr="008E04A3">
              <w:rPr>
                <w:rFonts w:ascii="Arial" w:eastAsia="Times New Roman" w:hAnsi="Arial" w:cs="Arial"/>
                <w:color w:val="000000" w:themeColor="text1"/>
                <w:sz w:val="24"/>
                <w:szCs w:val="24"/>
                <w:lang w:eastAsia="it-IT"/>
              </w:rPr>
              <w:br/>
            </w:r>
          </w:p>
        </w:tc>
      </w:tr>
      <w:tr w:rsidR="00D57A38" w:rsidRPr="008E04A3" w:rsidTr="00D57A38">
        <w:tc>
          <w:tcPr>
            <w:tcW w:w="2100" w:type="dxa"/>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​2</w:t>
            </w:r>
            <w:r w:rsidRPr="008E04A3">
              <w:rPr>
                <w:rFonts w:ascii="Arial" w:eastAsia="Times New Roman" w:hAnsi="Arial" w:cs="Arial"/>
                <w:color w:val="000000" w:themeColor="text1"/>
                <w:sz w:val="24"/>
                <w:szCs w:val="24"/>
                <w:lang w:eastAsia="it-IT"/>
              </w:rPr>
              <w:br/>
            </w:r>
          </w:p>
        </w:tc>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1.57</w:t>
            </w:r>
          </w:p>
        </w:tc>
        <w:tc>
          <w:tcPr>
            <w:tcW w:w="3975" w:type="dxa"/>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​3.532,50 €</w:t>
            </w:r>
            <w:r w:rsidRPr="008E04A3">
              <w:rPr>
                <w:rFonts w:ascii="Arial" w:eastAsia="Times New Roman" w:hAnsi="Arial" w:cs="Arial"/>
                <w:color w:val="000000" w:themeColor="text1"/>
                <w:sz w:val="24"/>
                <w:szCs w:val="24"/>
                <w:lang w:eastAsia="it-IT"/>
              </w:rPr>
              <w:br/>
            </w:r>
          </w:p>
        </w:tc>
      </w:tr>
      <w:tr w:rsidR="00D57A38" w:rsidRPr="008E04A3" w:rsidTr="00D57A38">
        <w:tc>
          <w:tcPr>
            <w:tcW w:w="2100"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​3</w:t>
            </w:r>
            <w:r w:rsidRPr="008E04A3">
              <w:rPr>
                <w:rFonts w:ascii="Arial" w:eastAsia="Times New Roman" w:hAnsi="Arial" w:cs="Arial"/>
                <w:color w:val="000000" w:themeColor="text1"/>
                <w:sz w:val="24"/>
                <w:szCs w:val="24"/>
                <w:lang w:eastAsia="it-IT"/>
              </w:rPr>
              <w:br/>
            </w:r>
          </w:p>
        </w:tc>
        <w:tc>
          <w:tcPr>
            <w:tcW w:w="0" w:type="auto"/>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2.04</w:t>
            </w:r>
          </w:p>
        </w:tc>
        <w:tc>
          <w:tcPr>
            <w:tcW w:w="3975"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​4.590,00 €</w:t>
            </w:r>
            <w:r w:rsidRPr="008E04A3">
              <w:rPr>
                <w:rFonts w:ascii="Arial" w:eastAsia="Times New Roman" w:hAnsi="Arial" w:cs="Arial"/>
                <w:color w:val="000000" w:themeColor="text1"/>
                <w:sz w:val="24"/>
                <w:szCs w:val="24"/>
                <w:lang w:eastAsia="it-IT"/>
              </w:rPr>
              <w:br/>
            </w:r>
          </w:p>
        </w:tc>
      </w:tr>
      <w:tr w:rsidR="00D57A38" w:rsidRPr="008E04A3" w:rsidTr="00D57A38">
        <w:tc>
          <w:tcPr>
            <w:tcW w:w="2100" w:type="dxa"/>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​4</w:t>
            </w:r>
            <w:r w:rsidRPr="008E04A3">
              <w:rPr>
                <w:rFonts w:ascii="Arial" w:eastAsia="Times New Roman" w:hAnsi="Arial" w:cs="Arial"/>
                <w:color w:val="000000" w:themeColor="text1"/>
                <w:sz w:val="24"/>
                <w:szCs w:val="24"/>
                <w:lang w:eastAsia="it-IT"/>
              </w:rPr>
              <w:br/>
            </w:r>
          </w:p>
        </w:tc>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​2.46</w:t>
            </w:r>
            <w:r w:rsidRPr="008E04A3">
              <w:rPr>
                <w:rFonts w:ascii="Arial" w:eastAsia="Times New Roman" w:hAnsi="Arial" w:cs="Arial"/>
                <w:color w:val="000000" w:themeColor="text1"/>
                <w:sz w:val="24"/>
                <w:szCs w:val="24"/>
                <w:lang w:eastAsia="it-IT"/>
              </w:rPr>
              <w:br/>
            </w:r>
          </w:p>
        </w:tc>
        <w:tc>
          <w:tcPr>
            <w:tcW w:w="3975" w:type="dxa"/>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​5.535,00 €</w:t>
            </w:r>
            <w:r w:rsidRPr="008E04A3">
              <w:rPr>
                <w:rFonts w:ascii="Arial" w:eastAsia="Times New Roman" w:hAnsi="Arial" w:cs="Arial"/>
                <w:color w:val="000000" w:themeColor="text1"/>
                <w:sz w:val="24"/>
                <w:szCs w:val="24"/>
                <w:lang w:eastAsia="it-IT"/>
              </w:rPr>
              <w:br/>
            </w:r>
          </w:p>
        </w:tc>
      </w:tr>
      <w:tr w:rsidR="00D57A38" w:rsidRPr="008E04A3" w:rsidTr="00D57A38">
        <w:tc>
          <w:tcPr>
            <w:tcW w:w="2100"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​5</w:t>
            </w:r>
          </w:p>
        </w:tc>
        <w:tc>
          <w:tcPr>
            <w:tcW w:w="0" w:type="auto"/>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2.85</w:t>
            </w:r>
          </w:p>
        </w:tc>
        <w:tc>
          <w:tcPr>
            <w:tcW w:w="3975" w:type="dxa"/>
            <w:shd w:val="clear" w:color="auto" w:fill="C0E4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w:t>
            </w:r>
            <w:r w:rsidRPr="008E04A3">
              <w:rPr>
                <w:rFonts w:ascii="Arial" w:eastAsia="Times New Roman" w:hAnsi="Arial" w:cs="Arial"/>
                <w:b/>
                <w:bCs/>
                <w:color w:val="000000" w:themeColor="text1"/>
                <w:sz w:val="24"/>
                <w:szCs w:val="24"/>
                <w:lang w:eastAsia="it-IT"/>
              </w:rPr>
              <w:t>6.412,50 €*</w:t>
            </w:r>
          </w:p>
        </w:tc>
      </w:tr>
      <w:tr w:rsidR="00D57A38" w:rsidRPr="008E04A3" w:rsidTr="00D57A38">
        <w:tc>
          <w:tcPr>
            <w:tcW w:w="2100" w:type="dxa"/>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w:t>
            </w:r>
            <w:r w:rsidRPr="008E04A3">
              <w:rPr>
                <w:rFonts w:ascii="Arial" w:eastAsia="Times New Roman" w:hAnsi="Arial" w:cs="Arial"/>
                <w:b/>
                <w:bCs/>
                <w:color w:val="000000" w:themeColor="text1"/>
                <w:sz w:val="24"/>
                <w:szCs w:val="24"/>
                <w:lang w:eastAsia="it-IT"/>
              </w:rPr>
              <w:t>​6 o più</w:t>
            </w:r>
          </w:p>
        </w:tc>
        <w:tc>
          <w:tcPr>
            <w:tcW w:w="0" w:type="auto"/>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​3,20</w:t>
            </w:r>
          </w:p>
        </w:tc>
        <w:tc>
          <w:tcPr>
            <w:tcW w:w="3975" w:type="dxa"/>
            <w:shd w:val="clear" w:color="auto" w:fill="FFFFFF"/>
            <w:tcMar>
              <w:top w:w="105" w:type="dxa"/>
              <w:left w:w="75" w:type="dxa"/>
              <w:bottom w:w="90" w:type="dxa"/>
              <w:right w:w="75" w:type="dxa"/>
            </w:tcMar>
            <w:hideMark/>
          </w:tcPr>
          <w:p w:rsidR="00D57A38" w:rsidRPr="008E04A3" w:rsidRDefault="00D57A38" w:rsidP="00D57A38">
            <w:pPr>
              <w:spacing w:after="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6.477,90 €**</w:t>
            </w:r>
          </w:p>
        </w:tc>
      </w:tr>
    </w:tbl>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i/>
          <w:iCs/>
          <w:color w:val="000000" w:themeColor="text1"/>
          <w:sz w:val="24"/>
          <w:szCs w:val="24"/>
          <w:lang w:eastAsia="it-IT"/>
        </w:rPr>
        <w:t>* Importi modificati per effetto della Legge di Bilancio 2018 </w:t>
      </w:r>
      <w:r w:rsidRPr="008E04A3">
        <w:rPr>
          <w:rFonts w:ascii="Arial" w:eastAsia="Times New Roman" w:hAnsi="Arial" w:cs="Arial"/>
          <w:i/>
          <w:iCs/>
          <w:color w:val="000000" w:themeColor="text1"/>
          <w:sz w:val="24"/>
          <w:szCs w:val="24"/>
          <w:lang w:eastAsia="it-IT"/>
        </w:rPr>
        <w:br/>
        <w:t>** La soglia non può eccedere il valore annuo dell'assegno sociale incrementato del 10%, pari per il 2018 a 6.477,90€</w:t>
      </w:r>
      <w:r w:rsidRPr="008E04A3">
        <w:rPr>
          <w:rFonts w:ascii="Arial" w:eastAsia="Times New Roman" w:hAnsi="Arial" w:cs="Arial"/>
          <w:i/>
          <w:iCs/>
          <w:color w:val="000000" w:themeColor="text1"/>
          <w:sz w:val="24"/>
          <w:szCs w:val="24"/>
          <w:lang w:eastAsia="it-IT"/>
        </w:rPr>
        <w:br/>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 xml:space="preserve">PROGETTO PERSONALIZZATO </w:t>
      </w:r>
      <w:proofErr w:type="spellStart"/>
      <w:r w:rsidRPr="008E04A3">
        <w:rPr>
          <w:rFonts w:ascii="Arial" w:eastAsia="Times New Roman" w:hAnsi="Arial" w:cs="Arial"/>
          <w:b/>
          <w:bCs/>
          <w:color w:val="000000" w:themeColor="text1"/>
          <w:sz w:val="24"/>
          <w:szCs w:val="24"/>
          <w:lang w:eastAsia="it-IT"/>
        </w:rPr>
        <w:t>DI</w:t>
      </w:r>
      <w:proofErr w:type="spellEnd"/>
      <w:r w:rsidRPr="008E04A3">
        <w:rPr>
          <w:rFonts w:ascii="Arial" w:eastAsia="Times New Roman" w:hAnsi="Arial" w:cs="Arial"/>
          <w:b/>
          <w:bCs/>
          <w:color w:val="000000" w:themeColor="text1"/>
          <w:sz w:val="24"/>
          <w:szCs w:val="24"/>
          <w:lang w:eastAsia="it-IT"/>
        </w:rPr>
        <w:t xml:space="preserve"> ATTIVAZIONE SOCIALE E LAVORATIVA</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w:t>
      </w:r>
      <w:r w:rsidRPr="008E04A3">
        <w:rPr>
          <w:rFonts w:ascii="Arial" w:eastAsia="Times New Roman" w:hAnsi="Arial" w:cs="Arial"/>
          <w:b/>
          <w:bCs/>
          <w:color w:val="000000" w:themeColor="text1"/>
          <w:sz w:val="24"/>
          <w:szCs w:val="24"/>
          <w:lang w:eastAsia="it-IT"/>
        </w:rPr>
        <w:t>Progetto viene predisposto dai servizi sociali del Comune</w:t>
      </w:r>
      <w:r w:rsidRPr="008E04A3">
        <w:rPr>
          <w:rFonts w:ascii="Arial" w:eastAsia="Times New Roman" w:hAnsi="Arial" w:cs="Arial"/>
          <w:color w:val="000000" w:themeColor="text1"/>
          <w:sz w:val="24"/>
          <w:szCs w:val="24"/>
          <w:lang w:eastAsia="it-IT"/>
        </w:rPr>
        <w:t>, che operano in rete con i servizi per l'impiego, i servizi sanitari e le scuole, nonché con soggetti privati attivi nell'ambito degli interventi di contrasto alla povertà, con particolare riferimento agli enti non profit.</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Il Progetto riguarda l'intero nucleo familiare e prevede specifici impegni</w:t>
      </w:r>
      <w:r w:rsidRPr="008E04A3">
        <w:rPr>
          <w:rFonts w:ascii="Arial" w:eastAsia="Times New Roman" w:hAnsi="Arial" w:cs="Arial"/>
          <w:color w:val="000000" w:themeColor="text1"/>
          <w:sz w:val="24"/>
          <w:szCs w:val="24"/>
          <w:lang w:eastAsia="it-IT"/>
        </w:rPr>
        <w:t xml:space="preserve"> che vengono individuati da operatori sociali opportunamente identificati dai servizi competenti, sulla base di una valutazione delle problematiche e dei bisogni. La valutazione prende in considerazione diverse dimensioni: le condizioni personali e sociali; la situazione economica; la situazione lavorativa e il profilo di </w:t>
      </w:r>
      <w:proofErr w:type="spellStart"/>
      <w:r w:rsidRPr="008E04A3">
        <w:rPr>
          <w:rFonts w:ascii="Arial" w:eastAsia="Times New Roman" w:hAnsi="Arial" w:cs="Arial"/>
          <w:color w:val="000000" w:themeColor="text1"/>
          <w:sz w:val="24"/>
          <w:szCs w:val="24"/>
          <w:lang w:eastAsia="it-IT"/>
        </w:rPr>
        <w:t>occupabilità</w:t>
      </w:r>
      <w:proofErr w:type="spellEnd"/>
      <w:r w:rsidRPr="008E04A3">
        <w:rPr>
          <w:rFonts w:ascii="Arial" w:eastAsia="Times New Roman" w:hAnsi="Arial" w:cs="Arial"/>
          <w:color w:val="000000" w:themeColor="text1"/>
          <w:sz w:val="24"/>
          <w:szCs w:val="24"/>
          <w:lang w:eastAsia="it-IT"/>
        </w:rPr>
        <w:t>; l'educazione, l'istruzione, la formazione; la condizione abitativa; le reti familiari, di prossimità e sociali.</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La valutazione è organizzata in un'analisi preliminare, (da svolgersi entro 25 giorni dalla richiesta del REI) e in una più approfondita, qualora la condizione del nucleo familiare sia più complessa. Se in fase di analisi preliminare emerge che la situazione di povertà è esclusivamente connessa alla mancanza di lavoro, il Progetto personalizzato è sostituito dal Patto di servizio o dal Programma di ricerca intensiva di occupazione (varie misure di politica attiva del lavoro, in capo ai Centri per l'impiego, previste dai decreti attuativi del Jobs </w:t>
      </w:r>
      <w:proofErr w:type="spellStart"/>
      <w:r w:rsidRPr="008E04A3">
        <w:rPr>
          <w:rFonts w:ascii="Arial" w:eastAsia="Times New Roman" w:hAnsi="Arial" w:cs="Arial"/>
          <w:color w:val="000000" w:themeColor="text1"/>
          <w:sz w:val="24"/>
          <w:szCs w:val="24"/>
          <w:lang w:eastAsia="it-IT"/>
        </w:rPr>
        <w:t>Act</w:t>
      </w:r>
      <w:proofErr w:type="spellEnd"/>
      <w:r w:rsidRPr="008E04A3">
        <w:rPr>
          <w:rFonts w:ascii="Arial" w:eastAsia="Times New Roman" w:hAnsi="Arial" w:cs="Arial"/>
          <w:color w:val="000000" w:themeColor="text1"/>
          <w:sz w:val="24"/>
          <w:szCs w:val="24"/>
          <w:lang w:eastAsia="it-IT"/>
        </w:rPr>
        <w:t xml:space="preserve"> - D.lgs. 150/2015, artt. 20 e 23).</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Progetto deve essere sottoscritto dai componenti del nucleo familiare entro 20 giorni lavorativi dalla data in cui è stata effettuata l'analisi preliminare. Solo per il 2018, il beneficio economico verrà concesso per un periodo massimo di 6 mesi, anche in assenza della sottoscrizione del progetto.</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lastRenderedPageBreak/>
        <w:t> </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ITER DELLA DOMANDA</w:t>
      </w:r>
    </w:p>
    <w:p w:rsidR="00D57A38" w:rsidRPr="008E04A3" w:rsidRDefault="00D57A38" w:rsidP="00172956">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La domanda può essere presentata presso il Comune di residenza e/o eventuali altri punti di accesso</w:t>
      </w:r>
      <w:r w:rsidRPr="008E04A3">
        <w:rPr>
          <w:rFonts w:ascii="Arial" w:eastAsia="Times New Roman" w:hAnsi="Arial" w:cs="Arial"/>
          <w:color w:val="000000" w:themeColor="text1"/>
          <w:sz w:val="24"/>
          <w:szCs w:val="24"/>
          <w:lang w:eastAsia="it-IT"/>
        </w:rPr>
        <w:t> indicati dai Comuni. Nei punti di accesso al REI viene offerta assistenza per la compilazione del modulo di domanda e vengono fornite informazioni, consulenza e orientamento sulla rete integrata degli interventi e dei servizi sociali.</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Il beneficio viene concesso dall'Inps</w:t>
      </w:r>
      <w:r w:rsidRPr="008E04A3">
        <w:rPr>
          <w:rFonts w:ascii="Arial" w:eastAsia="Times New Roman" w:hAnsi="Arial" w:cs="Arial"/>
          <w:color w:val="000000" w:themeColor="text1"/>
          <w:sz w:val="24"/>
          <w:szCs w:val="24"/>
          <w:lang w:eastAsia="it-IT"/>
        </w:rPr>
        <w:t>  </w:t>
      </w:r>
      <w:hyperlink r:id="rId8" w:tooltip="vai al documento in pdf" w:history="1">
        <w:r w:rsidRPr="008E04A3">
          <w:rPr>
            <w:rFonts w:ascii="Arial" w:eastAsia="Times New Roman" w:hAnsi="Arial" w:cs="Arial"/>
            <w:color w:val="000000" w:themeColor="text1"/>
            <w:sz w:val="24"/>
            <w:szCs w:val="24"/>
            <w:lang w:eastAsia="it-IT"/>
          </w:rPr>
          <w:t>slide sul calcolo del beneficio</w:t>
        </w:r>
      </w:hyperlink>
      <w:r w:rsidRPr="008E04A3">
        <w:rPr>
          <w:rFonts w:ascii="Arial" w:eastAsia="Times New Roman" w:hAnsi="Arial" w:cs="Arial"/>
          <w:color w:val="000000" w:themeColor="text1"/>
          <w:sz w:val="24"/>
          <w:szCs w:val="24"/>
          <w:lang w:eastAsia="it-IT"/>
        </w:rPr>
        <w:t>.</w:t>
      </w:r>
    </w:p>
    <w:p w:rsidR="00172956" w:rsidRPr="008E04A3" w:rsidRDefault="00D57A38" w:rsidP="00172956">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Il Comune raccoglie la domanda, verifica i requisiti di cittadinanza e residenza e la invia all'Inps entro 15 giorni lavorativi dalla ricezione. L'Inps, entro i successivi 5 giorni, verifica il possesso dei requisiti e, in caso di esito positivo, riconosce il beneficio e invia a Poste Italiane la disposizione di accredito. </w:t>
      </w:r>
    </w:p>
    <w:p w:rsidR="00324BC3"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Il beneficio economico viene versato mensilmente su una </w:t>
      </w:r>
      <w:r w:rsidRPr="008E04A3">
        <w:rPr>
          <w:rFonts w:ascii="Arial" w:eastAsia="Times New Roman" w:hAnsi="Arial" w:cs="Arial"/>
          <w:b/>
          <w:bCs/>
          <w:color w:val="000000" w:themeColor="text1"/>
          <w:sz w:val="24"/>
          <w:szCs w:val="24"/>
          <w:lang w:eastAsia="it-IT"/>
        </w:rPr>
        <w:t>carta di pagamento elettronica</w:t>
      </w:r>
      <w:r w:rsidRPr="008E04A3">
        <w:rPr>
          <w:rFonts w:ascii="Arial" w:eastAsia="Times New Roman" w:hAnsi="Arial" w:cs="Arial"/>
          <w:color w:val="000000" w:themeColor="text1"/>
          <w:sz w:val="24"/>
          <w:szCs w:val="24"/>
          <w:lang w:eastAsia="it-IT"/>
        </w:rPr>
        <w:t> (Carta REI). Completamente gratuita, funziona come una normale carta di pagamento elettronica con la differenza che, anziché essere caricata dal titolare della carta, è alimentata direttamente dallo Stato.</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 xml:space="preserve"> RISORSE DEL FONDO SOCIALE EUROPEO PER IL RAFFORZAMENTO DEI SERVIZI: IL PON INCLUSIONE</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Per assicurare una presa in carico integrata e multidimensionale delle persone in condizione di bisogno, i Comuni e/o gli Ambiti territoriali devono garantire adeguate professionalità; rafforzare la capacità di operare in rete con altri soggetti pubblici, privati e del terzo settore; ripensare il modello organizzativo dei servizi e attivare misure rivolte ai componenti dei nuclei familiari beneficiari del sostegno economico (quali la formazione, i tirocini, le borse lavoro, le misure di accompagnamento sociale). </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Per far questo, oltre a una quota del Fondo nazionale per la lotta alla povertà, i Comuni e/o gli Ambiti territoriali possono accedere alle risorse del primo Programma Operativo Nazionale dedicato interamente all'inclusione sociale (</w:t>
      </w:r>
      <w:hyperlink r:id="rId9" w:history="1">
        <w:r w:rsidRPr="008E04A3">
          <w:rPr>
            <w:rFonts w:ascii="Arial" w:eastAsia="Times New Roman" w:hAnsi="Arial" w:cs="Arial"/>
            <w:b/>
            <w:bCs/>
            <w:color w:val="000000" w:themeColor="text1"/>
            <w:sz w:val="24"/>
            <w:szCs w:val="24"/>
            <w:lang w:eastAsia="it-IT"/>
          </w:rPr>
          <w:t>PON Inclusione</w:t>
        </w:r>
      </w:hyperlink>
      <w:r w:rsidRPr="008E04A3">
        <w:rPr>
          <w:rFonts w:ascii="Arial" w:eastAsia="Times New Roman" w:hAnsi="Arial" w:cs="Arial"/>
          <w:color w:val="000000" w:themeColor="text1"/>
          <w:sz w:val="24"/>
          <w:szCs w:val="24"/>
          <w:lang w:eastAsia="it-IT"/>
        </w:rPr>
        <w:t>), cofinanziato dal Fondo Sociale Europeo, che supporta il potenziamento della rete dei servizi sociali e la loro collaborazione con i servizi per l'impiego e con gli altri attori territoriali (Asl, scuola, ecc.).</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br/>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PER COLORO CHE GIÀ BENEFICIANO DEL SIA</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Coloro ai quali è stato riconosciuto il </w:t>
      </w:r>
      <w:hyperlink r:id="rId10" w:history="1">
        <w:r w:rsidRPr="008E04A3">
          <w:rPr>
            <w:rFonts w:ascii="Arial" w:eastAsia="Times New Roman" w:hAnsi="Arial" w:cs="Arial"/>
            <w:color w:val="000000" w:themeColor="text1"/>
            <w:sz w:val="24"/>
            <w:szCs w:val="24"/>
            <w:lang w:eastAsia="it-IT"/>
          </w:rPr>
          <w:t>Sostegno per l'Inclusione Attiva (SIA)</w:t>
        </w:r>
      </w:hyperlink>
      <w:r w:rsidRPr="008E04A3">
        <w:rPr>
          <w:rFonts w:ascii="Arial" w:eastAsia="Times New Roman" w:hAnsi="Arial" w:cs="Arial"/>
          <w:color w:val="000000" w:themeColor="text1"/>
          <w:sz w:val="24"/>
          <w:szCs w:val="24"/>
          <w:lang w:eastAsia="it-IT"/>
        </w:rPr>
        <w:t> nell'anno 2017 continueranno a percepire il relativo beneficio economico, per tutta la durata e secondo le modalità previste. I beneficiari del SIA saranno inoltre abilitati, a partire dal 1° gennaio 2018, ai prelievi di contante entro il limite previsto per il REI (240 euro al mese).</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Se i beneficiari del SIA soddisfano anche i requisiti per accedere alla nuova misura, </w:t>
      </w:r>
      <w:r w:rsidRPr="008E04A3">
        <w:rPr>
          <w:rFonts w:ascii="Arial" w:eastAsia="Times New Roman" w:hAnsi="Arial" w:cs="Arial"/>
          <w:b/>
          <w:bCs/>
          <w:color w:val="000000" w:themeColor="text1"/>
          <w:sz w:val="24"/>
          <w:szCs w:val="24"/>
          <w:lang w:eastAsia="it-IT"/>
        </w:rPr>
        <w:t>possono richiedere la trasformazione del SIA in REI</w:t>
      </w:r>
      <w:r w:rsidRPr="008E04A3">
        <w:rPr>
          <w:rFonts w:ascii="Arial" w:eastAsia="Times New Roman" w:hAnsi="Arial" w:cs="Arial"/>
          <w:color w:val="000000" w:themeColor="text1"/>
          <w:sz w:val="24"/>
          <w:szCs w:val="24"/>
          <w:lang w:eastAsia="it-IT"/>
        </w:rPr>
        <w:t>. In ogni caso verrà garantita la fruizione del beneficio maggiore. Qualora si decida di passare dal SIA al REI, la durata del REI sarà ridotta del numero di mesi per i quali si è percepito il SIA. Il beneficio, in tal caso, verrà erogato sulla stessa Carta di pagamento.</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color w:val="000000" w:themeColor="text1"/>
          <w:sz w:val="24"/>
          <w:szCs w:val="24"/>
          <w:lang w:eastAsia="it-IT"/>
        </w:rPr>
        <w:t xml:space="preserve">Coloro che già beneficiano del SIA e non intendono passare al REI, alla scadenza del SIA possono comunque richiedere l'accesso al REI, se in possesso dei requisiti. In questo </w:t>
      </w:r>
      <w:r w:rsidRPr="008E04A3">
        <w:rPr>
          <w:rFonts w:ascii="Arial" w:eastAsia="Times New Roman" w:hAnsi="Arial" w:cs="Arial"/>
          <w:color w:val="000000" w:themeColor="text1"/>
          <w:sz w:val="24"/>
          <w:szCs w:val="24"/>
          <w:lang w:eastAsia="it-IT"/>
        </w:rPr>
        <w:lastRenderedPageBreak/>
        <w:t>caso il REI avrà una durata massima di 6 mesi, al fine di assicurare una copertura complessiva del beneficio (</w:t>
      </w:r>
      <w:proofErr w:type="spellStart"/>
      <w:r w:rsidRPr="008E04A3">
        <w:rPr>
          <w:rFonts w:ascii="Arial" w:eastAsia="Times New Roman" w:hAnsi="Arial" w:cs="Arial"/>
          <w:color w:val="000000" w:themeColor="text1"/>
          <w:sz w:val="24"/>
          <w:szCs w:val="24"/>
          <w:lang w:eastAsia="it-IT"/>
        </w:rPr>
        <w:t>SIA+REI</w:t>
      </w:r>
      <w:proofErr w:type="spellEnd"/>
      <w:r w:rsidRPr="008E04A3">
        <w:rPr>
          <w:rFonts w:ascii="Arial" w:eastAsia="Times New Roman" w:hAnsi="Arial" w:cs="Arial"/>
          <w:color w:val="000000" w:themeColor="text1"/>
          <w:sz w:val="24"/>
          <w:szCs w:val="24"/>
          <w:lang w:eastAsia="it-IT"/>
        </w:rPr>
        <w:t>) pari a 18 mesi.</w:t>
      </w:r>
    </w:p>
    <w:p w:rsidR="00D57A38" w:rsidRPr="008E04A3" w:rsidRDefault="00D57A38" w:rsidP="00D57A38">
      <w:pPr>
        <w:shd w:val="clear" w:color="auto" w:fill="FFFFFF"/>
        <w:spacing w:after="150" w:line="240" w:lineRule="auto"/>
        <w:rPr>
          <w:rFonts w:ascii="Arial" w:eastAsia="Times New Roman" w:hAnsi="Arial" w:cs="Arial"/>
          <w:color w:val="000000" w:themeColor="text1"/>
          <w:sz w:val="24"/>
          <w:szCs w:val="24"/>
          <w:lang w:eastAsia="it-IT"/>
        </w:rPr>
      </w:pPr>
      <w:r w:rsidRPr="008E04A3">
        <w:rPr>
          <w:rFonts w:ascii="Arial" w:eastAsia="Times New Roman" w:hAnsi="Arial" w:cs="Arial"/>
          <w:b/>
          <w:bCs/>
          <w:color w:val="000000" w:themeColor="text1"/>
          <w:sz w:val="24"/>
          <w:szCs w:val="24"/>
          <w:lang w:eastAsia="it-IT"/>
        </w:rPr>
        <w:t>A decorrere dal 1° novembre 2017 la richiesta per il SIA non può più essere presentata.</w:t>
      </w:r>
    </w:p>
    <w:p w:rsidR="00D57A38" w:rsidRPr="008E04A3" w:rsidRDefault="00D57A38" w:rsidP="00A00624">
      <w:pPr>
        <w:shd w:val="clear" w:color="auto" w:fill="FFFFFF"/>
        <w:spacing w:after="0" w:line="240" w:lineRule="auto"/>
        <w:jc w:val="both"/>
        <w:rPr>
          <w:rFonts w:ascii="Arial" w:eastAsia="Times New Roman" w:hAnsi="Arial" w:cs="Arial"/>
          <w:b/>
          <w:color w:val="0B0B0B"/>
          <w:sz w:val="24"/>
          <w:szCs w:val="24"/>
          <w:lang w:eastAsia="it-IT"/>
        </w:rPr>
      </w:pPr>
    </w:p>
    <w:p w:rsidR="00D57A38" w:rsidRPr="008E04A3" w:rsidRDefault="00D57A38" w:rsidP="00A00624">
      <w:pPr>
        <w:shd w:val="clear" w:color="auto" w:fill="FFFFFF"/>
        <w:spacing w:after="0" w:line="240" w:lineRule="auto"/>
        <w:jc w:val="both"/>
        <w:rPr>
          <w:rFonts w:ascii="Arial" w:eastAsia="Times New Roman" w:hAnsi="Arial" w:cs="Arial"/>
          <w:b/>
          <w:color w:val="0B0B0B"/>
          <w:sz w:val="24"/>
          <w:szCs w:val="24"/>
          <w:lang w:eastAsia="it-IT"/>
        </w:rPr>
      </w:pPr>
    </w:p>
    <w:p w:rsidR="00D57A38" w:rsidRPr="008E04A3" w:rsidRDefault="00D57A38" w:rsidP="00A00624">
      <w:pPr>
        <w:shd w:val="clear" w:color="auto" w:fill="FFFFFF"/>
        <w:spacing w:after="0" w:line="240" w:lineRule="auto"/>
        <w:jc w:val="both"/>
        <w:rPr>
          <w:rFonts w:ascii="Arial" w:eastAsia="Times New Roman" w:hAnsi="Arial" w:cs="Arial"/>
          <w:b/>
          <w:color w:val="0B0B0B"/>
          <w:sz w:val="24"/>
          <w:szCs w:val="24"/>
          <w:lang w:eastAsia="it-IT"/>
        </w:rPr>
      </w:pP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r w:rsidRPr="008E04A3">
        <w:rPr>
          <w:rFonts w:ascii="Arial" w:eastAsia="Times New Roman" w:hAnsi="Arial" w:cs="Arial"/>
          <w:b/>
          <w:color w:val="0B0B0B"/>
          <w:sz w:val="24"/>
          <w:szCs w:val="24"/>
          <w:lang w:eastAsia="it-IT"/>
        </w:rPr>
        <w:t xml:space="preserve">MIA ,misura attiva di sostegno al reddito </w:t>
      </w:r>
      <w:r w:rsidR="00D57A38" w:rsidRPr="008E04A3">
        <w:rPr>
          <w:rFonts w:ascii="Arial" w:eastAsia="Times New Roman" w:hAnsi="Arial" w:cs="Arial"/>
          <w:b/>
          <w:color w:val="0B0B0B"/>
          <w:sz w:val="24"/>
          <w:szCs w:val="24"/>
          <w:lang w:eastAsia="it-IT"/>
        </w:rPr>
        <w:t>regione FVG</w:t>
      </w: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r w:rsidRPr="008E04A3">
        <w:rPr>
          <w:rFonts w:ascii="Arial" w:eastAsia="Times New Roman" w:hAnsi="Arial" w:cs="Arial"/>
          <w:color w:val="0B0B0B"/>
          <w:sz w:val="24"/>
          <w:szCs w:val="24"/>
          <w:lang w:eastAsia="it-IT"/>
        </w:rPr>
        <w:t>la Regione autonoma Friuli Venezia Giulia promuove interventi integrati volti a perseguire in modo coordinato l'autonomia economica e la partecipazione sociale, la valorizzazione delle competenze di base e professionali dei singoli e ad accrescere l'</w:t>
      </w:r>
      <w:proofErr w:type="spellStart"/>
      <w:r w:rsidRPr="008E04A3">
        <w:rPr>
          <w:rFonts w:ascii="Arial" w:eastAsia="Times New Roman" w:hAnsi="Arial" w:cs="Arial"/>
          <w:color w:val="0B0B0B"/>
          <w:sz w:val="24"/>
          <w:szCs w:val="24"/>
          <w:lang w:eastAsia="it-IT"/>
        </w:rPr>
        <w:t>occupabilità</w:t>
      </w:r>
      <w:proofErr w:type="spellEnd"/>
      <w:r w:rsidRPr="008E04A3">
        <w:rPr>
          <w:rFonts w:ascii="Arial" w:eastAsia="Times New Roman" w:hAnsi="Arial" w:cs="Arial"/>
          <w:color w:val="0B0B0B"/>
          <w:sz w:val="24"/>
          <w:szCs w:val="24"/>
          <w:lang w:eastAsia="it-IT"/>
        </w:rPr>
        <w:t xml:space="preserve"> delle persone che si trovano temporaneamente escluse dal mercato del lavoro.</w:t>
      </w:r>
      <w:bookmarkStart w:id="0" w:name="art1-com2"/>
      <w:bookmarkEnd w:id="0"/>
      <w:r w:rsidRPr="008E04A3">
        <w:rPr>
          <w:rFonts w:ascii="Arial" w:eastAsia="Times New Roman" w:hAnsi="Arial" w:cs="Arial"/>
          <w:b/>
          <w:bCs/>
          <w:color w:val="0B0B0B"/>
          <w:sz w:val="24"/>
          <w:szCs w:val="24"/>
          <w:lang w:eastAsia="it-IT"/>
        </w:rPr>
        <w:t> </w:t>
      </w:r>
      <w:r w:rsidRPr="008E04A3">
        <w:rPr>
          <w:rFonts w:ascii="Arial" w:eastAsia="Times New Roman" w:hAnsi="Arial" w:cs="Arial"/>
          <w:color w:val="0B0B0B"/>
          <w:sz w:val="24"/>
          <w:szCs w:val="24"/>
          <w:lang w:eastAsia="it-IT"/>
        </w:rPr>
        <w:t>La Regione in particolare sostiene azioni per: </w:t>
      </w:r>
      <w:r w:rsidRPr="008E04A3">
        <w:rPr>
          <w:rFonts w:ascii="Arial" w:eastAsia="Times New Roman" w:hAnsi="Arial" w:cs="Arial"/>
          <w:color w:val="0B0B0B"/>
          <w:sz w:val="24"/>
          <w:szCs w:val="24"/>
          <w:lang w:eastAsia="it-IT"/>
        </w:rPr>
        <w:br/>
      </w:r>
      <w:bookmarkStart w:id="1" w:name="art1-com2-let_a"/>
      <w:bookmarkEnd w:id="1"/>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r w:rsidRPr="008E04A3">
        <w:rPr>
          <w:rFonts w:ascii="Arial" w:eastAsia="Times New Roman" w:hAnsi="Arial" w:cs="Arial"/>
          <w:b/>
          <w:bCs/>
          <w:color w:val="0B0B0B"/>
          <w:sz w:val="24"/>
          <w:szCs w:val="24"/>
          <w:lang w:eastAsia="it-IT"/>
        </w:rPr>
        <w:t>a) </w:t>
      </w:r>
      <w:r w:rsidRPr="008E04A3">
        <w:rPr>
          <w:rFonts w:ascii="Arial" w:eastAsia="Times New Roman" w:hAnsi="Arial" w:cs="Arial"/>
          <w:color w:val="0B0B0B"/>
          <w:sz w:val="24"/>
          <w:szCs w:val="24"/>
          <w:lang w:eastAsia="it-IT"/>
        </w:rPr>
        <w:t>contrastare l'esclusione sociale determinata da assenza o carenza di reddito;</w:t>
      </w: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bookmarkStart w:id="2" w:name="art1-com2-let_b"/>
      <w:bookmarkEnd w:id="2"/>
      <w:r w:rsidRPr="008E04A3">
        <w:rPr>
          <w:rFonts w:ascii="Arial" w:eastAsia="Times New Roman" w:hAnsi="Arial" w:cs="Arial"/>
          <w:b/>
          <w:bCs/>
          <w:color w:val="0B0B0B"/>
          <w:sz w:val="24"/>
          <w:szCs w:val="24"/>
          <w:lang w:eastAsia="it-IT"/>
        </w:rPr>
        <w:t>b) </w:t>
      </w:r>
      <w:r w:rsidRPr="008E04A3">
        <w:rPr>
          <w:rFonts w:ascii="Arial" w:eastAsia="Times New Roman" w:hAnsi="Arial" w:cs="Arial"/>
          <w:color w:val="0B0B0B"/>
          <w:sz w:val="24"/>
          <w:szCs w:val="24"/>
          <w:lang w:eastAsia="it-IT"/>
        </w:rPr>
        <w:t>favorire l'</w:t>
      </w:r>
      <w:proofErr w:type="spellStart"/>
      <w:r w:rsidRPr="008E04A3">
        <w:rPr>
          <w:rFonts w:ascii="Arial" w:eastAsia="Times New Roman" w:hAnsi="Arial" w:cs="Arial"/>
          <w:color w:val="0B0B0B"/>
          <w:sz w:val="24"/>
          <w:szCs w:val="24"/>
          <w:lang w:eastAsia="it-IT"/>
        </w:rPr>
        <w:t>occupabilità</w:t>
      </w:r>
      <w:proofErr w:type="spellEnd"/>
      <w:r w:rsidRPr="008E04A3">
        <w:rPr>
          <w:rFonts w:ascii="Arial" w:eastAsia="Times New Roman" w:hAnsi="Arial" w:cs="Arial"/>
          <w:color w:val="0B0B0B"/>
          <w:sz w:val="24"/>
          <w:szCs w:val="24"/>
          <w:lang w:eastAsia="it-IT"/>
        </w:rPr>
        <w:t>, l'accesso o il reinserimento al lavoro e comunque a un'occupazione utile;</w:t>
      </w: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bookmarkStart w:id="3" w:name="art1-com2-let_c"/>
      <w:bookmarkEnd w:id="3"/>
      <w:r w:rsidRPr="008E04A3">
        <w:rPr>
          <w:rFonts w:ascii="Arial" w:eastAsia="Times New Roman" w:hAnsi="Arial" w:cs="Arial"/>
          <w:b/>
          <w:bCs/>
          <w:color w:val="0B0B0B"/>
          <w:sz w:val="24"/>
          <w:szCs w:val="24"/>
          <w:lang w:eastAsia="it-IT"/>
        </w:rPr>
        <w:t>c) </w:t>
      </w:r>
      <w:r w:rsidRPr="008E04A3">
        <w:rPr>
          <w:rFonts w:ascii="Arial" w:eastAsia="Times New Roman" w:hAnsi="Arial" w:cs="Arial"/>
          <w:color w:val="0B0B0B"/>
          <w:sz w:val="24"/>
          <w:szCs w:val="24"/>
          <w:lang w:eastAsia="it-IT"/>
        </w:rPr>
        <w:t>rafforzare l'economia sociale promuovendo l'innovazione sociale e valorizzando l'integrazione tra pubblico, privato e terzo settore.</w:t>
      </w: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bookmarkStart w:id="4" w:name="art1-com3"/>
      <w:bookmarkEnd w:id="4"/>
      <w:r w:rsidRPr="008E04A3">
        <w:rPr>
          <w:rFonts w:ascii="Arial" w:eastAsia="Times New Roman" w:hAnsi="Arial" w:cs="Arial"/>
          <w:color w:val="0B0B0B"/>
          <w:sz w:val="24"/>
          <w:szCs w:val="24"/>
          <w:lang w:eastAsia="it-IT"/>
        </w:rPr>
        <w:t xml:space="preserve">Per  assicurare un sostegno economico alle persone che non dispongono di una adeguata fonte di reddito e che si impegnano in percorsi di attivazione, la Regione istituisce una </w:t>
      </w:r>
      <w:r w:rsidRPr="008E04A3">
        <w:rPr>
          <w:rFonts w:ascii="Arial" w:eastAsia="Times New Roman" w:hAnsi="Arial" w:cs="Arial"/>
          <w:b/>
          <w:color w:val="0B0B0B"/>
          <w:sz w:val="24"/>
          <w:szCs w:val="24"/>
          <w:lang w:eastAsia="it-IT"/>
        </w:rPr>
        <w:t>misura attiva di sostegno al reddito,</w:t>
      </w:r>
      <w:r w:rsidRPr="008E04A3">
        <w:rPr>
          <w:rFonts w:ascii="Arial" w:eastAsia="Times New Roman" w:hAnsi="Arial" w:cs="Arial"/>
          <w:color w:val="0B0B0B"/>
          <w:sz w:val="24"/>
          <w:szCs w:val="24"/>
          <w:lang w:eastAsia="it-IT"/>
        </w:rPr>
        <w:t xml:space="preserve"> che consiste in un intervento monetario di integrazione al reddito erogato nell'ambito di un percorso concordato finalizzato a superare le condizioni di difficoltà del richiedente e del relativo nucleo familiare.</w:t>
      </w: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bookmarkStart w:id="5" w:name="art2-com2"/>
      <w:bookmarkEnd w:id="5"/>
      <w:r w:rsidRPr="008E04A3">
        <w:rPr>
          <w:rFonts w:ascii="Arial" w:eastAsia="Times New Roman" w:hAnsi="Arial" w:cs="Arial"/>
          <w:color w:val="0B0B0B"/>
          <w:sz w:val="24"/>
          <w:szCs w:val="24"/>
          <w:lang w:eastAsia="it-IT"/>
        </w:rPr>
        <w:t xml:space="preserve">La misura è attuata dal Servizio sociale dei Comuni, in collaborazione con i Servizi pubblici regionali competenti in materia di lavoro, per un periodo sperimentale di tre anni a decorrere dalla data di entrata in vigore del regolamento di attuazione </w:t>
      </w: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La Misura attiva di sostegno al reddito (</w:t>
      </w:r>
      <w:r w:rsidRPr="008E04A3">
        <w:rPr>
          <w:rFonts w:ascii="Arial" w:eastAsia="Times New Roman" w:hAnsi="Arial" w:cs="Arial"/>
          <w:b/>
          <w:bCs/>
          <w:color w:val="333333"/>
          <w:sz w:val="24"/>
          <w:szCs w:val="24"/>
          <w:lang w:eastAsia="it-IT"/>
        </w:rPr>
        <w:t>MIA</w:t>
      </w:r>
      <w:r w:rsidRPr="008E04A3">
        <w:rPr>
          <w:rFonts w:ascii="Arial" w:eastAsia="Times New Roman" w:hAnsi="Arial" w:cs="Arial"/>
          <w:color w:val="333333"/>
          <w:sz w:val="24"/>
          <w:szCs w:val="24"/>
          <w:lang w:eastAsia="it-IT"/>
        </w:rPr>
        <w:t xml:space="preserve">) prevista dall'articolo 2 della legge regionale 15/2015 consiste in un </w:t>
      </w:r>
      <w:r w:rsidRPr="003D26AE">
        <w:rPr>
          <w:rFonts w:ascii="Arial" w:eastAsia="Times New Roman" w:hAnsi="Arial" w:cs="Arial"/>
          <w:b/>
          <w:color w:val="333333"/>
          <w:sz w:val="24"/>
          <w:szCs w:val="24"/>
          <w:lang w:eastAsia="it-IT"/>
        </w:rPr>
        <w:t>intervento monetario di integrazione al reddito erogato nell’ambito di un percorso concordato e definito in un "Patto di inclusione</w:t>
      </w:r>
      <w:r w:rsidRPr="008E04A3">
        <w:rPr>
          <w:rFonts w:ascii="Arial" w:eastAsia="Times New Roman" w:hAnsi="Arial" w:cs="Arial"/>
          <w:color w:val="333333"/>
          <w:sz w:val="24"/>
          <w:szCs w:val="24"/>
          <w:lang w:eastAsia="it-IT"/>
        </w:rPr>
        <w:t>", finalizzato a superare le condizioni di difficoltà del nucleo familiare beneficiario ed è attuata in via sperimentale per un periodo di tre anni decorrenti dalla data di entrata in vigore del regolamento, il 22 ottobre 2015.</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Il  </w:t>
      </w:r>
      <w:r w:rsidRPr="008E04A3">
        <w:rPr>
          <w:rFonts w:ascii="Arial" w:eastAsia="Times New Roman" w:hAnsi="Arial" w:cs="Arial"/>
          <w:b/>
          <w:bCs/>
          <w:color w:val="333333"/>
          <w:sz w:val="24"/>
          <w:szCs w:val="24"/>
          <w:lang w:eastAsia="it-IT"/>
        </w:rPr>
        <w:t>23 ottobre 2018</w:t>
      </w:r>
      <w:r w:rsidRPr="008E04A3">
        <w:rPr>
          <w:rFonts w:ascii="Arial" w:eastAsia="Times New Roman" w:hAnsi="Arial" w:cs="Arial"/>
          <w:color w:val="333333"/>
          <w:sz w:val="24"/>
          <w:szCs w:val="24"/>
          <w:lang w:eastAsia="it-IT"/>
        </w:rPr>
        <w:t> è pertanto  </w:t>
      </w:r>
      <w:r w:rsidRPr="008E04A3">
        <w:rPr>
          <w:rFonts w:ascii="Arial" w:eastAsia="Times New Roman" w:hAnsi="Arial" w:cs="Arial"/>
          <w:b/>
          <w:bCs/>
          <w:color w:val="333333"/>
          <w:sz w:val="24"/>
          <w:szCs w:val="24"/>
          <w:lang w:eastAsia="it-IT"/>
        </w:rPr>
        <w:t>terminato il periodo di sperimentazione</w:t>
      </w:r>
      <w:r w:rsidRPr="008E04A3">
        <w:rPr>
          <w:rFonts w:ascii="Arial" w:eastAsia="Times New Roman" w:hAnsi="Arial" w:cs="Arial"/>
          <w:color w:val="333333"/>
          <w:sz w:val="24"/>
          <w:szCs w:val="24"/>
          <w:lang w:eastAsia="it-IT"/>
        </w:rPr>
        <w:t>, a partire da tale data non possono essere accolte nuove domande di prima concessione o di rinnovo. Le MIA in corso di concessione continueranno fino a loro conclusione.</w:t>
      </w:r>
    </w:p>
    <w:p w:rsidR="00A00624" w:rsidRPr="008E04A3" w:rsidRDefault="00A00624" w:rsidP="00A00624">
      <w:pPr>
        <w:shd w:val="clear" w:color="auto" w:fill="FFFFFF"/>
        <w:spacing w:after="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Beneficiari della Misura sono i nuclei familiari, anche se composti da una sola persona, come definiti ai fini dell'Indicatore della Situazione Economica Equivalente (ISEE) e risultanti dalla Dichiarazione Sostitutiva Unica (DSU).</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Per beneficiare della MIA il nucleo deve essere in possesso per tutto il periodo di concessione dei seguenti requisiti:</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avere almeno un componente che sia:</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 cittadino italiano o comunitario;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lastRenderedPageBreak/>
        <w:t>    - familiare di cittadino italiano o comunitario non avente la cittadinanza di uno Stato membro che sia titolare del diritto di soggiorno o del diritto di soggiorno permanente;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 cittadino straniero in possesso del permesso di soggiorno CE per soggiornanti di lungo periodo;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 cittadino straniero avente lo status di rifugiato politico o di protezione sussidiaria equiparato ai cittadini italiani in materia di assistenza sociale;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avere il componente che richiede la MIA residente in Friuli Venezia Giulia da almeno ventiquattro mesi continuativi;</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avere un ISEE di tipo ordinario, ovvero, qualora ne ricorrano le condizioni, un ISEE minorenni o corrente, inferiore o uguale a 6.000 euro;   </w:t>
      </w:r>
      <w:r w:rsidRPr="008E04A3">
        <w:rPr>
          <w:rFonts w:ascii="Arial" w:eastAsia="Times New Roman" w:hAnsi="Arial" w:cs="Arial"/>
          <w:color w:val="333333"/>
          <w:sz w:val="24"/>
          <w:szCs w:val="24"/>
          <w:lang w:eastAsia="it-IT"/>
        </w:rPr>
        <w:br/>
      </w:r>
      <w:r w:rsidRPr="008E04A3">
        <w:rPr>
          <w:rFonts w:ascii="Arial" w:eastAsia="Times New Roman" w:hAnsi="Arial" w:cs="Arial"/>
          <w:color w:val="333333"/>
          <w:sz w:val="24"/>
          <w:szCs w:val="24"/>
          <w:lang w:eastAsia="it-IT"/>
        </w:rPr>
        <w:br/>
        <w:t>- i componenti che abbiano compiuto il diciottesimo anno di età sono disponibili ad aderire a un percorso concordato finalizzato a superare le condizioni di difficoltà del nucleo familiare;   </w:t>
      </w:r>
      <w:r w:rsidRPr="008E04A3">
        <w:rPr>
          <w:rFonts w:ascii="Arial" w:eastAsia="Times New Roman" w:hAnsi="Arial" w:cs="Arial"/>
          <w:color w:val="333333"/>
          <w:sz w:val="24"/>
          <w:szCs w:val="24"/>
          <w:lang w:eastAsia="it-IT"/>
        </w:rPr>
        <w:br/>
      </w:r>
      <w:r w:rsidRPr="008E04A3">
        <w:rPr>
          <w:rFonts w:ascii="Arial" w:eastAsia="Times New Roman" w:hAnsi="Arial" w:cs="Arial"/>
          <w:color w:val="333333"/>
          <w:sz w:val="24"/>
          <w:szCs w:val="24"/>
          <w:lang w:eastAsia="it-IT"/>
        </w:rPr>
        <w:br/>
        <w:t xml:space="preserve">- non avere componenti che siano stati destinatari, nei diciotto mesi antecedenti la presentazione della domanda di accesso alla Misura, di provvedimenti di decadenza dalla Misura stessa o da altre prestazioni di natura previdenziale, </w:t>
      </w:r>
      <w:proofErr w:type="spellStart"/>
      <w:r w:rsidRPr="008E04A3">
        <w:rPr>
          <w:rFonts w:ascii="Arial" w:eastAsia="Times New Roman" w:hAnsi="Arial" w:cs="Arial"/>
          <w:color w:val="333333"/>
          <w:sz w:val="24"/>
          <w:szCs w:val="24"/>
          <w:lang w:eastAsia="it-IT"/>
        </w:rPr>
        <w:t>indennitaria</w:t>
      </w:r>
      <w:proofErr w:type="spellEnd"/>
      <w:r w:rsidRPr="008E04A3">
        <w:rPr>
          <w:rFonts w:ascii="Arial" w:eastAsia="Times New Roman" w:hAnsi="Arial" w:cs="Arial"/>
          <w:color w:val="333333"/>
          <w:sz w:val="24"/>
          <w:szCs w:val="24"/>
          <w:lang w:eastAsia="it-IT"/>
        </w:rPr>
        <w:t xml:space="preserve"> e assistenziale, ai sensi della vigente normativa in materia di rilascio di dichiarazioni mendaci e uso di atti falsi;   </w:t>
      </w:r>
      <w:r w:rsidRPr="008E04A3">
        <w:rPr>
          <w:rFonts w:ascii="Arial" w:eastAsia="Times New Roman" w:hAnsi="Arial" w:cs="Arial"/>
          <w:color w:val="333333"/>
          <w:sz w:val="24"/>
          <w:szCs w:val="24"/>
          <w:lang w:eastAsia="it-IT"/>
        </w:rPr>
        <w:br/>
      </w:r>
      <w:r w:rsidRPr="008E04A3">
        <w:rPr>
          <w:rFonts w:ascii="Arial" w:eastAsia="Times New Roman" w:hAnsi="Arial" w:cs="Arial"/>
          <w:color w:val="333333"/>
          <w:sz w:val="24"/>
          <w:szCs w:val="24"/>
          <w:lang w:eastAsia="it-IT"/>
        </w:rPr>
        <w:br/>
        <w:t>- non avere componenti che siano intestatari di autovetture soggette all’addizionale erariale della tassa automobilistica di cui all’articolo 23, comma 21, del decreto legge 6 luglio 2011, n. 98 (Disposizioni urgenti per la stabilizzazione finanziaria) convertito con modificazioni dalla legge 15 luglio 2011, n. 111, in ogni caso di cilindrata non superiore a 2.000 cc se alimentate a benzina o 2.500 cc se diesel, nonché di motoveicoli di cilindrata superiore a 750 cc;   </w:t>
      </w:r>
      <w:r w:rsidRPr="008E04A3">
        <w:rPr>
          <w:rFonts w:ascii="Arial" w:eastAsia="Times New Roman" w:hAnsi="Arial" w:cs="Arial"/>
          <w:color w:val="333333"/>
          <w:sz w:val="24"/>
          <w:szCs w:val="24"/>
          <w:lang w:eastAsia="it-IT"/>
        </w:rPr>
        <w:br/>
      </w:r>
      <w:r w:rsidRPr="008E04A3">
        <w:rPr>
          <w:rFonts w:ascii="Arial" w:eastAsia="Times New Roman" w:hAnsi="Arial" w:cs="Arial"/>
          <w:color w:val="333333"/>
          <w:sz w:val="24"/>
          <w:szCs w:val="24"/>
          <w:lang w:eastAsia="it-IT"/>
        </w:rPr>
        <w:br/>
        <w:t xml:space="preserve">- non avere componenti che siano intestatari di navi e imbarcazioni da diporto di cui all’a </w:t>
      </w:r>
      <w:proofErr w:type="spellStart"/>
      <w:r w:rsidRPr="008E04A3">
        <w:rPr>
          <w:rFonts w:ascii="Arial" w:eastAsia="Times New Roman" w:hAnsi="Arial" w:cs="Arial"/>
          <w:color w:val="333333"/>
          <w:sz w:val="24"/>
          <w:szCs w:val="24"/>
          <w:lang w:eastAsia="it-IT"/>
        </w:rPr>
        <w:t>rticolo</w:t>
      </w:r>
      <w:proofErr w:type="spellEnd"/>
      <w:r w:rsidRPr="008E04A3">
        <w:rPr>
          <w:rFonts w:ascii="Arial" w:eastAsia="Times New Roman" w:hAnsi="Arial" w:cs="Arial"/>
          <w:color w:val="333333"/>
          <w:sz w:val="24"/>
          <w:szCs w:val="24"/>
          <w:lang w:eastAsia="it-IT"/>
        </w:rPr>
        <w:t xml:space="preserve"> 3, comma 1, lettere b) e c), del decreto legislativo 18 luglio 2005, n. 171 (Codice della nautica da diporto ed attuazione della direttiva 2003/44/CE, a norma dell'articolo 6 della legge 8 luglio 2003, n. 172);   </w:t>
      </w:r>
      <w:r w:rsidRPr="008E04A3">
        <w:rPr>
          <w:rFonts w:ascii="Arial" w:eastAsia="Times New Roman" w:hAnsi="Arial" w:cs="Arial"/>
          <w:color w:val="333333"/>
          <w:sz w:val="24"/>
          <w:szCs w:val="24"/>
          <w:lang w:eastAsia="it-IT"/>
        </w:rPr>
        <w:br/>
      </w:r>
      <w:r w:rsidRPr="008E04A3">
        <w:rPr>
          <w:rFonts w:ascii="Arial" w:eastAsia="Times New Roman" w:hAnsi="Arial" w:cs="Arial"/>
          <w:color w:val="333333"/>
          <w:sz w:val="24"/>
          <w:szCs w:val="24"/>
          <w:lang w:eastAsia="it-IT"/>
        </w:rPr>
        <w:br/>
        <w:t xml:space="preserve">- non avere componenti che siano beneficiari, nello stesso periodo nel quale la MIA è concessa, </w:t>
      </w:r>
      <w:r w:rsidRPr="008E04A3">
        <w:rPr>
          <w:rFonts w:ascii="Arial" w:eastAsia="Times New Roman" w:hAnsi="Arial" w:cs="Arial"/>
          <w:color w:val="333333"/>
          <w:sz w:val="24"/>
          <w:szCs w:val="24"/>
          <w:u w:val="single"/>
          <w:lang w:eastAsia="it-IT"/>
        </w:rPr>
        <w:t>di altri trattamenti economici</w:t>
      </w:r>
      <w:r w:rsidRPr="008E04A3">
        <w:rPr>
          <w:rFonts w:ascii="Arial" w:eastAsia="Times New Roman" w:hAnsi="Arial" w:cs="Arial"/>
          <w:color w:val="333333"/>
          <w:sz w:val="24"/>
          <w:szCs w:val="24"/>
          <w:lang w:eastAsia="it-IT"/>
        </w:rPr>
        <w:t xml:space="preserve">, anche fiscalmente esenti, di natura previdenziale, </w:t>
      </w:r>
      <w:proofErr w:type="spellStart"/>
      <w:r w:rsidRPr="008E04A3">
        <w:rPr>
          <w:rFonts w:ascii="Arial" w:eastAsia="Times New Roman" w:hAnsi="Arial" w:cs="Arial"/>
          <w:color w:val="333333"/>
          <w:sz w:val="24"/>
          <w:szCs w:val="24"/>
          <w:lang w:eastAsia="it-IT"/>
        </w:rPr>
        <w:t>indennitaria</w:t>
      </w:r>
      <w:proofErr w:type="spellEnd"/>
      <w:r w:rsidRPr="008E04A3">
        <w:rPr>
          <w:rFonts w:ascii="Arial" w:eastAsia="Times New Roman" w:hAnsi="Arial" w:cs="Arial"/>
          <w:color w:val="333333"/>
          <w:sz w:val="24"/>
          <w:szCs w:val="24"/>
          <w:lang w:eastAsia="it-IT"/>
        </w:rPr>
        <w:t xml:space="preserve"> e assistenziale, a qualunque titolo concessi dallo Stato o da altre pubbliche amministrazioni, il cui valore complessivo per nucleo familiare, percepito nel mese precedente la presentazione della domanda o le singole erogazioni bimestrali, sia superiore a 600, 750, 900 0 1.050 euro mensili, nel caso di nucleo familiare composto da una, due, tre o più di tre persone. Le soglie di 600 e 750 euro mensili come sopra descritte sono elevate a 900 euro, anche nel caso di nuclei familiari composti da una o due persone, qualora nel nucleo siano presenti persone non autosufficienti come definite ai fini ISEE e risultanti nella DSU;</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non avere componenti che beneficiano della nuova prestazione di assicurazione sociale per l'impiego (</w:t>
      </w:r>
      <w:proofErr w:type="spellStart"/>
      <w:r w:rsidRPr="008E04A3">
        <w:rPr>
          <w:rFonts w:ascii="Arial" w:eastAsia="Times New Roman" w:hAnsi="Arial" w:cs="Arial"/>
          <w:color w:val="333333"/>
          <w:sz w:val="24"/>
          <w:szCs w:val="24"/>
          <w:lang w:eastAsia="it-IT"/>
        </w:rPr>
        <w:t>NASPl</w:t>
      </w:r>
      <w:proofErr w:type="spellEnd"/>
      <w:r w:rsidRPr="008E04A3">
        <w:rPr>
          <w:rFonts w:ascii="Arial" w:eastAsia="Times New Roman" w:hAnsi="Arial" w:cs="Arial"/>
          <w:color w:val="333333"/>
          <w:sz w:val="24"/>
          <w:szCs w:val="24"/>
          <w:lang w:eastAsia="it-IT"/>
        </w:rPr>
        <w:t>) o dell'assegno di disoccupazione (ASDI) o altro ammortizzatore sociale di sostegno al reddito in caso di disoccupazione involontaria. </w:t>
      </w:r>
    </w:p>
    <w:p w:rsidR="00A00624" w:rsidRPr="008E04A3" w:rsidRDefault="00A00624" w:rsidP="00A00624">
      <w:pPr>
        <w:shd w:val="clear" w:color="auto" w:fill="FFFFFF"/>
        <w:spacing w:after="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w:t>
      </w:r>
    </w:p>
    <w:p w:rsidR="003D26AE" w:rsidRDefault="003D26AE" w:rsidP="00A00624">
      <w:pPr>
        <w:shd w:val="clear" w:color="auto" w:fill="FFFFFF"/>
        <w:spacing w:after="150" w:line="240" w:lineRule="auto"/>
        <w:rPr>
          <w:rFonts w:ascii="Arial" w:eastAsia="Times New Roman" w:hAnsi="Arial" w:cs="Arial"/>
          <w:b/>
          <w:bCs/>
          <w:color w:val="333333"/>
          <w:sz w:val="24"/>
          <w:szCs w:val="24"/>
          <w:lang w:eastAsia="it-IT"/>
        </w:rPr>
      </w:pP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b/>
          <w:bCs/>
          <w:color w:val="333333"/>
          <w:sz w:val="24"/>
          <w:szCs w:val="24"/>
          <w:lang w:eastAsia="it-IT"/>
        </w:rPr>
        <w:lastRenderedPageBreak/>
        <w:t xml:space="preserve">PATTO </w:t>
      </w:r>
      <w:proofErr w:type="spellStart"/>
      <w:r w:rsidRPr="008E04A3">
        <w:rPr>
          <w:rFonts w:ascii="Arial" w:eastAsia="Times New Roman" w:hAnsi="Arial" w:cs="Arial"/>
          <w:b/>
          <w:bCs/>
          <w:color w:val="333333"/>
          <w:sz w:val="24"/>
          <w:szCs w:val="24"/>
          <w:lang w:eastAsia="it-IT"/>
        </w:rPr>
        <w:t>DI</w:t>
      </w:r>
      <w:proofErr w:type="spellEnd"/>
      <w:r w:rsidRPr="008E04A3">
        <w:rPr>
          <w:rFonts w:ascii="Arial" w:eastAsia="Times New Roman" w:hAnsi="Arial" w:cs="Arial"/>
          <w:b/>
          <w:bCs/>
          <w:color w:val="333333"/>
          <w:sz w:val="24"/>
          <w:szCs w:val="24"/>
          <w:lang w:eastAsia="it-IT"/>
        </w:rPr>
        <w:t xml:space="preserve"> INCLUSIONE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Il patto di inclusione è un accordo in forma scritta stipulato fra il soggetto richiedente e il Servizio Sociale dei Comuni (SSC) e sottoscritto per adesione da tutti i componenti maggiorenni del nucleo. Alla definizione del patto possono partecipare anche i Centri regionali per l'impiego e Centri regionali per l'orientamento.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Nel patto sono contenuti  gli obiettivi di inclusione sociale, di </w:t>
      </w:r>
      <w:proofErr w:type="spellStart"/>
      <w:r w:rsidRPr="008E04A3">
        <w:rPr>
          <w:rFonts w:ascii="Arial" w:eastAsia="Times New Roman" w:hAnsi="Arial" w:cs="Arial"/>
          <w:color w:val="333333"/>
          <w:sz w:val="24"/>
          <w:szCs w:val="24"/>
          <w:lang w:eastAsia="it-IT"/>
        </w:rPr>
        <w:t>occupabilità</w:t>
      </w:r>
      <w:proofErr w:type="spellEnd"/>
      <w:r w:rsidRPr="008E04A3">
        <w:rPr>
          <w:rFonts w:ascii="Arial" w:eastAsia="Times New Roman" w:hAnsi="Arial" w:cs="Arial"/>
          <w:color w:val="333333"/>
          <w:sz w:val="24"/>
          <w:szCs w:val="24"/>
          <w:lang w:eastAsia="it-IT"/>
        </w:rPr>
        <w:t>, di inserimento lavorativo e di riduzione dei rischi di marginalità connessi all’intero nucleo familiare ed è stipulato entro sessanta giorni dalla data di erogazione della rata riferita al bimestre di MIA.   </w:t>
      </w:r>
      <w:r w:rsidRPr="008E04A3">
        <w:rPr>
          <w:rFonts w:ascii="Arial" w:eastAsia="Times New Roman" w:hAnsi="Arial" w:cs="Arial"/>
          <w:color w:val="333333"/>
          <w:sz w:val="24"/>
          <w:szCs w:val="24"/>
          <w:lang w:eastAsia="it-IT"/>
        </w:rPr>
        <w:br/>
      </w:r>
      <w:r w:rsidRPr="008E04A3">
        <w:rPr>
          <w:rFonts w:ascii="Arial" w:eastAsia="Times New Roman" w:hAnsi="Arial" w:cs="Arial"/>
          <w:color w:val="333333"/>
          <w:sz w:val="24"/>
          <w:szCs w:val="24"/>
          <w:lang w:eastAsia="it-IT"/>
        </w:rPr>
        <w:br/>
        <w:t>La mancata stipula del patto di inclusione comporta la decadenza dalla MIA e il mancato rispetto degli impegni comporta sanzioni.  </w:t>
      </w:r>
    </w:p>
    <w:p w:rsidR="00A00624" w:rsidRPr="008E04A3" w:rsidRDefault="00A00624" w:rsidP="00A00624">
      <w:pPr>
        <w:shd w:val="clear" w:color="auto" w:fill="FFFFFF"/>
        <w:spacing w:after="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La MIA decorre dal bimestre successivo a quello di presentazione della domanda e ha una durata complessiva di 30 mesi, articolata in una prima concessione di 18 mesi e un   </w:t>
      </w:r>
      <w:r w:rsidRPr="008E04A3">
        <w:rPr>
          <w:rFonts w:ascii="Arial" w:eastAsia="Times New Roman" w:hAnsi="Arial" w:cs="Arial"/>
          <w:b/>
          <w:bCs/>
          <w:color w:val="333333"/>
          <w:sz w:val="24"/>
          <w:szCs w:val="24"/>
          <w:lang w:eastAsia="it-IT"/>
        </w:rPr>
        <w:t> </w:t>
      </w:r>
      <w:r w:rsidRPr="008E04A3">
        <w:rPr>
          <w:rFonts w:ascii="Arial" w:eastAsia="Times New Roman" w:hAnsi="Arial" w:cs="Arial"/>
          <w:color w:val="333333"/>
          <w:sz w:val="24"/>
          <w:szCs w:val="24"/>
          <w:lang w:eastAsia="it-IT"/>
        </w:rPr>
        <w:t>rinnovo di 12 mesi. Fra la prima concessione e il rinnovo deve trascorrere almeno un bimestre di interruzione.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A seguito del termine della sperimentazione triennale, le MIA che alla data del 23 ottobre 2018 sono in corso di prima concessione o di rinnovo </w:t>
      </w:r>
      <w:r w:rsidRPr="008E04A3">
        <w:rPr>
          <w:rFonts w:ascii="Arial" w:eastAsia="Times New Roman" w:hAnsi="Arial" w:cs="Arial"/>
          <w:b/>
          <w:bCs/>
          <w:color w:val="333333"/>
          <w:sz w:val="24"/>
          <w:szCs w:val="24"/>
          <w:lang w:eastAsia="it-IT"/>
        </w:rPr>
        <w:t>continuano fino a loro scadenza naturale</w:t>
      </w:r>
      <w:r w:rsidRPr="008E04A3">
        <w:rPr>
          <w:rFonts w:ascii="Arial" w:eastAsia="Times New Roman" w:hAnsi="Arial" w:cs="Arial"/>
          <w:color w:val="333333"/>
          <w:sz w:val="24"/>
          <w:szCs w:val="24"/>
          <w:lang w:eastAsia="it-IT"/>
        </w:rPr>
        <w:t>. I nuclei che hanno concluso la prima concessione dopo il 23 ottobre 2018 non possono più presentare domanda di rinnovo.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L’erogazione della MIA avviene in rate che fanno riferimento ai seguenti bimestri: gennaio-febbraio, marzo-aprile, maggio-giugno, luglio-agosto, settembre-ottobre, novembre-dicembre.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Il pagamento di ciascuna rata è autorizzato dai Servizi Sociali dei Comuni  </w:t>
      </w:r>
      <w:r w:rsidRPr="008E04A3">
        <w:rPr>
          <w:rFonts w:ascii="Arial" w:eastAsia="Times New Roman" w:hAnsi="Arial" w:cs="Arial"/>
          <w:b/>
          <w:bCs/>
          <w:color w:val="333333"/>
          <w:sz w:val="24"/>
          <w:szCs w:val="24"/>
          <w:u w:val="single"/>
          <w:lang w:eastAsia="it-IT"/>
        </w:rPr>
        <w:t>solo successivamente</w:t>
      </w:r>
      <w:r w:rsidRPr="008E04A3">
        <w:rPr>
          <w:rFonts w:ascii="Arial" w:eastAsia="Times New Roman" w:hAnsi="Arial" w:cs="Arial"/>
          <w:color w:val="333333"/>
          <w:sz w:val="24"/>
          <w:szCs w:val="24"/>
          <w:u w:val="single"/>
          <w:lang w:eastAsia="it-IT"/>
        </w:rPr>
        <w:t> </w:t>
      </w:r>
      <w:r w:rsidRPr="008E04A3">
        <w:rPr>
          <w:rFonts w:ascii="Arial" w:eastAsia="Times New Roman" w:hAnsi="Arial" w:cs="Arial"/>
          <w:color w:val="333333"/>
          <w:sz w:val="24"/>
          <w:szCs w:val="24"/>
          <w:lang w:eastAsia="it-IT"/>
        </w:rPr>
        <w:t>al rilascio degli esiti dei controlli che INPS esegue per verificare se nel corso di ciascun bimestre il nucleo beneficiario ha mantenuto i requisiti per continuare a ricevere l’erogazione della MIA e   </w:t>
      </w:r>
      <w:r w:rsidRPr="008E04A3">
        <w:rPr>
          <w:rFonts w:ascii="Arial" w:eastAsia="Times New Roman" w:hAnsi="Arial" w:cs="Arial"/>
          <w:b/>
          <w:bCs/>
          <w:color w:val="333333"/>
          <w:sz w:val="24"/>
          <w:szCs w:val="24"/>
          <w:u w:val="single"/>
          <w:lang w:eastAsia="it-IT"/>
        </w:rPr>
        <w:t>solo se i controlli hanno esito positivo</w:t>
      </w:r>
      <w:r w:rsidRPr="008E04A3">
        <w:rPr>
          <w:rFonts w:ascii="Arial" w:eastAsia="Times New Roman" w:hAnsi="Arial" w:cs="Arial"/>
          <w:color w:val="333333"/>
          <w:sz w:val="24"/>
          <w:szCs w:val="24"/>
          <w:u w:val="single"/>
          <w:lang w:eastAsia="it-IT"/>
        </w:rPr>
        <w:t> </w:t>
      </w:r>
      <w:r w:rsidRPr="008E04A3">
        <w:rPr>
          <w:rFonts w:ascii="Arial" w:eastAsia="Times New Roman" w:hAnsi="Arial" w:cs="Arial"/>
          <w:color w:val="333333"/>
          <w:sz w:val="24"/>
          <w:szCs w:val="24"/>
          <w:lang w:eastAsia="it-IT"/>
        </w:rPr>
        <w:t>.</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Gli importi sono versati su una carta di pagamento elettronica che ha le medesime funzionalità di quella utilizzata per il pagamento del Reddito di Inclusione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93"/>
        <w:gridCol w:w="1449"/>
        <w:gridCol w:w="1258"/>
        <w:gridCol w:w="1449"/>
        <w:gridCol w:w="1275"/>
        <w:gridCol w:w="1533"/>
        <w:gridCol w:w="1341"/>
      </w:tblGrid>
      <w:tr w:rsidR="00A00624" w:rsidRPr="008E04A3" w:rsidTr="00A00624">
        <w:tc>
          <w:tcPr>
            <w:tcW w:w="0" w:type="auto"/>
            <w:vMerge w:val="restart"/>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br/>
              <w:t>Scaglioni ISEE    </w:t>
            </w:r>
            <w:r w:rsidRPr="008E04A3">
              <w:rPr>
                <w:rFonts w:ascii="Arial" w:eastAsia="Times New Roman" w:hAnsi="Arial" w:cs="Arial"/>
                <w:b/>
                <w:bCs/>
                <w:sz w:val="24"/>
                <w:szCs w:val="24"/>
                <w:lang w:eastAsia="it-IT"/>
              </w:rPr>
              <w:br/>
              <w:t>(€)</w:t>
            </w:r>
          </w:p>
        </w:tc>
        <w:tc>
          <w:tcPr>
            <w:tcW w:w="0" w:type="auto"/>
            <w:gridSpan w:val="2"/>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Importi spettanti a nucleo senza minori (€)</w:t>
            </w:r>
          </w:p>
        </w:tc>
        <w:tc>
          <w:tcPr>
            <w:tcW w:w="0" w:type="auto"/>
            <w:gridSpan w:val="2"/>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Importi spettanti a nucleo con 1 minore (€)</w:t>
            </w:r>
          </w:p>
        </w:tc>
        <w:tc>
          <w:tcPr>
            <w:tcW w:w="0" w:type="auto"/>
            <w:gridSpan w:val="2"/>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Importi spettanti a nucleo con 2 o più minori (€)</w:t>
            </w:r>
          </w:p>
        </w:tc>
      </w:tr>
      <w:tr w:rsidR="00A00624" w:rsidRPr="008E04A3" w:rsidTr="00A00624">
        <w:tc>
          <w:tcPr>
            <w:tcW w:w="0" w:type="auto"/>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rsidR="00A00624" w:rsidRPr="008E04A3" w:rsidRDefault="00A00624" w:rsidP="00A00624">
            <w:pPr>
              <w:spacing w:after="0" w:line="240" w:lineRule="auto"/>
              <w:rPr>
                <w:rFonts w:ascii="Arial" w:eastAsia="Times New Roman" w:hAnsi="Arial" w:cs="Arial"/>
                <w:b/>
                <w:bCs/>
                <w:sz w:val="24"/>
                <w:szCs w:val="24"/>
                <w:lang w:eastAsia="it-IT"/>
              </w:rPr>
            </w:pPr>
          </w:p>
        </w:tc>
        <w:tc>
          <w:tcPr>
            <w:tcW w:w="0" w:type="auto"/>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br/>
              <w:t>annuale</w:t>
            </w:r>
          </w:p>
        </w:tc>
        <w:tc>
          <w:tcPr>
            <w:tcW w:w="0" w:type="auto"/>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3D26AE"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M</w:t>
            </w:r>
            <w:r w:rsidR="00A00624" w:rsidRPr="008E04A3">
              <w:rPr>
                <w:rFonts w:ascii="Arial" w:eastAsia="Times New Roman" w:hAnsi="Arial" w:cs="Arial"/>
                <w:b/>
                <w:bCs/>
                <w:sz w:val="24"/>
                <w:szCs w:val="24"/>
                <w:lang w:eastAsia="it-IT"/>
              </w:rPr>
              <w:t>ensile</w:t>
            </w:r>
          </w:p>
        </w:tc>
        <w:tc>
          <w:tcPr>
            <w:tcW w:w="0" w:type="auto"/>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annuale</w:t>
            </w:r>
          </w:p>
        </w:tc>
        <w:tc>
          <w:tcPr>
            <w:tcW w:w="0" w:type="auto"/>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mensile</w:t>
            </w:r>
          </w:p>
        </w:tc>
        <w:tc>
          <w:tcPr>
            <w:tcW w:w="0" w:type="auto"/>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annuale</w:t>
            </w:r>
          </w:p>
        </w:tc>
        <w:tc>
          <w:tcPr>
            <w:tcW w:w="0" w:type="auto"/>
            <w:tcBorders>
              <w:top w:val="single" w:sz="6" w:space="0" w:color="FFFFFF"/>
              <w:left w:val="single" w:sz="6" w:space="0" w:color="FFFFFF"/>
              <w:bottom w:val="single" w:sz="6" w:space="0" w:color="FFFFFF"/>
              <w:right w:val="single" w:sz="6" w:space="0" w:color="FFFFFF"/>
            </w:tcBorders>
            <w:shd w:val="clear" w:color="auto" w:fill="E0E0E0"/>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b/>
                <w:bCs/>
                <w:sz w:val="24"/>
                <w:szCs w:val="24"/>
                <w:lang w:eastAsia="it-IT"/>
              </w:rPr>
            </w:pPr>
            <w:r w:rsidRPr="008E04A3">
              <w:rPr>
                <w:rFonts w:ascii="Arial" w:eastAsia="Times New Roman" w:hAnsi="Arial" w:cs="Arial"/>
                <w:b/>
                <w:bCs/>
                <w:sz w:val="24"/>
                <w:szCs w:val="24"/>
                <w:lang w:eastAsia="it-IT"/>
              </w:rPr>
              <w:t>mensile</w:t>
            </w:r>
          </w:p>
        </w:tc>
      </w:tr>
      <w:tr w:rsidR="00A00624" w:rsidRPr="008E04A3" w:rsidTr="00A00624">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0,00 - 1.000,00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4.800,00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400,00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6.000,00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500,00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6.600,00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550,00</w:t>
            </w:r>
          </w:p>
        </w:tc>
      </w:tr>
      <w:tr w:rsidR="00A00624" w:rsidRPr="008E04A3" w:rsidTr="00A00624">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1.000,01 - 2.000,00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4.320,00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360,00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5.520,00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460,00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6.120,00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510,00</w:t>
            </w:r>
          </w:p>
        </w:tc>
      </w:tr>
      <w:tr w:rsidR="00A00624" w:rsidRPr="008E04A3" w:rsidTr="00A00624">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2.000,01 - 3.000,00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3.780,00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315,00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4.980,00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415,00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5.580,00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465,00</w:t>
            </w:r>
          </w:p>
        </w:tc>
      </w:tr>
      <w:tr w:rsidR="00A00624" w:rsidRPr="008E04A3" w:rsidTr="00A00624">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3.000,01 - 4.000,00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2.820,00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235,00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4.020,00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335,00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4.620,00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385,00</w:t>
            </w:r>
          </w:p>
        </w:tc>
      </w:tr>
      <w:tr w:rsidR="00A00624" w:rsidRPr="008E04A3" w:rsidTr="00A00624">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4.000,01 - 5.000,00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1.800,00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150,00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3.000,00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250,00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3.600,00</w:t>
            </w:r>
          </w:p>
        </w:tc>
        <w:tc>
          <w:tcPr>
            <w:tcW w:w="0" w:type="auto"/>
            <w:tcBorders>
              <w:top w:val="outset" w:sz="6" w:space="0" w:color="auto"/>
              <w:left w:val="outset" w:sz="6" w:space="0" w:color="auto"/>
              <w:bottom w:val="outset" w:sz="6" w:space="0" w:color="auto"/>
              <w:right w:val="outset" w:sz="6" w:space="0" w:color="auto"/>
            </w:tcBorders>
            <w:shd w:val="clear" w:color="auto" w:fill="F5F5F5"/>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300,00</w:t>
            </w:r>
          </w:p>
        </w:tc>
      </w:tr>
      <w:tr w:rsidR="00A00624" w:rsidRPr="008E04A3" w:rsidTr="00A00624">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xml:space="preserve">5.000,01 - </w:t>
            </w:r>
            <w:r w:rsidRPr="008E04A3">
              <w:rPr>
                <w:rFonts w:ascii="Arial" w:eastAsia="Times New Roman" w:hAnsi="Arial" w:cs="Arial"/>
                <w:sz w:val="24"/>
                <w:szCs w:val="24"/>
                <w:lang w:eastAsia="it-IT"/>
              </w:rPr>
              <w:lastRenderedPageBreak/>
              <w:t>6.000,00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lastRenderedPageBreak/>
              <w:t>      840,00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70,00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2.040,00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170,00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   2.640,00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30" w:type="dxa"/>
              <w:bottom w:w="15" w:type="dxa"/>
              <w:right w:w="30" w:type="dxa"/>
            </w:tcMar>
            <w:hideMark/>
          </w:tcPr>
          <w:p w:rsidR="00A00624" w:rsidRPr="008E04A3" w:rsidRDefault="00A00624" w:rsidP="00A00624">
            <w:pPr>
              <w:spacing w:after="0" w:line="259" w:lineRule="atLeast"/>
              <w:rPr>
                <w:rFonts w:ascii="Arial" w:eastAsia="Times New Roman" w:hAnsi="Arial" w:cs="Arial"/>
                <w:sz w:val="24"/>
                <w:szCs w:val="24"/>
                <w:lang w:eastAsia="it-IT"/>
              </w:rPr>
            </w:pPr>
            <w:r w:rsidRPr="008E04A3">
              <w:rPr>
                <w:rFonts w:ascii="Arial" w:eastAsia="Times New Roman" w:hAnsi="Arial" w:cs="Arial"/>
                <w:sz w:val="24"/>
                <w:szCs w:val="24"/>
                <w:lang w:eastAsia="it-IT"/>
              </w:rPr>
              <w:t>220,00</w:t>
            </w:r>
          </w:p>
        </w:tc>
      </w:tr>
    </w:tbl>
    <w:p w:rsidR="00A00624" w:rsidRPr="008E04A3" w:rsidRDefault="00A00624" w:rsidP="00A00624">
      <w:pPr>
        <w:shd w:val="clear" w:color="auto" w:fill="FFFFFF"/>
        <w:spacing w:after="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lastRenderedPageBreak/>
        <w:t> </w:t>
      </w:r>
    </w:p>
    <w:p w:rsidR="00A00624" w:rsidRPr="008E04A3" w:rsidRDefault="00A00624" w:rsidP="00D57A38">
      <w:pPr>
        <w:shd w:val="clear" w:color="auto" w:fill="FFFFFF"/>
        <w:spacing w:after="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Dal contributo mensile di MIA vengono dedotti gli importi che il nucleo percepisce a titolo di Carta acquisti per minori di 3 anni, Bonus bebè e dell’assegno per i nuclei con almeno tre figli minori. È in ogni caso garantito il 40% dell’importo spettante.</w:t>
      </w:r>
    </w:p>
    <w:p w:rsidR="00D57A38" w:rsidRPr="008E04A3" w:rsidRDefault="00D57A38" w:rsidP="00D57A38">
      <w:pPr>
        <w:shd w:val="clear" w:color="auto" w:fill="FFFFFF"/>
        <w:spacing w:after="0" w:line="240" w:lineRule="auto"/>
        <w:rPr>
          <w:rFonts w:ascii="Arial" w:eastAsia="Times New Roman" w:hAnsi="Arial" w:cs="Arial"/>
          <w:b/>
          <w:bCs/>
          <w:caps/>
          <w:color w:val="626262"/>
          <w:sz w:val="24"/>
          <w:szCs w:val="24"/>
          <w:lang w:eastAsia="it-IT"/>
        </w:rPr>
      </w:pP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Per i nuclei familiari che beneficiano del Reddito di Inclusione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il cui componente che ha presentato la domanda è in possesso del requisito </w:t>
      </w:r>
      <w:proofErr w:type="spellStart"/>
      <w:r w:rsidRPr="008E04A3">
        <w:rPr>
          <w:rFonts w:ascii="Arial" w:eastAsia="Times New Roman" w:hAnsi="Arial" w:cs="Arial"/>
          <w:color w:val="333333"/>
          <w:sz w:val="24"/>
          <w:szCs w:val="24"/>
          <w:lang w:eastAsia="it-IT"/>
        </w:rPr>
        <w:t>di</w:t>
      </w:r>
      <w:r w:rsidRPr="008E04A3">
        <w:rPr>
          <w:rFonts w:ascii="Arial" w:eastAsia="Times New Roman" w:hAnsi="Arial" w:cs="Arial"/>
          <w:b/>
          <w:bCs/>
          <w:color w:val="333333"/>
          <w:sz w:val="24"/>
          <w:szCs w:val="24"/>
          <w:lang w:eastAsia="it-IT"/>
        </w:rPr>
        <w:t>residenza</w:t>
      </w:r>
      <w:proofErr w:type="spellEnd"/>
      <w:r w:rsidRPr="008E04A3">
        <w:rPr>
          <w:rFonts w:ascii="Arial" w:eastAsia="Times New Roman" w:hAnsi="Arial" w:cs="Arial"/>
          <w:b/>
          <w:bCs/>
          <w:color w:val="333333"/>
          <w:sz w:val="24"/>
          <w:szCs w:val="24"/>
          <w:lang w:eastAsia="it-IT"/>
        </w:rPr>
        <w:t xml:space="preserve"> in Friuli Venezia Giulia da</w:t>
      </w:r>
      <w:r w:rsidRPr="008E04A3">
        <w:rPr>
          <w:rFonts w:ascii="Arial" w:eastAsia="Times New Roman" w:hAnsi="Arial" w:cs="Arial"/>
          <w:color w:val="333333"/>
          <w:sz w:val="24"/>
          <w:szCs w:val="24"/>
          <w:lang w:eastAsia="it-IT"/>
        </w:rPr>
        <w:t> </w:t>
      </w:r>
      <w:r w:rsidRPr="008E04A3">
        <w:rPr>
          <w:rFonts w:ascii="Arial" w:eastAsia="Times New Roman" w:hAnsi="Arial" w:cs="Arial"/>
          <w:b/>
          <w:bCs/>
          <w:color w:val="333333"/>
          <w:sz w:val="24"/>
          <w:szCs w:val="24"/>
          <w:lang w:eastAsia="it-IT"/>
        </w:rPr>
        <w:t>almeno 24 mesi</w:t>
      </w:r>
      <w:r w:rsidRPr="008E04A3">
        <w:rPr>
          <w:rFonts w:ascii="Arial" w:eastAsia="Times New Roman" w:hAnsi="Arial" w:cs="Arial"/>
          <w:color w:val="333333"/>
          <w:sz w:val="24"/>
          <w:szCs w:val="24"/>
          <w:lang w:eastAsia="it-IT"/>
        </w:rPr>
        <w:t> </w:t>
      </w:r>
      <w:r w:rsidRPr="008E04A3">
        <w:rPr>
          <w:rFonts w:ascii="Arial" w:eastAsia="Times New Roman" w:hAnsi="Arial" w:cs="Arial"/>
          <w:b/>
          <w:bCs/>
          <w:color w:val="333333"/>
          <w:sz w:val="24"/>
          <w:szCs w:val="24"/>
          <w:lang w:eastAsia="it-IT"/>
        </w:rPr>
        <w:t>continuativi</w:t>
      </w:r>
      <w:r w:rsidRPr="008E04A3">
        <w:rPr>
          <w:rFonts w:ascii="Arial" w:eastAsia="Times New Roman" w:hAnsi="Arial" w:cs="Arial"/>
          <w:color w:val="333333"/>
          <w:sz w:val="24"/>
          <w:szCs w:val="24"/>
          <w:lang w:eastAsia="it-IT"/>
        </w:rPr>
        <w:t>, sono riconosciute integrazioni regionali agli importi erogati dallo Stato di valore mensile pari a:</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- 185 euro per i nuclei in assenza di componenti di età minore di anni 18;</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- 235 euro per i nuclei in presenza di un componente di età minore di anni 18;</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- 285 euro per i nuclei in presenza di due o più componenti di età minore di anni 18.</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L'importo complessivo del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sommato alle integrazioni regionali al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non può essere superiore a 750 euro al mese. Nel caso sia superiore l'importo delle integrazioni regionali è ridotto conseguentemente.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Le integrazioni regionali al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sono alternative alla MIA, pertanto chi è </w:t>
      </w:r>
      <w:proofErr w:type="spellStart"/>
      <w:r w:rsidRPr="008E04A3">
        <w:rPr>
          <w:rFonts w:ascii="Arial" w:eastAsia="Times New Roman" w:hAnsi="Arial" w:cs="Arial"/>
          <w:color w:val="333333"/>
          <w:sz w:val="24"/>
          <w:szCs w:val="24"/>
          <w:lang w:eastAsia="it-IT"/>
        </w:rPr>
        <w:t>beneficario</w:t>
      </w:r>
      <w:proofErr w:type="spellEnd"/>
      <w:r w:rsidRPr="008E04A3">
        <w:rPr>
          <w:rFonts w:ascii="Arial" w:eastAsia="Times New Roman" w:hAnsi="Arial" w:cs="Arial"/>
          <w:color w:val="333333"/>
          <w:sz w:val="24"/>
          <w:szCs w:val="24"/>
          <w:lang w:eastAsia="it-IT"/>
        </w:rPr>
        <w:t xml:space="preserve"> di MIA se accede al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decade dalla MIA e ha diritto alle integrazioni regionali.</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Per accedere </w:t>
      </w:r>
      <w:proofErr w:type="spellStart"/>
      <w:r w:rsidRPr="008E04A3">
        <w:rPr>
          <w:rFonts w:ascii="Arial" w:eastAsia="Times New Roman" w:hAnsi="Arial" w:cs="Arial"/>
          <w:color w:val="333333"/>
          <w:sz w:val="24"/>
          <w:szCs w:val="24"/>
          <w:lang w:eastAsia="it-IT"/>
        </w:rPr>
        <w:t>all</w:t>
      </w:r>
      <w:proofErr w:type="spellEnd"/>
      <w:r w:rsidRPr="008E04A3">
        <w:rPr>
          <w:rFonts w:ascii="Arial" w:eastAsia="Times New Roman" w:hAnsi="Arial" w:cs="Arial"/>
          <w:color w:val="333333"/>
          <w:sz w:val="24"/>
          <w:szCs w:val="24"/>
          <w:lang w:eastAsia="it-IT"/>
        </w:rPr>
        <w:t xml:space="preserve"> integrazioni regionali non è necessario alcun adempimento da parte del richiedente in quanto il requisito di residenza in Regione viene verificato d'ufficio da parte dei Servizi Sociali dei Comuni in seguito alla presentazione della domanda di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Le integrazioni regionali al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vengono corrisposte sulle medesime Carte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già in uso ai beneficiari e </w:t>
      </w:r>
      <w:r w:rsidRPr="008E04A3">
        <w:rPr>
          <w:rFonts w:ascii="Arial" w:eastAsia="Times New Roman" w:hAnsi="Arial" w:cs="Arial"/>
          <w:b/>
          <w:bCs/>
          <w:color w:val="333333"/>
          <w:sz w:val="24"/>
          <w:szCs w:val="24"/>
          <w:lang w:eastAsia="it-IT"/>
        </w:rPr>
        <w:t xml:space="preserve">solo se nel rispettivo mese il nucleo è risultato beneficiario di </w:t>
      </w:r>
      <w:proofErr w:type="spellStart"/>
      <w:r w:rsidRPr="008E04A3">
        <w:rPr>
          <w:rFonts w:ascii="Arial" w:eastAsia="Times New Roman" w:hAnsi="Arial" w:cs="Arial"/>
          <w:b/>
          <w:bCs/>
          <w:color w:val="333333"/>
          <w:sz w:val="24"/>
          <w:szCs w:val="24"/>
          <w:lang w:eastAsia="it-IT"/>
        </w:rPr>
        <w:t>ReI</w:t>
      </w:r>
      <w:proofErr w:type="spellEnd"/>
      <w:r w:rsidRPr="008E04A3">
        <w:rPr>
          <w:rFonts w:ascii="Arial" w:eastAsia="Times New Roman" w:hAnsi="Arial" w:cs="Arial"/>
          <w:b/>
          <w:bCs/>
          <w:color w:val="333333"/>
          <w:sz w:val="24"/>
          <w:szCs w:val="24"/>
          <w:lang w:eastAsia="it-IT"/>
        </w:rPr>
        <w:t>.</w:t>
      </w:r>
      <w:r w:rsidRPr="008E04A3">
        <w:rPr>
          <w:rFonts w:ascii="Arial" w:eastAsia="Times New Roman" w:hAnsi="Arial" w:cs="Arial"/>
          <w:color w:val="333333"/>
          <w:sz w:val="24"/>
          <w:szCs w:val="24"/>
          <w:lang w:eastAsia="it-IT"/>
        </w:rPr>
        <w:t> </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L'articolo 9, comma 18 della legge regionale 29/2018 ha stabilito che le integrazioni regionali al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sono riconosciute per tutto il 2019 anche a coloro che in passato hanno già beneficiato di MIA per complessivi 30 mesi.</w:t>
      </w:r>
    </w:p>
    <w:p w:rsidR="00A00624" w:rsidRPr="008E04A3" w:rsidRDefault="00A00624" w:rsidP="00A00624">
      <w:pPr>
        <w:pBdr>
          <w:bottom w:val="single" w:sz="18" w:space="4" w:color="DBDBDB"/>
        </w:pBdr>
        <w:shd w:val="clear" w:color="auto" w:fill="FFFFFF"/>
        <w:spacing w:after="150" w:line="240" w:lineRule="auto"/>
        <w:outlineLvl w:val="4"/>
        <w:rPr>
          <w:rFonts w:ascii="Arial" w:eastAsia="Times New Roman" w:hAnsi="Arial" w:cs="Arial"/>
          <w:b/>
          <w:bCs/>
          <w:caps/>
          <w:color w:val="626262"/>
          <w:sz w:val="24"/>
          <w:szCs w:val="24"/>
          <w:lang w:eastAsia="it-IT"/>
        </w:rPr>
      </w:pPr>
      <w:r w:rsidRPr="008E04A3">
        <w:rPr>
          <w:rFonts w:ascii="Arial" w:eastAsia="Times New Roman" w:hAnsi="Arial" w:cs="Arial"/>
          <w:b/>
          <w:bCs/>
          <w:caps/>
          <w:color w:val="626262"/>
          <w:sz w:val="24"/>
          <w:szCs w:val="24"/>
          <w:lang w:eastAsia="it-IT"/>
        </w:rPr>
        <w:t xml:space="preserve">INTERVENTI ECONOMICI PER CHI NON BENEFICIA </w:t>
      </w:r>
      <w:proofErr w:type="spellStart"/>
      <w:r w:rsidRPr="008E04A3">
        <w:rPr>
          <w:rFonts w:ascii="Arial" w:eastAsia="Times New Roman" w:hAnsi="Arial" w:cs="Arial"/>
          <w:b/>
          <w:bCs/>
          <w:caps/>
          <w:color w:val="626262"/>
          <w:sz w:val="24"/>
          <w:szCs w:val="24"/>
          <w:lang w:eastAsia="it-IT"/>
        </w:rPr>
        <w:t>DI</w:t>
      </w:r>
      <w:proofErr w:type="spellEnd"/>
      <w:r w:rsidRPr="008E04A3">
        <w:rPr>
          <w:rFonts w:ascii="Arial" w:eastAsia="Times New Roman" w:hAnsi="Arial" w:cs="Arial"/>
          <w:b/>
          <w:bCs/>
          <w:caps/>
          <w:color w:val="626262"/>
          <w:sz w:val="24"/>
          <w:szCs w:val="24"/>
          <w:lang w:eastAsia="it-IT"/>
        </w:rPr>
        <w:t xml:space="preserve"> MIA E REI NELL'ANNO 2019</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b/>
          <w:bCs/>
          <w:color w:val="333333"/>
          <w:sz w:val="24"/>
          <w:szCs w:val="24"/>
          <w:lang w:eastAsia="it-IT"/>
        </w:rPr>
        <w:t>In attesa dell’avvio del Reddito di Cittadinanza</w:t>
      </w:r>
      <w:r w:rsidRPr="008E04A3">
        <w:rPr>
          <w:rFonts w:ascii="Arial" w:eastAsia="Times New Roman" w:hAnsi="Arial" w:cs="Arial"/>
          <w:color w:val="333333"/>
          <w:sz w:val="24"/>
          <w:szCs w:val="24"/>
          <w:lang w:eastAsia="it-IT"/>
        </w:rPr>
        <w:t>, al fine di sostenere i nuclei che non beneficiano di MIA e non sono in possesso dei requisiti per accedere al Reddito di Inclusione e alle relative integrazioni regionali, la Regione ha istituito per l’anno 2019 un fondo straordinario con il quale i Servizi sociali dei Comuni possono erogare interventi economici.</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Per beneficiare degli interventi economici è necessario: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 che il componente del nucleo che presenta domanda sia in possesso dei medesimi requisiti di cittadinanza e di permessi di soggiorno previsti per accedere al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e che sia residente in Regione  </w:t>
      </w:r>
      <w:r w:rsidRPr="008E04A3">
        <w:rPr>
          <w:rFonts w:ascii="Arial" w:eastAsia="Times New Roman" w:hAnsi="Arial" w:cs="Arial"/>
          <w:b/>
          <w:bCs/>
          <w:color w:val="333333"/>
          <w:sz w:val="24"/>
          <w:szCs w:val="24"/>
          <w:lang w:eastAsia="it-IT"/>
        </w:rPr>
        <w:t>da almeno 5 anni continuativi;</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che il nucleo sia in possesso di un ISEE 2019 di valore non superiore a 6.000 euro;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xml:space="preserve">- che il nucleo abbia presentato nel corso dell’anno 2019 una domanda di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e non abbia potuto beneficiarne per almeno uno dei seguenti motivi:</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1) il valore dell’ISRE è superiore alla soglia di accesso;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2) i componenti del nucleo sono in possesso di autoveicoli e motoveicoli immatricolati per la prima volta nei 24 mesi precedenti la richiesta, salvi i veicoli per disabili;</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lastRenderedPageBreak/>
        <w:t xml:space="preserve">3) l’ammontare del beneficio economico del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xml:space="preserve"> è risultato di valore pari a zero.</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L’intervento economico non può inoltre essere concesso se: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il nucleo è beneficiario di Misura attiva di sostegno al Reddito (MIA) in corso di concessione;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il nucleo non ha concluso la concessione della MIA da almeno un bimestre;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il nucleo nell’anno 2019 ha rinunciato volontariamente alla MIA in corso di concessione;</w:t>
      </w: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il nucleo è beneficiario di Reddito di Inclusione (</w:t>
      </w:r>
      <w:proofErr w:type="spellStart"/>
      <w:r w:rsidRPr="008E04A3">
        <w:rPr>
          <w:rFonts w:ascii="Arial" w:eastAsia="Times New Roman" w:hAnsi="Arial" w:cs="Arial"/>
          <w:color w:val="333333"/>
          <w:sz w:val="24"/>
          <w:szCs w:val="24"/>
          <w:lang w:eastAsia="it-IT"/>
        </w:rPr>
        <w:t>ReI</w:t>
      </w:r>
      <w:proofErr w:type="spellEnd"/>
      <w:r w:rsidRPr="008E04A3">
        <w:rPr>
          <w:rFonts w:ascii="Arial" w:eastAsia="Times New Roman" w:hAnsi="Arial" w:cs="Arial"/>
          <w:color w:val="333333"/>
          <w:sz w:val="24"/>
          <w:szCs w:val="24"/>
          <w:lang w:eastAsia="it-IT"/>
        </w:rPr>
        <w:t>) in corso di concessione.</w:t>
      </w:r>
    </w:p>
    <w:p w:rsidR="00A00624" w:rsidRPr="008E04A3" w:rsidRDefault="00A00624" w:rsidP="00333555">
      <w:pPr>
        <w:shd w:val="clear" w:color="auto" w:fill="FFFFFF"/>
        <w:spacing w:after="0" w:line="240" w:lineRule="auto"/>
        <w:rPr>
          <w:rFonts w:ascii="Arial" w:eastAsia="Times New Roman" w:hAnsi="Arial" w:cs="Arial"/>
          <w:color w:val="333333"/>
          <w:sz w:val="24"/>
          <w:szCs w:val="24"/>
          <w:lang w:eastAsia="it-IT"/>
        </w:rPr>
      </w:pPr>
      <w:r w:rsidRPr="008E04A3">
        <w:rPr>
          <w:rFonts w:ascii="Arial" w:eastAsia="Times New Roman" w:hAnsi="Arial" w:cs="Arial"/>
          <w:color w:val="333333"/>
          <w:sz w:val="24"/>
          <w:szCs w:val="24"/>
          <w:lang w:eastAsia="it-IT"/>
        </w:rPr>
        <w:t> </w:t>
      </w:r>
    </w:p>
    <w:p w:rsidR="00A00624" w:rsidRPr="008E04A3" w:rsidRDefault="00A00624" w:rsidP="00A00624">
      <w:pPr>
        <w:shd w:val="clear" w:color="auto" w:fill="FFFFFF"/>
        <w:spacing w:after="0" w:line="240" w:lineRule="auto"/>
        <w:rPr>
          <w:rFonts w:ascii="Arial" w:eastAsia="Times New Roman" w:hAnsi="Arial" w:cs="Arial"/>
          <w:color w:val="333333"/>
          <w:sz w:val="24"/>
          <w:szCs w:val="24"/>
          <w:lang w:eastAsia="it-IT"/>
        </w:rPr>
      </w:pPr>
    </w:p>
    <w:p w:rsidR="00A00624" w:rsidRPr="008E04A3" w:rsidRDefault="00A00624" w:rsidP="00A00624">
      <w:pPr>
        <w:shd w:val="clear" w:color="auto" w:fill="FFFFFF"/>
        <w:spacing w:after="150" w:line="240" w:lineRule="auto"/>
        <w:rPr>
          <w:rFonts w:ascii="Arial" w:eastAsia="Times New Roman" w:hAnsi="Arial" w:cs="Arial"/>
          <w:color w:val="333333"/>
          <w:sz w:val="24"/>
          <w:szCs w:val="24"/>
          <w:lang w:eastAsia="it-IT"/>
        </w:rPr>
      </w:pPr>
      <w:r w:rsidRPr="008E04A3">
        <w:rPr>
          <w:rFonts w:ascii="Arial" w:eastAsia="Times New Roman" w:hAnsi="Arial" w:cs="Arial"/>
          <w:b/>
          <w:bCs/>
          <w:color w:val="333333"/>
          <w:sz w:val="24"/>
          <w:szCs w:val="24"/>
          <w:u w:val="single"/>
          <w:lang w:eastAsia="it-IT"/>
        </w:rPr>
        <w:t>AVVERTENZA IMPORTANTE</w:t>
      </w:r>
      <w:r w:rsidRPr="008E04A3">
        <w:rPr>
          <w:rFonts w:ascii="Arial" w:eastAsia="Times New Roman" w:hAnsi="Arial" w:cs="Arial"/>
          <w:b/>
          <w:bCs/>
          <w:color w:val="333333"/>
          <w:sz w:val="24"/>
          <w:szCs w:val="24"/>
          <w:lang w:eastAsia="it-IT"/>
        </w:rPr>
        <w:t> :</w:t>
      </w:r>
      <w:r w:rsidRPr="008E04A3">
        <w:rPr>
          <w:rFonts w:ascii="Arial" w:eastAsia="Times New Roman" w:hAnsi="Arial" w:cs="Arial"/>
          <w:color w:val="333333"/>
          <w:sz w:val="24"/>
          <w:szCs w:val="24"/>
          <w:lang w:eastAsia="it-IT"/>
        </w:rPr>
        <w:t> L’articolo 9, comma 19, della legge regionale 29/2018 ha previsto che </w:t>
      </w:r>
      <w:r w:rsidRPr="008E04A3">
        <w:rPr>
          <w:rFonts w:ascii="Arial" w:eastAsia="Times New Roman" w:hAnsi="Arial" w:cs="Arial"/>
          <w:b/>
          <w:bCs/>
          <w:color w:val="333333"/>
          <w:sz w:val="24"/>
          <w:szCs w:val="24"/>
          <w:lang w:eastAsia="it-IT"/>
        </w:rPr>
        <w:t>le erogazioni di tutte le misure regionali in corso di concessione</w:t>
      </w:r>
      <w:r w:rsidRPr="008E04A3">
        <w:rPr>
          <w:rFonts w:ascii="Arial" w:eastAsia="Times New Roman" w:hAnsi="Arial" w:cs="Arial"/>
          <w:color w:val="333333"/>
          <w:sz w:val="24"/>
          <w:szCs w:val="24"/>
          <w:lang w:eastAsia="it-IT"/>
        </w:rPr>
        <w:t> (MIA, integrazioni regionali al Reddito di Inclusione, interventi economici di cui all’articolo 9 della LR 29/2018) </w:t>
      </w:r>
      <w:r w:rsidRPr="008E04A3">
        <w:rPr>
          <w:rFonts w:ascii="Arial" w:eastAsia="Times New Roman" w:hAnsi="Arial" w:cs="Arial"/>
          <w:b/>
          <w:bCs/>
          <w:color w:val="333333"/>
          <w:sz w:val="24"/>
          <w:szCs w:val="24"/>
          <w:lang w:eastAsia="it-IT"/>
        </w:rPr>
        <w:t>potranno essere sospese a seguito dell’avvio del Reddito di Cittadinanza.</w:t>
      </w:r>
      <w:r w:rsidRPr="008E04A3">
        <w:rPr>
          <w:rFonts w:ascii="Arial" w:eastAsia="Times New Roman" w:hAnsi="Arial" w:cs="Arial"/>
          <w:color w:val="333333"/>
          <w:sz w:val="24"/>
          <w:szCs w:val="24"/>
          <w:lang w:eastAsia="it-IT"/>
        </w:rPr>
        <w:t> Le regole che disciplineranno la sospensione e la decadenza dalle misure regionali saranno stabilite con una apposita deliberazione di Giunta regionale a seguito di entrata in vigore degli atti attuativi del Reddito di Cittadinanza.</w:t>
      </w:r>
    </w:p>
    <w:p w:rsidR="00A00624" w:rsidRPr="008E04A3" w:rsidRDefault="00A00624" w:rsidP="00A00624">
      <w:pPr>
        <w:shd w:val="clear" w:color="auto" w:fill="FFFFFF"/>
        <w:spacing w:after="0" w:line="240" w:lineRule="auto"/>
        <w:jc w:val="both"/>
        <w:rPr>
          <w:rFonts w:ascii="Arial" w:eastAsia="Times New Roman" w:hAnsi="Arial" w:cs="Arial"/>
          <w:color w:val="0B0B0B"/>
          <w:sz w:val="24"/>
          <w:szCs w:val="24"/>
          <w:lang w:eastAsia="it-IT"/>
        </w:rPr>
      </w:pPr>
    </w:p>
    <w:sectPr w:rsidR="00A00624" w:rsidRPr="008E04A3" w:rsidSect="00973C1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573FE"/>
    <w:multiLevelType w:val="multilevel"/>
    <w:tmpl w:val="5218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333C56"/>
    <w:multiLevelType w:val="multilevel"/>
    <w:tmpl w:val="D0EA39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F415B1"/>
    <w:multiLevelType w:val="multilevel"/>
    <w:tmpl w:val="A194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1D5E6D"/>
    <w:multiLevelType w:val="multilevel"/>
    <w:tmpl w:val="6EE2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E71184"/>
    <w:multiLevelType w:val="multilevel"/>
    <w:tmpl w:val="2B60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9B7F52"/>
    <w:multiLevelType w:val="multilevel"/>
    <w:tmpl w:val="7534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E80391"/>
    <w:multiLevelType w:val="multilevel"/>
    <w:tmpl w:val="04FA5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62220F"/>
    <w:multiLevelType w:val="multilevel"/>
    <w:tmpl w:val="C186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3F74A7"/>
    <w:multiLevelType w:val="multilevel"/>
    <w:tmpl w:val="EACE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A82E8F"/>
    <w:multiLevelType w:val="multilevel"/>
    <w:tmpl w:val="D5084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B14AC3"/>
    <w:multiLevelType w:val="multilevel"/>
    <w:tmpl w:val="D016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4A5E02"/>
    <w:multiLevelType w:val="multilevel"/>
    <w:tmpl w:val="6810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4D1795"/>
    <w:multiLevelType w:val="multilevel"/>
    <w:tmpl w:val="D240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8D07FC"/>
    <w:multiLevelType w:val="multilevel"/>
    <w:tmpl w:val="155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337674"/>
    <w:multiLevelType w:val="multilevel"/>
    <w:tmpl w:val="1E2C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C0047C"/>
    <w:multiLevelType w:val="multilevel"/>
    <w:tmpl w:val="76B4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BA7582"/>
    <w:multiLevelType w:val="multilevel"/>
    <w:tmpl w:val="86FC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664253"/>
    <w:multiLevelType w:val="multilevel"/>
    <w:tmpl w:val="5790A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5ED7D36"/>
    <w:multiLevelType w:val="multilevel"/>
    <w:tmpl w:val="A34E59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3476B6"/>
    <w:multiLevelType w:val="multilevel"/>
    <w:tmpl w:val="ECCA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6D0402"/>
    <w:multiLevelType w:val="multilevel"/>
    <w:tmpl w:val="FAFA0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116F45"/>
    <w:multiLevelType w:val="multilevel"/>
    <w:tmpl w:val="F472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B350CD"/>
    <w:multiLevelType w:val="multilevel"/>
    <w:tmpl w:val="2714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B41A21"/>
    <w:multiLevelType w:val="multilevel"/>
    <w:tmpl w:val="21EC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BC5AE4"/>
    <w:multiLevelType w:val="multilevel"/>
    <w:tmpl w:val="571E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DA634F"/>
    <w:multiLevelType w:val="multilevel"/>
    <w:tmpl w:val="1E449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D2096E"/>
    <w:multiLevelType w:val="multilevel"/>
    <w:tmpl w:val="D25C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310C97"/>
    <w:multiLevelType w:val="multilevel"/>
    <w:tmpl w:val="7B94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B10F95"/>
    <w:multiLevelType w:val="multilevel"/>
    <w:tmpl w:val="F046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F57724F"/>
    <w:multiLevelType w:val="multilevel"/>
    <w:tmpl w:val="180C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8F595C"/>
    <w:multiLevelType w:val="multilevel"/>
    <w:tmpl w:val="CEA8BC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DC3675"/>
    <w:multiLevelType w:val="multilevel"/>
    <w:tmpl w:val="BE6E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4F27AA"/>
    <w:multiLevelType w:val="hybridMultilevel"/>
    <w:tmpl w:val="B2586F1E"/>
    <w:lvl w:ilvl="0" w:tplc="04100001">
      <w:start w:val="1"/>
      <w:numFmt w:val="bullet"/>
      <w:lvlText w:val=""/>
      <w:lvlJc w:val="left"/>
      <w:pPr>
        <w:ind w:left="840" w:hanging="360"/>
      </w:pPr>
      <w:rPr>
        <w:rFonts w:ascii="Symbol" w:hAnsi="Symbol"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33">
    <w:nsid w:val="583C337D"/>
    <w:multiLevelType w:val="multilevel"/>
    <w:tmpl w:val="F86AA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6E1B97"/>
    <w:multiLevelType w:val="multilevel"/>
    <w:tmpl w:val="3D32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07F2905"/>
    <w:multiLevelType w:val="multilevel"/>
    <w:tmpl w:val="A964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2AF1919"/>
    <w:multiLevelType w:val="multilevel"/>
    <w:tmpl w:val="FFBE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824D38"/>
    <w:multiLevelType w:val="multilevel"/>
    <w:tmpl w:val="5D1A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41397E"/>
    <w:multiLevelType w:val="multilevel"/>
    <w:tmpl w:val="AF64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571559"/>
    <w:multiLevelType w:val="multilevel"/>
    <w:tmpl w:val="721A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BF1107"/>
    <w:multiLevelType w:val="multilevel"/>
    <w:tmpl w:val="DACE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C02D38"/>
    <w:multiLevelType w:val="multilevel"/>
    <w:tmpl w:val="0CD8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8F05AD"/>
    <w:multiLevelType w:val="multilevel"/>
    <w:tmpl w:val="EAC6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F64F56"/>
    <w:multiLevelType w:val="multilevel"/>
    <w:tmpl w:val="DB4E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CF032E"/>
    <w:multiLevelType w:val="multilevel"/>
    <w:tmpl w:val="4984E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6C7985"/>
    <w:multiLevelType w:val="hybridMultilevel"/>
    <w:tmpl w:val="8256BA76"/>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46">
    <w:nsid w:val="7ACA69DA"/>
    <w:multiLevelType w:val="multilevel"/>
    <w:tmpl w:val="2718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D8670E"/>
    <w:multiLevelType w:val="multilevel"/>
    <w:tmpl w:val="BD5C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664521"/>
    <w:multiLevelType w:val="multilevel"/>
    <w:tmpl w:val="A4C0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EC623B"/>
    <w:multiLevelType w:val="multilevel"/>
    <w:tmpl w:val="8BBE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8"/>
  </w:num>
  <w:num w:numId="3">
    <w:abstractNumId w:val="6"/>
  </w:num>
  <w:num w:numId="4">
    <w:abstractNumId w:val="33"/>
  </w:num>
  <w:num w:numId="5">
    <w:abstractNumId w:val="1"/>
  </w:num>
  <w:num w:numId="6">
    <w:abstractNumId w:val="30"/>
  </w:num>
  <w:num w:numId="7">
    <w:abstractNumId w:val="43"/>
  </w:num>
  <w:num w:numId="8">
    <w:abstractNumId w:val="37"/>
  </w:num>
  <w:num w:numId="9">
    <w:abstractNumId w:val="22"/>
  </w:num>
  <w:num w:numId="10">
    <w:abstractNumId w:val="9"/>
  </w:num>
  <w:num w:numId="11">
    <w:abstractNumId w:val="12"/>
  </w:num>
  <w:num w:numId="12">
    <w:abstractNumId w:val="27"/>
  </w:num>
  <w:num w:numId="13">
    <w:abstractNumId w:val="19"/>
  </w:num>
  <w:num w:numId="14">
    <w:abstractNumId w:val="29"/>
  </w:num>
  <w:num w:numId="15">
    <w:abstractNumId w:val="46"/>
  </w:num>
  <w:num w:numId="16">
    <w:abstractNumId w:val="26"/>
  </w:num>
  <w:num w:numId="17">
    <w:abstractNumId w:val="47"/>
  </w:num>
  <w:num w:numId="18">
    <w:abstractNumId w:val="38"/>
  </w:num>
  <w:num w:numId="19">
    <w:abstractNumId w:val="31"/>
  </w:num>
  <w:num w:numId="20">
    <w:abstractNumId w:val="23"/>
  </w:num>
  <w:num w:numId="21">
    <w:abstractNumId w:val="3"/>
  </w:num>
  <w:num w:numId="22">
    <w:abstractNumId w:val="35"/>
  </w:num>
  <w:num w:numId="23">
    <w:abstractNumId w:val="0"/>
  </w:num>
  <w:num w:numId="24">
    <w:abstractNumId w:val="7"/>
  </w:num>
  <w:num w:numId="25">
    <w:abstractNumId w:val="36"/>
  </w:num>
  <w:num w:numId="26">
    <w:abstractNumId w:val="2"/>
  </w:num>
  <w:num w:numId="27">
    <w:abstractNumId w:val="4"/>
  </w:num>
  <w:num w:numId="28">
    <w:abstractNumId w:val="5"/>
  </w:num>
  <w:num w:numId="29">
    <w:abstractNumId w:val="42"/>
  </w:num>
  <w:num w:numId="30">
    <w:abstractNumId w:val="41"/>
  </w:num>
  <w:num w:numId="31">
    <w:abstractNumId w:val="44"/>
  </w:num>
  <w:num w:numId="32">
    <w:abstractNumId w:val="49"/>
  </w:num>
  <w:num w:numId="33">
    <w:abstractNumId w:val="13"/>
  </w:num>
  <w:num w:numId="34">
    <w:abstractNumId w:val="48"/>
  </w:num>
  <w:num w:numId="35">
    <w:abstractNumId w:val="39"/>
  </w:num>
  <w:num w:numId="36">
    <w:abstractNumId w:val="20"/>
  </w:num>
  <w:num w:numId="37">
    <w:abstractNumId w:val="25"/>
  </w:num>
  <w:num w:numId="38">
    <w:abstractNumId w:val="34"/>
  </w:num>
  <w:num w:numId="39">
    <w:abstractNumId w:val="40"/>
  </w:num>
  <w:num w:numId="40">
    <w:abstractNumId w:val="28"/>
  </w:num>
  <w:num w:numId="41">
    <w:abstractNumId w:val="16"/>
  </w:num>
  <w:num w:numId="42">
    <w:abstractNumId w:val="21"/>
  </w:num>
  <w:num w:numId="43">
    <w:abstractNumId w:val="15"/>
  </w:num>
  <w:num w:numId="44">
    <w:abstractNumId w:val="14"/>
  </w:num>
  <w:num w:numId="45">
    <w:abstractNumId w:val="24"/>
  </w:num>
  <w:num w:numId="46">
    <w:abstractNumId w:val="11"/>
  </w:num>
  <w:num w:numId="47">
    <w:abstractNumId w:val="8"/>
  </w:num>
  <w:num w:numId="48">
    <w:abstractNumId w:val="10"/>
  </w:num>
  <w:num w:numId="49">
    <w:abstractNumId w:val="32"/>
  </w:num>
  <w:num w:numId="50">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A00624"/>
    <w:rsid w:val="000A7B28"/>
    <w:rsid w:val="000D47DA"/>
    <w:rsid w:val="00141785"/>
    <w:rsid w:val="00172956"/>
    <w:rsid w:val="001F3864"/>
    <w:rsid w:val="00232D7A"/>
    <w:rsid w:val="00252765"/>
    <w:rsid w:val="002E6C02"/>
    <w:rsid w:val="00324BC3"/>
    <w:rsid w:val="00333555"/>
    <w:rsid w:val="003D26AE"/>
    <w:rsid w:val="003F24F3"/>
    <w:rsid w:val="004F6B27"/>
    <w:rsid w:val="00603100"/>
    <w:rsid w:val="0062411C"/>
    <w:rsid w:val="0062755C"/>
    <w:rsid w:val="00672727"/>
    <w:rsid w:val="00696C33"/>
    <w:rsid w:val="008234D2"/>
    <w:rsid w:val="00856E39"/>
    <w:rsid w:val="008E04A3"/>
    <w:rsid w:val="009643D1"/>
    <w:rsid w:val="00973C17"/>
    <w:rsid w:val="00A00624"/>
    <w:rsid w:val="00A430E3"/>
    <w:rsid w:val="00AA1420"/>
    <w:rsid w:val="00B92203"/>
    <w:rsid w:val="00CE1963"/>
    <w:rsid w:val="00CF26F4"/>
    <w:rsid w:val="00D57A38"/>
    <w:rsid w:val="00DC6F41"/>
    <w:rsid w:val="00E15DE1"/>
    <w:rsid w:val="00E56E19"/>
    <w:rsid w:val="00E60CE1"/>
    <w:rsid w:val="00E72E6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73C17"/>
  </w:style>
  <w:style w:type="paragraph" w:styleId="Titolo1">
    <w:name w:val="heading 1"/>
    <w:basedOn w:val="Normale"/>
    <w:next w:val="Normale"/>
    <w:link w:val="Titolo1Carattere"/>
    <w:uiPriority w:val="9"/>
    <w:qFormat/>
    <w:rsid w:val="00E56E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link w:val="Titolo2Carattere"/>
    <w:uiPriority w:val="9"/>
    <w:qFormat/>
    <w:rsid w:val="00324BC3"/>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324BC3"/>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A00624"/>
    <w:rPr>
      <w:b/>
      <w:bCs/>
    </w:rPr>
  </w:style>
  <w:style w:type="character" w:customStyle="1" w:styleId="alinea">
    <w:name w:val="alinea"/>
    <w:basedOn w:val="Carpredefinitoparagrafo"/>
    <w:rsid w:val="00A00624"/>
  </w:style>
  <w:style w:type="character" w:styleId="Collegamentoipertestuale">
    <w:name w:val="Hyperlink"/>
    <w:basedOn w:val="Carpredefinitoparagrafo"/>
    <w:uiPriority w:val="99"/>
    <w:semiHidden/>
    <w:unhideWhenUsed/>
    <w:rsid w:val="00A00624"/>
    <w:rPr>
      <w:color w:val="0000FF"/>
      <w:u w:val="single"/>
    </w:rPr>
  </w:style>
  <w:style w:type="paragraph" w:styleId="NormaleWeb">
    <w:name w:val="Normal (Web)"/>
    <w:basedOn w:val="Normale"/>
    <w:uiPriority w:val="99"/>
    <w:unhideWhenUsed/>
    <w:rsid w:val="00A00624"/>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ritorna-indice">
    <w:name w:val="ritorna-indice"/>
    <w:basedOn w:val="Normale"/>
    <w:rsid w:val="00A0062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ms-rtefontsize-3">
    <w:name w:val="ms-rtefontsize-3"/>
    <w:basedOn w:val="Carpredefinitoparagrafo"/>
    <w:rsid w:val="00D57A38"/>
  </w:style>
  <w:style w:type="character" w:styleId="Enfasicorsivo">
    <w:name w:val="Emphasis"/>
    <w:basedOn w:val="Carpredefinitoparagrafo"/>
    <w:uiPriority w:val="20"/>
    <w:qFormat/>
    <w:rsid w:val="00D57A38"/>
    <w:rPr>
      <w:i/>
      <w:iCs/>
    </w:rPr>
  </w:style>
  <w:style w:type="character" w:customStyle="1" w:styleId="Titolo2Carattere">
    <w:name w:val="Titolo 2 Carattere"/>
    <w:basedOn w:val="Carpredefinitoparagrafo"/>
    <w:link w:val="Titolo2"/>
    <w:uiPriority w:val="9"/>
    <w:rsid w:val="00324BC3"/>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324BC3"/>
    <w:rPr>
      <w:rFonts w:ascii="Times New Roman" w:eastAsia="Times New Roman" w:hAnsi="Times New Roman" w:cs="Times New Roman"/>
      <w:b/>
      <w:bCs/>
      <w:sz w:val="27"/>
      <w:szCs w:val="27"/>
      <w:lang w:eastAsia="it-IT"/>
    </w:rPr>
  </w:style>
  <w:style w:type="character" w:customStyle="1" w:styleId="glossaryterm">
    <w:name w:val="glossary__term"/>
    <w:basedOn w:val="Carpredefinitoparagrafo"/>
    <w:rsid w:val="00324BC3"/>
  </w:style>
  <w:style w:type="character" w:customStyle="1" w:styleId="icon">
    <w:name w:val="icon"/>
    <w:basedOn w:val="Carpredefinitoparagrafo"/>
    <w:rsid w:val="00324BC3"/>
  </w:style>
  <w:style w:type="character" w:customStyle="1" w:styleId="Titolo1Carattere">
    <w:name w:val="Titolo 1 Carattere"/>
    <w:basedOn w:val="Carpredefinitoparagrafo"/>
    <w:link w:val="Titolo1"/>
    <w:uiPriority w:val="9"/>
    <w:rsid w:val="00E56E19"/>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E15DE1"/>
    <w:pPr>
      <w:ind w:left="720"/>
      <w:contextualSpacing/>
    </w:pPr>
  </w:style>
</w:styles>
</file>

<file path=word/webSettings.xml><?xml version="1.0" encoding="utf-8"?>
<w:webSettings xmlns:r="http://schemas.openxmlformats.org/officeDocument/2006/relationships" xmlns:w="http://schemas.openxmlformats.org/wordprocessingml/2006/main">
  <w:divs>
    <w:div w:id="85998146">
      <w:bodyDiv w:val="1"/>
      <w:marLeft w:val="0"/>
      <w:marRight w:val="0"/>
      <w:marTop w:val="0"/>
      <w:marBottom w:val="0"/>
      <w:divBdr>
        <w:top w:val="none" w:sz="0" w:space="0" w:color="auto"/>
        <w:left w:val="none" w:sz="0" w:space="0" w:color="auto"/>
        <w:bottom w:val="none" w:sz="0" w:space="0" w:color="auto"/>
        <w:right w:val="none" w:sz="0" w:space="0" w:color="auto"/>
      </w:divBdr>
      <w:divsChild>
        <w:div w:id="1992755365">
          <w:marLeft w:val="0"/>
          <w:marRight w:val="0"/>
          <w:marTop w:val="0"/>
          <w:marBottom w:val="0"/>
          <w:divBdr>
            <w:top w:val="none" w:sz="0" w:space="0" w:color="auto"/>
            <w:left w:val="none" w:sz="0" w:space="0" w:color="auto"/>
            <w:bottom w:val="none" w:sz="0" w:space="0" w:color="auto"/>
            <w:right w:val="none" w:sz="0" w:space="0" w:color="auto"/>
          </w:divBdr>
        </w:div>
      </w:divsChild>
    </w:div>
    <w:div w:id="106899618">
      <w:bodyDiv w:val="1"/>
      <w:marLeft w:val="0"/>
      <w:marRight w:val="0"/>
      <w:marTop w:val="0"/>
      <w:marBottom w:val="0"/>
      <w:divBdr>
        <w:top w:val="none" w:sz="0" w:space="0" w:color="auto"/>
        <w:left w:val="none" w:sz="0" w:space="0" w:color="auto"/>
        <w:bottom w:val="none" w:sz="0" w:space="0" w:color="auto"/>
        <w:right w:val="none" w:sz="0" w:space="0" w:color="auto"/>
      </w:divBdr>
    </w:div>
    <w:div w:id="289284719">
      <w:bodyDiv w:val="1"/>
      <w:marLeft w:val="0"/>
      <w:marRight w:val="0"/>
      <w:marTop w:val="0"/>
      <w:marBottom w:val="0"/>
      <w:divBdr>
        <w:top w:val="none" w:sz="0" w:space="0" w:color="auto"/>
        <w:left w:val="none" w:sz="0" w:space="0" w:color="auto"/>
        <w:bottom w:val="none" w:sz="0" w:space="0" w:color="auto"/>
        <w:right w:val="none" w:sz="0" w:space="0" w:color="auto"/>
      </w:divBdr>
    </w:div>
    <w:div w:id="353925427">
      <w:bodyDiv w:val="1"/>
      <w:marLeft w:val="0"/>
      <w:marRight w:val="0"/>
      <w:marTop w:val="0"/>
      <w:marBottom w:val="0"/>
      <w:divBdr>
        <w:top w:val="none" w:sz="0" w:space="0" w:color="auto"/>
        <w:left w:val="none" w:sz="0" w:space="0" w:color="auto"/>
        <w:bottom w:val="none" w:sz="0" w:space="0" w:color="auto"/>
        <w:right w:val="none" w:sz="0" w:space="0" w:color="auto"/>
      </w:divBdr>
    </w:div>
    <w:div w:id="411779631">
      <w:bodyDiv w:val="1"/>
      <w:marLeft w:val="0"/>
      <w:marRight w:val="0"/>
      <w:marTop w:val="0"/>
      <w:marBottom w:val="0"/>
      <w:divBdr>
        <w:top w:val="none" w:sz="0" w:space="0" w:color="auto"/>
        <w:left w:val="none" w:sz="0" w:space="0" w:color="auto"/>
        <w:bottom w:val="none" w:sz="0" w:space="0" w:color="auto"/>
        <w:right w:val="none" w:sz="0" w:space="0" w:color="auto"/>
      </w:divBdr>
      <w:divsChild>
        <w:div w:id="1500464243">
          <w:marLeft w:val="0"/>
          <w:marRight w:val="0"/>
          <w:marTop w:val="300"/>
          <w:marBottom w:val="0"/>
          <w:divBdr>
            <w:top w:val="none" w:sz="0" w:space="0" w:color="auto"/>
            <w:left w:val="none" w:sz="0" w:space="0" w:color="auto"/>
            <w:bottom w:val="none" w:sz="0" w:space="0" w:color="auto"/>
            <w:right w:val="none" w:sz="0" w:space="0" w:color="auto"/>
          </w:divBdr>
          <w:divsChild>
            <w:div w:id="1856075301">
              <w:marLeft w:val="0"/>
              <w:marRight w:val="0"/>
              <w:marTop w:val="90"/>
              <w:marBottom w:val="0"/>
              <w:divBdr>
                <w:top w:val="none" w:sz="0" w:space="0" w:color="auto"/>
                <w:left w:val="none" w:sz="0" w:space="0" w:color="auto"/>
                <w:bottom w:val="none" w:sz="0" w:space="0" w:color="auto"/>
                <w:right w:val="none" w:sz="0" w:space="0" w:color="auto"/>
              </w:divBdr>
            </w:div>
            <w:div w:id="966354686">
              <w:marLeft w:val="0"/>
              <w:marRight w:val="0"/>
              <w:marTop w:val="90"/>
              <w:marBottom w:val="0"/>
              <w:divBdr>
                <w:top w:val="none" w:sz="0" w:space="0" w:color="auto"/>
                <w:left w:val="none" w:sz="0" w:space="0" w:color="auto"/>
                <w:bottom w:val="none" w:sz="0" w:space="0" w:color="auto"/>
                <w:right w:val="none" w:sz="0" w:space="0" w:color="auto"/>
              </w:divBdr>
              <w:divsChild>
                <w:div w:id="567762344">
                  <w:marLeft w:val="240"/>
                  <w:marRight w:val="0"/>
                  <w:marTop w:val="75"/>
                  <w:marBottom w:val="0"/>
                  <w:divBdr>
                    <w:top w:val="none" w:sz="0" w:space="0" w:color="auto"/>
                    <w:left w:val="none" w:sz="0" w:space="0" w:color="auto"/>
                    <w:bottom w:val="none" w:sz="0" w:space="0" w:color="auto"/>
                    <w:right w:val="none" w:sz="0" w:space="0" w:color="auto"/>
                  </w:divBdr>
                </w:div>
                <w:div w:id="191962939">
                  <w:marLeft w:val="240"/>
                  <w:marRight w:val="0"/>
                  <w:marTop w:val="75"/>
                  <w:marBottom w:val="0"/>
                  <w:divBdr>
                    <w:top w:val="none" w:sz="0" w:space="0" w:color="auto"/>
                    <w:left w:val="none" w:sz="0" w:space="0" w:color="auto"/>
                    <w:bottom w:val="none" w:sz="0" w:space="0" w:color="auto"/>
                    <w:right w:val="none" w:sz="0" w:space="0" w:color="auto"/>
                  </w:divBdr>
                </w:div>
                <w:div w:id="465853615">
                  <w:marLeft w:val="240"/>
                  <w:marRight w:val="0"/>
                  <w:marTop w:val="75"/>
                  <w:marBottom w:val="0"/>
                  <w:divBdr>
                    <w:top w:val="none" w:sz="0" w:space="0" w:color="auto"/>
                    <w:left w:val="none" w:sz="0" w:space="0" w:color="auto"/>
                    <w:bottom w:val="none" w:sz="0" w:space="0" w:color="auto"/>
                    <w:right w:val="none" w:sz="0" w:space="0" w:color="auto"/>
                  </w:divBdr>
                </w:div>
              </w:divsChild>
            </w:div>
            <w:div w:id="1407386393">
              <w:marLeft w:val="0"/>
              <w:marRight w:val="0"/>
              <w:marTop w:val="90"/>
              <w:marBottom w:val="0"/>
              <w:divBdr>
                <w:top w:val="none" w:sz="0" w:space="0" w:color="auto"/>
                <w:left w:val="none" w:sz="0" w:space="0" w:color="auto"/>
                <w:bottom w:val="none" w:sz="0" w:space="0" w:color="auto"/>
                <w:right w:val="none" w:sz="0" w:space="0" w:color="auto"/>
              </w:divBdr>
            </w:div>
            <w:div w:id="1733310116">
              <w:marLeft w:val="0"/>
              <w:marRight w:val="0"/>
              <w:marTop w:val="300"/>
              <w:marBottom w:val="75"/>
              <w:divBdr>
                <w:top w:val="none" w:sz="0" w:space="0" w:color="auto"/>
                <w:left w:val="none" w:sz="0" w:space="0" w:color="auto"/>
                <w:bottom w:val="none" w:sz="0" w:space="0" w:color="auto"/>
                <w:right w:val="none" w:sz="0" w:space="0" w:color="auto"/>
              </w:divBdr>
            </w:div>
            <w:div w:id="1170946701">
              <w:marLeft w:val="0"/>
              <w:marRight w:val="0"/>
              <w:marTop w:val="30"/>
              <w:marBottom w:val="150"/>
              <w:divBdr>
                <w:top w:val="none" w:sz="0" w:space="0" w:color="auto"/>
                <w:left w:val="none" w:sz="0" w:space="0" w:color="auto"/>
                <w:bottom w:val="none" w:sz="0" w:space="0" w:color="auto"/>
                <w:right w:val="none" w:sz="0" w:space="0" w:color="auto"/>
              </w:divBdr>
            </w:div>
          </w:divsChild>
        </w:div>
        <w:div w:id="1513958025">
          <w:marLeft w:val="0"/>
          <w:marRight w:val="0"/>
          <w:marTop w:val="300"/>
          <w:marBottom w:val="0"/>
          <w:divBdr>
            <w:top w:val="none" w:sz="0" w:space="0" w:color="auto"/>
            <w:left w:val="none" w:sz="0" w:space="0" w:color="auto"/>
            <w:bottom w:val="none" w:sz="0" w:space="0" w:color="auto"/>
            <w:right w:val="none" w:sz="0" w:space="0" w:color="auto"/>
          </w:divBdr>
          <w:divsChild>
            <w:div w:id="2130470711">
              <w:marLeft w:val="0"/>
              <w:marRight w:val="0"/>
              <w:marTop w:val="0"/>
              <w:marBottom w:val="0"/>
              <w:divBdr>
                <w:top w:val="none" w:sz="0" w:space="0" w:color="auto"/>
                <w:left w:val="none" w:sz="0" w:space="0" w:color="auto"/>
                <w:bottom w:val="none" w:sz="0" w:space="0" w:color="auto"/>
                <w:right w:val="none" w:sz="0" w:space="0" w:color="auto"/>
              </w:divBdr>
            </w:div>
            <w:div w:id="1195076678">
              <w:marLeft w:val="0"/>
              <w:marRight w:val="0"/>
              <w:marTop w:val="90"/>
              <w:marBottom w:val="0"/>
              <w:divBdr>
                <w:top w:val="none" w:sz="0" w:space="0" w:color="auto"/>
                <w:left w:val="none" w:sz="0" w:space="0" w:color="auto"/>
                <w:bottom w:val="none" w:sz="0" w:space="0" w:color="auto"/>
                <w:right w:val="none" w:sz="0" w:space="0" w:color="auto"/>
              </w:divBdr>
            </w:div>
            <w:div w:id="1364287871">
              <w:marLeft w:val="0"/>
              <w:marRight w:val="0"/>
              <w:marTop w:val="90"/>
              <w:marBottom w:val="0"/>
              <w:divBdr>
                <w:top w:val="none" w:sz="0" w:space="0" w:color="auto"/>
                <w:left w:val="none" w:sz="0" w:space="0" w:color="auto"/>
                <w:bottom w:val="none" w:sz="0" w:space="0" w:color="auto"/>
                <w:right w:val="none" w:sz="0" w:space="0" w:color="auto"/>
              </w:divBdr>
            </w:div>
            <w:div w:id="1606615247">
              <w:marLeft w:val="0"/>
              <w:marRight w:val="0"/>
              <w:marTop w:val="90"/>
              <w:marBottom w:val="0"/>
              <w:divBdr>
                <w:top w:val="none" w:sz="0" w:space="0" w:color="auto"/>
                <w:left w:val="none" w:sz="0" w:space="0" w:color="auto"/>
                <w:bottom w:val="none" w:sz="0" w:space="0" w:color="auto"/>
                <w:right w:val="none" w:sz="0" w:space="0" w:color="auto"/>
              </w:divBdr>
            </w:div>
            <w:div w:id="370806366">
              <w:marLeft w:val="0"/>
              <w:marRight w:val="0"/>
              <w:marTop w:val="90"/>
              <w:marBottom w:val="0"/>
              <w:divBdr>
                <w:top w:val="none" w:sz="0" w:space="0" w:color="auto"/>
                <w:left w:val="none" w:sz="0" w:space="0" w:color="auto"/>
                <w:bottom w:val="none" w:sz="0" w:space="0" w:color="auto"/>
                <w:right w:val="none" w:sz="0" w:space="0" w:color="auto"/>
              </w:divBdr>
            </w:div>
            <w:div w:id="975454998">
              <w:marLeft w:val="0"/>
              <w:marRight w:val="0"/>
              <w:marTop w:val="90"/>
              <w:marBottom w:val="0"/>
              <w:divBdr>
                <w:top w:val="none" w:sz="0" w:space="0" w:color="auto"/>
                <w:left w:val="none" w:sz="0" w:space="0" w:color="auto"/>
                <w:bottom w:val="none" w:sz="0" w:space="0" w:color="auto"/>
                <w:right w:val="none" w:sz="0" w:space="0" w:color="auto"/>
              </w:divBdr>
            </w:div>
            <w:div w:id="1105271327">
              <w:marLeft w:val="0"/>
              <w:marRight w:val="0"/>
              <w:marTop w:val="90"/>
              <w:marBottom w:val="0"/>
              <w:divBdr>
                <w:top w:val="none" w:sz="0" w:space="0" w:color="auto"/>
                <w:left w:val="none" w:sz="0" w:space="0" w:color="auto"/>
                <w:bottom w:val="none" w:sz="0" w:space="0" w:color="auto"/>
                <w:right w:val="none" w:sz="0" w:space="0" w:color="auto"/>
              </w:divBdr>
            </w:div>
            <w:div w:id="944388408">
              <w:marLeft w:val="0"/>
              <w:marRight w:val="0"/>
              <w:marTop w:val="90"/>
              <w:marBottom w:val="0"/>
              <w:divBdr>
                <w:top w:val="none" w:sz="0" w:space="0" w:color="auto"/>
                <w:left w:val="none" w:sz="0" w:space="0" w:color="auto"/>
                <w:bottom w:val="none" w:sz="0" w:space="0" w:color="auto"/>
                <w:right w:val="none" w:sz="0" w:space="0" w:color="auto"/>
              </w:divBdr>
            </w:div>
            <w:div w:id="774521219">
              <w:marLeft w:val="0"/>
              <w:marRight w:val="0"/>
              <w:marTop w:val="300"/>
              <w:marBottom w:val="75"/>
              <w:divBdr>
                <w:top w:val="none" w:sz="0" w:space="0" w:color="auto"/>
                <w:left w:val="none" w:sz="0" w:space="0" w:color="auto"/>
                <w:bottom w:val="none" w:sz="0" w:space="0" w:color="auto"/>
                <w:right w:val="none" w:sz="0" w:space="0" w:color="auto"/>
              </w:divBdr>
            </w:div>
            <w:div w:id="1360089686">
              <w:marLeft w:val="0"/>
              <w:marRight w:val="0"/>
              <w:marTop w:val="30"/>
              <w:marBottom w:val="150"/>
              <w:divBdr>
                <w:top w:val="none" w:sz="0" w:space="0" w:color="auto"/>
                <w:left w:val="none" w:sz="0" w:space="0" w:color="auto"/>
                <w:bottom w:val="none" w:sz="0" w:space="0" w:color="auto"/>
                <w:right w:val="none" w:sz="0" w:space="0" w:color="auto"/>
              </w:divBdr>
            </w:div>
            <w:div w:id="1214926116">
              <w:marLeft w:val="0"/>
              <w:marRight w:val="0"/>
              <w:marTop w:val="30"/>
              <w:marBottom w:val="150"/>
              <w:divBdr>
                <w:top w:val="none" w:sz="0" w:space="0" w:color="auto"/>
                <w:left w:val="none" w:sz="0" w:space="0" w:color="auto"/>
                <w:bottom w:val="none" w:sz="0" w:space="0" w:color="auto"/>
                <w:right w:val="none" w:sz="0" w:space="0" w:color="auto"/>
              </w:divBdr>
            </w:div>
            <w:div w:id="1839880370">
              <w:marLeft w:val="0"/>
              <w:marRight w:val="0"/>
              <w:marTop w:val="30"/>
              <w:marBottom w:val="150"/>
              <w:divBdr>
                <w:top w:val="none" w:sz="0" w:space="0" w:color="auto"/>
                <w:left w:val="none" w:sz="0" w:space="0" w:color="auto"/>
                <w:bottom w:val="none" w:sz="0" w:space="0" w:color="auto"/>
                <w:right w:val="none" w:sz="0" w:space="0" w:color="auto"/>
              </w:divBdr>
            </w:div>
            <w:div w:id="1457988052">
              <w:marLeft w:val="0"/>
              <w:marRight w:val="0"/>
              <w:marTop w:val="30"/>
              <w:marBottom w:val="150"/>
              <w:divBdr>
                <w:top w:val="none" w:sz="0" w:space="0" w:color="auto"/>
                <w:left w:val="none" w:sz="0" w:space="0" w:color="auto"/>
                <w:bottom w:val="none" w:sz="0" w:space="0" w:color="auto"/>
                <w:right w:val="none" w:sz="0" w:space="0" w:color="auto"/>
              </w:divBdr>
            </w:div>
          </w:divsChild>
        </w:div>
        <w:div w:id="494493191">
          <w:marLeft w:val="0"/>
          <w:marRight w:val="0"/>
          <w:marTop w:val="300"/>
          <w:marBottom w:val="0"/>
          <w:divBdr>
            <w:top w:val="none" w:sz="0" w:space="0" w:color="auto"/>
            <w:left w:val="none" w:sz="0" w:space="0" w:color="auto"/>
            <w:bottom w:val="none" w:sz="0" w:space="0" w:color="auto"/>
            <w:right w:val="none" w:sz="0" w:space="0" w:color="auto"/>
          </w:divBdr>
          <w:divsChild>
            <w:div w:id="1790781665">
              <w:marLeft w:val="0"/>
              <w:marRight w:val="0"/>
              <w:marTop w:val="0"/>
              <w:marBottom w:val="0"/>
              <w:divBdr>
                <w:top w:val="none" w:sz="0" w:space="0" w:color="auto"/>
                <w:left w:val="none" w:sz="0" w:space="0" w:color="auto"/>
                <w:bottom w:val="none" w:sz="0" w:space="0" w:color="auto"/>
                <w:right w:val="none" w:sz="0" w:space="0" w:color="auto"/>
              </w:divBdr>
            </w:div>
            <w:div w:id="693729431">
              <w:marLeft w:val="0"/>
              <w:marRight w:val="0"/>
              <w:marTop w:val="90"/>
              <w:marBottom w:val="0"/>
              <w:divBdr>
                <w:top w:val="none" w:sz="0" w:space="0" w:color="auto"/>
                <w:left w:val="none" w:sz="0" w:space="0" w:color="auto"/>
                <w:bottom w:val="none" w:sz="0" w:space="0" w:color="auto"/>
                <w:right w:val="none" w:sz="0" w:space="0" w:color="auto"/>
              </w:divBdr>
              <w:divsChild>
                <w:div w:id="1142187036">
                  <w:marLeft w:val="240"/>
                  <w:marRight w:val="0"/>
                  <w:marTop w:val="75"/>
                  <w:marBottom w:val="0"/>
                  <w:divBdr>
                    <w:top w:val="none" w:sz="0" w:space="0" w:color="auto"/>
                    <w:left w:val="none" w:sz="0" w:space="0" w:color="auto"/>
                    <w:bottom w:val="none" w:sz="0" w:space="0" w:color="auto"/>
                    <w:right w:val="none" w:sz="0" w:space="0" w:color="auto"/>
                  </w:divBdr>
                </w:div>
                <w:div w:id="923610206">
                  <w:marLeft w:val="240"/>
                  <w:marRight w:val="0"/>
                  <w:marTop w:val="75"/>
                  <w:marBottom w:val="0"/>
                  <w:divBdr>
                    <w:top w:val="none" w:sz="0" w:space="0" w:color="auto"/>
                    <w:left w:val="none" w:sz="0" w:space="0" w:color="auto"/>
                    <w:bottom w:val="none" w:sz="0" w:space="0" w:color="auto"/>
                    <w:right w:val="none" w:sz="0" w:space="0" w:color="auto"/>
                  </w:divBdr>
                </w:div>
              </w:divsChild>
            </w:div>
            <w:div w:id="1668440298">
              <w:marLeft w:val="0"/>
              <w:marRight w:val="0"/>
              <w:marTop w:val="90"/>
              <w:marBottom w:val="0"/>
              <w:divBdr>
                <w:top w:val="none" w:sz="0" w:space="0" w:color="auto"/>
                <w:left w:val="none" w:sz="0" w:space="0" w:color="auto"/>
                <w:bottom w:val="none" w:sz="0" w:space="0" w:color="auto"/>
                <w:right w:val="none" w:sz="0" w:space="0" w:color="auto"/>
              </w:divBdr>
            </w:div>
            <w:div w:id="1674606281">
              <w:marLeft w:val="0"/>
              <w:marRight w:val="0"/>
              <w:marTop w:val="90"/>
              <w:marBottom w:val="0"/>
              <w:divBdr>
                <w:top w:val="none" w:sz="0" w:space="0" w:color="auto"/>
                <w:left w:val="none" w:sz="0" w:space="0" w:color="auto"/>
                <w:bottom w:val="none" w:sz="0" w:space="0" w:color="auto"/>
                <w:right w:val="none" w:sz="0" w:space="0" w:color="auto"/>
              </w:divBdr>
              <w:divsChild>
                <w:div w:id="375471253">
                  <w:marLeft w:val="240"/>
                  <w:marRight w:val="0"/>
                  <w:marTop w:val="75"/>
                  <w:marBottom w:val="0"/>
                  <w:divBdr>
                    <w:top w:val="none" w:sz="0" w:space="0" w:color="auto"/>
                    <w:left w:val="none" w:sz="0" w:space="0" w:color="auto"/>
                    <w:bottom w:val="none" w:sz="0" w:space="0" w:color="auto"/>
                    <w:right w:val="none" w:sz="0" w:space="0" w:color="auto"/>
                  </w:divBdr>
                </w:div>
                <w:div w:id="816071074">
                  <w:marLeft w:val="240"/>
                  <w:marRight w:val="0"/>
                  <w:marTop w:val="75"/>
                  <w:marBottom w:val="0"/>
                  <w:divBdr>
                    <w:top w:val="none" w:sz="0" w:space="0" w:color="auto"/>
                    <w:left w:val="none" w:sz="0" w:space="0" w:color="auto"/>
                    <w:bottom w:val="none" w:sz="0" w:space="0" w:color="auto"/>
                    <w:right w:val="none" w:sz="0" w:space="0" w:color="auto"/>
                  </w:divBdr>
                </w:div>
                <w:div w:id="2063630217">
                  <w:marLeft w:val="240"/>
                  <w:marRight w:val="0"/>
                  <w:marTop w:val="75"/>
                  <w:marBottom w:val="0"/>
                  <w:divBdr>
                    <w:top w:val="none" w:sz="0" w:space="0" w:color="auto"/>
                    <w:left w:val="none" w:sz="0" w:space="0" w:color="auto"/>
                    <w:bottom w:val="none" w:sz="0" w:space="0" w:color="auto"/>
                    <w:right w:val="none" w:sz="0" w:space="0" w:color="auto"/>
                  </w:divBdr>
                </w:div>
                <w:div w:id="1397194731">
                  <w:marLeft w:val="240"/>
                  <w:marRight w:val="0"/>
                  <w:marTop w:val="75"/>
                  <w:marBottom w:val="0"/>
                  <w:divBdr>
                    <w:top w:val="none" w:sz="0" w:space="0" w:color="auto"/>
                    <w:left w:val="none" w:sz="0" w:space="0" w:color="auto"/>
                    <w:bottom w:val="none" w:sz="0" w:space="0" w:color="auto"/>
                    <w:right w:val="none" w:sz="0" w:space="0" w:color="auto"/>
                  </w:divBdr>
                </w:div>
                <w:div w:id="392780555">
                  <w:marLeft w:val="0"/>
                  <w:marRight w:val="0"/>
                  <w:marTop w:val="0"/>
                  <w:marBottom w:val="0"/>
                  <w:divBdr>
                    <w:top w:val="none" w:sz="0" w:space="0" w:color="auto"/>
                    <w:left w:val="none" w:sz="0" w:space="0" w:color="auto"/>
                    <w:bottom w:val="none" w:sz="0" w:space="0" w:color="auto"/>
                    <w:right w:val="none" w:sz="0" w:space="0" w:color="auto"/>
                  </w:divBdr>
                </w:div>
              </w:divsChild>
            </w:div>
            <w:div w:id="808789725">
              <w:marLeft w:val="0"/>
              <w:marRight w:val="0"/>
              <w:marTop w:val="90"/>
              <w:marBottom w:val="0"/>
              <w:divBdr>
                <w:top w:val="none" w:sz="0" w:space="0" w:color="auto"/>
                <w:left w:val="none" w:sz="0" w:space="0" w:color="auto"/>
                <w:bottom w:val="none" w:sz="0" w:space="0" w:color="auto"/>
                <w:right w:val="none" w:sz="0" w:space="0" w:color="auto"/>
              </w:divBdr>
            </w:div>
            <w:div w:id="2044015877">
              <w:marLeft w:val="0"/>
              <w:marRight w:val="0"/>
              <w:marTop w:val="90"/>
              <w:marBottom w:val="0"/>
              <w:divBdr>
                <w:top w:val="none" w:sz="0" w:space="0" w:color="auto"/>
                <w:left w:val="none" w:sz="0" w:space="0" w:color="auto"/>
                <w:bottom w:val="none" w:sz="0" w:space="0" w:color="auto"/>
                <w:right w:val="none" w:sz="0" w:space="0" w:color="auto"/>
              </w:divBdr>
            </w:div>
            <w:div w:id="733049421">
              <w:marLeft w:val="0"/>
              <w:marRight w:val="0"/>
              <w:marTop w:val="90"/>
              <w:marBottom w:val="0"/>
              <w:divBdr>
                <w:top w:val="none" w:sz="0" w:space="0" w:color="auto"/>
                <w:left w:val="none" w:sz="0" w:space="0" w:color="auto"/>
                <w:bottom w:val="none" w:sz="0" w:space="0" w:color="auto"/>
                <w:right w:val="none" w:sz="0" w:space="0" w:color="auto"/>
              </w:divBdr>
            </w:div>
            <w:div w:id="643630182">
              <w:marLeft w:val="0"/>
              <w:marRight w:val="0"/>
              <w:marTop w:val="90"/>
              <w:marBottom w:val="0"/>
              <w:divBdr>
                <w:top w:val="none" w:sz="0" w:space="0" w:color="auto"/>
                <w:left w:val="none" w:sz="0" w:space="0" w:color="auto"/>
                <w:bottom w:val="none" w:sz="0" w:space="0" w:color="auto"/>
                <w:right w:val="none" w:sz="0" w:space="0" w:color="auto"/>
              </w:divBdr>
            </w:div>
            <w:div w:id="1369527015">
              <w:marLeft w:val="0"/>
              <w:marRight w:val="0"/>
              <w:marTop w:val="90"/>
              <w:marBottom w:val="0"/>
              <w:divBdr>
                <w:top w:val="none" w:sz="0" w:space="0" w:color="auto"/>
                <w:left w:val="none" w:sz="0" w:space="0" w:color="auto"/>
                <w:bottom w:val="none" w:sz="0" w:space="0" w:color="auto"/>
                <w:right w:val="none" w:sz="0" w:space="0" w:color="auto"/>
              </w:divBdr>
            </w:div>
            <w:div w:id="392237938">
              <w:marLeft w:val="0"/>
              <w:marRight w:val="0"/>
              <w:marTop w:val="300"/>
              <w:marBottom w:val="75"/>
              <w:divBdr>
                <w:top w:val="none" w:sz="0" w:space="0" w:color="auto"/>
                <w:left w:val="none" w:sz="0" w:space="0" w:color="auto"/>
                <w:bottom w:val="none" w:sz="0" w:space="0" w:color="auto"/>
                <w:right w:val="none" w:sz="0" w:space="0" w:color="auto"/>
              </w:divBdr>
            </w:div>
            <w:div w:id="2061979279">
              <w:marLeft w:val="0"/>
              <w:marRight w:val="0"/>
              <w:marTop w:val="30"/>
              <w:marBottom w:val="150"/>
              <w:divBdr>
                <w:top w:val="none" w:sz="0" w:space="0" w:color="auto"/>
                <w:left w:val="none" w:sz="0" w:space="0" w:color="auto"/>
                <w:bottom w:val="none" w:sz="0" w:space="0" w:color="auto"/>
                <w:right w:val="none" w:sz="0" w:space="0" w:color="auto"/>
              </w:divBdr>
            </w:div>
            <w:div w:id="1384479433">
              <w:marLeft w:val="0"/>
              <w:marRight w:val="0"/>
              <w:marTop w:val="30"/>
              <w:marBottom w:val="150"/>
              <w:divBdr>
                <w:top w:val="none" w:sz="0" w:space="0" w:color="auto"/>
                <w:left w:val="none" w:sz="0" w:space="0" w:color="auto"/>
                <w:bottom w:val="none" w:sz="0" w:space="0" w:color="auto"/>
                <w:right w:val="none" w:sz="0" w:space="0" w:color="auto"/>
              </w:divBdr>
            </w:div>
            <w:div w:id="617218593">
              <w:marLeft w:val="0"/>
              <w:marRight w:val="0"/>
              <w:marTop w:val="30"/>
              <w:marBottom w:val="150"/>
              <w:divBdr>
                <w:top w:val="none" w:sz="0" w:space="0" w:color="auto"/>
                <w:left w:val="none" w:sz="0" w:space="0" w:color="auto"/>
                <w:bottom w:val="none" w:sz="0" w:space="0" w:color="auto"/>
                <w:right w:val="none" w:sz="0" w:space="0" w:color="auto"/>
              </w:divBdr>
            </w:div>
            <w:div w:id="1126582331">
              <w:marLeft w:val="0"/>
              <w:marRight w:val="0"/>
              <w:marTop w:val="30"/>
              <w:marBottom w:val="150"/>
              <w:divBdr>
                <w:top w:val="none" w:sz="0" w:space="0" w:color="auto"/>
                <w:left w:val="none" w:sz="0" w:space="0" w:color="auto"/>
                <w:bottom w:val="none" w:sz="0" w:space="0" w:color="auto"/>
                <w:right w:val="none" w:sz="0" w:space="0" w:color="auto"/>
              </w:divBdr>
            </w:div>
            <w:div w:id="568274752">
              <w:marLeft w:val="0"/>
              <w:marRight w:val="0"/>
              <w:marTop w:val="30"/>
              <w:marBottom w:val="150"/>
              <w:divBdr>
                <w:top w:val="none" w:sz="0" w:space="0" w:color="auto"/>
                <w:left w:val="none" w:sz="0" w:space="0" w:color="auto"/>
                <w:bottom w:val="none" w:sz="0" w:space="0" w:color="auto"/>
                <w:right w:val="none" w:sz="0" w:space="0" w:color="auto"/>
              </w:divBdr>
            </w:div>
            <w:div w:id="1334913041">
              <w:marLeft w:val="0"/>
              <w:marRight w:val="0"/>
              <w:marTop w:val="30"/>
              <w:marBottom w:val="150"/>
              <w:divBdr>
                <w:top w:val="none" w:sz="0" w:space="0" w:color="auto"/>
                <w:left w:val="none" w:sz="0" w:space="0" w:color="auto"/>
                <w:bottom w:val="none" w:sz="0" w:space="0" w:color="auto"/>
                <w:right w:val="none" w:sz="0" w:space="0" w:color="auto"/>
              </w:divBdr>
            </w:div>
          </w:divsChild>
        </w:div>
        <w:div w:id="1145783754">
          <w:marLeft w:val="0"/>
          <w:marRight w:val="0"/>
          <w:marTop w:val="300"/>
          <w:marBottom w:val="0"/>
          <w:divBdr>
            <w:top w:val="none" w:sz="0" w:space="0" w:color="auto"/>
            <w:left w:val="none" w:sz="0" w:space="0" w:color="auto"/>
            <w:bottom w:val="none" w:sz="0" w:space="0" w:color="auto"/>
            <w:right w:val="none" w:sz="0" w:space="0" w:color="auto"/>
          </w:divBdr>
          <w:divsChild>
            <w:div w:id="1418206822">
              <w:marLeft w:val="0"/>
              <w:marRight w:val="0"/>
              <w:marTop w:val="0"/>
              <w:marBottom w:val="0"/>
              <w:divBdr>
                <w:top w:val="none" w:sz="0" w:space="0" w:color="auto"/>
                <w:left w:val="none" w:sz="0" w:space="0" w:color="auto"/>
                <w:bottom w:val="none" w:sz="0" w:space="0" w:color="auto"/>
                <w:right w:val="none" w:sz="0" w:space="0" w:color="auto"/>
              </w:divBdr>
            </w:div>
            <w:div w:id="1016807840">
              <w:marLeft w:val="0"/>
              <w:marRight w:val="0"/>
              <w:marTop w:val="90"/>
              <w:marBottom w:val="0"/>
              <w:divBdr>
                <w:top w:val="none" w:sz="0" w:space="0" w:color="auto"/>
                <w:left w:val="none" w:sz="0" w:space="0" w:color="auto"/>
                <w:bottom w:val="none" w:sz="0" w:space="0" w:color="auto"/>
                <w:right w:val="none" w:sz="0" w:space="0" w:color="auto"/>
              </w:divBdr>
            </w:div>
            <w:div w:id="649403708">
              <w:marLeft w:val="0"/>
              <w:marRight w:val="0"/>
              <w:marTop w:val="90"/>
              <w:marBottom w:val="0"/>
              <w:divBdr>
                <w:top w:val="none" w:sz="0" w:space="0" w:color="auto"/>
                <w:left w:val="none" w:sz="0" w:space="0" w:color="auto"/>
                <w:bottom w:val="none" w:sz="0" w:space="0" w:color="auto"/>
                <w:right w:val="none" w:sz="0" w:space="0" w:color="auto"/>
              </w:divBdr>
            </w:div>
            <w:div w:id="224220480">
              <w:marLeft w:val="0"/>
              <w:marRight w:val="0"/>
              <w:marTop w:val="90"/>
              <w:marBottom w:val="0"/>
              <w:divBdr>
                <w:top w:val="none" w:sz="0" w:space="0" w:color="auto"/>
                <w:left w:val="none" w:sz="0" w:space="0" w:color="auto"/>
                <w:bottom w:val="none" w:sz="0" w:space="0" w:color="auto"/>
                <w:right w:val="none" w:sz="0" w:space="0" w:color="auto"/>
              </w:divBdr>
            </w:div>
            <w:div w:id="290868091">
              <w:marLeft w:val="0"/>
              <w:marRight w:val="0"/>
              <w:marTop w:val="90"/>
              <w:marBottom w:val="0"/>
              <w:divBdr>
                <w:top w:val="none" w:sz="0" w:space="0" w:color="auto"/>
                <w:left w:val="none" w:sz="0" w:space="0" w:color="auto"/>
                <w:bottom w:val="none" w:sz="0" w:space="0" w:color="auto"/>
                <w:right w:val="none" w:sz="0" w:space="0" w:color="auto"/>
              </w:divBdr>
            </w:div>
            <w:div w:id="1278440388">
              <w:marLeft w:val="0"/>
              <w:marRight w:val="0"/>
              <w:marTop w:val="300"/>
              <w:marBottom w:val="75"/>
              <w:divBdr>
                <w:top w:val="none" w:sz="0" w:space="0" w:color="auto"/>
                <w:left w:val="none" w:sz="0" w:space="0" w:color="auto"/>
                <w:bottom w:val="none" w:sz="0" w:space="0" w:color="auto"/>
                <w:right w:val="none" w:sz="0" w:space="0" w:color="auto"/>
              </w:divBdr>
            </w:div>
            <w:div w:id="1137724911">
              <w:marLeft w:val="0"/>
              <w:marRight w:val="0"/>
              <w:marTop w:val="30"/>
              <w:marBottom w:val="150"/>
              <w:divBdr>
                <w:top w:val="none" w:sz="0" w:space="0" w:color="auto"/>
                <w:left w:val="none" w:sz="0" w:space="0" w:color="auto"/>
                <w:bottom w:val="none" w:sz="0" w:space="0" w:color="auto"/>
                <w:right w:val="none" w:sz="0" w:space="0" w:color="auto"/>
              </w:divBdr>
            </w:div>
            <w:div w:id="1796754716">
              <w:marLeft w:val="0"/>
              <w:marRight w:val="0"/>
              <w:marTop w:val="30"/>
              <w:marBottom w:val="150"/>
              <w:divBdr>
                <w:top w:val="none" w:sz="0" w:space="0" w:color="auto"/>
                <w:left w:val="none" w:sz="0" w:space="0" w:color="auto"/>
                <w:bottom w:val="none" w:sz="0" w:space="0" w:color="auto"/>
                <w:right w:val="none" w:sz="0" w:space="0" w:color="auto"/>
              </w:divBdr>
            </w:div>
            <w:div w:id="1550415854">
              <w:marLeft w:val="0"/>
              <w:marRight w:val="0"/>
              <w:marTop w:val="30"/>
              <w:marBottom w:val="150"/>
              <w:divBdr>
                <w:top w:val="none" w:sz="0" w:space="0" w:color="auto"/>
                <w:left w:val="none" w:sz="0" w:space="0" w:color="auto"/>
                <w:bottom w:val="none" w:sz="0" w:space="0" w:color="auto"/>
                <w:right w:val="none" w:sz="0" w:space="0" w:color="auto"/>
              </w:divBdr>
            </w:div>
            <w:div w:id="386295626">
              <w:marLeft w:val="0"/>
              <w:marRight w:val="0"/>
              <w:marTop w:val="30"/>
              <w:marBottom w:val="150"/>
              <w:divBdr>
                <w:top w:val="none" w:sz="0" w:space="0" w:color="auto"/>
                <w:left w:val="none" w:sz="0" w:space="0" w:color="auto"/>
                <w:bottom w:val="none" w:sz="0" w:space="0" w:color="auto"/>
                <w:right w:val="none" w:sz="0" w:space="0" w:color="auto"/>
              </w:divBdr>
            </w:div>
            <w:div w:id="456219322">
              <w:marLeft w:val="0"/>
              <w:marRight w:val="0"/>
              <w:marTop w:val="30"/>
              <w:marBottom w:val="150"/>
              <w:divBdr>
                <w:top w:val="none" w:sz="0" w:space="0" w:color="auto"/>
                <w:left w:val="none" w:sz="0" w:space="0" w:color="auto"/>
                <w:bottom w:val="none" w:sz="0" w:space="0" w:color="auto"/>
                <w:right w:val="none" w:sz="0" w:space="0" w:color="auto"/>
              </w:divBdr>
            </w:div>
            <w:div w:id="853230698">
              <w:marLeft w:val="0"/>
              <w:marRight w:val="0"/>
              <w:marTop w:val="30"/>
              <w:marBottom w:val="150"/>
              <w:divBdr>
                <w:top w:val="none" w:sz="0" w:space="0" w:color="auto"/>
                <w:left w:val="none" w:sz="0" w:space="0" w:color="auto"/>
                <w:bottom w:val="none" w:sz="0" w:space="0" w:color="auto"/>
                <w:right w:val="none" w:sz="0" w:space="0" w:color="auto"/>
              </w:divBdr>
            </w:div>
          </w:divsChild>
        </w:div>
        <w:div w:id="1704666426">
          <w:marLeft w:val="0"/>
          <w:marRight w:val="0"/>
          <w:marTop w:val="300"/>
          <w:marBottom w:val="0"/>
          <w:divBdr>
            <w:top w:val="none" w:sz="0" w:space="0" w:color="auto"/>
            <w:left w:val="none" w:sz="0" w:space="0" w:color="auto"/>
            <w:bottom w:val="none" w:sz="0" w:space="0" w:color="auto"/>
            <w:right w:val="none" w:sz="0" w:space="0" w:color="auto"/>
          </w:divBdr>
          <w:divsChild>
            <w:div w:id="95181060">
              <w:marLeft w:val="0"/>
              <w:marRight w:val="0"/>
              <w:marTop w:val="0"/>
              <w:marBottom w:val="0"/>
              <w:divBdr>
                <w:top w:val="none" w:sz="0" w:space="0" w:color="auto"/>
                <w:left w:val="none" w:sz="0" w:space="0" w:color="auto"/>
                <w:bottom w:val="none" w:sz="0" w:space="0" w:color="auto"/>
                <w:right w:val="none" w:sz="0" w:space="0" w:color="auto"/>
              </w:divBdr>
            </w:div>
            <w:div w:id="561527344">
              <w:marLeft w:val="0"/>
              <w:marRight w:val="0"/>
              <w:marTop w:val="90"/>
              <w:marBottom w:val="0"/>
              <w:divBdr>
                <w:top w:val="none" w:sz="0" w:space="0" w:color="auto"/>
                <w:left w:val="none" w:sz="0" w:space="0" w:color="auto"/>
                <w:bottom w:val="none" w:sz="0" w:space="0" w:color="auto"/>
                <w:right w:val="none" w:sz="0" w:space="0" w:color="auto"/>
              </w:divBdr>
            </w:div>
            <w:div w:id="1438796871">
              <w:marLeft w:val="0"/>
              <w:marRight w:val="0"/>
              <w:marTop w:val="300"/>
              <w:marBottom w:val="75"/>
              <w:divBdr>
                <w:top w:val="none" w:sz="0" w:space="0" w:color="auto"/>
                <w:left w:val="none" w:sz="0" w:space="0" w:color="auto"/>
                <w:bottom w:val="none" w:sz="0" w:space="0" w:color="auto"/>
                <w:right w:val="none" w:sz="0" w:space="0" w:color="auto"/>
              </w:divBdr>
            </w:div>
            <w:div w:id="1562138743">
              <w:marLeft w:val="0"/>
              <w:marRight w:val="0"/>
              <w:marTop w:val="30"/>
              <w:marBottom w:val="150"/>
              <w:divBdr>
                <w:top w:val="none" w:sz="0" w:space="0" w:color="auto"/>
                <w:left w:val="none" w:sz="0" w:space="0" w:color="auto"/>
                <w:bottom w:val="none" w:sz="0" w:space="0" w:color="auto"/>
                <w:right w:val="none" w:sz="0" w:space="0" w:color="auto"/>
              </w:divBdr>
            </w:div>
          </w:divsChild>
        </w:div>
        <w:div w:id="1692028455">
          <w:marLeft w:val="0"/>
          <w:marRight w:val="0"/>
          <w:marTop w:val="300"/>
          <w:marBottom w:val="0"/>
          <w:divBdr>
            <w:top w:val="none" w:sz="0" w:space="0" w:color="auto"/>
            <w:left w:val="none" w:sz="0" w:space="0" w:color="auto"/>
            <w:bottom w:val="none" w:sz="0" w:space="0" w:color="auto"/>
            <w:right w:val="none" w:sz="0" w:space="0" w:color="auto"/>
          </w:divBdr>
          <w:divsChild>
            <w:div w:id="804004967">
              <w:marLeft w:val="0"/>
              <w:marRight w:val="0"/>
              <w:marTop w:val="0"/>
              <w:marBottom w:val="0"/>
              <w:divBdr>
                <w:top w:val="none" w:sz="0" w:space="0" w:color="auto"/>
                <w:left w:val="none" w:sz="0" w:space="0" w:color="auto"/>
                <w:bottom w:val="none" w:sz="0" w:space="0" w:color="auto"/>
                <w:right w:val="none" w:sz="0" w:space="0" w:color="auto"/>
              </w:divBdr>
            </w:div>
            <w:div w:id="201359242">
              <w:marLeft w:val="0"/>
              <w:marRight w:val="0"/>
              <w:marTop w:val="90"/>
              <w:marBottom w:val="0"/>
              <w:divBdr>
                <w:top w:val="none" w:sz="0" w:space="0" w:color="auto"/>
                <w:left w:val="none" w:sz="0" w:space="0" w:color="auto"/>
                <w:bottom w:val="none" w:sz="0" w:space="0" w:color="auto"/>
                <w:right w:val="none" w:sz="0" w:space="0" w:color="auto"/>
              </w:divBdr>
            </w:div>
            <w:div w:id="2047826084">
              <w:marLeft w:val="0"/>
              <w:marRight w:val="0"/>
              <w:marTop w:val="90"/>
              <w:marBottom w:val="0"/>
              <w:divBdr>
                <w:top w:val="none" w:sz="0" w:space="0" w:color="auto"/>
                <w:left w:val="none" w:sz="0" w:space="0" w:color="auto"/>
                <w:bottom w:val="none" w:sz="0" w:space="0" w:color="auto"/>
                <w:right w:val="none" w:sz="0" w:space="0" w:color="auto"/>
              </w:divBdr>
            </w:div>
            <w:div w:id="819616001">
              <w:marLeft w:val="0"/>
              <w:marRight w:val="0"/>
              <w:marTop w:val="90"/>
              <w:marBottom w:val="0"/>
              <w:divBdr>
                <w:top w:val="none" w:sz="0" w:space="0" w:color="auto"/>
                <w:left w:val="none" w:sz="0" w:space="0" w:color="auto"/>
                <w:bottom w:val="none" w:sz="0" w:space="0" w:color="auto"/>
                <w:right w:val="none" w:sz="0" w:space="0" w:color="auto"/>
              </w:divBdr>
            </w:div>
            <w:div w:id="452796965">
              <w:marLeft w:val="0"/>
              <w:marRight w:val="0"/>
              <w:marTop w:val="90"/>
              <w:marBottom w:val="0"/>
              <w:divBdr>
                <w:top w:val="none" w:sz="0" w:space="0" w:color="auto"/>
                <w:left w:val="none" w:sz="0" w:space="0" w:color="auto"/>
                <w:bottom w:val="none" w:sz="0" w:space="0" w:color="auto"/>
                <w:right w:val="none" w:sz="0" w:space="0" w:color="auto"/>
              </w:divBdr>
            </w:div>
          </w:divsChild>
        </w:div>
        <w:div w:id="1840538554">
          <w:marLeft w:val="0"/>
          <w:marRight w:val="0"/>
          <w:marTop w:val="300"/>
          <w:marBottom w:val="0"/>
          <w:divBdr>
            <w:top w:val="none" w:sz="0" w:space="0" w:color="auto"/>
            <w:left w:val="none" w:sz="0" w:space="0" w:color="auto"/>
            <w:bottom w:val="none" w:sz="0" w:space="0" w:color="auto"/>
            <w:right w:val="none" w:sz="0" w:space="0" w:color="auto"/>
          </w:divBdr>
          <w:divsChild>
            <w:div w:id="1177187557">
              <w:marLeft w:val="0"/>
              <w:marRight w:val="0"/>
              <w:marTop w:val="0"/>
              <w:marBottom w:val="0"/>
              <w:divBdr>
                <w:top w:val="none" w:sz="0" w:space="0" w:color="auto"/>
                <w:left w:val="none" w:sz="0" w:space="0" w:color="auto"/>
                <w:bottom w:val="none" w:sz="0" w:space="0" w:color="auto"/>
                <w:right w:val="none" w:sz="0" w:space="0" w:color="auto"/>
              </w:divBdr>
            </w:div>
            <w:div w:id="353002182">
              <w:marLeft w:val="0"/>
              <w:marRight w:val="0"/>
              <w:marTop w:val="90"/>
              <w:marBottom w:val="0"/>
              <w:divBdr>
                <w:top w:val="none" w:sz="0" w:space="0" w:color="auto"/>
                <w:left w:val="none" w:sz="0" w:space="0" w:color="auto"/>
                <w:bottom w:val="none" w:sz="0" w:space="0" w:color="auto"/>
                <w:right w:val="none" w:sz="0" w:space="0" w:color="auto"/>
              </w:divBdr>
            </w:div>
            <w:div w:id="1840775324">
              <w:marLeft w:val="0"/>
              <w:marRight w:val="0"/>
              <w:marTop w:val="90"/>
              <w:marBottom w:val="0"/>
              <w:divBdr>
                <w:top w:val="none" w:sz="0" w:space="0" w:color="auto"/>
                <w:left w:val="none" w:sz="0" w:space="0" w:color="auto"/>
                <w:bottom w:val="none" w:sz="0" w:space="0" w:color="auto"/>
                <w:right w:val="none" w:sz="0" w:space="0" w:color="auto"/>
              </w:divBdr>
            </w:div>
            <w:div w:id="1863595091">
              <w:marLeft w:val="0"/>
              <w:marRight w:val="0"/>
              <w:marTop w:val="300"/>
              <w:marBottom w:val="75"/>
              <w:divBdr>
                <w:top w:val="none" w:sz="0" w:space="0" w:color="auto"/>
                <w:left w:val="none" w:sz="0" w:space="0" w:color="auto"/>
                <w:bottom w:val="none" w:sz="0" w:space="0" w:color="auto"/>
                <w:right w:val="none" w:sz="0" w:space="0" w:color="auto"/>
              </w:divBdr>
            </w:div>
            <w:div w:id="2003969470">
              <w:marLeft w:val="0"/>
              <w:marRight w:val="0"/>
              <w:marTop w:val="30"/>
              <w:marBottom w:val="150"/>
              <w:divBdr>
                <w:top w:val="none" w:sz="0" w:space="0" w:color="auto"/>
                <w:left w:val="none" w:sz="0" w:space="0" w:color="auto"/>
                <w:bottom w:val="none" w:sz="0" w:space="0" w:color="auto"/>
                <w:right w:val="none" w:sz="0" w:space="0" w:color="auto"/>
              </w:divBdr>
            </w:div>
          </w:divsChild>
        </w:div>
        <w:div w:id="482161362">
          <w:marLeft w:val="0"/>
          <w:marRight w:val="0"/>
          <w:marTop w:val="300"/>
          <w:marBottom w:val="0"/>
          <w:divBdr>
            <w:top w:val="none" w:sz="0" w:space="0" w:color="auto"/>
            <w:left w:val="none" w:sz="0" w:space="0" w:color="auto"/>
            <w:bottom w:val="none" w:sz="0" w:space="0" w:color="auto"/>
            <w:right w:val="none" w:sz="0" w:space="0" w:color="auto"/>
          </w:divBdr>
          <w:divsChild>
            <w:div w:id="1777826426">
              <w:marLeft w:val="0"/>
              <w:marRight w:val="0"/>
              <w:marTop w:val="0"/>
              <w:marBottom w:val="0"/>
              <w:divBdr>
                <w:top w:val="none" w:sz="0" w:space="0" w:color="auto"/>
                <w:left w:val="none" w:sz="0" w:space="0" w:color="auto"/>
                <w:bottom w:val="none" w:sz="0" w:space="0" w:color="auto"/>
                <w:right w:val="none" w:sz="0" w:space="0" w:color="auto"/>
              </w:divBdr>
            </w:div>
            <w:div w:id="879631529">
              <w:marLeft w:val="0"/>
              <w:marRight w:val="0"/>
              <w:marTop w:val="90"/>
              <w:marBottom w:val="0"/>
              <w:divBdr>
                <w:top w:val="none" w:sz="0" w:space="0" w:color="auto"/>
                <w:left w:val="none" w:sz="0" w:space="0" w:color="auto"/>
                <w:bottom w:val="none" w:sz="0" w:space="0" w:color="auto"/>
                <w:right w:val="none" w:sz="0" w:space="0" w:color="auto"/>
              </w:divBdr>
              <w:divsChild>
                <w:div w:id="1283345182">
                  <w:marLeft w:val="240"/>
                  <w:marRight w:val="0"/>
                  <w:marTop w:val="75"/>
                  <w:marBottom w:val="0"/>
                  <w:divBdr>
                    <w:top w:val="none" w:sz="0" w:space="0" w:color="auto"/>
                    <w:left w:val="none" w:sz="0" w:space="0" w:color="auto"/>
                    <w:bottom w:val="none" w:sz="0" w:space="0" w:color="auto"/>
                    <w:right w:val="none" w:sz="0" w:space="0" w:color="auto"/>
                  </w:divBdr>
                </w:div>
                <w:div w:id="1771660354">
                  <w:marLeft w:val="240"/>
                  <w:marRight w:val="0"/>
                  <w:marTop w:val="75"/>
                  <w:marBottom w:val="0"/>
                  <w:divBdr>
                    <w:top w:val="none" w:sz="0" w:space="0" w:color="auto"/>
                    <w:left w:val="none" w:sz="0" w:space="0" w:color="auto"/>
                    <w:bottom w:val="none" w:sz="0" w:space="0" w:color="auto"/>
                    <w:right w:val="none" w:sz="0" w:space="0" w:color="auto"/>
                  </w:divBdr>
                </w:div>
                <w:div w:id="1610548003">
                  <w:marLeft w:val="240"/>
                  <w:marRight w:val="0"/>
                  <w:marTop w:val="75"/>
                  <w:marBottom w:val="0"/>
                  <w:divBdr>
                    <w:top w:val="none" w:sz="0" w:space="0" w:color="auto"/>
                    <w:left w:val="none" w:sz="0" w:space="0" w:color="auto"/>
                    <w:bottom w:val="none" w:sz="0" w:space="0" w:color="auto"/>
                    <w:right w:val="none" w:sz="0" w:space="0" w:color="auto"/>
                  </w:divBdr>
                </w:div>
                <w:div w:id="1469472259">
                  <w:marLeft w:val="240"/>
                  <w:marRight w:val="0"/>
                  <w:marTop w:val="75"/>
                  <w:marBottom w:val="0"/>
                  <w:divBdr>
                    <w:top w:val="none" w:sz="0" w:space="0" w:color="auto"/>
                    <w:left w:val="none" w:sz="0" w:space="0" w:color="auto"/>
                    <w:bottom w:val="none" w:sz="0" w:space="0" w:color="auto"/>
                    <w:right w:val="none" w:sz="0" w:space="0" w:color="auto"/>
                  </w:divBdr>
                </w:div>
                <w:div w:id="1008599819">
                  <w:marLeft w:val="240"/>
                  <w:marRight w:val="0"/>
                  <w:marTop w:val="75"/>
                  <w:marBottom w:val="0"/>
                  <w:divBdr>
                    <w:top w:val="none" w:sz="0" w:space="0" w:color="auto"/>
                    <w:left w:val="none" w:sz="0" w:space="0" w:color="auto"/>
                    <w:bottom w:val="none" w:sz="0" w:space="0" w:color="auto"/>
                    <w:right w:val="none" w:sz="0" w:space="0" w:color="auto"/>
                  </w:divBdr>
                </w:div>
              </w:divsChild>
            </w:div>
            <w:div w:id="266239008">
              <w:marLeft w:val="0"/>
              <w:marRight w:val="0"/>
              <w:marTop w:val="90"/>
              <w:marBottom w:val="0"/>
              <w:divBdr>
                <w:top w:val="none" w:sz="0" w:space="0" w:color="auto"/>
                <w:left w:val="none" w:sz="0" w:space="0" w:color="auto"/>
                <w:bottom w:val="none" w:sz="0" w:space="0" w:color="auto"/>
                <w:right w:val="none" w:sz="0" w:space="0" w:color="auto"/>
              </w:divBdr>
            </w:div>
            <w:div w:id="2000695177">
              <w:marLeft w:val="0"/>
              <w:marRight w:val="0"/>
              <w:marTop w:val="90"/>
              <w:marBottom w:val="0"/>
              <w:divBdr>
                <w:top w:val="none" w:sz="0" w:space="0" w:color="auto"/>
                <w:left w:val="none" w:sz="0" w:space="0" w:color="auto"/>
                <w:bottom w:val="none" w:sz="0" w:space="0" w:color="auto"/>
                <w:right w:val="none" w:sz="0" w:space="0" w:color="auto"/>
              </w:divBdr>
            </w:div>
            <w:div w:id="657081093">
              <w:marLeft w:val="0"/>
              <w:marRight w:val="0"/>
              <w:marTop w:val="300"/>
              <w:marBottom w:val="75"/>
              <w:divBdr>
                <w:top w:val="none" w:sz="0" w:space="0" w:color="auto"/>
                <w:left w:val="none" w:sz="0" w:space="0" w:color="auto"/>
                <w:bottom w:val="none" w:sz="0" w:space="0" w:color="auto"/>
                <w:right w:val="none" w:sz="0" w:space="0" w:color="auto"/>
              </w:divBdr>
            </w:div>
            <w:div w:id="714817425">
              <w:marLeft w:val="0"/>
              <w:marRight w:val="0"/>
              <w:marTop w:val="30"/>
              <w:marBottom w:val="150"/>
              <w:divBdr>
                <w:top w:val="none" w:sz="0" w:space="0" w:color="auto"/>
                <w:left w:val="none" w:sz="0" w:space="0" w:color="auto"/>
                <w:bottom w:val="none" w:sz="0" w:space="0" w:color="auto"/>
                <w:right w:val="none" w:sz="0" w:space="0" w:color="auto"/>
              </w:divBdr>
            </w:div>
            <w:div w:id="745297035">
              <w:marLeft w:val="0"/>
              <w:marRight w:val="0"/>
              <w:marTop w:val="30"/>
              <w:marBottom w:val="150"/>
              <w:divBdr>
                <w:top w:val="none" w:sz="0" w:space="0" w:color="auto"/>
                <w:left w:val="none" w:sz="0" w:space="0" w:color="auto"/>
                <w:bottom w:val="none" w:sz="0" w:space="0" w:color="auto"/>
                <w:right w:val="none" w:sz="0" w:space="0" w:color="auto"/>
              </w:divBdr>
            </w:div>
            <w:div w:id="1846244484">
              <w:marLeft w:val="0"/>
              <w:marRight w:val="0"/>
              <w:marTop w:val="30"/>
              <w:marBottom w:val="150"/>
              <w:divBdr>
                <w:top w:val="none" w:sz="0" w:space="0" w:color="auto"/>
                <w:left w:val="none" w:sz="0" w:space="0" w:color="auto"/>
                <w:bottom w:val="none" w:sz="0" w:space="0" w:color="auto"/>
                <w:right w:val="none" w:sz="0" w:space="0" w:color="auto"/>
              </w:divBdr>
            </w:div>
            <w:div w:id="455179135">
              <w:marLeft w:val="0"/>
              <w:marRight w:val="0"/>
              <w:marTop w:val="30"/>
              <w:marBottom w:val="150"/>
              <w:divBdr>
                <w:top w:val="none" w:sz="0" w:space="0" w:color="auto"/>
                <w:left w:val="none" w:sz="0" w:space="0" w:color="auto"/>
                <w:bottom w:val="none" w:sz="0" w:space="0" w:color="auto"/>
                <w:right w:val="none" w:sz="0" w:space="0" w:color="auto"/>
              </w:divBdr>
            </w:div>
            <w:div w:id="1616910535">
              <w:marLeft w:val="0"/>
              <w:marRight w:val="0"/>
              <w:marTop w:val="30"/>
              <w:marBottom w:val="150"/>
              <w:divBdr>
                <w:top w:val="none" w:sz="0" w:space="0" w:color="auto"/>
                <w:left w:val="none" w:sz="0" w:space="0" w:color="auto"/>
                <w:bottom w:val="none" w:sz="0" w:space="0" w:color="auto"/>
                <w:right w:val="none" w:sz="0" w:space="0" w:color="auto"/>
              </w:divBdr>
            </w:div>
          </w:divsChild>
        </w:div>
        <w:div w:id="2094859305">
          <w:marLeft w:val="0"/>
          <w:marRight w:val="0"/>
          <w:marTop w:val="300"/>
          <w:marBottom w:val="0"/>
          <w:divBdr>
            <w:top w:val="none" w:sz="0" w:space="0" w:color="auto"/>
            <w:left w:val="none" w:sz="0" w:space="0" w:color="auto"/>
            <w:bottom w:val="none" w:sz="0" w:space="0" w:color="auto"/>
            <w:right w:val="none" w:sz="0" w:space="0" w:color="auto"/>
          </w:divBdr>
          <w:divsChild>
            <w:div w:id="1013535100">
              <w:marLeft w:val="0"/>
              <w:marRight w:val="0"/>
              <w:marTop w:val="0"/>
              <w:marBottom w:val="0"/>
              <w:divBdr>
                <w:top w:val="none" w:sz="0" w:space="0" w:color="auto"/>
                <w:left w:val="none" w:sz="0" w:space="0" w:color="auto"/>
                <w:bottom w:val="none" w:sz="0" w:space="0" w:color="auto"/>
                <w:right w:val="none" w:sz="0" w:space="0" w:color="auto"/>
              </w:divBdr>
            </w:div>
            <w:div w:id="611791802">
              <w:marLeft w:val="0"/>
              <w:marRight w:val="0"/>
              <w:marTop w:val="90"/>
              <w:marBottom w:val="0"/>
              <w:divBdr>
                <w:top w:val="none" w:sz="0" w:space="0" w:color="auto"/>
                <w:left w:val="none" w:sz="0" w:space="0" w:color="auto"/>
                <w:bottom w:val="none" w:sz="0" w:space="0" w:color="auto"/>
                <w:right w:val="none" w:sz="0" w:space="0" w:color="auto"/>
              </w:divBdr>
            </w:div>
          </w:divsChild>
        </w:div>
        <w:div w:id="1353259191">
          <w:marLeft w:val="0"/>
          <w:marRight w:val="0"/>
          <w:marTop w:val="300"/>
          <w:marBottom w:val="0"/>
          <w:divBdr>
            <w:top w:val="none" w:sz="0" w:space="0" w:color="auto"/>
            <w:left w:val="none" w:sz="0" w:space="0" w:color="auto"/>
            <w:bottom w:val="none" w:sz="0" w:space="0" w:color="auto"/>
            <w:right w:val="none" w:sz="0" w:space="0" w:color="auto"/>
          </w:divBdr>
          <w:divsChild>
            <w:div w:id="500586824">
              <w:marLeft w:val="0"/>
              <w:marRight w:val="0"/>
              <w:marTop w:val="0"/>
              <w:marBottom w:val="0"/>
              <w:divBdr>
                <w:top w:val="none" w:sz="0" w:space="0" w:color="auto"/>
                <w:left w:val="none" w:sz="0" w:space="0" w:color="auto"/>
                <w:bottom w:val="none" w:sz="0" w:space="0" w:color="auto"/>
                <w:right w:val="none" w:sz="0" w:space="0" w:color="auto"/>
              </w:divBdr>
            </w:div>
            <w:div w:id="1193149590">
              <w:marLeft w:val="0"/>
              <w:marRight w:val="0"/>
              <w:marTop w:val="90"/>
              <w:marBottom w:val="0"/>
              <w:divBdr>
                <w:top w:val="none" w:sz="0" w:space="0" w:color="auto"/>
                <w:left w:val="none" w:sz="0" w:space="0" w:color="auto"/>
                <w:bottom w:val="none" w:sz="0" w:space="0" w:color="auto"/>
                <w:right w:val="none" w:sz="0" w:space="0" w:color="auto"/>
              </w:divBdr>
              <w:divsChild>
                <w:div w:id="1072854092">
                  <w:marLeft w:val="240"/>
                  <w:marRight w:val="0"/>
                  <w:marTop w:val="75"/>
                  <w:marBottom w:val="0"/>
                  <w:divBdr>
                    <w:top w:val="none" w:sz="0" w:space="0" w:color="auto"/>
                    <w:left w:val="none" w:sz="0" w:space="0" w:color="auto"/>
                    <w:bottom w:val="none" w:sz="0" w:space="0" w:color="auto"/>
                    <w:right w:val="none" w:sz="0" w:space="0" w:color="auto"/>
                  </w:divBdr>
                </w:div>
                <w:div w:id="974867303">
                  <w:marLeft w:val="240"/>
                  <w:marRight w:val="0"/>
                  <w:marTop w:val="75"/>
                  <w:marBottom w:val="0"/>
                  <w:divBdr>
                    <w:top w:val="none" w:sz="0" w:space="0" w:color="auto"/>
                    <w:left w:val="none" w:sz="0" w:space="0" w:color="auto"/>
                    <w:bottom w:val="none" w:sz="0" w:space="0" w:color="auto"/>
                    <w:right w:val="none" w:sz="0" w:space="0" w:color="auto"/>
                  </w:divBdr>
                </w:div>
                <w:div w:id="1139297265">
                  <w:marLeft w:val="240"/>
                  <w:marRight w:val="0"/>
                  <w:marTop w:val="75"/>
                  <w:marBottom w:val="0"/>
                  <w:divBdr>
                    <w:top w:val="none" w:sz="0" w:space="0" w:color="auto"/>
                    <w:left w:val="none" w:sz="0" w:space="0" w:color="auto"/>
                    <w:bottom w:val="none" w:sz="0" w:space="0" w:color="auto"/>
                    <w:right w:val="none" w:sz="0" w:space="0" w:color="auto"/>
                  </w:divBdr>
                </w:div>
                <w:div w:id="2059930776">
                  <w:marLeft w:val="240"/>
                  <w:marRight w:val="0"/>
                  <w:marTop w:val="75"/>
                  <w:marBottom w:val="0"/>
                  <w:divBdr>
                    <w:top w:val="none" w:sz="0" w:space="0" w:color="auto"/>
                    <w:left w:val="none" w:sz="0" w:space="0" w:color="auto"/>
                    <w:bottom w:val="none" w:sz="0" w:space="0" w:color="auto"/>
                    <w:right w:val="none" w:sz="0" w:space="0" w:color="auto"/>
                  </w:divBdr>
                </w:div>
                <w:div w:id="580144147">
                  <w:marLeft w:val="240"/>
                  <w:marRight w:val="0"/>
                  <w:marTop w:val="75"/>
                  <w:marBottom w:val="0"/>
                  <w:divBdr>
                    <w:top w:val="none" w:sz="0" w:space="0" w:color="auto"/>
                    <w:left w:val="none" w:sz="0" w:space="0" w:color="auto"/>
                    <w:bottom w:val="none" w:sz="0" w:space="0" w:color="auto"/>
                    <w:right w:val="none" w:sz="0" w:space="0" w:color="auto"/>
                  </w:divBdr>
                </w:div>
                <w:div w:id="484782804">
                  <w:marLeft w:val="240"/>
                  <w:marRight w:val="0"/>
                  <w:marTop w:val="75"/>
                  <w:marBottom w:val="0"/>
                  <w:divBdr>
                    <w:top w:val="none" w:sz="0" w:space="0" w:color="auto"/>
                    <w:left w:val="none" w:sz="0" w:space="0" w:color="auto"/>
                    <w:bottom w:val="none" w:sz="0" w:space="0" w:color="auto"/>
                    <w:right w:val="none" w:sz="0" w:space="0" w:color="auto"/>
                  </w:divBdr>
                </w:div>
                <w:div w:id="132992761">
                  <w:marLeft w:val="240"/>
                  <w:marRight w:val="0"/>
                  <w:marTop w:val="75"/>
                  <w:marBottom w:val="0"/>
                  <w:divBdr>
                    <w:top w:val="none" w:sz="0" w:space="0" w:color="auto"/>
                    <w:left w:val="none" w:sz="0" w:space="0" w:color="auto"/>
                    <w:bottom w:val="none" w:sz="0" w:space="0" w:color="auto"/>
                    <w:right w:val="none" w:sz="0" w:space="0" w:color="auto"/>
                  </w:divBdr>
                </w:div>
                <w:div w:id="1293055721">
                  <w:marLeft w:val="240"/>
                  <w:marRight w:val="0"/>
                  <w:marTop w:val="75"/>
                  <w:marBottom w:val="0"/>
                  <w:divBdr>
                    <w:top w:val="none" w:sz="0" w:space="0" w:color="auto"/>
                    <w:left w:val="none" w:sz="0" w:space="0" w:color="auto"/>
                    <w:bottom w:val="none" w:sz="0" w:space="0" w:color="auto"/>
                    <w:right w:val="none" w:sz="0" w:space="0" w:color="auto"/>
                  </w:divBdr>
                </w:div>
                <w:div w:id="3096277">
                  <w:marLeft w:val="240"/>
                  <w:marRight w:val="0"/>
                  <w:marTop w:val="75"/>
                  <w:marBottom w:val="0"/>
                  <w:divBdr>
                    <w:top w:val="none" w:sz="0" w:space="0" w:color="auto"/>
                    <w:left w:val="none" w:sz="0" w:space="0" w:color="auto"/>
                    <w:bottom w:val="none" w:sz="0" w:space="0" w:color="auto"/>
                    <w:right w:val="none" w:sz="0" w:space="0" w:color="auto"/>
                  </w:divBdr>
                </w:div>
                <w:div w:id="91244592">
                  <w:marLeft w:val="240"/>
                  <w:marRight w:val="0"/>
                  <w:marTop w:val="75"/>
                  <w:marBottom w:val="0"/>
                  <w:divBdr>
                    <w:top w:val="none" w:sz="0" w:space="0" w:color="auto"/>
                    <w:left w:val="none" w:sz="0" w:space="0" w:color="auto"/>
                    <w:bottom w:val="none" w:sz="0" w:space="0" w:color="auto"/>
                    <w:right w:val="none" w:sz="0" w:space="0" w:color="auto"/>
                  </w:divBdr>
                </w:div>
                <w:div w:id="96871829">
                  <w:marLeft w:val="240"/>
                  <w:marRight w:val="0"/>
                  <w:marTop w:val="75"/>
                  <w:marBottom w:val="0"/>
                  <w:divBdr>
                    <w:top w:val="none" w:sz="0" w:space="0" w:color="auto"/>
                    <w:left w:val="none" w:sz="0" w:space="0" w:color="auto"/>
                    <w:bottom w:val="none" w:sz="0" w:space="0" w:color="auto"/>
                    <w:right w:val="none" w:sz="0" w:space="0" w:color="auto"/>
                  </w:divBdr>
                </w:div>
              </w:divsChild>
            </w:div>
            <w:div w:id="31661552">
              <w:marLeft w:val="0"/>
              <w:marRight w:val="0"/>
              <w:marTop w:val="90"/>
              <w:marBottom w:val="0"/>
              <w:divBdr>
                <w:top w:val="none" w:sz="0" w:space="0" w:color="auto"/>
                <w:left w:val="none" w:sz="0" w:space="0" w:color="auto"/>
                <w:bottom w:val="none" w:sz="0" w:space="0" w:color="auto"/>
                <w:right w:val="none" w:sz="0" w:space="0" w:color="auto"/>
              </w:divBdr>
            </w:div>
            <w:div w:id="93403349">
              <w:marLeft w:val="0"/>
              <w:marRight w:val="0"/>
              <w:marTop w:val="300"/>
              <w:marBottom w:val="75"/>
              <w:divBdr>
                <w:top w:val="none" w:sz="0" w:space="0" w:color="auto"/>
                <w:left w:val="none" w:sz="0" w:space="0" w:color="auto"/>
                <w:bottom w:val="none" w:sz="0" w:space="0" w:color="auto"/>
                <w:right w:val="none" w:sz="0" w:space="0" w:color="auto"/>
              </w:divBdr>
            </w:div>
            <w:div w:id="1478180080">
              <w:marLeft w:val="0"/>
              <w:marRight w:val="0"/>
              <w:marTop w:val="30"/>
              <w:marBottom w:val="150"/>
              <w:divBdr>
                <w:top w:val="none" w:sz="0" w:space="0" w:color="auto"/>
                <w:left w:val="none" w:sz="0" w:space="0" w:color="auto"/>
                <w:bottom w:val="none" w:sz="0" w:space="0" w:color="auto"/>
                <w:right w:val="none" w:sz="0" w:space="0" w:color="auto"/>
              </w:divBdr>
            </w:div>
          </w:divsChild>
        </w:div>
        <w:div w:id="863402614">
          <w:marLeft w:val="0"/>
          <w:marRight w:val="0"/>
          <w:marTop w:val="300"/>
          <w:marBottom w:val="0"/>
          <w:divBdr>
            <w:top w:val="none" w:sz="0" w:space="0" w:color="auto"/>
            <w:left w:val="none" w:sz="0" w:space="0" w:color="auto"/>
            <w:bottom w:val="none" w:sz="0" w:space="0" w:color="auto"/>
            <w:right w:val="none" w:sz="0" w:space="0" w:color="auto"/>
          </w:divBdr>
          <w:divsChild>
            <w:div w:id="898980614">
              <w:marLeft w:val="0"/>
              <w:marRight w:val="0"/>
              <w:marTop w:val="0"/>
              <w:marBottom w:val="0"/>
              <w:divBdr>
                <w:top w:val="none" w:sz="0" w:space="0" w:color="auto"/>
                <w:left w:val="none" w:sz="0" w:space="0" w:color="auto"/>
                <w:bottom w:val="none" w:sz="0" w:space="0" w:color="auto"/>
                <w:right w:val="none" w:sz="0" w:space="0" w:color="auto"/>
              </w:divBdr>
            </w:div>
            <w:div w:id="203560973">
              <w:marLeft w:val="0"/>
              <w:marRight w:val="0"/>
              <w:marTop w:val="90"/>
              <w:marBottom w:val="0"/>
              <w:divBdr>
                <w:top w:val="none" w:sz="0" w:space="0" w:color="auto"/>
                <w:left w:val="none" w:sz="0" w:space="0" w:color="auto"/>
                <w:bottom w:val="none" w:sz="0" w:space="0" w:color="auto"/>
                <w:right w:val="none" w:sz="0" w:space="0" w:color="auto"/>
              </w:divBdr>
              <w:divsChild>
                <w:div w:id="462384031">
                  <w:marLeft w:val="240"/>
                  <w:marRight w:val="0"/>
                  <w:marTop w:val="75"/>
                  <w:marBottom w:val="0"/>
                  <w:divBdr>
                    <w:top w:val="none" w:sz="0" w:space="0" w:color="auto"/>
                    <w:left w:val="none" w:sz="0" w:space="0" w:color="auto"/>
                    <w:bottom w:val="none" w:sz="0" w:space="0" w:color="auto"/>
                    <w:right w:val="none" w:sz="0" w:space="0" w:color="auto"/>
                  </w:divBdr>
                </w:div>
                <w:div w:id="1687511409">
                  <w:marLeft w:val="240"/>
                  <w:marRight w:val="0"/>
                  <w:marTop w:val="75"/>
                  <w:marBottom w:val="0"/>
                  <w:divBdr>
                    <w:top w:val="none" w:sz="0" w:space="0" w:color="auto"/>
                    <w:left w:val="none" w:sz="0" w:space="0" w:color="auto"/>
                    <w:bottom w:val="none" w:sz="0" w:space="0" w:color="auto"/>
                    <w:right w:val="none" w:sz="0" w:space="0" w:color="auto"/>
                  </w:divBdr>
                </w:div>
                <w:div w:id="1466312977">
                  <w:marLeft w:val="240"/>
                  <w:marRight w:val="0"/>
                  <w:marTop w:val="75"/>
                  <w:marBottom w:val="0"/>
                  <w:divBdr>
                    <w:top w:val="none" w:sz="0" w:space="0" w:color="auto"/>
                    <w:left w:val="none" w:sz="0" w:space="0" w:color="auto"/>
                    <w:bottom w:val="none" w:sz="0" w:space="0" w:color="auto"/>
                    <w:right w:val="none" w:sz="0" w:space="0" w:color="auto"/>
                  </w:divBdr>
                </w:div>
              </w:divsChild>
            </w:div>
          </w:divsChild>
        </w:div>
        <w:div w:id="779034537">
          <w:marLeft w:val="0"/>
          <w:marRight w:val="0"/>
          <w:marTop w:val="300"/>
          <w:marBottom w:val="0"/>
          <w:divBdr>
            <w:top w:val="none" w:sz="0" w:space="0" w:color="auto"/>
            <w:left w:val="none" w:sz="0" w:space="0" w:color="auto"/>
            <w:bottom w:val="none" w:sz="0" w:space="0" w:color="auto"/>
            <w:right w:val="none" w:sz="0" w:space="0" w:color="auto"/>
          </w:divBdr>
          <w:divsChild>
            <w:div w:id="1005594149">
              <w:marLeft w:val="0"/>
              <w:marRight w:val="0"/>
              <w:marTop w:val="0"/>
              <w:marBottom w:val="0"/>
              <w:divBdr>
                <w:top w:val="none" w:sz="0" w:space="0" w:color="auto"/>
                <w:left w:val="none" w:sz="0" w:space="0" w:color="auto"/>
                <w:bottom w:val="none" w:sz="0" w:space="0" w:color="auto"/>
                <w:right w:val="none" w:sz="0" w:space="0" w:color="auto"/>
              </w:divBdr>
            </w:div>
            <w:div w:id="1532107724">
              <w:marLeft w:val="0"/>
              <w:marRight w:val="0"/>
              <w:marTop w:val="90"/>
              <w:marBottom w:val="0"/>
              <w:divBdr>
                <w:top w:val="none" w:sz="0" w:space="0" w:color="auto"/>
                <w:left w:val="none" w:sz="0" w:space="0" w:color="auto"/>
                <w:bottom w:val="none" w:sz="0" w:space="0" w:color="auto"/>
                <w:right w:val="none" w:sz="0" w:space="0" w:color="auto"/>
              </w:divBdr>
            </w:div>
            <w:div w:id="1602950853">
              <w:marLeft w:val="0"/>
              <w:marRight w:val="0"/>
              <w:marTop w:val="90"/>
              <w:marBottom w:val="0"/>
              <w:divBdr>
                <w:top w:val="none" w:sz="0" w:space="0" w:color="auto"/>
                <w:left w:val="none" w:sz="0" w:space="0" w:color="auto"/>
                <w:bottom w:val="none" w:sz="0" w:space="0" w:color="auto"/>
                <w:right w:val="none" w:sz="0" w:space="0" w:color="auto"/>
              </w:divBdr>
            </w:div>
            <w:div w:id="691952358">
              <w:marLeft w:val="0"/>
              <w:marRight w:val="0"/>
              <w:marTop w:val="90"/>
              <w:marBottom w:val="0"/>
              <w:divBdr>
                <w:top w:val="none" w:sz="0" w:space="0" w:color="auto"/>
                <w:left w:val="none" w:sz="0" w:space="0" w:color="auto"/>
                <w:bottom w:val="none" w:sz="0" w:space="0" w:color="auto"/>
                <w:right w:val="none" w:sz="0" w:space="0" w:color="auto"/>
              </w:divBdr>
              <w:divsChild>
                <w:div w:id="191842484">
                  <w:marLeft w:val="240"/>
                  <w:marRight w:val="0"/>
                  <w:marTop w:val="75"/>
                  <w:marBottom w:val="0"/>
                  <w:divBdr>
                    <w:top w:val="none" w:sz="0" w:space="0" w:color="auto"/>
                    <w:left w:val="none" w:sz="0" w:space="0" w:color="auto"/>
                    <w:bottom w:val="none" w:sz="0" w:space="0" w:color="auto"/>
                    <w:right w:val="none" w:sz="0" w:space="0" w:color="auto"/>
                  </w:divBdr>
                </w:div>
                <w:div w:id="1043751075">
                  <w:marLeft w:val="240"/>
                  <w:marRight w:val="0"/>
                  <w:marTop w:val="75"/>
                  <w:marBottom w:val="0"/>
                  <w:divBdr>
                    <w:top w:val="none" w:sz="0" w:space="0" w:color="auto"/>
                    <w:left w:val="none" w:sz="0" w:space="0" w:color="auto"/>
                    <w:bottom w:val="none" w:sz="0" w:space="0" w:color="auto"/>
                    <w:right w:val="none" w:sz="0" w:space="0" w:color="auto"/>
                  </w:divBdr>
                </w:div>
                <w:div w:id="1951158325">
                  <w:marLeft w:val="240"/>
                  <w:marRight w:val="0"/>
                  <w:marTop w:val="75"/>
                  <w:marBottom w:val="0"/>
                  <w:divBdr>
                    <w:top w:val="none" w:sz="0" w:space="0" w:color="auto"/>
                    <w:left w:val="none" w:sz="0" w:space="0" w:color="auto"/>
                    <w:bottom w:val="none" w:sz="0" w:space="0" w:color="auto"/>
                    <w:right w:val="none" w:sz="0" w:space="0" w:color="auto"/>
                  </w:divBdr>
                </w:div>
                <w:div w:id="875848735">
                  <w:marLeft w:val="240"/>
                  <w:marRight w:val="0"/>
                  <w:marTop w:val="75"/>
                  <w:marBottom w:val="0"/>
                  <w:divBdr>
                    <w:top w:val="none" w:sz="0" w:space="0" w:color="auto"/>
                    <w:left w:val="none" w:sz="0" w:space="0" w:color="auto"/>
                    <w:bottom w:val="none" w:sz="0" w:space="0" w:color="auto"/>
                    <w:right w:val="none" w:sz="0" w:space="0" w:color="auto"/>
                  </w:divBdr>
                </w:div>
              </w:divsChild>
            </w:div>
            <w:div w:id="1469856538">
              <w:marLeft w:val="0"/>
              <w:marRight w:val="0"/>
              <w:marTop w:val="90"/>
              <w:marBottom w:val="0"/>
              <w:divBdr>
                <w:top w:val="none" w:sz="0" w:space="0" w:color="auto"/>
                <w:left w:val="none" w:sz="0" w:space="0" w:color="auto"/>
                <w:bottom w:val="none" w:sz="0" w:space="0" w:color="auto"/>
                <w:right w:val="none" w:sz="0" w:space="0" w:color="auto"/>
              </w:divBdr>
            </w:div>
            <w:div w:id="2037122593">
              <w:marLeft w:val="0"/>
              <w:marRight w:val="0"/>
              <w:marTop w:val="90"/>
              <w:marBottom w:val="0"/>
              <w:divBdr>
                <w:top w:val="none" w:sz="0" w:space="0" w:color="auto"/>
                <w:left w:val="none" w:sz="0" w:space="0" w:color="auto"/>
                <w:bottom w:val="none" w:sz="0" w:space="0" w:color="auto"/>
                <w:right w:val="none" w:sz="0" w:space="0" w:color="auto"/>
              </w:divBdr>
            </w:div>
          </w:divsChild>
        </w:div>
        <w:div w:id="1047879400">
          <w:marLeft w:val="0"/>
          <w:marRight w:val="0"/>
          <w:marTop w:val="300"/>
          <w:marBottom w:val="0"/>
          <w:divBdr>
            <w:top w:val="none" w:sz="0" w:space="0" w:color="auto"/>
            <w:left w:val="none" w:sz="0" w:space="0" w:color="auto"/>
            <w:bottom w:val="none" w:sz="0" w:space="0" w:color="auto"/>
            <w:right w:val="none" w:sz="0" w:space="0" w:color="auto"/>
          </w:divBdr>
          <w:divsChild>
            <w:div w:id="769862134">
              <w:marLeft w:val="0"/>
              <w:marRight w:val="0"/>
              <w:marTop w:val="0"/>
              <w:marBottom w:val="0"/>
              <w:divBdr>
                <w:top w:val="none" w:sz="0" w:space="0" w:color="auto"/>
                <w:left w:val="none" w:sz="0" w:space="0" w:color="auto"/>
                <w:bottom w:val="none" w:sz="0" w:space="0" w:color="auto"/>
                <w:right w:val="none" w:sz="0" w:space="0" w:color="auto"/>
              </w:divBdr>
            </w:div>
            <w:div w:id="714737131">
              <w:marLeft w:val="0"/>
              <w:marRight w:val="0"/>
              <w:marTop w:val="90"/>
              <w:marBottom w:val="0"/>
              <w:divBdr>
                <w:top w:val="none" w:sz="0" w:space="0" w:color="auto"/>
                <w:left w:val="none" w:sz="0" w:space="0" w:color="auto"/>
                <w:bottom w:val="none" w:sz="0" w:space="0" w:color="auto"/>
                <w:right w:val="none" w:sz="0" w:space="0" w:color="auto"/>
              </w:divBdr>
              <w:divsChild>
                <w:div w:id="1580165886">
                  <w:marLeft w:val="0"/>
                  <w:marRight w:val="0"/>
                  <w:marTop w:val="0"/>
                  <w:marBottom w:val="0"/>
                  <w:divBdr>
                    <w:top w:val="none" w:sz="0" w:space="0" w:color="auto"/>
                    <w:left w:val="none" w:sz="0" w:space="0" w:color="auto"/>
                    <w:bottom w:val="none" w:sz="0" w:space="0" w:color="auto"/>
                    <w:right w:val="none" w:sz="0" w:space="0" w:color="auto"/>
                  </w:divBdr>
                </w:div>
              </w:divsChild>
            </w:div>
            <w:div w:id="234317573">
              <w:marLeft w:val="0"/>
              <w:marRight w:val="0"/>
              <w:marTop w:val="90"/>
              <w:marBottom w:val="0"/>
              <w:divBdr>
                <w:top w:val="none" w:sz="0" w:space="0" w:color="auto"/>
                <w:left w:val="none" w:sz="0" w:space="0" w:color="auto"/>
                <w:bottom w:val="none" w:sz="0" w:space="0" w:color="auto"/>
                <w:right w:val="none" w:sz="0" w:space="0" w:color="auto"/>
              </w:divBdr>
            </w:div>
            <w:div w:id="161906740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505366449">
      <w:bodyDiv w:val="1"/>
      <w:marLeft w:val="0"/>
      <w:marRight w:val="0"/>
      <w:marTop w:val="0"/>
      <w:marBottom w:val="0"/>
      <w:divBdr>
        <w:top w:val="none" w:sz="0" w:space="0" w:color="auto"/>
        <w:left w:val="none" w:sz="0" w:space="0" w:color="auto"/>
        <w:bottom w:val="none" w:sz="0" w:space="0" w:color="auto"/>
        <w:right w:val="none" w:sz="0" w:space="0" w:color="auto"/>
      </w:divBdr>
    </w:div>
    <w:div w:id="528835997">
      <w:bodyDiv w:val="1"/>
      <w:marLeft w:val="0"/>
      <w:marRight w:val="0"/>
      <w:marTop w:val="0"/>
      <w:marBottom w:val="0"/>
      <w:divBdr>
        <w:top w:val="none" w:sz="0" w:space="0" w:color="auto"/>
        <w:left w:val="none" w:sz="0" w:space="0" w:color="auto"/>
        <w:bottom w:val="none" w:sz="0" w:space="0" w:color="auto"/>
        <w:right w:val="none" w:sz="0" w:space="0" w:color="auto"/>
      </w:divBdr>
    </w:div>
    <w:div w:id="756559476">
      <w:bodyDiv w:val="1"/>
      <w:marLeft w:val="0"/>
      <w:marRight w:val="0"/>
      <w:marTop w:val="0"/>
      <w:marBottom w:val="0"/>
      <w:divBdr>
        <w:top w:val="none" w:sz="0" w:space="0" w:color="auto"/>
        <w:left w:val="none" w:sz="0" w:space="0" w:color="auto"/>
        <w:bottom w:val="none" w:sz="0" w:space="0" w:color="auto"/>
        <w:right w:val="none" w:sz="0" w:space="0" w:color="auto"/>
      </w:divBdr>
    </w:div>
    <w:div w:id="821704006">
      <w:bodyDiv w:val="1"/>
      <w:marLeft w:val="0"/>
      <w:marRight w:val="0"/>
      <w:marTop w:val="0"/>
      <w:marBottom w:val="0"/>
      <w:divBdr>
        <w:top w:val="none" w:sz="0" w:space="0" w:color="auto"/>
        <w:left w:val="none" w:sz="0" w:space="0" w:color="auto"/>
        <w:bottom w:val="none" w:sz="0" w:space="0" w:color="auto"/>
        <w:right w:val="none" w:sz="0" w:space="0" w:color="auto"/>
      </w:divBdr>
      <w:divsChild>
        <w:div w:id="185869661">
          <w:marLeft w:val="0"/>
          <w:marRight w:val="0"/>
          <w:marTop w:val="0"/>
          <w:marBottom w:val="0"/>
          <w:divBdr>
            <w:top w:val="none" w:sz="0" w:space="0" w:color="auto"/>
            <w:left w:val="none" w:sz="0" w:space="0" w:color="auto"/>
            <w:bottom w:val="none" w:sz="0" w:space="0" w:color="auto"/>
            <w:right w:val="none" w:sz="0" w:space="0" w:color="auto"/>
          </w:divBdr>
        </w:div>
        <w:div w:id="1286934464">
          <w:marLeft w:val="0"/>
          <w:marRight w:val="0"/>
          <w:marTop w:val="0"/>
          <w:marBottom w:val="0"/>
          <w:divBdr>
            <w:top w:val="none" w:sz="0" w:space="0" w:color="auto"/>
            <w:left w:val="none" w:sz="0" w:space="0" w:color="auto"/>
            <w:bottom w:val="none" w:sz="0" w:space="0" w:color="auto"/>
            <w:right w:val="none" w:sz="0" w:space="0" w:color="auto"/>
          </w:divBdr>
        </w:div>
        <w:div w:id="1061833859">
          <w:marLeft w:val="0"/>
          <w:marRight w:val="0"/>
          <w:marTop w:val="0"/>
          <w:marBottom w:val="0"/>
          <w:divBdr>
            <w:top w:val="none" w:sz="0" w:space="0" w:color="auto"/>
            <w:left w:val="none" w:sz="0" w:space="0" w:color="auto"/>
            <w:bottom w:val="none" w:sz="0" w:space="0" w:color="auto"/>
            <w:right w:val="none" w:sz="0" w:space="0" w:color="auto"/>
          </w:divBdr>
        </w:div>
        <w:div w:id="1501430852">
          <w:marLeft w:val="0"/>
          <w:marRight w:val="0"/>
          <w:marTop w:val="0"/>
          <w:marBottom w:val="0"/>
          <w:divBdr>
            <w:top w:val="none" w:sz="0" w:space="0" w:color="auto"/>
            <w:left w:val="none" w:sz="0" w:space="0" w:color="auto"/>
            <w:bottom w:val="none" w:sz="0" w:space="0" w:color="auto"/>
            <w:right w:val="none" w:sz="0" w:space="0" w:color="auto"/>
          </w:divBdr>
        </w:div>
      </w:divsChild>
    </w:div>
    <w:div w:id="904997373">
      <w:bodyDiv w:val="1"/>
      <w:marLeft w:val="0"/>
      <w:marRight w:val="0"/>
      <w:marTop w:val="0"/>
      <w:marBottom w:val="0"/>
      <w:divBdr>
        <w:top w:val="none" w:sz="0" w:space="0" w:color="auto"/>
        <w:left w:val="none" w:sz="0" w:space="0" w:color="auto"/>
        <w:bottom w:val="none" w:sz="0" w:space="0" w:color="auto"/>
        <w:right w:val="none" w:sz="0" w:space="0" w:color="auto"/>
      </w:divBdr>
    </w:div>
    <w:div w:id="1094938731">
      <w:bodyDiv w:val="1"/>
      <w:marLeft w:val="0"/>
      <w:marRight w:val="0"/>
      <w:marTop w:val="0"/>
      <w:marBottom w:val="0"/>
      <w:divBdr>
        <w:top w:val="none" w:sz="0" w:space="0" w:color="auto"/>
        <w:left w:val="none" w:sz="0" w:space="0" w:color="auto"/>
        <w:bottom w:val="none" w:sz="0" w:space="0" w:color="auto"/>
        <w:right w:val="none" w:sz="0" w:space="0" w:color="auto"/>
      </w:divBdr>
    </w:div>
    <w:div w:id="1256784424">
      <w:bodyDiv w:val="1"/>
      <w:marLeft w:val="0"/>
      <w:marRight w:val="0"/>
      <w:marTop w:val="0"/>
      <w:marBottom w:val="0"/>
      <w:divBdr>
        <w:top w:val="none" w:sz="0" w:space="0" w:color="auto"/>
        <w:left w:val="none" w:sz="0" w:space="0" w:color="auto"/>
        <w:bottom w:val="none" w:sz="0" w:space="0" w:color="auto"/>
        <w:right w:val="none" w:sz="0" w:space="0" w:color="auto"/>
      </w:divBdr>
    </w:div>
    <w:div w:id="1436628838">
      <w:bodyDiv w:val="1"/>
      <w:marLeft w:val="0"/>
      <w:marRight w:val="0"/>
      <w:marTop w:val="0"/>
      <w:marBottom w:val="0"/>
      <w:divBdr>
        <w:top w:val="none" w:sz="0" w:space="0" w:color="auto"/>
        <w:left w:val="none" w:sz="0" w:space="0" w:color="auto"/>
        <w:bottom w:val="none" w:sz="0" w:space="0" w:color="auto"/>
        <w:right w:val="none" w:sz="0" w:space="0" w:color="auto"/>
      </w:divBdr>
      <w:divsChild>
        <w:div w:id="2002080887">
          <w:marLeft w:val="0"/>
          <w:marRight w:val="0"/>
          <w:marTop w:val="0"/>
          <w:marBottom w:val="150"/>
          <w:divBdr>
            <w:top w:val="none" w:sz="0" w:space="0" w:color="auto"/>
            <w:left w:val="none" w:sz="0" w:space="0" w:color="auto"/>
            <w:bottom w:val="none" w:sz="0" w:space="0" w:color="auto"/>
            <w:right w:val="none" w:sz="0" w:space="0" w:color="auto"/>
          </w:divBdr>
          <w:divsChild>
            <w:div w:id="475149716">
              <w:marLeft w:val="0"/>
              <w:marRight w:val="0"/>
              <w:marTop w:val="0"/>
              <w:marBottom w:val="0"/>
              <w:divBdr>
                <w:top w:val="none" w:sz="0" w:space="0" w:color="auto"/>
                <w:left w:val="none" w:sz="0" w:space="0" w:color="auto"/>
                <w:bottom w:val="none" w:sz="0" w:space="0" w:color="auto"/>
                <w:right w:val="none" w:sz="0" w:space="0" w:color="auto"/>
              </w:divBdr>
            </w:div>
          </w:divsChild>
        </w:div>
        <w:div w:id="1918131178">
          <w:marLeft w:val="0"/>
          <w:marRight w:val="0"/>
          <w:marTop w:val="0"/>
          <w:marBottom w:val="150"/>
          <w:divBdr>
            <w:top w:val="none" w:sz="0" w:space="0" w:color="auto"/>
            <w:left w:val="none" w:sz="0" w:space="0" w:color="auto"/>
            <w:bottom w:val="none" w:sz="0" w:space="0" w:color="auto"/>
            <w:right w:val="none" w:sz="0" w:space="0" w:color="auto"/>
          </w:divBdr>
        </w:div>
        <w:div w:id="1129473013">
          <w:marLeft w:val="0"/>
          <w:marRight w:val="0"/>
          <w:marTop w:val="0"/>
          <w:marBottom w:val="150"/>
          <w:divBdr>
            <w:top w:val="none" w:sz="0" w:space="0" w:color="auto"/>
            <w:left w:val="none" w:sz="0" w:space="0" w:color="auto"/>
            <w:bottom w:val="none" w:sz="0" w:space="0" w:color="auto"/>
            <w:right w:val="none" w:sz="0" w:space="0" w:color="auto"/>
          </w:divBdr>
        </w:div>
      </w:divsChild>
    </w:div>
    <w:div w:id="1529638497">
      <w:bodyDiv w:val="1"/>
      <w:marLeft w:val="0"/>
      <w:marRight w:val="0"/>
      <w:marTop w:val="0"/>
      <w:marBottom w:val="0"/>
      <w:divBdr>
        <w:top w:val="none" w:sz="0" w:space="0" w:color="auto"/>
        <w:left w:val="none" w:sz="0" w:space="0" w:color="auto"/>
        <w:bottom w:val="none" w:sz="0" w:space="0" w:color="auto"/>
        <w:right w:val="none" w:sz="0" w:space="0" w:color="auto"/>
      </w:divBdr>
    </w:div>
    <w:div w:id="1589269514">
      <w:bodyDiv w:val="1"/>
      <w:marLeft w:val="0"/>
      <w:marRight w:val="0"/>
      <w:marTop w:val="0"/>
      <w:marBottom w:val="0"/>
      <w:divBdr>
        <w:top w:val="none" w:sz="0" w:space="0" w:color="auto"/>
        <w:left w:val="none" w:sz="0" w:space="0" w:color="auto"/>
        <w:bottom w:val="none" w:sz="0" w:space="0" w:color="auto"/>
        <w:right w:val="none" w:sz="0" w:space="0" w:color="auto"/>
      </w:divBdr>
      <w:divsChild>
        <w:div w:id="1505630238">
          <w:marLeft w:val="0"/>
          <w:marRight w:val="0"/>
          <w:marTop w:val="0"/>
          <w:marBottom w:val="0"/>
          <w:divBdr>
            <w:top w:val="none" w:sz="0" w:space="0" w:color="auto"/>
            <w:left w:val="none" w:sz="0" w:space="0" w:color="auto"/>
            <w:bottom w:val="none" w:sz="0" w:space="0" w:color="auto"/>
            <w:right w:val="none" w:sz="0" w:space="0" w:color="auto"/>
          </w:divBdr>
        </w:div>
        <w:div w:id="1856456332">
          <w:marLeft w:val="0"/>
          <w:marRight w:val="0"/>
          <w:marTop w:val="0"/>
          <w:marBottom w:val="0"/>
          <w:divBdr>
            <w:top w:val="none" w:sz="0" w:space="0" w:color="auto"/>
            <w:left w:val="none" w:sz="0" w:space="0" w:color="auto"/>
            <w:bottom w:val="none" w:sz="0" w:space="0" w:color="auto"/>
            <w:right w:val="none" w:sz="0" w:space="0" w:color="auto"/>
          </w:divBdr>
        </w:div>
        <w:div w:id="1266309142">
          <w:marLeft w:val="0"/>
          <w:marRight w:val="0"/>
          <w:marTop w:val="0"/>
          <w:marBottom w:val="0"/>
          <w:divBdr>
            <w:top w:val="none" w:sz="0" w:space="0" w:color="auto"/>
            <w:left w:val="none" w:sz="0" w:space="0" w:color="auto"/>
            <w:bottom w:val="none" w:sz="0" w:space="0" w:color="auto"/>
            <w:right w:val="none" w:sz="0" w:space="0" w:color="auto"/>
          </w:divBdr>
        </w:div>
      </w:divsChild>
    </w:div>
    <w:div w:id="1734040693">
      <w:bodyDiv w:val="1"/>
      <w:marLeft w:val="0"/>
      <w:marRight w:val="0"/>
      <w:marTop w:val="0"/>
      <w:marBottom w:val="0"/>
      <w:divBdr>
        <w:top w:val="none" w:sz="0" w:space="0" w:color="auto"/>
        <w:left w:val="none" w:sz="0" w:space="0" w:color="auto"/>
        <w:bottom w:val="none" w:sz="0" w:space="0" w:color="auto"/>
        <w:right w:val="none" w:sz="0" w:space="0" w:color="auto"/>
      </w:divBdr>
      <w:divsChild>
        <w:div w:id="1048139325">
          <w:marLeft w:val="0"/>
          <w:marRight w:val="0"/>
          <w:marTop w:val="0"/>
          <w:marBottom w:val="0"/>
          <w:divBdr>
            <w:top w:val="none" w:sz="0" w:space="0" w:color="auto"/>
            <w:left w:val="none" w:sz="0" w:space="0" w:color="auto"/>
            <w:bottom w:val="none" w:sz="0" w:space="0" w:color="auto"/>
            <w:right w:val="none" w:sz="0" w:space="0" w:color="auto"/>
          </w:divBdr>
        </w:div>
        <w:div w:id="100805448">
          <w:marLeft w:val="0"/>
          <w:marRight w:val="0"/>
          <w:marTop w:val="0"/>
          <w:marBottom w:val="0"/>
          <w:divBdr>
            <w:top w:val="none" w:sz="0" w:space="0" w:color="auto"/>
            <w:left w:val="none" w:sz="0" w:space="0" w:color="auto"/>
            <w:bottom w:val="none" w:sz="0" w:space="0" w:color="auto"/>
            <w:right w:val="none" w:sz="0" w:space="0" w:color="auto"/>
          </w:divBdr>
        </w:div>
        <w:div w:id="1601110049">
          <w:marLeft w:val="0"/>
          <w:marRight w:val="0"/>
          <w:marTop w:val="0"/>
          <w:marBottom w:val="0"/>
          <w:divBdr>
            <w:top w:val="none" w:sz="0" w:space="0" w:color="auto"/>
            <w:left w:val="none" w:sz="0" w:space="0" w:color="auto"/>
            <w:bottom w:val="none" w:sz="0" w:space="0" w:color="auto"/>
            <w:right w:val="none" w:sz="0" w:space="0" w:color="auto"/>
          </w:divBdr>
        </w:div>
      </w:divsChild>
    </w:div>
    <w:div w:id="2042706684">
      <w:bodyDiv w:val="1"/>
      <w:marLeft w:val="0"/>
      <w:marRight w:val="0"/>
      <w:marTop w:val="0"/>
      <w:marBottom w:val="0"/>
      <w:divBdr>
        <w:top w:val="none" w:sz="0" w:space="0" w:color="auto"/>
        <w:left w:val="none" w:sz="0" w:space="0" w:color="auto"/>
        <w:bottom w:val="none" w:sz="0" w:space="0" w:color="auto"/>
        <w:right w:val="none" w:sz="0" w:space="0" w:color="auto"/>
      </w:divBdr>
      <w:divsChild>
        <w:div w:id="1421217762">
          <w:marLeft w:val="0"/>
          <w:marRight w:val="0"/>
          <w:marTop w:val="0"/>
          <w:marBottom w:val="0"/>
          <w:divBdr>
            <w:top w:val="none" w:sz="0" w:space="0" w:color="auto"/>
            <w:left w:val="none" w:sz="0" w:space="0" w:color="auto"/>
            <w:bottom w:val="none" w:sz="0" w:space="0" w:color="auto"/>
            <w:right w:val="none" w:sz="0" w:space="0" w:color="auto"/>
          </w:divBdr>
        </w:div>
        <w:div w:id="1657686676">
          <w:marLeft w:val="0"/>
          <w:marRight w:val="0"/>
          <w:marTop w:val="0"/>
          <w:marBottom w:val="0"/>
          <w:divBdr>
            <w:top w:val="none" w:sz="0" w:space="0" w:color="auto"/>
            <w:left w:val="none" w:sz="0" w:space="0" w:color="auto"/>
            <w:bottom w:val="none" w:sz="0" w:space="0" w:color="auto"/>
            <w:right w:val="none" w:sz="0" w:space="0" w:color="auto"/>
          </w:divBdr>
        </w:div>
        <w:div w:id="1942106906">
          <w:marLeft w:val="0"/>
          <w:marRight w:val="0"/>
          <w:marTop w:val="0"/>
          <w:marBottom w:val="0"/>
          <w:divBdr>
            <w:top w:val="none" w:sz="0" w:space="0" w:color="auto"/>
            <w:left w:val="none" w:sz="0" w:space="0" w:color="auto"/>
            <w:bottom w:val="none" w:sz="0" w:space="0" w:color="auto"/>
            <w:right w:val="none" w:sz="0" w:space="0" w:color="auto"/>
          </w:divBdr>
        </w:div>
      </w:divsChild>
    </w:div>
    <w:div w:id="208529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voro.gov.it/temi-e-priorita/poverta-ed-esclusione-sociale/focus-on/Reddito-di-Inclusione-ReI/Documents/REI-CALCOLO-BENEFICIO.pdf" TargetMode="External"/><Relationship Id="rId3" Type="http://schemas.openxmlformats.org/officeDocument/2006/relationships/settings" Target="settings.xml"/><Relationship Id="rId7" Type="http://schemas.openxmlformats.org/officeDocument/2006/relationships/hyperlink" Target="https://www.inps.it/nuovoportaleinps/default.aspx?sPathID=%3b0%3b49652%3b&amp;lastMenu=49652&amp;iMenu=1&amp;sURL=https%3a%2f%2fwww.inps.it%2fbussola%2fVisualizzaDoc.aspx%3fsVirtualURL%3d%2fCircolari%2fCircolare%2520numero%252076%2520del%252016-4-2007.htm&amp;RedirectForzato=Tru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ps.it/nuovoportaleinps/default.aspx?sPathID=%3b0%3b50059%3b&amp;lastMenu=50059&amp;iMenu=1&amp;sURL=https%3a%2f%2fwww.inps.it%2fbussola%2fVisualizzaDoc.aspx%3fsVirtualURL%3d%2fCircolari%2fCircolare%2520numero%2520174%2520del%252023-11-2017.htm&amp;RedirectForzato=True" TargetMode="External"/><Relationship Id="rId11" Type="http://schemas.openxmlformats.org/officeDocument/2006/relationships/fontTable" Target="fontTable.xml"/><Relationship Id="rId5" Type="http://schemas.openxmlformats.org/officeDocument/2006/relationships/hyperlink" Target="https://www.inps.it/nuovoportaleinps/default.aspx?sPathID=%3b0%3b50059%3b&amp;lastMenu=50059&amp;iMenu=1&amp;sURL=https%3a%2f%2fwww.inps.it%2fbussola%2fVisualizzaDoc.aspx%3fsVirtualURL%3d%2fCircolari%2fCircolare%2520numero%2520142%2520del%252029-07-2015.htm&amp;RedirectForzato=True" TargetMode="External"/><Relationship Id="rId10" Type="http://schemas.openxmlformats.org/officeDocument/2006/relationships/hyperlink" Target="http://www.lavoro.gov.it/temi-e-priorita/poverta-ed-esclusione-sociale/focus-on/Sostegno-per-inclusione-attiva-SIA/Pagine/default.aspx" TargetMode="External"/><Relationship Id="rId4" Type="http://schemas.openxmlformats.org/officeDocument/2006/relationships/webSettings" Target="webSettings.xml"/><Relationship Id="rId9" Type="http://schemas.openxmlformats.org/officeDocument/2006/relationships/hyperlink" Target="http://www.lavoro.gov.it/temi-e-priorita/europa-e-fondi-europei/focus-on/pon-Inclusione/Pagine/default.asp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1</Pages>
  <Words>14634</Words>
  <Characters>83414</Characters>
  <Application>Microsoft Office Word</Application>
  <DocSecurity>0</DocSecurity>
  <Lines>695</Lines>
  <Paragraphs>195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2019-02-17T09:21:00Z</dcterms:created>
  <dcterms:modified xsi:type="dcterms:W3CDTF">2019-02-22T19:50:00Z</dcterms:modified>
</cp:coreProperties>
</file>