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A35E6" w:rsidRDefault="004A35E6" w:rsidP="004A35E6">
      <w:pPr>
        <w:pStyle w:val="bodytext"/>
        <w:shd w:val="clear" w:color="auto" w:fill="FFFFFF"/>
        <w:jc w:val="both"/>
        <w:rPr>
          <w:rFonts w:ascii="Verdana" w:hAnsi="Verdana"/>
          <w:color w:val="4C4C4C"/>
          <w:sz w:val="20"/>
          <w:szCs w:val="20"/>
        </w:rPr>
      </w:pPr>
      <w:r>
        <w:rPr>
          <w:rFonts w:ascii="Verdana" w:hAnsi="Verdana"/>
          <w:color w:val="4C4C4C"/>
          <w:sz w:val="20"/>
          <w:szCs w:val="20"/>
        </w:rPr>
        <w:t>Il nuovo Titolo III del dlgs 118/11</w:t>
      </w:r>
      <w:hyperlink r:id="rId7" w:tooltip="Leggi il provvedimento" w:history="1"/>
      <w:r>
        <w:rPr>
          <w:rFonts w:ascii="Verdana" w:hAnsi="Verdana"/>
          <w:color w:val="4C4C4C"/>
          <w:sz w:val="20"/>
          <w:szCs w:val="20"/>
        </w:rPr>
        <w:t>  disciplina l’</w:t>
      </w:r>
      <w:r>
        <w:rPr>
          <w:rStyle w:val="Enfasigrassetto"/>
          <w:rFonts w:ascii="Verdana" w:hAnsi="Verdana"/>
          <w:color w:val="4C4C4C"/>
          <w:sz w:val="20"/>
          <w:szCs w:val="20"/>
        </w:rPr>
        <w:t>ordinamento contabile delle Regioni a statuto ordinario</w:t>
      </w:r>
      <w:r>
        <w:rPr>
          <w:rFonts w:ascii="Verdana" w:hAnsi="Verdana"/>
          <w:color w:val="4C4C4C"/>
          <w:sz w:val="20"/>
          <w:szCs w:val="20"/>
        </w:rPr>
        <w:t>.</w:t>
      </w:r>
    </w:p>
    <w:p w:rsidR="004A35E6" w:rsidRDefault="004A35E6" w:rsidP="004A35E6">
      <w:pPr>
        <w:pStyle w:val="bodytext"/>
        <w:shd w:val="clear" w:color="auto" w:fill="FFFFFF"/>
        <w:jc w:val="both"/>
        <w:rPr>
          <w:rFonts w:ascii="Verdana" w:hAnsi="Verdana"/>
          <w:color w:val="4C4C4C"/>
          <w:sz w:val="20"/>
          <w:szCs w:val="20"/>
        </w:rPr>
      </w:pPr>
      <w:r>
        <w:rPr>
          <w:rFonts w:ascii="Verdana" w:hAnsi="Verdana"/>
          <w:color w:val="4C4C4C"/>
          <w:sz w:val="20"/>
          <w:szCs w:val="20"/>
        </w:rPr>
        <w:t>La necessità di disciplinare in maniera uniforme l'ordinamento contabile dello Stato e degli enti territoriali è resa ancora più evidente dal fatto che </w:t>
      </w:r>
      <w:r>
        <w:rPr>
          <w:rStyle w:val="Enfasigrassetto"/>
          <w:rFonts w:ascii="Verdana" w:hAnsi="Verdana"/>
          <w:color w:val="4C4C4C"/>
          <w:sz w:val="20"/>
          <w:szCs w:val="20"/>
        </w:rPr>
        <w:t>la finanza regionale concorre con la finanza statale e locale al perseguimento degli obiettivi di convergenza e di stabilità derivanti dall'appartenenza dell'Italia all'Unione europea</w:t>
      </w:r>
      <w:r>
        <w:rPr>
          <w:rFonts w:ascii="Verdana" w:hAnsi="Verdana"/>
          <w:color w:val="4C4C4C"/>
          <w:sz w:val="20"/>
          <w:szCs w:val="20"/>
        </w:rPr>
        <w:t> e opera in coerenza con i vincoli che ne derivano.</w:t>
      </w:r>
    </w:p>
    <w:p w:rsidR="004A35E6" w:rsidRDefault="004A35E6" w:rsidP="004A35E6">
      <w:pPr>
        <w:pStyle w:val="bodytext"/>
        <w:shd w:val="clear" w:color="auto" w:fill="FFFFFF"/>
        <w:jc w:val="both"/>
        <w:rPr>
          <w:rFonts w:ascii="Verdana" w:hAnsi="Verdana"/>
          <w:color w:val="4C4C4C"/>
          <w:sz w:val="20"/>
          <w:szCs w:val="20"/>
        </w:rPr>
      </w:pPr>
      <w:r>
        <w:rPr>
          <w:rFonts w:ascii="Verdana" w:hAnsi="Verdana"/>
          <w:color w:val="4C4C4C"/>
          <w:sz w:val="20"/>
          <w:szCs w:val="20"/>
        </w:rPr>
        <w:t>Nel rispetto del </w:t>
      </w:r>
      <w:r>
        <w:rPr>
          <w:rStyle w:val="Enfasigrassetto"/>
          <w:rFonts w:ascii="Verdana" w:hAnsi="Verdana"/>
          <w:color w:val="4C4C4C"/>
          <w:sz w:val="20"/>
          <w:szCs w:val="20"/>
        </w:rPr>
        <w:t>principio cardine della programmazione della gestione</w:t>
      </w:r>
      <w:r>
        <w:rPr>
          <w:rFonts w:ascii="Verdana" w:hAnsi="Verdana"/>
          <w:color w:val="4C4C4C"/>
          <w:sz w:val="20"/>
          <w:szCs w:val="20"/>
        </w:rPr>
        <w:t>, </w:t>
      </w:r>
      <w:r>
        <w:rPr>
          <w:rStyle w:val="Enfasigrassetto"/>
          <w:rFonts w:ascii="Verdana" w:hAnsi="Verdana"/>
          <w:color w:val="4C4C4C"/>
          <w:sz w:val="20"/>
          <w:szCs w:val="20"/>
        </w:rPr>
        <w:t>le Regioni adottano ogni anno il bilancio di previsione finanziario</w:t>
      </w:r>
      <w:r>
        <w:rPr>
          <w:rFonts w:ascii="Verdana" w:hAnsi="Verdana"/>
          <w:color w:val="4C4C4C"/>
          <w:sz w:val="20"/>
          <w:szCs w:val="20"/>
        </w:rPr>
        <w:t>, </w:t>
      </w:r>
      <w:r>
        <w:rPr>
          <w:rStyle w:val="Enfasigrassetto"/>
          <w:rFonts w:ascii="Verdana" w:hAnsi="Verdana"/>
          <w:color w:val="4C4C4C"/>
          <w:sz w:val="20"/>
          <w:szCs w:val="20"/>
        </w:rPr>
        <w:t>le cui previsioni</w:t>
      </w:r>
      <w:r>
        <w:rPr>
          <w:rFonts w:ascii="Verdana" w:hAnsi="Verdana"/>
          <w:color w:val="4C4C4C"/>
          <w:sz w:val="20"/>
          <w:szCs w:val="20"/>
        </w:rPr>
        <w:t>, riferite ad un orizzonte temporale almeno triennale, </w:t>
      </w:r>
      <w:r>
        <w:rPr>
          <w:rStyle w:val="Enfasigrassetto"/>
          <w:rFonts w:ascii="Verdana" w:hAnsi="Verdana"/>
          <w:color w:val="4C4C4C"/>
          <w:sz w:val="20"/>
          <w:szCs w:val="20"/>
        </w:rPr>
        <w:t>sono elaborate sulla base</w:t>
      </w:r>
      <w:r>
        <w:rPr>
          <w:rFonts w:ascii="Verdana" w:hAnsi="Verdana"/>
          <w:color w:val="4C4C4C"/>
          <w:sz w:val="20"/>
          <w:szCs w:val="20"/>
        </w:rPr>
        <w:t> delle linee strategiche e delle politiche contenute nel </w:t>
      </w:r>
      <w:r>
        <w:rPr>
          <w:rStyle w:val="Enfasigrassetto"/>
          <w:rFonts w:ascii="Verdana" w:hAnsi="Verdana"/>
          <w:color w:val="4C4C4C"/>
          <w:sz w:val="20"/>
          <w:szCs w:val="20"/>
        </w:rPr>
        <w:t>Documento di economia e finanza regionale</w:t>
      </w:r>
      <w:r>
        <w:rPr>
          <w:rFonts w:ascii="Verdana" w:hAnsi="Verdana"/>
          <w:color w:val="4C4C4C"/>
          <w:sz w:val="20"/>
          <w:szCs w:val="20"/>
        </w:rPr>
        <w:t> (DEFR).</w:t>
      </w:r>
    </w:p>
    <w:p w:rsidR="004A35E6" w:rsidRDefault="004A35E6" w:rsidP="004A35E6">
      <w:pPr>
        <w:pStyle w:val="bodytext"/>
        <w:shd w:val="clear" w:color="auto" w:fill="FFFFFF"/>
        <w:jc w:val="both"/>
        <w:rPr>
          <w:rFonts w:ascii="Verdana" w:hAnsi="Verdana"/>
          <w:color w:val="4C4C4C"/>
          <w:sz w:val="20"/>
          <w:szCs w:val="20"/>
        </w:rPr>
      </w:pPr>
      <w:r>
        <w:rPr>
          <w:rStyle w:val="Enfasigrassetto"/>
          <w:rFonts w:ascii="Verdana" w:hAnsi="Verdana"/>
          <w:color w:val="4C4C4C"/>
          <w:sz w:val="20"/>
          <w:szCs w:val="20"/>
        </w:rPr>
        <w:t>In relazione alle esigenze derivanti dallo sviluppo della fiscalità regionale, le Regioni adottano altresì una legge di stabilità regionale</w:t>
      </w:r>
      <w:r>
        <w:rPr>
          <w:rFonts w:ascii="Verdana" w:hAnsi="Verdana"/>
          <w:color w:val="4C4C4C"/>
          <w:sz w:val="20"/>
          <w:szCs w:val="20"/>
        </w:rPr>
        <w:t> che contiene il quadro di riferimento finanziario per il periodo compreso nel bilancio di previsione.</w:t>
      </w:r>
    </w:p>
    <w:p w:rsidR="004A35E6" w:rsidRDefault="004A35E6" w:rsidP="004A35E6">
      <w:pPr>
        <w:pStyle w:val="bodytext"/>
        <w:shd w:val="clear" w:color="auto" w:fill="FFFFFF"/>
        <w:jc w:val="both"/>
        <w:rPr>
          <w:rFonts w:ascii="Verdana" w:hAnsi="Verdana"/>
          <w:color w:val="4C4C4C"/>
          <w:sz w:val="20"/>
          <w:szCs w:val="20"/>
        </w:rPr>
      </w:pPr>
      <w:r>
        <w:rPr>
          <w:rStyle w:val="Enfasigrassetto"/>
          <w:rFonts w:ascii="Verdana" w:hAnsi="Verdana"/>
          <w:color w:val="4C4C4C"/>
          <w:sz w:val="20"/>
          <w:szCs w:val="20"/>
        </w:rPr>
        <w:t>Il sistema contabile garantisce la rilevazione unitaria dei fatti gestionali sotto il profilo finanziario, economico e patrimoniale</w:t>
      </w:r>
      <w:r>
        <w:rPr>
          <w:rFonts w:ascii="Verdana" w:hAnsi="Verdana"/>
          <w:color w:val="4C4C4C"/>
          <w:sz w:val="20"/>
          <w:szCs w:val="20"/>
        </w:rPr>
        <w:t>.</w:t>
      </w:r>
    </w:p>
    <w:p w:rsidR="004A35E6" w:rsidRDefault="004A35E6" w:rsidP="004A35E6">
      <w:pPr>
        <w:pStyle w:val="bodytext"/>
        <w:shd w:val="clear" w:color="auto" w:fill="FFFFFF"/>
        <w:jc w:val="both"/>
        <w:rPr>
          <w:rFonts w:ascii="Verdana" w:hAnsi="Verdana"/>
          <w:color w:val="4C4C4C"/>
          <w:sz w:val="20"/>
          <w:szCs w:val="20"/>
        </w:rPr>
      </w:pPr>
      <w:r>
        <w:rPr>
          <w:rStyle w:val="Enfasigrassetto"/>
          <w:rFonts w:ascii="Verdana" w:hAnsi="Verdana"/>
          <w:color w:val="4C4C4C"/>
          <w:sz w:val="20"/>
          <w:szCs w:val="20"/>
        </w:rPr>
        <w:t>Il sistema di bilancio si avvale del bilancio di previsione finanziario</w:t>
      </w:r>
      <w:r>
        <w:rPr>
          <w:rFonts w:ascii="Verdana" w:hAnsi="Verdana"/>
          <w:color w:val="4C4C4C"/>
          <w:sz w:val="20"/>
          <w:szCs w:val="20"/>
        </w:rPr>
        <w:t> che rappresenta il quadro delle risorse della Regione su base almeno triennale, </w:t>
      </w:r>
      <w:r>
        <w:rPr>
          <w:rStyle w:val="Enfasigrassetto"/>
          <w:rFonts w:ascii="Verdana" w:hAnsi="Verdana"/>
          <w:color w:val="4C4C4C"/>
          <w:sz w:val="20"/>
          <w:szCs w:val="20"/>
        </w:rPr>
        <w:t>del Documento tecnico di accompagnamento del bilancio</w:t>
      </w:r>
      <w:r>
        <w:rPr>
          <w:rFonts w:ascii="Verdana" w:hAnsi="Verdana"/>
          <w:color w:val="4C4C4C"/>
          <w:sz w:val="20"/>
          <w:szCs w:val="20"/>
        </w:rPr>
        <w:t>, costituito dalla ripartizione delle unità di voto del bilancio in categorie e macroaggregati, </w:t>
      </w:r>
      <w:r>
        <w:rPr>
          <w:rStyle w:val="Enfasigrassetto"/>
          <w:rFonts w:ascii="Verdana" w:hAnsi="Verdana"/>
          <w:color w:val="4C4C4C"/>
          <w:sz w:val="20"/>
          <w:szCs w:val="20"/>
        </w:rPr>
        <w:t>e del bilancio finanziario gestionale</w:t>
      </w:r>
      <w:r>
        <w:rPr>
          <w:rFonts w:ascii="Verdana" w:hAnsi="Verdana"/>
          <w:color w:val="4C4C4C"/>
          <w:sz w:val="20"/>
          <w:szCs w:val="20"/>
        </w:rPr>
        <w:t> in base al quale si provvede alla ripartizione in capitoli, ai fini della gestione e della rendicontazione. </w:t>
      </w:r>
      <w:r>
        <w:rPr>
          <w:rStyle w:val="Enfasigrassetto"/>
          <w:rFonts w:ascii="Verdana" w:hAnsi="Verdana"/>
          <w:color w:val="4C4C4C"/>
          <w:sz w:val="20"/>
          <w:szCs w:val="20"/>
        </w:rPr>
        <w:t>Per ciascun esercizio, il bilancio di previsione è deliberato in pareggio finanziario di competenza</w:t>
      </w:r>
      <w:r>
        <w:rPr>
          <w:rFonts w:ascii="Verdana" w:hAnsi="Verdana"/>
          <w:color w:val="4C4C4C"/>
          <w:sz w:val="20"/>
          <w:szCs w:val="20"/>
        </w:rPr>
        <w:t>.</w:t>
      </w:r>
    </w:p>
    <w:p w:rsidR="004A35E6" w:rsidRDefault="004A35E6" w:rsidP="004A35E6">
      <w:pPr>
        <w:pStyle w:val="bodytext"/>
        <w:shd w:val="clear" w:color="auto" w:fill="FFFFFF"/>
        <w:jc w:val="both"/>
        <w:rPr>
          <w:rFonts w:ascii="Verdana" w:hAnsi="Verdana"/>
          <w:color w:val="4C4C4C"/>
          <w:sz w:val="20"/>
          <w:szCs w:val="20"/>
        </w:rPr>
      </w:pPr>
      <w:r>
        <w:rPr>
          <w:rFonts w:ascii="Verdana" w:hAnsi="Verdana"/>
          <w:color w:val="4C4C4C"/>
          <w:sz w:val="20"/>
          <w:szCs w:val="20"/>
        </w:rPr>
        <w:t>Per consentire la comparazione dei bilanci, è predisposto il </w:t>
      </w:r>
      <w:r>
        <w:rPr>
          <w:rStyle w:val="Enfasigrassetto"/>
          <w:rFonts w:ascii="Verdana" w:hAnsi="Verdana"/>
          <w:color w:val="4C4C4C"/>
          <w:sz w:val="20"/>
          <w:szCs w:val="20"/>
        </w:rPr>
        <w:t>Piano degli indicatori e dei risultati attesi</w:t>
      </w:r>
      <w:r>
        <w:rPr>
          <w:rFonts w:ascii="Verdana" w:hAnsi="Verdana"/>
          <w:color w:val="4C4C4C"/>
          <w:sz w:val="20"/>
          <w:szCs w:val="20"/>
        </w:rPr>
        <w:t> di bilancio presentato dalla Regione entro 30 giorni dall’approvazione del bilancio di previsione e del rendiconto.</w:t>
      </w:r>
    </w:p>
    <w:p w:rsidR="004A35E6" w:rsidRDefault="004A35E6" w:rsidP="004A35E6">
      <w:pPr>
        <w:pStyle w:val="bodytext"/>
        <w:shd w:val="clear" w:color="auto" w:fill="FFFFFF"/>
        <w:jc w:val="both"/>
        <w:rPr>
          <w:rFonts w:ascii="Verdana" w:hAnsi="Verdana"/>
          <w:color w:val="4C4C4C"/>
          <w:sz w:val="20"/>
          <w:szCs w:val="20"/>
        </w:rPr>
      </w:pPr>
      <w:r>
        <w:rPr>
          <w:rFonts w:ascii="Verdana" w:hAnsi="Verdana"/>
          <w:color w:val="4C4C4C"/>
          <w:sz w:val="20"/>
          <w:szCs w:val="20"/>
        </w:rPr>
        <w:t>Il Titolo III disciplina inoltre il risultato di amministrazione (in merito alla ripartizione in fondi e all’accertamento), l’esercizio e la gestione provvisoria, la classificazione delle entrate in titoli e tipologie e la classificazione delle spese in missioni e programmi, il Fondo crediti di dubbia esigibilità, il Fondo di riserva, i Fondi speciali.</w:t>
      </w:r>
    </w:p>
    <w:p w:rsidR="004A35E6" w:rsidRDefault="004A35E6" w:rsidP="004A35E6">
      <w:pPr>
        <w:pStyle w:val="bodytext"/>
        <w:shd w:val="clear" w:color="auto" w:fill="FFFFFF"/>
        <w:jc w:val="both"/>
        <w:rPr>
          <w:rFonts w:ascii="Verdana" w:hAnsi="Verdana"/>
          <w:color w:val="4C4C4C"/>
          <w:sz w:val="20"/>
          <w:szCs w:val="20"/>
        </w:rPr>
      </w:pPr>
      <w:r>
        <w:rPr>
          <w:rStyle w:val="Enfasigrassetto"/>
          <w:rFonts w:ascii="Verdana" w:hAnsi="Verdana"/>
          <w:color w:val="4C4C4C"/>
          <w:sz w:val="20"/>
          <w:szCs w:val="20"/>
        </w:rPr>
        <w:t>Gli organismi e enti strumentali di cui si avvale la Regione per conseguire i propri obiettivi, sono soggetti a specifiche norme relative ai sistemi contabili</w:t>
      </w:r>
      <w:r>
        <w:rPr>
          <w:rFonts w:ascii="Verdana" w:hAnsi="Verdana"/>
          <w:color w:val="4C4C4C"/>
          <w:sz w:val="20"/>
          <w:szCs w:val="20"/>
        </w:rPr>
        <w:t>.</w:t>
      </w:r>
    </w:p>
    <w:p w:rsidR="004A35E6" w:rsidRDefault="004A35E6" w:rsidP="004A35E6">
      <w:pPr>
        <w:pStyle w:val="bodytext"/>
        <w:shd w:val="clear" w:color="auto" w:fill="FFFFFF"/>
        <w:jc w:val="both"/>
        <w:rPr>
          <w:rFonts w:ascii="Verdana" w:hAnsi="Verdana"/>
          <w:color w:val="4C4C4C"/>
          <w:sz w:val="20"/>
          <w:szCs w:val="20"/>
        </w:rPr>
      </w:pPr>
      <w:r>
        <w:rPr>
          <w:rFonts w:ascii="Verdana" w:hAnsi="Verdana"/>
          <w:color w:val="4C4C4C"/>
          <w:sz w:val="20"/>
          <w:szCs w:val="20"/>
        </w:rPr>
        <w:t>L'</w:t>
      </w:r>
      <w:r>
        <w:rPr>
          <w:rStyle w:val="Enfasigrassetto"/>
          <w:rFonts w:ascii="Verdana" w:hAnsi="Verdana"/>
          <w:color w:val="4C4C4C"/>
          <w:sz w:val="20"/>
          <w:szCs w:val="20"/>
        </w:rPr>
        <w:t>assestamento delle previsioni di bilancio</w:t>
      </w:r>
      <w:r>
        <w:rPr>
          <w:rFonts w:ascii="Verdana" w:hAnsi="Verdana"/>
          <w:color w:val="4C4C4C"/>
          <w:sz w:val="20"/>
          <w:szCs w:val="20"/>
        </w:rPr>
        <w:t> è approvato dalla Regione con legge, entro il 31 luglio, dando atto del permanere degli equilibri generali di bilancio e, in caso di accertamento negativo, assume i necessari provvedimenti di riequilibrio.</w:t>
      </w:r>
    </w:p>
    <w:p w:rsidR="004A35E6" w:rsidRDefault="004A35E6" w:rsidP="004A35E6">
      <w:pPr>
        <w:pStyle w:val="bodytext"/>
        <w:shd w:val="clear" w:color="auto" w:fill="FFFFFF"/>
        <w:jc w:val="both"/>
        <w:rPr>
          <w:rFonts w:ascii="Verdana" w:hAnsi="Verdana"/>
          <w:color w:val="4C4C4C"/>
          <w:sz w:val="20"/>
          <w:szCs w:val="20"/>
        </w:rPr>
      </w:pPr>
      <w:r>
        <w:rPr>
          <w:rFonts w:ascii="Verdana" w:hAnsi="Verdana"/>
          <w:color w:val="4C4C4C"/>
          <w:sz w:val="20"/>
          <w:szCs w:val="20"/>
        </w:rPr>
        <w:t>Gli art. 52-60 entrano nello specifico delle fasi di </w:t>
      </w:r>
      <w:r>
        <w:rPr>
          <w:rStyle w:val="Enfasigrassetto"/>
          <w:rFonts w:ascii="Verdana" w:hAnsi="Verdana"/>
          <w:color w:val="4C4C4C"/>
          <w:sz w:val="20"/>
          <w:szCs w:val="20"/>
        </w:rPr>
        <w:t>gestione delle entrate, delle uscite e dei residui</w:t>
      </w:r>
      <w:r>
        <w:rPr>
          <w:rFonts w:ascii="Verdana" w:hAnsi="Verdana"/>
          <w:color w:val="4C4C4C"/>
          <w:sz w:val="20"/>
          <w:szCs w:val="20"/>
        </w:rPr>
        <w:t>.</w:t>
      </w:r>
    </w:p>
    <w:p w:rsidR="004A35E6" w:rsidRDefault="004A35E6" w:rsidP="004A35E6">
      <w:pPr>
        <w:pStyle w:val="bodytext"/>
        <w:shd w:val="clear" w:color="auto" w:fill="FFFFFF"/>
        <w:jc w:val="both"/>
        <w:rPr>
          <w:rFonts w:ascii="Verdana" w:hAnsi="Verdana"/>
          <w:color w:val="4C4C4C"/>
          <w:sz w:val="20"/>
          <w:szCs w:val="20"/>
        </w:rPr>
      </w:pPr>
      <w:r>
        <w:rPr>
          <w:rFonts w:ascii="Verdana" w:hAnsi="Verdana"/>
          <w:color w:val="4C4C4C"/>
          <w:sz w:val="20"/>
          <w:szCs w:val="20"/>
        </w:rPr>
        <w:t>Il Titolo III richiama i </w:t>
      </w:r>
      <w:r>
        <w:rPr>
          <w:rStyle w:val="Enfasigrassetto"/>
          <w:rFonts w:ascii="Verdana" w:hAnsi="Verdana"/>
          <w:color w:val="4C4C4C"/>
          <w:sz w:val="20"/>
          <w:szCs w:val="20"/>
        </w:rPr>
        <w:t>limiti posti dal quadro normativo per il ricorso al debito</w:t>
      </w:r>
      <w:r>
        <w:rPr>
          <w:rFonts w:ascii="Verdana" w:hAnsi="Verdana"/>
          <w:color w:val="4C4C4C"/>
          <w:sz w:val="20"/>
          <w:szCs w:val="20"/>
        </w:rPr>
        <w:t> e disciplina le condizioni per l’autorizzazione di nuovo indebitamento.</w:t>
      </w:r>
    </w:p>
    <w:p w:rsidR="004A35E6" w:rsidRDefault="004A35E6" w:rsidP="004A35E6">
      <w:pPr>
        <w:pStyle w:val="bodytext"/>
        <w:shd w:val="clear" w:color="auto" w:fill="FFFFFF"/>
        <w:jc w:val="both"/>
        <w:rPr>
          <w:rFonts w:ascii="Verdana" w:hAnsi="Verdana"/>
          <w:color w:val="4C4C4C"/>
          <w:sz w:val="20"/>
          <w:szCs w:val="20"/>
        </w:rPr>
      </w:pPr>
      <w:r>
        <w:rPr>
          <w:rFonts w:ascii="Verdana" w:hAnsi="Verdana"/>
          <w:color w:val="4C4C4C"/>
          <w:sz w:val="20"/>
          <w:szCs w:val="20"/>
        </w:rPr>
        <w:lastRenderedPageBreak/>
        <w:t>I risultati della gestione sono dimostrati dal </w:t>
      </w:r>
      <w:r>
        <w:rPr>
          <w:rStyle w:val="Enfasigrassetto"/>
          <w:rFonts w:ascii="Verdana" w:hAnsi="Verdana"/>
          <w:color w:val="4C4C4C"/>
          <w:sz w:val="20"/>
          <w:szCs w:val="20"/>
        </w:rPr>
        <w:t>Rendiconto generale</w:t>
      </w:r>
      <w:r>
        <w:rPr>
          <w:rFonts w:ascii="Verdana" w:hAnsi="Verdana"/>
          <w:color w:val="4C4C4C"/>
          <w:sz w:val="20"/>
          <w:szCs w:val="20"/>
        </w:rPr>
        <w:t> che deve essere approvato con legge regionale entro il 31 luglio dell’anno successivo all’esercizio cui si riferisce, mentre per quanto attiene i </w:t>
      </w:r>
      <w:r>
        <w:rPr>
          <w:rStyle w:val="Enfasigrassetto"/>
          <w:rFonts w:ascii="Verdana" w:hAnsi="Verdana"/>
          <w:color w:val="4C4C4C"/>
          <w:sz w:val="20"/>
          <w:szCs w:val="20"/>
        </w:rPr>
        <w:t>rendiconti degli enti strumentali</w:t>
      </w:r>
      <w:r>
        <w:rPr>
          <w:rFonts w:ascii="Verdana" w:hAnsi="Verdana"/>
          <w:color w:val="4C4C4C"/>
          <w:sz w:val="20"/>
          <w:szCs w:val="20"/>
        </w:rPr>
        <w:t>, lo statuto e l’ordinamento contabile regionale ne definiscono i termini. Infine il </w:t>
      </w:r>
      <w:r>
        <w:rPr>
          <w:rStyle w:val="Enfasigrassetto"/>
          <w:rFonts w:ascii="Verdana" w:hAnsi="Verdana"/>
          <w:color w:val="4C4C4C"/>
          <w:sz w:val="20"/>
          <w:szCs w:val="20"/>
        </w:rPr>
        <w:t>bilancio consolidato</w:t>
      </w:r>
      <w:r>
        <w:rPr>
          <w:rFonts w:ascii="Verdana" w:hAnsi="Verdana"/>
          <w:color w:val="4C4C4C"/>
          <w:sz w:val="20"/>
          <w:szCs w:val="20"/>
        </w:rPr>
        <w:t> relativo al Gruppo della Regione costituito dagli enti strumentali, le aziende e le società controllate e partecipate deve essere approvato entro il 30 settembre dell’anno successivo.</w:t>
      </w:r>
    </w:p>
    <w:p w:rsidR="004A35E6" w:rsidRDefault="004A35E6" w:rsidP="004A35E6">
      <w:pPr>
        <w:pStyle w:val="bodytext"/>
        <w:shd w:val="clear" w:color="auto" w:fill="FFFFFF"/>
        <w:jc w:val="both"/>
        <w:rPr>
          <w:rFonts w:ascii="Verdana" w:hAnsi="Verdana"/>
          <w:color w:val="4C4C4C"/>
          <w:sz w:val="20"/>
          <w:szCs w:val="20"/>
        </w:rPr>
      </w:pPr>
      <w:r>
        <w:rPr>
          <w:rFonts w:ascii="Verdana" w:hAnsi="Verdana"/>
          <w:color w:val="4C4C4C"/>
          <w:sz w:val="20"/>
          <w:szCs w:val="20"/>
        </w:rPr>
        <w:t>Le disposizioni finali del Titolo III disciplinano inoltre il servizio di Tesoreria, la responsabilità degli amministratori e dei dipendenti della Regione, il collegio dei revisori dei conti e il riconoscimento di legittimità di debiti fuori bilancio delle Regioni.</w:t>
      </w:r>
    </w:p>
    <w:p w:rsidR="004A35E6" w:rsidRDefault="004A35E6" w:rsidP="00DB3112">
      <w:pPr>
        <w:ind w:left="360"/>
        <w:rPr>
          <w:rFonts w:ascii="Arial" w:hAnsi="Arial" w:cs="Arial"/>
          <w:sz w:val="24"/>
          <w:szCs w:val="24"/>
        </w:rPr>
      </w:pPr>
    </w:p>
    <w:p w:rsidR="00C4528E" w:rsidRPr="004A10D6" w:rsidRDefault="00DB3112" w:rsidP="00DB3112">
      <w:pPr>
        <w:ind w:left="360"/>
        <w:rPr>
          <w:rFonts w:ascii="Arial" w:hAnsi="Arial" w:cs="Arial"/>
          <w:sz w:val="24"/>
          <w:szCs w:val="24"/>
        </w:rPr>
      </w:pPr>
      <w:r>
        <w:rPr>
          <w:rFonts w:ascii="Arial" w:hAnsi="Arial" w:cs="Arial"/>
          <w:sz w:val="24"/>
          <w:szCs w:val="24"/>
        </w:rPr>
        <w:t xml:space="preserve">Programmazione finanziaria regionale </w:t>
      </w:r>
      <w:r w:rsidRPr="00DB3112">
        <w:rPr>
          <w:rFonts w:ascii="Arial" w:hAnsi="Arial" w:cs="Arial"/>
          <w:sz w:val="24"/>
          <w:szCs w:val="24"/>
        </w:rPr>
        <w:sym w:font="Wingdings" w:char="F0E0"/>
      </w:r>
      <w:r w:rsidR="00C4528E" w:rsidRPr="004A10D6">
        <w:rPr>
          <w:rFonts w:ascii="Arial" w:hAnsi="Arial" w:cs="Arial"/>
          <w:sz w:val="24"/>
          <w:szCs w:val="24"/>
        </w:rPr>
        <w:t xml:space="preserve">Dopo il D.Lgs. 118/2011, l’allegato n.12 del DPCM 28 dicembre 2011 ha introdotto importanti novità in tema di programmazione regionale. Dapprima, ha dato una definizione di tale processo e ne ha evidenziato la complessità connessa alla contemporanea attenzione per l’analisi e la valutazione nonché per l’integrazione tra politiche e piani. In questo modo, la programmazione non è ricondotta a mera attività di impiego di risorse, ma ricomprende anche tutte le azioni volte alla comparazione di alternative strategiche secondo parametri che devono essere ponderati per soddisfare l’esigenza valutativa. Allo stesso tempo, ha previsto l’integrazione tra politiche e piani per il governo del territorio estendendo la responsabilità non solo ai vertici della struttura amministrativa, ma anche agli organi politici che, pertanto, non si limitano più alla sola fissazione degli obiettivi strategici, ma anche alla loro traduzione in piani operativi. Analogamente, ha impiegato l’espressione “governo del territorio” sostituendola alle più diffuse “sviluppo economico” o “efficiente impiego dei fattori” ed attribuendo così al territorio la dignità di fattore produttivo autonomo e non di mero contenitore geografico dello sviluppo (Cattivelli, 2012). </w:t>
      </w:r>
    </w:p>
    <w:p w:rsidR="00C4528E" w:rsidRPr="004A10D6" w:rsidRDefault="00C4528E" w:rsidP="00DB3112">
      <w:pPr>
        <w:ind w:left="360"/>
        <w:rPr>
          <w:rFonts w:ascii="Arial" w:hAnsi="Arial" w:cs="Arial"/>
          <w:sz w:val="24"/>
          <w:szCs w:val="24"/>
        </w:rPr>
      </w:pPr>
      <w:r w:rsidRPr="004A10D6">
        <w:rPr>
          <w:rFonts w:ascii="Arial" w:hAnsi="Arial" w:cs="Arial"/>
          <w:sz w:val="24"/>
          <w:szCs w:val="24"/>
        </w:rPr>
        <w:t>Per effetto di tale nuova disciplina, il principale documento di programmazione regionale è sostanzialmente divenuto il Documento di Economia e Finanza Regionale (DEFR), reso obbligatorio già dal Decreto legislativo 76/2000 e che ogni Regione ha strutturato, nel corso degli anni, in maniera propria e differente.</w:t>
      </w:r>
    </w:p>
    <w:p w:rsidR="004A10D6" w:rsidRPr="004A10D6" w:rsidRDefault="00C4528E" w:rsidP="00DB3112">
      <w:pPr>
        <w:ind w:left="360"/>
        <w:rPr>
          <w:rFonts w:ascii="Arial" w:hAnsi="Arial" w:cs="Arial"/>
          <w:sz w:val="24"/>
          <w:szCs w:val="24"/>
        </w:rPr>
      </w:pPr>
      <w:r w:rsidRPr="004A10D6">
        <w:rPr>
          <w:rFonts w:ascii="Arial" w:hAnsi="Arial" w:cs="Arial"/>
          <w:sz w:val="24"/>
          <w:szCs w:val="24"/>
        </w:rPr>
        <w:t xml:space="preserve"> Tab. 1 - I documenti della Programmazione regionale ( DPCM 28 dicembre 2011) </w:t>
      </w:r>
    </w:p>
    <w:p w:rsidR="004A10D6" w:rsidRPr="004A10D6" w:rsidRDefault="00C4528E" w:rsidP="00DB3112">
      <w:pPr>
        <w:ind w:left="360"/>
        <w:rPr>
          <w:rFonts w:ascii="Arial" w:hAnsi="Arial" w:cs="Arial"/>
          <w:sz w:val="24"/>
          <w:szCs w:val="24"/>
        </w:rPr>
      </w:pPr>
      <w:r w:rsidRPr="004A10D6">
        <w:rPr>
          <w:rFonts w:ascii="Arial" w:hAnsi="Arial" w:cs="Arial"/>
          <w:sz w:val="24"/>
          <w:szCs w:val="24"/>
        </w:rPr>
        <w:t xml:space="preserve"> DEFR (la Giunta regionale presenta al Consiglio il Documento di economia e finanza regionale) Strumento di programmazione in senso stretto Entro il 30 giugno</w:t>
      </w:r>
    </w:p>
    <w:p w:rsidR="004A10D6" w:rsidRPr="004A10D6" w:rsidRDefault="00C4528E" w:rsidP="00DB3112">
      <w:pPr>
        <w:ind w:left="360"/>
        <w:rPr>
          <w:rFonts w:ascii="Arial" w:hAnsi="Arial" w:cs="Arial"/>
          <w:sz w:val="24"/>
          <w:szCs w:val="24"/>
        </w:rPr>
      </w:pPr>
      <w:r w:rsidRPr="004A10D6">
        <w:rPr>
          <w:rFonts w:ascii="Arial" w:hAnsi="Arial" w:cs="Arial"/>
          <w:sz w:val="24"/>
          <w:szCs w:val="24"/>
        </w:rPr>
        <w:t xml:space="preserve"> Nota di aggiornamento al DEFR Strumento di programmazione in senso stretto Entro 30 gg dalla presentazione della Nota di aggiornamento del DEF nazionale e comunque non oltre alla data di presentazione disegno di legge di bilancio</w:t>
      </w:r>
    </w:p>
    <w:p w:rsidR="004A10D6" w:rsidRPr="004A10D6" w:rsidRDefault="00C4528E" w:rsidP="00DB3112">
      <w:pPr>
        <w:ind w:left="360"/>
        <w:rPr>
          <w:rFonts w:ascii="Arial" w:hAnsi="Arial" w:cs="Arial"/>
          <w:sz w:val="24"/>
          <w:szCs w:val="24"/>
        </w:rPr>
      </w:pPr>
      <w:r w:rsidRPr="004A10D6">
        <w:rPr>
          <w:rFonts w:ascii="Arial" w:hAnsi="Arial" w:cs="Arial"/>
          <w:sz w:val="24"/>
          <w:szCs w:val="24"/>
        </w:rPr>
        <w:t xml:space="preserve"> Disegno di legge di stabilità regionale, da presentare al Consiglio Strumento di programmazione finanziaria Entro il 31 ottobre e comunque non oltre 30 gg della </w:t>
      </w:r>
      <w:r w:rsidRPr="004A10D6">
        <w:rPr>
          <w:rFonts w:ascii="Arial" w:hAnsi="Arial" w:cs="Arial"/>
          <w:sz w:val="24"/>
          <w:szCs w:val="24"/>
        </w:rPr>
        <w:lastRenderedPageBreak/>
        <w:t xml:space="preserve">presentazione del disegno di legge del bilancio dello stato </w:t>
      </w:r>
    </w:p>
    <w:p w:rsidR="004A10D6" w:rsidRPr="004A10D6" w:rsidRDefault="00C4528E" w:rsidP="00DB3112">
      <w:pPr>
        <w:ind w:left="360"/>
        <w:rPr>
          <w:rFonts w:ascii="Arial" w:hAnsi="Arial" w:cs="Arial"/>
          <w:sz w:val="24"/>
          <w:szCs w:val="24"/>
        </w:rPr>
      </w:pPr>
      <w:r w:rsidRPr="004A10D6">
        <w:rPr>
          <w:rFonts w:ascii="Arial" w:hAnsi="Arial" w:cs="Arial"/>
          <w:sz w:val="24"/>
          <w:szCs w:val="24"/>
        </w:rPr>
        <w:t xml:space="preserve">Disegno di legge di bilancio, da presentare al Consiglio Strumento di programmazione finanziaria Entro il 31 ottobre di ogni anno e comunque non oltre 30 giorni dall’approvazione del disegno di legge di stabilità dello Stato </w:t>
      </w:r>
    </w:p>
    <w:p w:rsidR="004A10D6" w:rsidRPr="004A10D6" w:rsidRDefault="00C4528E" w:rsidP="00DB3112">
      <w:pPr>
        <w:ind w:left="360"/>
        <w:rPr>
          <w:rFonts w:ascii="Arial" w:hAnsi="Arial" w:cs="Arial"/>
          <w:sz w:val="24"/>
          <w:szCs w:val="24"/>
        </w:rPr>
      </w:pPr>
      <w:r w:rsidRPr="004A10D6">
        <w:rPr>
          <w:rFonts w:ascii="Arial" w:hAnsi="Arial" w:cs="Arial"/>
          <w:sz w:val="24"/>
          <w:szCs w:val="24"/>
        </w:rPr>
        <w:t xml:space="preserve">Piano degli indicatori di bilancio Strumento di rendicontazione Approvato dalla Giunta entro 30 giorni dall’approvazione del bilancio di previsione e dall’approvazione del rendiconto e comunicato al Consiglio </w:t>
      </w:r>
    </w:p>
    <w:p w:rsidR="004A10D6" w:rsidRPr="004A10D6" w:rsidRDefault="00C4528E" w:rsidP="00DB3112">
      <w:pPr>
        <w:ind w:left="360"/>
        <w:rPr>
          <w:rFonts w:ascii="Arial" w:hAnsi="Arial" w:cs="Arial"/>
          <w:sz w:val="24"/>
          <w:szCs w:val="24"/>
        </w:rPr>
      </w:pPr>
      <w:r w:rsidRPr="004A10D6">
        <w:rPr>
          <w:rFonts w:ascii="Arial" w:hAnsi="Arial" w:cs="Arial"/>
          <w:sz w:val="24"/>
          <w:szCs w:val="24"/>
        </w:rPr>
        <w:t xml:space="preserve">Disegno di legge di assestamento del bilancio, presentato al Consiglio di ogni anno Strumento di programmazione finanziaria Entro il 30 giugno </w:t>
      </w:r>
    </w:p>
    <w:p w:rsidR="004A10D6" w:rsidRPr="004A10D6" w:rsidRDefault="00C4528E" w:rsidP="00DB3112">
      <w:pPr>
        <w:ind w:left="360"/>
        <w:rPr>
          <w:rFonts w:ascii="Arial" w:hAnsi="Arial" w:cs="Arial"/>
          <w:sz w:val="24"/>
          <w:szCs w:val="24"/>
        </w:rPr>
      </w:pPr>
      <w:r w:rsidRPr="004A10D6">
        <w:rPr>
          <w:rFonts w:ascii="Arial" w:hAnsi="Arial" w:cs="Arial"/>
          <w:sz w:val="24"/>
          <w:szCs w:val="24"/>
        </w:rPr>
        <w:t xml:space="preserve">Eventuali disegni di legge di variazione di bilancio Strumento di programmazione finanziaria </w:t>
      </w:r>
    </w:p>
    <w:p w:rsidR="004A10D6" w:rsidRPr="004A10D6" w:rsidRDefault="00C4528E" w:rsidP="00DB3112">
      <w:pPr>
        <w:ind w:left="360"/>
        <w:rPr>
          <w:rFonts w:ascii="Arial" w:hAnsi="Arial" w:cs="Arial"/>
          <w:sz w:val="24"/>
          <w:szCs w:val="24"/>
        </w:rPr>
      </w:pPr>
      <w:r w:rsidRPr="004A10D6">
        <w:rPr>
          <w:rFonts w:ascii="Arial" w:hAnsi="Arial" w:cs="Arial"/>
          <w:sz w:val="24"/>
          <w:szCs w:val="24"/>
        </w:rPr>
        <w:t>Eventuali disegni di legge collegati alla manovra di bilancio Strumento di programmazione finanziaria Entro il mese di gennaio di ogni anno da presentare al Consiglio</w:t>
      </w:r>
    </w:p>
    <w:p w:rsidR="004A10D6" w:rsidRPr="004A10D6" w:rsidRDefault="00C4528E" w:rsidP="00DB3112">
      <w:pPr>
        <w:ind w:left="360"/>
        <w:rPr>
          <w:rFonts w:ascii="Arial" w:hAnsi="Arial" w:cs="Arial"/>
          <w:sz w:val="24"/>
          <w:szCs w:val="24"/>
        </w:rPr>
      </w:pPr>
      <w:r w:rsidRPr="004A10D6">
        <w:rPr>
          <w:rFonts w:ascii="Arial" w:hAnsi="Arial" w:cs="Arial"/>
          <w:sz w:val="24"/>
          <w:szCs w:val="24"/>
        </w:rPr>
        <w:t xml:space="preserve"> Gli specifici strumenti di programmazione regionale formulati in attuazione di programmi statali, comunitari e regionali e definiti nelle Strumento di programmazione in senso stretto specifiche normative regionali in materia di programmazione generale e settoriale. </w:t>
      </w:r>
    </w:p>
    <w:p w:rsidR="00B02C6C" w:rsidRPr="004A10D6" w:rsidRDefault="00C4528E" w:rsidP="00DB3112">
      <w:pPr>
        <w:ind w:left="360"/>
        <w:rPr>
          <w:rFonts w:ascii="Arial" w:hAnsi="Arial" w:cs="Arial"/>
          <w:b/>
          <w:bCs/>
          <w:color w:val="000000"/>
          <w:sz w:val="24"/>
          <w:szCs w:val="24"/>
        </w:rPr>
      </w:pPr>
      <w:r w:rsidRPr="004A10D6">
        <w:rPr>
          <w:rFonts w:ascii="Arial" w:hAnsi="Arial" w:cs="Arial"/>
          <w:sz w:val="24"/>
          <w:szCs w:val="24"/>
        </w:rPr>
        <w:t>Rendiconto della gestione Strumento di rendicontazione Da approvarsi entro il 30 aprile dell’anno successivo da parte della Giunta ed entro il 31 luglio da parte del Consiglio Fonte: DPCM 28 dicembre 2011</w:t>
      </w:r>
    </w:p>
    <w:p w:rsidR="00B02C6C" w:rsidRPr="004A10D6" w:rsidRDefault="00DB3112" w:rsidP="00DB3112">
      <w:pPr>
        <w:ind w:left="360"/>
        <w:rPr>
          <w:rFonts w:ascii="Arial" w:hAnsi="Arial" w:cs="Arial"/>
          <w:sz w:val="24"/>
          <w:szCs w:val="24"/>
        </w:rPr>
      </w:pPr>
      <w:r>
        <w:rPr>
          <w:rFonts w:ascii="Arial" w:hAnsi="Arial" w:cs="Arial"/>
          <w:sz w:val="24"/>
          <w:szCs w:val="24"/>
        </w:rPr>
        <w:t>Programmazione finanziaria dei Comuni</w:t>
      </w:r>
      <w:r w:rsidRPr="00DB3112">
        <w:rPr>
          <w:rFonts w:ascii="Arial" w:hAnsi="Arial" w:cs="Arial"/>
          <w:sz w:val="24"/>
          <w:szCs w:val="24"/>
        </w:rPr>
        <w:sym w:font="Wingdings" w:char="F0E0"/>
      </w:r>
      <w:r w:rsidR="00B02C6C" w:rsidRPr="004A10D6">
        <w:rPr>
          <w:rFonts w:ascii="Arial" w:hAnsi="Arial" w:cs="Arial"/>
          <w:sz w:val="24"/>
          <w:szCs w:val="24"/>
        </w:rPr>
        <w:t xml:space="preserve">La “programmazione”, così come già delineata dal D.Lgs.77/95 recante norme sull’ordinamento finanziario e contabile degli Enti locali e confermata dal T.U.E.L., si configura come una serie procedimentale di atti di pianificazione strategica, trovando il suo miglior pregio nella possibilità sia di aggiornare quanto definito precedentemente, sia di verificare anno dopo anno- per ogni singola fase e/o segmento del programma- lo stato di avanzamento dello stesso su un piano di valutazione diacronica. </w:t>
      </w:r>
    </w:p>
    <w:p w:rsidR="00B02C6C" w:rsidRPr="004A10D6" w:rsidRDefault="00B02C6C" w:rsidP="00DB3112">
      <w:pPr>
        <w:ind w:left="360"/>
        <w:rPr>
          <w:rFonts w:ascii="Arial" w:hAnsi="Arial" w:cs="Arial"/>
          <w:sz w:val="24"/>
          <w:szCs w:val="24"/>
        </w:rPr>
      </w:pPr>
      <w:r w:rsidRPr="004A10D6">
        <w:rPr>
          <w:rFonts w:ascii="Arial" w:hAnsi="Arial" w:cs="Arial"/>
          <w:sz w:val="24"/>
          <w:szCs w:val="24"/>
        </w:rPr>
        <w:t>Tale tipologia di procedimento permette di monitorare l'efficacia, l’efficienza e l’economicità dell'azione amministrativa condotta e, conseguentemente, di apportare alla stessa ogni eventuale correttivo che si renda necessario rispetto all’obiettivo del conseguimento dei risultati prefissati.</w:t>
      </w:r>
    </w:p>
    <w:p w:rsidR="00B02C6C" w:rsidRPr="004A10D6" w:rsidRDefault="00B02C6C" w:rsidP="00DB3112">
      <w:pPr>
        <w:ind w:left="360"/>
        <w:rPr>
          <w:rFonts w:ascii="Arial" w:hAnsi="Arial" w:cs="Arial"/>
          <w:sz w:val="24"/>
          <w:szCs w:val="24"/>
        </w:rPr>
      </w:pPr>
      <w:r w:rsidRPr="004A10D6">
        <w:rPr>
          <w:rFonts w:ascii="Arial" w:hAnsi="Arial" w:cs="Arial"/>
          <w:sz w:val="24"/>
          <w:szCs w:val="24"/>
        </w:rPr>
        <w:t>In questa fase l’ambiente circostante viene studiato nei minimi particolari.</w:t>
      </w:r>
    </w:p>
    <w:p w:rsidR="00B02C6C" w:rsidRPr="004A10D6" w:rsidRDefault="00B02C6C" w:rsidP="00DB3112">
      <w:pPr>
        <w:ind w:left="360"/>
        <w:rPr>
          <w:rFonts w:ascii="Arial" w:hAnsi="Arial" w:cs="Arial"/>
          <w:sz w:val="24"/>
          <w:szCs w:val="24"/>
        </w:rPr>
      </w:pPr>
      <w:r w:rsidRPr="004A10D6">
        <w:rPr>
          <w:rFonts w:ascii="Arial" w:hAnsi="Arial" w:cs="Arial"/>
          <w:sz w:val="24"/>
          <w:szCs w:val="24"/>
        </w:rPr>
        <w:t xml:space="preserve">La fase successiva è la Programmazione che serve a permetter il raggiungimento dei fini stabiliti in sede di pianificazione. Si tratta in questo momento di stabilire ipotesi di lavoro </w:t>
      </w:r>
      <w:r w:rsidRPr="004A10D6">
        <w:rPr>
          <w:rFonts w:ascii="Arial" w:hAnsi="Arial" w:cs="Arial"/>
          <w:sz w:val="24"/>
          <w:szCs w:val="24"/>
        </w:rPr>
        <w:lastRenderedPageBreak/>
        <w:t>concrete che permettano la realizzazione degli obiettivi prestabiliti. I responsabili dei servizi sottoporranno dei programmi specifici agli amministratori locali, nei quali sono previsti progetti tecnicamente idonei a soddisfare i fini prestabiliti, in parole povere si cerca di individuare la tattica migliore per arrivare ad una determinata meta.</w:t>
      </w:r>
    </w:p>
    <w:p w:rsidR="00B02C6C" w:rsidRPr="004A10D6" w:rsidRDefault="00B02C6C" w:rsidP="00DB3112">
      <w:pPr>
        <w:ind w:left="360"/>
        <w:rPr>
          <w:rFonts w:ascii="Arial" w:hAnsi="Arial" w:cs="Arial"/>
          <w:sz w:val="24"/>
          <w:szCs w:val="24"/>
        </w:rPr>
      </w:pPr>
      <w:r w:rsidRPr="004A10D6">
        <w:rPr>
          <w:rFonts w:ascii="Arial" w:hAnsi="Arial" w:cs="Arial"/>
          <w:sz w:val="24"/>
          <w:szCs w:val="24"/>
        </w:rPr>
        <w:t xml:space="preserve">L’ultima fase della programmazione è costituita dalla costruzione del bilancio e del PEG in cui vengono formulari programmi di breve periodo coerenti con gli obiettivi precedentemente stabiliti in sede di pianificazione e programmazione. </w:t>
      </w:r>
    </w:p>
    <w:p w:rsidR="00B02C6C" w:rsidRPr="004A10D6" w:rsidRDefault="00B02C6C" w:rsidP="00DB3112">
      <w:pPr>
        <w:rPr>
          <w:rFonts w:ascii="Arial" w:hAnsi="Arial" w:cs="Arial"/>
          <w:sz w:val="24"/>
          <w:szCs w:val="24"/>
        </w:rPr>
      </w:pPr>
    </w:p>
    <w:p w:rsidR="0060297B" w:rsidRPr="004A10D6" w:rsidRDefault="0060297B" w:rsidP="00DB3112">
      <w:pPr>
        <w:pStyle w:val="NormaleWeb"/>
        <w:shd w:val="clear" w:color="auto" w:fill="F5FDFE"/>
        <w:ind w:left="360"/>
        <w:rPr>
          <w:rFonts w:ascii="Arial" w:hAnsi="Arial" w:cs="Arial"/>
          <w:color w:val="000000"/>
        </w:rPr>
      </w:pPr>
      <w:r w:rsidRPr="004A10D6">
        <w:rPr>
          <w:rFonts w:ascii="Arial" w:hAnsi="Arial" w:cs="Arial"/>
        </w:rPr>
        <w:t>BILANCIO PREVENTIVO:</w:t>
      </w:r>
      <w:r w:rsidRPr="004A10D6">
        <w:rPr>
          <w:rFonts w:ascii="Arial" w:hAnsi="Arial" w:cs="Arial"/>
          <w:color w:val="000000"/>
        </w:rPr>
        <w:t xml:space="preserve"> </w:t>
      </w:r>
    </w:p>
    <w:p w:rsidR="0060297B" w:rsidRPr="004A10D6" w:rsidRDefault="0060297B" w:rsidP="00DB3112">
      <w:pPr>
        <w:pStyle w:val="NormaleWeb"/>
        <w:shd w:val="clear" w:color="auto" w:fill="F5FDFE"/>
        <w:ind w:left="360"/>
        <w:rPr>
          <w:rFonts w:ascii="Arial" w:hAnsi="Arial" w:cs="Arial"/>
          <w:color w:val="000000"/>
          <w:shd w:val="clear" w:color="auto" w:fill="F5FDFE"/>
        </w:rPr>
      </w:pPr>
      <w:r w:rsidRPr="004A10D6">
        <w:rPr>
          <w:rFonts w:ascii="Arial" w:hAnsi="Arial" w:cs="Arial"/>
          <w:color w:val="000000"/>
          <w:shd w:val="clear" w:color="auto" w:fill="F5FDFE"/>
        </w:rPr>
        <w:t>Gli enti locali deliberano annualmente il bilancio di previsione finanziario riferito ad almeno un triennio, comprendente le previsioni di competenza e di cassa del primo esercizio del periodo considerato e le previsioni di competenza degli esercizi successivi</w:t>
      </w:r>
    </w:p>
    <w:p w:rsidR="00B02C6C" w:rsidRPr="004A10D6" w:rsidRDefault="00B02C6C" w:rsidP="00DB3112">
      <w:pPr>
        <w:ind w:left="360"/>
        <w:rPr>
          <w:rFonts w:ascii="Arial" w:hAnsi="Arial" w:cs="Arial"/>
          <w:sz w:val="24"/>
          <w:szCs w:val="24"/>
        </w:rPr>
      </w:pPr>
      <w:r w:rsidRPr="004A10D6">
        <w:rPr>
          <w:rFonts w:ascii="Arial" w:hAnsi="Arial" w:cs="Arial"/>
          <w:sz w:val="24"/>
          <w:szCs w:val="24"/>
        </w:rPr>
        <w:t>E’ un documento contabile che ha funzione revisionale, in un esercizio con durata annuale redatto in termini di competenza finanziaria, CON FUNZIONE ANCHE AUTORIZZATORIA, in quanto autorizza la gestione delle spese e delle entrate nei limiti degli stanziamenti previsti,  composto da due parti:</w:t>
      </w:r>
    </w:p>
    <w:p w:rsidR="00B02C6C" w:rsidRPr="004A10D6" w:rsidRDefault="00B02C6C" w:rsidP="00DB3112">
      <w:pPr>
        <w:tabs>
          <w:tab w:val="left" w:pos="360"/>
        </w:tabs>
        <w:suppressAutoHyphens/>
        <w:autoSpaceDE w:val="0"/>
        <w:autoSpaceDN/>
        <w:adjustRightInd/>
        <w:spacing w:after="0" w:line="240" w:lineRule="auto"/>
        <w:ind w:left="360"/>
        <w:rPr>
          <w:rFonts w:ascii="Arial" w:hAnsi="Arial" w:cs="Arial"/>
          <w:b/>
          <w:bCs/>
          <w:sz w:val="24"/>
          <w:szCs w:val="24"/>
        </w:rPr>
      </w:pPr>
      <w:r w:rsidRPr="004A10D6">
        <w:rPr>
          <w:rFonts w:ascii="Arial" w:hAnsi="Arial" w:cs="Arial"/>
          <w:b/>
          <w:bCs/>
          <w:sz w:val="24"/>
          <w:szCs w:val="24"/>
        </w:rPr>
        <w:t xml:space="preserve">ENTRATA (ordinata in Titoli, </w:t>
      </w:r>
      <w:r w:rsidR="00906E70" w:rsidRPr="004A10D6">
        <w:rPr>
          <w:rFonts w:ascii="Arial" w:hAnsi="Arial" w:cs="Arial"/>
          <w:b/>
          <w:bCs/>
          <w:sz w:val="24"/>
          <w:szCs w:val="24"/>
        </w:rPr>
        <w:t>tipologie)</w:t>
      </w:r>
      <w:r w:rsidRPr="004A10D6">
        <w:rPr>
          <w:rFonts w:ascii="Arial" w:hAnsi="Arial" w:cs="Arial"/>
          <w:b/>
          <w:bCs/>
          <w:sz w:val="24"/>
          <w:szCs w:val="24"/>
        </w:rPr>
        <w:t xml:space="preserve">. </w:t>
      </w:r>
    </w:p>
    <w:p w:rsidR="00B02C6C" w:rsidRPr="004A10D6" w:rsidRDefault="00B02C6C" w:rsidP="00DB3112">
      <w:pPr>
        <w:ind w:left="5400"/>
        <w:rPr>
          <w:rFonts w:ascii="Arial" w:hAnsi="Arial" w:cs="Arial"/>
          <w:sz w:val="24"/>
          <w:szCs w:val="24"/>
        </w:rPr>
      </w:pPr>
      <w:r w:rsidRPr="004A10D6">
        <w:rPr>
          <w:rFonts w:ascii="Arial" w:hAnsi="Arial" w:cs="Arial"/>
          <w:b/>
          <w:bCs/>
          <w:sz w:val="24"/>
          <w:szCs w:val="24"/>
        </w:rPr>
        <w:t>Titolo I</w:t>
      </w:r>
      <w:r w:rsidRPr="004A10D6">
        <w:rPr>
          <w:rFonts w:ascii="Arial" w:hAnsi="Arial" w:cs="Arial"/>
          <w:sz w:val="24"/>
          <w:szCs w:val="24"/>
        </w:rPr>
        <w:t xml:space="preserve"> : entrate tributarie</w:t>
      </w:r>
      <w:r w:rsidR="00906E70" w:rsidRPr="004A10D6">
        <w:rPr>
          <w:rFonts w:ascii="Arial" w:hAnsi="Arial" w:cs="Arial"/>
          <w:sz w:val="24"/>
          <w:szCs w:val="24"/>
        </w:rPr>
        <w:t>, CONTRIBUTIVE, PEREQUATIVE</w:t>
      </w:r>
    </w:p>
    <w:p w:rsidR="00906E70" w:rsidRPr="004A10D6" w:rsidRDefault="00B02C6C" w:rsidP="00DB3112">
      <w:pPr>
        <w:ind w:left="5400"/>
        <w:rPr>
          <w:rFonts w:ascii="Arial" w:hAnsi="Arial" w:cs="Arial"/>
          <w:sz w:val="24"/>
          <w:szCs w:val="24"/>
        </w:rPr>
      </w:pPr>
      <w:r w:rsidRPr="004A10D6">
        <w:rPr>
          <w:rFonts w:ascii="Arial" w:hAnsi="Arial" w:cs="Arial"/>
          <w:b/>
          <w:bCs/>
          <w:sz w:val="24"/>
          <w:szCs w:val="24"/>
        </w:rPr>
        <w:t>Titolo II:</w:t>
      </w:r>
      <w:r w:rsidRPr="004A10D6">
        <w:rPr>
          <w:rFonts w:ascii="Arial" w:hAnsi="Arial" w:cs="Arial"/>
          <w:sz w:val="24"/>
          <w:szCs w:val="24"/>
        </w:rPr>
        <w:t xml:space="preserve"> </w:t>
      </w:r>
      <w:r w:rsidR="00906E70" w:rsidRPr="004A10D6">
        <w:rPr>
          <w:rFonts w:ascii="Arial" w:hAnsi="Arial" w:cs="Arial"/>
          <w:sz w:val="24"/>
          <w:szCs w:val="24"/>
        </w:rPr>
        <w:t>Entrate correnti ( da famiglie, Amministrazioni pubbliche, imprese, istituzioni)</w:t>
      </w:r>
    </w:p>
    <w:p w:rsidR="00B02C6C" w:rsidRPr="004A10D6" w:rsidRDefault="00B02C6C" w:rsidP="00DB3112">
      <w:pPr>
        <w:ind w:left="5400"/>
        <w:rPr>
          <w:rFonts w:ascii="Arial" w:hAnsi="Arial" w:cs="Arial"/>
          <w:sz w:val="24"/>
          <w:szCs w:val="24"/>
        </w:rPr>
      </w:pPr>
      <w:r w:rsidRPr="004A10D6">
        <w:rPr>
          <w:rFonts w:ascii="Arial" w:hAnsi="Arial" w:cs="Arial"/>
          <w:b/>
          <w:bCs/>
          <w:sz w:val="24"/>
          <w:szCs w:val="24"/>
        </w:rPr>
        <w:t>Titolo III</w:t>
      </w:r>
      <w:r w:rsidRPr="004A10D6">
        <w:rPr>
          <w:rFonts w:ascii="Arial" w:hAnsi="Arial" w:cs="Arial"/>
          <w:sz w:val="24"/>
          <w:szCs w:val="24"/>
        </w:rPr>
        <w:t>: entrate extratributarie</w:t>
      </w:r>
      <w:r w:rsidR="00906E70" w:rsidRPr="004A10D6">
        <w:rPr>
          <w:rFonts w:ascii="Arial" w:hAnsi="Arial" w:cs="Arial"/>
          <w:sz w:val="24"/>
          <w:szCs w:val="24"/>
        </w:rPr>
        <w:t>,</w:t>
      </w:r>
    </w:p>
    <w:p w:rsidR="00906E70" w:rsidRPr="004A10D6" w:rsidRDefault="00B02C6C" w:rsidP="00DB3112">
      <w:pPr>
        <w:ind w:left="5400"/>
        <w:rPr>
          <w:rFonts w:ascii="Arial" w:hAnsi="Arial" w:cs="Arial"/>
          <w:sz w:val="24"/>
          <w:szCs w:val="24"/>
        </w:rPr>
      </w:pPr>
      <w:r w:rsidRPr="004A10D6">
        <w:rPr>
          <w:rFonts w:ascii="Arial" w:hAnsi="Arial" w:cs="Arial"/>
          <w:b/>
          <w:bCs/>
          <w:sz w:val="24"/>
          <w:szCs w:val="24"/>
        </w:rPr>
        <w:t>Titolo IV</w:t>
      </w:r>
      <w:r w:rsidRPr="004A10D6">
        <w:rPr>
          <w:rFonts w:ascii="Arial" w:hAnsi="Arial" w:cs="Arial"/>
          <w:sz w:val="24"/>
          <w:szCs w:val="24"/>
        </w:rPr>
        <w:t xml:space="preserve">: entrate </w:t>
      </w:r>
      <w:r w:rsidR="00906E70" w:rsidRPr="004A10D6">
        <w:rPr>
          <w:rFonts w:ascii="Arial" w:hAnsi="Arial" w:cs="Arial"/>
          <w:sz w:val="24"/>
          <w:szCs w:val="24"/>
        </w:rPr>
        <w:t>in conto capitale</w:t>
      </w:r>
    </w:p>
    <w:p w:rsidR="00906E70" w:rsidRPr="004A10D6" w:rsidRDefault="00B02C6C" w:rsidP="00DB3112">
      <w:pPr>
        <w:ind w:left="5400"/>
        <w:rPr>
          <w:rFonts w:ascii="Arial" w:hAnsi="Arial" w:cs="Arial"/>
          <w:sz w:val="24"/>
          <w:szCs w:val="24"/>
        </w:rPr>
      </w:pPr>
      <w:r w:rsidRPr="004A10D6">
        <w:rPr>
          <w:rFonts w:ascii="Arial" w:hAnsi="Arial" w:cs="Arial"/>
          <w:b/>
          <w:bCs/>
          <w:sz w:val="24"/>
          <w:szCs w:val="24"/>
        </w:rPr>
        <w:t>Titolo V</w:t>
      </w:r>
      <w:r w:rsidRPr="004A10D6">
        <w:rPr>
          <w:rFonts w:ascii="Arial" w:hAnsi="Arial" w:cs="Arial"/>
          <w:sz w:val="24"/>
          <w:szCs w:val="24"/>
        </w:rPr>
        <w:t xml:space="preserve"> : entrate derivanti da </w:t>
      </w:r>
      <w:r w:rsidR="00906E70" w:rsidRPr="004A10D6">
        <w:rPr>
          <w:rFonts w:ascii="Arial" w:hAnsi="Arial" w:cs="Arial"/>
          <w:sz w:val="24"/>
          <w:szCs w:val="24"/>
        </w:rPr>
        <w:t>attività finanziarie</w:t>
      </w:r>
    </w:p>
    <w:p w:rsidR="00906E70" w:rsidRPr="004A10D6" w:rsidRDefault="00B02C6C" w:rsidP="00DB3112">
      <w:pPr>
        <w:ind w:left="5400"/>
        <w:rPr>
          <w:rFonts w:ascii="Arial" w:hAnsi="Arial" w:cs="Arial"/>
          <w:sz w:val="24"/>
          <w:szCs w:val="24"/>
        </w:rPr>
      </w:pPr>
      <w:r w:rsidRPr="004A10D6">
        <w:rPr>
          <w:rFonts w:ascii="Arial" w:hAnsi="Arial" w:cs="Arial"/>
          <w:b/>
          <w:bCs/>
          <w:sz w:val="24"/>
          <w:szCs w:val="24"/>
        </w:rPr>
        <w:t>Titolo VI</w:t>
      </w:r>
      <w:r w:rsidRPr="004A10D6">
        <w:rPr>
          <w:rFonts w:ascii="Arial" w:hAnsi="Arial" w:cs="Arial"/>
          <w:sz w:val="24"/>
          <w:szCs w:val="24"/>
        </w:rPr>
        <w:t xml:space="preserve">: </w:t>
      </w:r>
      <w:r w:rsidR="00906E70" w:rsidRPr="004A10D6">
        <w:rPr>
          <w:rFonts w:ascii="Arial" w:hAnsi="Arial" w:cs="Arial"/>
          <w:sz w:val="24"/>
          <w:szCs w:val="24"/>
        </w:rPr>
        <w:t>accensione di prestiti</w:t>
      </w:r>
    </w:p>
    <w:p w:rsidR="00906E70" w:rsidRPr="004A10D6" w:rsidRDefault="00906E70" w:rsidP="00DB3112">
      <w:pPr>
        <w:ind w:left="5400"/>
        <w:rPr>
          <w:rFonts w:ascii="Arial" w:hAnsi="Arial" w:cs="Arial"/>
          <w:sz w:val="24"/>
          <w:szCs w:val="24"/>
        </w:rPr>
      </w:pPr>
      <w:r w:rsidRPr="004A10D6">
        <w:rPr>
          <w:rFonts w:ascii="Arial" w:hAnsi="Arial" w:cs="Arial"/>
          <w:b/>
          <w:bCs/>
          <w:sz w:val="24"/>
          <w:szCs w:val="24"/>
        </w:rPr>
        <w:t>Titolo VII</w:t>
      </w:r>
      <w:r w:rsidRPr="004A10D6">
        <w:rPr>
          <w:rFonts w:ascii="Arial" w:hAnsi="Arial" w:cs="Arial"/>
          <w:sz w:val="24"/>
          <w:szCs w:val="24"/>
        </w:rPr>
        <w:t>: Anticipazioni da istituto tesoriere/cassiere</w:t>
      </w:r>
    </w:p>
    <w:p w:rsidR="00906E70" w:rsidRPr="004A10D6" w:rsidRDefault="00906E70" w:rsidP="00DB3112">
      <w:pPr>
        <w:ind w:left="5400"/>
        <w:rPr>
          <w:rFonts w:ascii="Arial" w:hAnsi="Arial" w:cs="Arial"/>
          <w:b/>
          <w:bCs/>
          <w:sz w:val="24"/>
          <w:szCs w:val="24"/>
        </w:rPr>
      </w:pPr>
      <w:r w:rsidRPr="004A10D6">
        <w:rPr>
          <w:rFonts w:ascii="Arial" w:hAnsi="Arial" w:cs="Arial"/>
          <w:b/>
          <w:bCs/>
          <w:sz w:val="24"/>
          <w:szCs w:val="24"/>
        </w:rPr>
        <w:t>Titolo VIII: Entrate per conto terzi e partite di giro</w:t>
      </w:r>
    </w:p>
    <w:p w:rsidR="00906E70" w:rsidRPr="004A10D6" w:rsidRDefault="00906E70" w:rsidP="00DB3112">
      <w:pPr>
        <w:ind w:left="4956"/>
        <w:rPr>
          <w:rFonts w:ascii="Arial" w:hAnsi="Arial" w:cs="Arial"/>
          <w:sz w:val="24"/>
          <w:szCs w:val="24"/>
        </w:rPr>
      </w:pPr>
    </w:p>
    <w:p w:rsidR="00B02C6C" w:rsidRPr="004A10D6" w:rsidRDefault="00B02C6C" w:rsidP="00DB3112">
      <w:pPr>
        <w:ind w:left="360"/>
        <w:rPr>
          <w:rFonts w:ascii="Arial" w:hAnsi="Arial" w:cs="Arial"/>
          <w:b/>
          <w:bCs/>
          <w:sz w:val="24"/>
          <w:szCs w:val="24"/>
        </w:rPr>
      </w:pPr>
      <w:r w:rsidRPr="004A10D6">
        <w:rPr>
          <w:rFonts w:ascii="Arial" w:hAnsi="Arial" w:cs="Arial"/>
          <w:b/>
          <w:bCs/>
          <w:sz w:val="24"/>
          <w:szCs w:val="24"/>
        </w:rPr>
        <w:t xml:space="preserve">SPESA (ordinata in </w:t>
      </w:r>
      <w:r w:rsidR="008C7C89" w:rsidRPr="004A10D6">
        <w:rPr>
          <w:rFonts w:ascii="Arial" w:hAnsi="Arial" w:cs="Arial"/>
          <w:b/>
          <w:bCs/>
          <w:sz w:val="24"/>
          <w:szCs w:val="24"/>
        </w:rPr>
        <w:t>missioni e programmi)</w:t>
      </w:r>
    </w:p>
    <w:p w:rsidR="008C7C89" w:rsidRPr="004A10D6" w:rsidRDefault="008C7C89" w:rsidP="00DB3112">
      <w:pPr>
        <w:ind w:left="360"/>
        <w:rPr>
          <w:rFonts w:ascii="Arial" w:hAnsi="Arial" w:cs="Arial"/>
          <w:sz w:val="24"/>
          <w:szCs w:val="24"/>
        </w:rPr>
      </w:pPr>
      <w:r w:rsidRPr="004A10D6">
        <w:rPr>
          <w:rFonts w:ascii="Arial" w:hAnsi="Arial" w:cs="Arial"/>
          <w:b/>
          <w:sz w:val="24"/>
          <w:szCs w:val="24"/>
        </w:rPr>
        <w:t>Missioni</w:t>
      </w:r>
      <w:r w:rsidRPr="004A10D6">
        <w:rPr>
          <w:rFonts w:ascii="Arial" w:hAnsi="Arial" w:cs="Arial"/>
          <w:sz w:val="24"/>
          <w:szCs w:val="24"/>
        </w:rPr>
        <w:t>: rappresentano le funzioni principali e gli obiettivi strategici perseguiti dall’ente</w:t>
      </w:r>
    </w:p>
    <w:p w:rsidR="008C7C89" w:rsidRPr="004A10D6" w:rsidRDefault="008C7C89" w:rsidP="00DB3112">
      <w:pPr>
        <w:ind w:left="360"/>
        <w:rPr>
          <w:rFonts w:ascii="Arial" w:hAnsi="Arial" w:cs="Arial"/>
          <w:sz w:val="24"/>
          <w:szCs w:val="24"/>
        </w:rPr>
      </w:pPr>
      <w:r w:rsidRPr="004A10D6">
        <w:rPr>
          <w:rFonts w:ascii="Arial" w:hAnsi="Arial" w:cs="Arial"/>
          <w:b/>
          <w:sz w:val="24"/>
          <w:szCs w:val="24"/>
        </w:rPr>
        <w:t>Programmi:</w:t>
      </w:r>
      <w:r w:rsidRPr="004A10D6">
        <w:rPr>
          <w:rFonts w:ascii="Arial" w:hAnsi="Arial" w:cs="Arial"/>
          <w:sz w:val="24"/>
          <w:szCs w:val="24"/>
        </w:rPr>
        <w:t xml:space="preserve"> rappresentano gli aggregati omogenei di attività volte a perseguire gli obiettivi definiti dal</w:t>
      </w:r>
      <w:r w:rsidR="00EB6E7A" w:rsidRPr="004A10D6">
        <w:rPr>
          <w:rFonts w:ascii="Arial" w:hAnsi="Arial" w:cs="Arial"/>
          <w:sz w:val="24"/>
          <w:szCs w:val="24"/>
        </w:rPr>
        <w:t>l</w:t>
      </w:r>
      <w:r w:rsidRPr="004A10D6">
        <w:rPr>
          <w:rFonts w:ascii="Arial" w:hAnsi="Arial" w:cs="Arial"/>
          <w:sz w:val="24"/>
          <w:szCs w:val="24"/>
        </w:rPr>
        <w:t>e missioni.</w:t>
      </w:r>
    </w:p>
    <w:p w:rsidR="00906E70" w:rsidRPr="004A10D6" w:rsidRDefault="00906E70" w:rsidP="00DB3112">
      <w:pPr>
        <w:ind w:left="360"/>
        <w:rPr>
          <w:rFonts w:ascii="Arial" w:hAnsi="Arial" w:cs="Arial"/>
          <w:sz w:val="24"/>
          <w:szCs w:val="24"/>
        </w:rPr>
      </w:pPr>
      <w:r w:rsidRPr="004A10D6">
        <w:rPr>
          <w:rFonts w:ascii="Arial" w:hAnsi="Arial" w:cs="Arial"/>
          <w:sz w:val="24"/>
          <w:szCs w:val="24"/>
        </w:rPr>
        <w:t>La redazione del bilancio di previsione deve sottostare ad alcuni principi fondamentali:</w:t>
      </w:r>
    </w:p>
    <w:p w:rsidR="00906E70" w:rsidRPr="004A10D6" w:rsidRDefault="00906E70" w:rsidP="00DB3112">
      <w:pPr>
        <w:tabs>
          <w:tab w:val="left" w:pos="360"/>
        </w:tabs>
        <w:suppressAutoHyphens/>
        <w:autoSpaceDE w:val="0"/>
        <w:autoSpaceDN/>
        <w:adjustRightInd/>
        <w:spacing w:after="0" w:line="240" w:lineRule="auto"/>
        <w:ind w:left="360"/>
        <w:rPr>
          <w:rFonts w:ascii="Arial" w:hAnsi="Arial" w:cs="Arial"/>
          <w:sz w:val="24"/>
          <w:szCs w:val="24"/>
        </w:rPr>
      </w:pPr>
      <w:r w:rsidRPr="004A10D6">
        <w:rPr>
          <w:rFonts w:ascii="Arial" w:hAnsi="Arial" w:cs="Arial"/>
          <w:b/>
          <w:bCs/>
          <w:sz w:val="24"/>
          <w:szCs w:val="24"/>
        </w:rPr>
        <w:t>Unità</w:t>
      </w:r>
      <w:r w:rsidRPr="004A10D6">
        <w:rPr>
          <w:rFonts w:ascii="Arial" w:hAnsi="Arial" w:cs="Arial"/>
          <w:sz w:val="24"/>
          <w:szCs w:val="24"/>
        </w:rPr>
        <w:t>: il totale delle entrate finanzia il totale delle spese, salvo le eccezioni previste dalla legge</w:t>
      </w:r>
    </w:p>
    <w:p w:rsidR="00906E70" w:rsidRPr="004A10D6" w:rsidRDefault="00906E70" w:rsidP="00DB3112">
      <w:pPr>
        <w:tabs>
          <w:tab w:val="left" w:pos="360"/>
        </w:tabs>
        <w:suppressAutoHyphens/>
        <w:autoSpaceDE w:val="0"/>
        <w:autoSpaceDN/>
        <w:adjustRightInd/>
        <w:spacing w:after="0" w:line="240" w:lineRule="auto"/>
        <w:ind w:left="360"/>
        <w:rPr>
          <w:rFonts w:ascii="Arial" w:hAnsi="Arial" w:cs="Arial"/>
          <w:sz w:val="24"/>
          <w:szCs w:val="24"/>
        </w:rPr>
      </w:pPr>
      <w:r w:rsidRPr="004A10D6">
        <w:rPr>
          <w:rFonts w:ascii="Arial" w:hAnsi="Arial" w:cs="Arial"/>
          <w:b/>
          <w:bCs/>
          <w:sz w:val="24"/>
          <w:szCs w:val="24"/>
        </w:rPr>
        <w:t>Annualità</w:t>
      </w:r>
      <w:r w:rsidRPr="004A10D6">
        <w:rPr>
          <w:rFonts w:ascii="Arial" w:hAnsi="Arial" w:cs="Arial"/>
          <w:sz w:val="24"/>
          <w:szCs w:val="24"/>
        </w:rPr>
        <w:t>: la durata è l’anno solare, decorso il quale non possono effettuarsi né accertamenti né impegni di spesa.</w:t>
      </w:r>
    </w:p>
    <w:p w:rsidR="00906E70" w:rsidRPr="004A10D6" w:rsidRDefault="00906E70" w:rsidP="00DB3112">
      <w:pPr>
        <w:tabs>
          <w:tab w:val="left" w:pos="360"/>
        </w:tabs>
        <w:suppressAutoHyphens/>
        <w:autoSpaceDE w:val="0"/>
        <w:autoSpaceDN/>
        <w:adjustRightInd/>
        <w:spacing w:after="0" w:line="240" w:lineRule="auto"/>
        <w:ind w:left="360"/>
        <w:rPr>
          <w:rFonts w:ascii="Arial" w:hAnsi="Arial" w:cs="Arial"/>
          <w:sz w:val="24"/>
          <w:szCs w:val="24"/>
        </w:rPr>
      </w:pPr>
      <w:r w:rsidRPr="004A10D6">
        <w:rPr>
          <w:rFonts w:ascii="Arial" w:hAnsi="Arial" w:cs="Arial"/>
          <w:b/>
          <w:bCs/>
          <w:sz w:val="24"/>
          <w:szCs w:val="24"/>
        </w:rPr>
        <w:t>Universalità ed integrità</w:t>
      </w:r>
      <w:r w:rsidRPr="004A10D6">
        <w:rPr>
          <w:rFonts w:ascii="Arial" w:hAnsi="Arial" w:cs="Arial"/>
          <w:sz w:val="24"/>
          <w:szCs w:val="24"/>
        </w:rPr>
        <w:t>: l’universalità significa che l’ente ha un’unica gestione finanziaria, non essendo ammesse né contabilità separate e gestioni finanziarie fuori bilancio. L’integrità  implica che tutte le entrate e le spese siano iscritte in bilancio in modo integrale</w:t>
      </w:r>
    </w:p>
    <w:p w:rsidR="00906E70" w:rsidRPr="004A10D6" w:rsidRDefault="00906E70" w:rsidP="00DB3112">
      <w:pPr>
        <w:tabs>
          <w:tab w:val="left" w:pos="360"/>
        </w:tabs>
        <w:suppressAutoHyphens/>
        <w:autoSpaceDE w:val="0"/>
        <w:autoSpaceDN/>
        <w:adjustRightInd/>
        <w:spacing w:after="0" w:line="240" w:lineRule="auto"/>
        <w:ind w:left="360"/>
        <w:rPr>
          <w:rFonts w:ascii="Arial" w:hAnsi="Arial" w:cs="Arial"/>
          <w:sz w:val="24"/>
          <w:szCs w:val="24"/>
        </w:rPr>
      </w:pPr>
      <w:r w:rsidRPr="004A10D6">
        <w:rPr>
          <w:rFonts w:ascii="Arial" w:hAnsi="Arial" w:cs="Arial"/>
          <w:b/>
          <w:bCs/>
          <w:sz w:val="24"/>
          <w:szCs w:val="24"/>
        </w:rPr>
        <w:t>Veridicità</w:t>
      </w:r>
      <w:r w:rsidRPr="004A10D6">
        <w:rPr>
          <w:rFonts w:ascii="Arial" w:hAnsi="Arial" w:cs="Arial"/>
          <w:sz w:val="24"/>
          <w:szCs w:val="24"/>
        </w:rPr>
        <w:t>: le scritture di bilancio devono corrispondere a verità, ma questo principio sostanzialmente significa attendibilità delle previsioni del bilancio revisionale alle situazioni finanziarie dell’anno successivo.</w:t>
      </w:r>
    </w:p>
    <w:p w:rsidR="00906E70" w:rsidRPr="004A10D6" w:rsidRDefault="00906E70" w:rsidP="00DB3112">
      <w:pPr>
        <w:tabs>
          <w:tab w:val="left" w:pos="360"/>
        </w:tabs>
        <w:suppressAutoHyphens/>
        <w:autoSpaceDE w:val="0"/>
        <w:autoSpaceDN/>
        <w:adjustRightInd/>
        <w:spacing w:after="0" w:line="240" w:lineRule="auto"/>
        <w:ind w:left="360"/>
        <w:rPr>
          <w:rFonts w:ascii="Arial" w:hAnsi="Arial" w:cs="Arial"/>
          <w:sz w:val="24"/>
          <w:szCs w:val="24"/>
        </w:rPr>
      </w:pPr>
      <w:r w:rsidRPr="004A10D6">
        <w:rPr>
          <w:rFonts w:ascii="Arial" w:hAnsi="Arial" w:cs="Arial"/>
          <w:b/>
          <w:bCs/>
          <w:sz w:val="24"/>
          <w:szCs w:val="24"/>
        </w:rPr>
        <w:t>Pareggio finanziario</w:t>
      </w:r>
      <w:r w:rsidRPr="004A10D6">
        <w:rPr>
          <w:rFonts w:ascii="Arial" w:hAnsi="Arial" w:cs="Arial"/>
          <w:sz w:val="24"/>
          <w:szCs w:val="24"/>
        </w:rPr>
        <w:t>: il totale delle previsioni di entrate deve esser uguale al totale delle previsioni di spesa nella fase revisionale</w:t>
      </w:r>
    </w:p>
    <w:p w:rsidR="00906E70" w:rsidRPr="004A10D6" w:rsidRDefault="00906E70" w:rsidP="00DB3112">
      <w:pPr>
        <w:tabs>
          <w:tab w:val="left" w:pos="360"/>
        </w:tabs>
        <w:suppressAutoHyphens/>
        <w:autoSpaceDE w:val="0"/>
        <w:autoSpaceDN/>
        <w:adjustRightInd/>
        <w:spacing w:after="0" w:line="240" w:lineRule="auto"/>
        <w:ind w:left="360"/>
        <w:rPr>
          <w:rFonts w:ascii="Arial" w:hAnsi="Arial" w:cs="Arial"/>
          <w:sz w:val="24"/>
          <w:szCs w:val="24"/>
        </w:rPr>
      </w:pPr>
      <w:r w:rsidRPr="004A10D6">
        <w:rPr>
          <w:rFonts w:ascii="Arial" w:hAnsi="Arial" w:cs="Arial"/>
          <w:b/>
          <w:bCs/>
          <w:sz w:val="24"/>
          <w:szCs w:val="24"/>
        </w:rPr>
        <w:t>Pubblicità</w:t>
      </w:r>
      <w:r w:rsidRPr="004A10D6">
        <w:rPr>
          <w:rFonts w:ascii="Arial" w:hAnsi="Arial" w:cs="Arial"/>
          <w:sz w:val="24"/>
          <w:szCs w:val="24"/>
        </w:rPr>
        <w:t>: il bilancio è un documento pubblico, infatti il comune deve assicurare ai cittadini la conoscenza del suo contenuto attraverso le modalità previste dallo statuto.</w:t>
      </w:r>
    </w:p>
    <w:p w:rsidR="00B02C6C" w:rsidRPr="004A10D6" w:rsidRDefault="00B02C6C" w:rsidP="00DB3112">
      <w:pPr>
        <w:ind w:left="360"/>
        <w:rPr>
          <w:rFonts w:ascii="Arial" w:hAnsi="Arial" w:cs="Arial"/>
          <w:sz w:val="24"/>
          <w:szCs w:val="24"/>
        </w:rPr>
      </w:pPr>
      <w:r w:rsidRPr="004A10D6">
        <w:rPr>
          <w:rFonts w:ascii="Arial" w:hAnsi="Arial" w:cs="Arial"/>
          <w:sz w:val="24"/>
          <w:szCs w:val="24"/>
        </w:rPr>
        <w:t>.</w:t>
      </w:r>
    </w:p>
    <w:p w:rsidR="0060297B" w:rsidRPr="004A10D6" w:rsidRDefault="0060297B" w:rsidP="00DB3112">
      <w:pPr>
        <w:pStyle w:val="NormaleWeb"/>
        <w:shd w:val="clear" w:color="auto" w:fill="F5FDFE"/>
        <w:ind w:left="360"/>
        <w:rPr>
          <w:rFonts w:ascii="Arial" w:hAnsi="Arial" w:cs="Arial"/>
          <w:color w:val="000000"/>
        </w:rPr>
      </w:pPr>
      <w:r w:rsidRPr="004A10D6">
        <w:rPr>
          <w:rFonts w:ascii="Arial" w:hAnsi="Arial" w:cs="Arial"/>
          <w:color w:val="000000"/>
        </w:rPr>
        <w:t>ESERCIZIO PROVVISORIO O GESTIONE PROVVISORIA</w:t>
      </w:r>
    </w:p>
    <w:p w:rsidR="0060297B" w:rsidRPr="004A10D6" w:rsidRDefault="0060297B" w:rsidP="00DB3112">
      <w:pPr>
        <w:pStyle w:val="NormaleWeb"/>
        <w:shd w:val="clear" w:color="auto" w:fill="F5FDFE"/>
        <w:ind w:left="360"/>
        <w:rPr>
          <w:rFonts w:ascii="Arial" w:hAnsi="Arial" w:cs="Arial"/>
          <w:color w:val="000000"/>
        </w:rPr>
      </w:pPr>
      <w:r w:rsidRPr="004A10D6">
        <w:rPr>
          <w:rFonts w:ascii="Arial" w:hAnsi="Arial" w:cs="Arial"/>
          <w:color w:val="000000"/>
        </w:rPr>
        <w:t>Se il bilancio di previsione non è approvato dal Consiglio entro il 31 dicembre dell'anno precedente, la gestione finanziaria dell'ente si svolge nel rispetto dei principi applicati della contabilità finanziaria riguardanti l'esercizio provvisorio o la gestione provvisoria. Nel corso dell'esercizio provvisorio o della gestione provvisoria, gli enti gestiscono gli stanziamenti di competenza previsti nell'ultimo bilancio approvato per l'esercizio cui si riferisce la gestione o l'esercizio provvisorio, ed effettuano i pagamenti entro i limiti determinati dalla somma dei residui al 31 dicembre dell'anno precedente e degli stanziamenti di competenza al netto del fondo pluriennale vincolato.</w:t>
      </w:r>
    </w:p>
    <w:p w:rsidR="0060297B" w:rsidRPr="004A10D6" w:rsidRDefault="0060297B" w:rsidP="00DB3112">
      <w:pPr>
        <w:pStyle w:val="NormaleWeb"/>
        <w:shd w:val="clear" w:color="auto" w:fill="F5FDFE"/>
        <w:ind w:left="360"/>
        <w:rPr>
          <w:rFonts w:ascii="Arial" w:hAnsi="Arial" w:cs="Arial"/>
          <w:color w:val="000000"/>
        </w:rPr>
      </w:pPr>
      <w:r w:rsidRPr="004A10D6">
        <w:rPr>
          <w:rFonts w:ascii="Arial" w:hAnsi="Arial" w:cs="Arial"/>
          <w:color w:val="000000"/>
        </w:rPr>
        <w:t xml:space="preserve">GESTIONE PROVVISORIA: Nel caso in cui il bilancio di esercizio non sia approvato entro il 31 dicembre e non sia stato autorizzato l'esercizio provvisorio, o il bilancio non sia stato approvato entro i termini previsti , è consentita esclusivamente una gestione provvisoria nei limiti dei corrispondenti stanziamenti di spesa dell'ultimo bilancio approvato per l'esercizio cui si riferisce la gestione provvisoria. Nel corso della gestione provvisoria l'ente può assumere solo obbligazioni derivanti da provvedimenti giurisdizionali esecutivi, quelle tassativamente regolate dalla legge e quelle necessarie ad evitare che siano arrecati </w:t>
      </w:r>
      <w:r w:rsidRPr="004A10D6">
        <w:rPr>
          <w:rFonts w:ascii="Arial" w:hAnsi="Arial" w:cs="Arial"/>
          <w:color w:val="000000"/>
        </w:rPr>
        <w:lastRenderedPageBreak/>
        <w:t>danni patrimoniali certi e gravi all'ente. Nel corso della gestione provvisoria l'ente può disporre pagamenti solo per l'assolvimento delle obbligazioni già assunte, delle obbligazioni derivanti da provvedimenti giurisdizionali esecutivi e di obblighi speciali tassativamente regolati dalla legge, per le spese di personale, di residui passivi, di rate di mutuo, di canoni, imposte e tasse, ed, in particolare, per le sole operazioni necessarie ad evitare che siano arrecati danni patrimoniali certi e gravi all'ente.</w:t>
      </w:r>
    </w:p>
    <w:p w:rsidR="0060297B" w:rsidRPr="004A10D6" w:rsidRDefault="0060297B" w:rsidP="00DB3112">
      <w:pPr>
        <w:pStyle w:val="NormaleWeb"/>
        <w:shd w:val="clear" w:color="auto" w:fill="F5FDFE"/>
        <w:ind w:left="360"/>
        <w:rPr>
          <w:rFonts w:ascii="Arial" w:hAnsi="Arial" w:cs="Arial"/>
          <w:color w:val="000000"/>
        </w:rPr>
      </w:pPr>
      <w:r w:rsidRPr="004A10D6">
        <w:rPr>
          <w:rFonts w:ascii="Arial" w:hAnsi="Arial" w:cs="Arial"/>
          <w:color w:val="000000"/>
        </w:rPr>
        <w:t>ESERCIZIO PROVVISORIO:L'esercizio provvisorio è autorizzato con legge o con decreto del Ministro dell'interno che differisce il termine di approvazione del bilancio, d'intesa con il Ministro dell'economia e delle finanze, sentita la Conferenza Stato-città ed autonomia locale, in presenza di motivate esigenze. Nel corso dell'esercizio provvisorio non è consentito il ricorso all'indebitamento e gli enti possono impegnare solo spese correnti, le eventuali spese correlate riguardanti le partite di giro, lavori pubblici di somma urgenza o altri interventi di somma urgenza. Nel corso dell'esercizio provvisorio è consentito il ricorso all'anticipazione di tesoreria  Nel corso dell'esercizio provvisorio, gli enti possono impegnare mensilmente,unitamente alla quota dei dodicesimi non utilizzata nei mesi precedenti, per ciascun programma, le spese per importi non superiori ad un dodicesimo degli stanziamenti del secondo esercizio del bilancio di previsione deliberato l'anno precedente, ridotti delle somme già impegnate negli esercizi precedenti e dell'importo accantonato al fondo pluriennale vincolato, con l'esclusione delle spese:</w:t>
      </w:r>
    </w:p>
    <w:p w:rsidR="0060297B" w:rsidRPr="004A10D6" w:rsidRDefault="0060297B" w:rsidP="00DB3112">
      <w:pPr>
        <w:pStyle w:val="NormaleWeb"/>
        <w:shd w:val="clear" w:color="auto" w:fill="F5FDFE"/>
        <w:ind w:left="360"/>
        <w:rPr>
          <w:rFonts w:ascii="Arial" w:hAnsi="Arial" w:cs="Arial"/>
          <w:color w:val="000000"/>
        </w:rPr>
      </w:pPr>
      <w:r w:rsidRPr="004A10D6">
        <w:rPr>
          <w:rFonts w:ascii="Arial" w:hAnsi="Arial" w:cs="Arial"/>
          <w:color w:val="000000"/>
        </w:rPr>
        <w:t>tassativamente regolate dalla legge;</w:t>
      </w:r>
      <w:r w:rsidRPr="004A10D6">
        <w:rPr>
          <w:rStyle w:val="apple-converted-space"/>
          <w:rFonts w:ascii="Arial" w:hAnsi="Arial" w:cs="Arial"/>
          <w:color w:val="000000"/>
        </w:rPr>
        <w:t> </w:t>
      </w:r>
      <w:r w:rsidRPr="004A10D6">
        <w:rPr>
          <w:rFonts w:ascii="Arial" w:hAnsi="Arial" w:cs="Arial"/>
          <w:color w:val="000000"/>
        </w:rPr>
        <w:br/>
        <w:t>b) non suscettibili di pagamento frazionato in dodicesimi;</w:t>
      </w:r>
      <w:r w:rsidRPr="004A10D6">
        <w:rPr>
          <w:rStyle w:val="apple-converted-space"/>
          <w:rFonts w:ascii="Arial" w:hAnsi="Arial" w:cs="Arial"/>
          <w:color w:val="000000"/>
        </w:rPr>
        <w:t> </w:t>
      </w:r>
      <w:r w:rsidRPr="004A10D6">
        <w:rPr>
          <w:rFonts w:ascii="Arial" w:hAnsi="Arial" w:cs="Arial"/>
          <w:color w:val="000000"/>
        </w:rPr>
        <w:br/>
        <w:t>c) a carattere continuativo necessarie per garantire il mantenimento del livello qualitativo e quantitativo dei servizi esistenti, impegnate a seguito della scadenza dei relativi contratti.</w:t>
      </w:r>
    </w:p>
    <w:p w:rsidR="0060297B" w:rsidRPr="004A10D6" w:rsidRDefault="0060297B" w:rsidP="00DB3112">
      <w:pPr>
        <w:pStyle w:val="NormaleWeb"/>
        <w:shd w:val="clear" w:color="auto" w:fill="F5FDFE"/>
        <w:ind w:left="360"/>
        <w:rPr>
          <w:rFonts w:ascii="Arial" w:hAnsi="Arial" w:cs="Arial"/>
          <w:color w:val="000000"/>
        </w:rPr>
      </w:pPr>
      <w:r w:rsidRPr="004A10D6">
        <w:rPr>
          <w:rFonts w:ascii="Arial" w:hAnsi="Arial" w:cs="Arial"/>
          <w:color w:val="000000"/>
        </w:rPr>
        <w:t>Nel corso dell'esercizio provvisorio, sono consentite le variazioni di bilancio previste dall'articolo 187, comma 3-quinquies, quelle riguardanti le variazioni del fondo pluriennale vincolato, quelle necessarie alla reimputazione agli esercizi in cui sono esigibili, di obbligazioni riguardanti entrate vincolate già assunte, e delle spese correlate, nei casi in cui anche la spesa è oggetto di reimputazione l'eventuale aggiornamento delle spese già impegnate. Tali variazioni rilevano solo ai fini della gestione dei dodicesimi.</w:t>
      </w:r>
    </w:p>
    <w:p w:rsidR="00B02C6C" w:rsidRPr="004A10D6" w:rsidRDefault="00886858" w:rsidP="00DB3112">
      <w:pPr>
        <w:tabs>
          <w:tab w:val="left" w:pos="900"/>
        </w:tabs>
        <w:ind w:left="360" w:right="675"/>
        <w:rPr>
          <w:rFonts w:ascii="Arial" w:hAnsi="Arial" w:cs="Arial"/>
          <w:sz w:val="24"/>
          <w:szCs w:val="24"/>
        </w:rPr>
      </w:pPr>
      <w:r w:rsidRPr="004A10D6">
        <w:rPr>
          <w:rFonts w:ascii="Arial" w:hAnsi="Arial" w:cs="Arial"/>
          <w:sz w:val="24"/>
          <w:szCs w:val="24"/>
        </w:rPr>
        <w:t>FONDO DI RISERVA</w:t>
      </w:r>
    </w:p>
    <w:p w:rsidR="008C7C89" w:rsidRPr="004A10D6" w:rsidRDefault="00886858" w:rsidP="00DB3112">
      <w:pPr>
        <w:ind w:left="360" w:right="49"/>
        <w:rPr>
          <w:rFonts w:ascii="Arial" w:hAnsi="Arial" w:cs="Arial"/>
          <w:b/>
          <w:bCs/>
          <w:sz w:val="24"/>
          <w:szCs w:val="24"/>
        </w:rPr>
      </w:pPr>
      <w:r w:rsidRPr="004A10D6">
        <w:rPr>
          <w:rFonts w:ascii="Arial" w:hAnsi="Arial" w:cs="Arial"/>
          <w:sz w:val="24"/>
          <w:szCs w:val="24"/>
        </w:rPr>
        <w:t>Nella missione “Fondi e Accantonamenti”, all’interno del programma “Fondo di riserva”, gli enti locali iscrivono un fondo di riserva non inferiore allo 0,30 e non superiore al 2 per cento del totale delle spese correnti di competenza inizialmente previste in bilancio, utilizzato con deliberazioni dell’organo esecutivo</w:t>
      </w:r>
      <w:r w:rsidR="00906E70" w:rsidRPr="004A10D6">
        <w:rPr>
          <w:rFonts w:ascii="Arial" w:hAnsi="Arial" w:cs="Arial"/>
          <w:sz w:val="24"/>
          <w:szCs w:val="24"/>
        </w:rPr>
        <w:t xml:space="preserve">, , nei casi in cui si verifichino </w:t>
      </w:r>
      <w:r w:rsidR="00906E70" w:rsidRPr="004A10D6">
        <w:rPr>
          <w:rFonts w:ascii="Arial" w:hAnsi="Arial" w:cs="Arial"/>
          <w:b/>
          <w:bCs/>
          <w:sz w:val="24"/>
          <w:szCs w:val="24"/>
        </w:rPr>
        <w:t>esigenze straordinarie</w:t>
      </w:r>
      <w:r w:rsidR="00906E70" w:rsidRPr="004A10D6">
        <w:rPr>
          <w:rFonts w:ascii="Arial" w:hAnsi="Arial" w:cs="Arial"/>
          <w:sz w:val="24"/>
          <w:szCs w:val="24"/>
        </w:rPr>
        <w:t xml:space="preserve"> di bilancio o le </w:t>
      </w:r>
      <w:r w:rsidR="00906E70" w:rsidRPr="004A10D6">
        <w:rPr>
          <w:rFonts w:ascii="Arial" w:hAnsi="Arial" w:cs="Arial"/>
          <w:b/>
          <w:bCs/>
          <w:sz w:val="24"/>
          <w:szCs w:val="24"/>
        </w:rPr>
        <w:t>dotazioni degli interventi</w:t>
      </w:r>
      <w:r w:rsidR="00906E70" w:rsidRPr="004A10D6">
        <w:rPr>
          <w:rFonts w:ascii="Arial" w:hAnsi="Arial" w:cs="Arial"/>
          <w:sz w:val="24"/>
          <w:szCs w:val="24"/>
        </w:rPr>
        <w:t xml:space="preserve"> di spesa corrente si rivelino </w:t>
      </w:r>
      <w:r w:rsidR="00906E70" w:rsidRPr="004A10D6">
        <w:rPr>
          <w:rFonts w:ascii="Arial" w:hAnsi="Arial" w:cs="Arial"/>
          <w:b/>
          <w:bCs/>
          <w:sz w:val="24"/>
          <w:szCs w:val="24"/>
        </w:rPr>
        <w:t>insufficienti.</w:t>
      </w:r>
    </w:p>
    <w:p w:rsidR="008C7C89" w:rsidRPr="004A10D6" w:rsidRDefault="008C7C89" w:rsidP="00DB3112">
      <w:pPr>
        <w:ind w:left="360" w:right="49"/>
        <w:rPr>
          <w:rFonts w:ascii="Arial" w:hAnsi="Arial" w:cs="Arial"/>
          <w:b/>
          <w:bCs/>
          <w:sz w:val="24"/>
          <w:szCs w:val="24"/>
        </w:rPr>
      </w:pPr>
      <w:r w:rsidRPr="004A10D6">
        <w:rPr>
          <w:rFonts w:ascii="Arial" w:hAnsi="Arial" w:cs="Arial"/>
          <w:b/>
          <w:bCs/>
          <w:sz w:val="24"/>
          <w:szCs w:val="24"/>
        </w:rPr>
        <w:t>Allegati al bilancio</w:t>
      </w:r>
    </w:p>
    <w:p w:rsidR="008C7C89" w:rsidRPr="004A10D6" w:rsidRDefault="008C7C89" w:rsidP="00DB3112">
      <w:pPr>
        <w:ind w:left="360" w:right="49"/>
        <w:rPr>
          <w:rFonts w:ascii="Arial" w:hAnsi="Arial" w:cs="Arial"/>
          <w:bCs/>
          <w:sz w:val="24"/>
          <w:szCs w:val="24"/>
        </w:rPr>
      </w:pPr>
      <w:r w:rsidRPr="004A10D6">
        <w:rPr>
          <w:rFonts w:ascii="Arial" w:hAnsi="Arial" w:cs="Arial"/>
          <w:bCs/>
          <w:sz w:val="24"/>
          <w:szCs w:val="24"/>
        </w:rPr>
        <w:t>Al bilancio vanno allegati i seguenti documenti:</w:t>
      </w:r>
    </w:p>
    <w:p w:rsidR="008C7C89" w:rsidRPr="004A10D6" w:rsidRDefault="008C7C89" w:rsidP="00DB3112">
      <w:pPr>
        <w:ind w:left="360" w:right="49"/>
        <w:rPr>
          <w:rFonts w:ascii="Arial" w:hAnsi="Arial" w:cs="Arial"/>
          <w:bCs/>
          <w:sz w:val="24"/>
          <w:szCs w:val="24"/>
        </w:rPr>
      </w:pPr>
      <w:r w:rsidRPr="004A10D6">
        <w:rPr>
          <w:rFonts w:ascii="Arial" w:hAnsi="Arial" w:cs="Arial"/>
          <w:bCs/>
          <w:sz w:val="24"/>
          <w:szCs w:val="24"/>
        </w:rPr>
        <w:lastRenderedPageBreak/>
        <w:t>Tabella rappresentativa del presunto risultato di amministrazione( rileva il risultato presunto dell’esercizio precedente</w:t>
      </w:r>
    </w:p>
    <w:p w:rsidR="008C7C89" w:rsidRPr="004A10D6" w:rsidRDefault="008C7C89" w:rsidP="00DB3112">
      <w:pPr>
        <w:ind w:left="360" w:right="49"/>
        <w:rPr>
          <w:rFonts w:ascii="Arial" w:hAnsi="Arial" w:cs="Arial"/>
          <w:bCs/>
          <w:sz w:val="24"/>
          <w:szCs w:val="24"/>
        </w:rPr>
      </w:pPr>
      <w:r w:rsidRPr="004A10D6">
        <w:rPr>
          <w:rFonts w:ascii="Arial" w:hAnsi="Arial" w:cs="Arial"/>
          <w:bCs/>
          <w:sz w:val="24"/>
          <w:szCs w:val="24"/>
        </w:rPr>
        <w:t>Prospetto del fondo pluriennale vincolato</w:t>
      </w:r>
    </w:p>
    <w:p w:rsidR="008C7C89" w:rsidRPr="004A10D6" w:rsidRDefault="008C7C89" w:rsidP="00DB3112">
      <w:pPr>
        <w:ind w:left="360" w:right="49"/>
        <w:rPr>
          <w:rFonts w:ascii="Arial" w:hAnsi="Arial" w:cs="Arial"/>
          <w:bCs/>
          <w:sz w:val="24"/>
          <w:szCs w:val="24"/>
        </w:rPr>
      </w:pPr>
      <w:r w:rsidRPr="004A10D6">
        <w:rPr>
          <w:rFonts w:ascii="Arial" w:hAnsi="Arial" w:cs="Arial"/>
          <w:bCs/>
          <w:sz w:val="24"/>
          <w:szCs w:val="24"/>
        </w:rPr>
        <w:t>Prospetto del fondo crediti di dubbia esigibilità</w:t>
      </w:r>
    </w:p>
    <w:p w:rsidR="008C7C89" w:rsidRPr="004A10D6" w:rsidRDefault="008C7C89" w:rsidP="00DB3112">
      <w:pPr>
        <w:ind w:left="360" w:right="49"/>
        <w:rPr>
          <w:rFonts w:ascii="Arial" w:hAnsi="Arial" w:cs="Arial"/>
          <w:bCs/>
          <w:sz w:val="24"/>
          <w:szCs w:val="24"/>
        </w:rPr>
      </w:pPr>
      <w:r w:rsidRPr="004A10D6">
        <w:rPr>
          <w:rFonts w:ascii="Arial" w:hAnsi="Arial" w:cs="Arial"/>
          <w:bCs/>
          <w:sz w:val="24"/>
          <w:szCs w:val="24"/>
        </w:rPr>
        <w:t>Prospetto del rispetto dei vincoli di indebitamento</w:t>
      </w:r>
    </w:p>
    <w:p w:rsidR="008C7C89" w:rsidRPr="004A10D6" w:rsidRDefault="008C7C89" w:rsidP="00DB3112">
      <w:pPr>
        <w:ind w:left="360" w:right="49"/>
        <w:rPr>
          <w:rFonts w:ascii="Arial" w:hAnsi="Arial" w:cs="Arial"/>
          <w:bCs/>
          <w:sz w:val="24"/>
          <w:szCs w:val="24"/>
        </w:rPr>
      </w:pPr>
      <w:r w:rsidRPr="004A10D6">
        <w:rPr>
          <w:rFonts w:ascii="Arial" w:hAnsi="Arial" w:cs="Arial"/>
          <w:bCs/>
          <w:sz w:val="24"/>
          <w:szCs w:val="24"/>
        </w:rPr>
        <w:t>Pros</w:t>
      </w:r>
      <w:r w:rsidR="00C661E9" w:rsidRPr="004A10D6">
        <w:rPr>
          <w:rFonts w:ascii="Arial" w:hAnsi="Arial" w:cs="Arial"/>
          <w:bCs/>
          <w:sz w:val="24"/>
          <w:szCs w:val="24"/>
        </w:rPr>
        <w:t>p</w:t>
      </w:r>
      <w:r w:rsidRPr="004A10D6">
        <w:rPr>
          <w:rFonts w:ascii="Arial" w:hAnsi="Arial" w:cs="Arial"/>
          <w:bCs/>
          <w:sz w:val="24"/>
          <w:szCs w:val="24"/>
        </w:rPr>
        <w:t>etto delle spese previste per l’utilizzo di contributi e trasferimenti da parte di enti comunitarie internazionali</w:t>
      </w:r>
    </w:p>
    <w:p w:rsidR="008C7C89" w:rsidRPr="004A10D6" w:rsidRDefault="008C7C89" w:rsidP="00DB3112">
      <w:pPr>
        <w:ind w:left="360" w:right="49"/>
        <w:rPr>
          <w:rFonts w:ascii="Arial" w:hAnsi="Arial" w:cs="Arial"/>
          <w:bCs/>
          <w:sz w:val="24"/>
          <w:szCs w:val="24"/>
        </w:rPr>
      </w:pPr>
      <w:r w:rsidRPr="004A10D6">
        <w:rPr>
          <w:rFonts w:ascii="Arial" w:hAnsi="Arial" w:cs="Arial"/>
          <w:bCs/>
          <w:sz w:val="24"/>
          <w:szCs w:val="24"/>
        </w:rPr>
        <w:t xml:space="preserve">Prospetto delle spese previste per lo svolgimento di funzioni delegate dalle regioni </w:t>
      </w:r>
    </w:p>
    <w:p w:rsidR="008C7C89" w:rsidRPr="004A10D6" w:rsidRDefault="008C7C89" w:rsidP="00DB3112">
      <w:pPr>
        <w:ind w:left="360" w:right="49"/>
        <w:rPr>
          <w:rFonts w:ascii="Arial" w:hAnsi="Arial" w:cs="Arial"/>
          <w:bCs/>
          <w:sz w:val="24"/>
          <w:szCs w:val="24"/>
        </w:rPr>
      </w:pPr>
      <w:r w:rsidRPr="004A10D6">
        <w:rPr>
          <w:rFonts w:ascii="Arial" w:hAnsi="Arial" w:cs="Arial"/>
          <w:bCs/>
          <w:sz w:val="24"/>
          <w:szCs w:val="24"/>
        </w:rPr>
        <w:t>Nota integrativa</w:t>
      </w:r>
    </w:p>
    <w:p w:rsidR="008C7C89" w:rsidRPr="004A10D6" w:rsidRDefault="008C7C89" w:rsidP="00DB3112">
      <w:pPr>
        <w:ind w:left="360" w:right="49"/>
        <w:rPr>
          <w:rFonts w:ascii="Arial" w:hAnsi="Arial" w:cs="Arial"/>
          <w:bCs/>
          <w:sz w:val="24"/>
          <w:szCs w:val="24"/>
        </w:rPr>
      </w:pPr>
      <w:r w:rsidRPr="004A10D6">
        <w:rPr>
          <w:rFonts w:ascii="Arial" w:hAnsi="Arial" w:cs="Arial"/>
          <w:bCs/>
          <w:sz w:val="24"/>
          <w:szCs w:val="24"/>
        </w:rPr>
        <w:t>Relazione Collegio Revisori</w:t>
      </w:r>
    </w:p>
    <w:p w:rsidR="008C7C89" w:rsidRPr="004A10D6" w:rsidRDefault="008C7C89" w:rsidP="00DB3112">
      <w:pPr>
        <w:ind w:left="360" w:right="49"/>
        <w:rPr>
          <w:rFonts w:ascii="Arial" w:hAnsi="Arial" w:cs="Arial"/>
          <w:bCs/>
          <w:sz w:val="24"/>
          <w:szCs w:val="24"/>
        </w:rPr>
      </w:pPr>
      <w:r w:rsidRPr="004A10D6">
        <w:rPr>
          <w:rFonts w:ascii="Arial" w:hAnsi="Arial" w:cs="Arial"/>
          <w:bCs/>
          <w:sz w:val="24"/>
          <w:szCs w:val="24"/>
        </w:rPr>
        <w:t>-elenco indirizzi internet in cui sono stati pubblicati il rendiconto di gestione e il bilancio consolidato inerenti al penultimo esercizio</w:t>
      </w:r>
    </w:p>
    <w:p w:rsidR="008C7C89" w:rsidRPr="004A10D6" w:rsidRDefault="008C7C89" w:rsidP="00DB3112">
      <w:pPr>
        <w:ind w:left="360" w:right="49"/>
        <w:rPr>
          <w:rFonts w:ascii="Arial" w:hAnsi="Arial" w:cs="Arial"/>
          <w:bCs/>
          <w:sz w:val="24"/>
          <w:szCs w:val="24"/>
        </w:rPr>
      </w:pPr>
      <w:r w:rsidRPr="004A10D6">
        <w:rPr>
          <w:rFonts w:ascii="Arial" w:hAnsi="Arial" w:cs="Arial"/>
          <w:bCs/>
          <w:sz w:val="24"/>
          <w:szCs w:val="24"/>
        </w:rPr>
        <w:t>Deliberazione con la quale i comuni annualmente verificano la quantità e qualità delle aree e fabbricati da destinarsi a residenza /attività produttive/terziarie</w:t>
      </w:r>
    </w:p>
    <w:p w:rsidR="008C7C89" w:rsidRPr="004A10D6" w:rsidRDefault="008C7C89" w:rsidP="00DB3112">
      <w:pPr>
        <w:ind w:left="360" w:right="49"/>
        <w:rPr>
          <w:rFonts w:ascii="Arial" w:hAnsi="Arial" w:cs="Arial"/>
          <w:bCs/>
          <w:sz w:val="24"/>
          <w:szCs w:val="24"/>
        </w:rPr>
      </w:pPr>
      <w:r w:rsidRPr="004A10D6">
        <w:rPr>
          <w:rFonts w:ascii="Arial" w:hAnsi="Arial" w:cs="Arial"/>
          <w:bCs/>
          <w:sz w:val="24"/>
          <w:szCs w:val="24"/>
        </w:rPr>
        <w:t>Deliberazioni per tariffe, aliquote tributi locali</w:t>
      </w:r>
    </w:p>
    <w:p w:rsidR="008C7C89" w:rsidRPr="004A10D6" w:rsidRDefault="008C7C89" w:rsidP="00DB3112">
      <w:pPr>
        <w:ind w:left="360" w:right="49"/>
        <w:rPr>
          <w:rFonts w:ascii="Arial" w:hAnsi="Arial" w:cs="Arial"/>
          <w:bCs/>
          <w:sz w:val="24"/>
          <w:szCs w:val="24"/>
        </w:rPr>
      </w:pPr>
      <w:r w:rsidRPr="004A10D6">
        <w:rPr>
          <w:rFonts w:ascii="Arial" w:hAnsi="Arial" w:cs="Arial"/>
          <w:bCs/>
          <w:sz w:val="24"/>
          <w:szCs w:val="24"/>
        </w:rPr>
        <w:t>Tabella relativa ai parametri di riscontro della situazione di deficitarietà strutturale dell’ente</w:t>
      </w:r>
    </w:p>
    <w:p w:rsidR="008C7C89" w:rsidRPr="004A10D6" w:rsidRDefault="008C7C89" w:rsidP="00DB3112">
      <w:pPr>
        <w:ind w:left="360" w:right="49"/>
        <w:rPr>
          <w:rFonts w:ascii="Arial" w:hAnsi="Arial" w:cs="Arial"/>
          <w:bCs/>
          <w:sz w:val="24"/>
          <w:szCs w:val="24"/>
        </w:rPr>
      </w:pPr>
      <w:r w:rsidRPr="004A10D6">
        <w:rPr>
          <w:rFonts w:ascii="Arial" w:hAnsi="Arial" w:cs="Arial"/>
          <w:bCs/>
          <w:sz w:val="24"/>
          <w:szCs w:val="24"/>
        </w:rPr>
        <w:t xml:space="preserve">Prospetto della concordanza tra bilancio di previsione e obiettivo programmatico di stabilità </w:t>
      </w:r>
    </w:p>
    <w:p w:rsidR="00A22492" w:rsidRPr="004A10D6" w:rsidRDefault="00A22492" w:rsidP="00DB3112">
      <w:pPr>
        <w:ind w:left="360"/>
        <w:rPr>
          <w:rFonts w:ascii="Arial" w:hAnsi="Arial" w:cs="Arial"/>
          <w:sz w:val="24"/>
          <w:szCs w:val="24"/>
        </w:rPr>
      </w:pPr>
      <w:r w:rsidRPr="004A10D6">
        <w:rPr>
          <w:rFonts w:ascii="Arial" w:hAnsi="Arial" w:cs="Arial"/>
          <w:sz w:val="24"/>
          <w:szCs w:val="24"/>
        </w:rPr>
        <w:t>GGESTIONE DEL BILANCIO</w:t>
      </w:r>
    </w:p>
    <w:p w:rsidR="00B02C6C" w:rsidRPr="004A10D6" w:rsidRDefault="00B02C6C" w:rsidP="00DB3112">
      <w:pPr>
        <w:ind w:left="360"/>
        <w:rPr>
          <w:rFonts w:ascii="Arial" w:hAnsi="Arial" w:cs="Arial"/>
          <w:sz w:val="24"/>
          <w:szCs w:val="24"/>
        </w:rPr>
      </w:pPr>
      <w:r w:rsidRPr="004A10D6">
        <w:rPr>
          <w:rFonts w:ascii="Arial" w:hAnsi="Arial" w:cs="Arial"/>
          <w:sz w:val="24"/>
          <w:szCs w:val="24"/>
        </w:rPr>
        <w:t>La gestione dell’entrate e delle spese è suddivisa in fasi:</w:t>
      </w:r>
    </w:p>
    <w:p w:rsidR="00B02C6C" w:rsidRPr="004A10D6" w:rsidRDefault="00B02C6C" w:rsidP="00DB3112">
      <w:pPr>
        <w:tabs>
          <w:tab w:val="left" w:pos="720"/>
        </w:tabs>
        <w:suppressAutoHyphens/>
        <w:autoSpaceDE w:val="0"/>
        <w:autoSpaceDN/>
        <w:adjustRightInd/>
        <w:spacing w:after="0" w:line="240" w:lineRule="auto"/>
        <w:ind w:left="360"/>
        <w:rPr>
          <w:rFonts w:ascii="Arial" w:hAnsi="Arial" w:cs="Arial"/>
          <w:b/>
          <w:bCs/>
          <w:sz w:val="24"/>
          <w:szCs w:val="24"/>
        </w:rPr>
      </w:pPr>
      <w:r w:rsidRPr="004A10D6">
        <w:rPr>
          <w:rFonts w:ascii="Arial" w:hAnsi="Arial" w:cs="Arial"/>
          <w:b/>
          <w:bCs/>
          <w:sz w:val="24"/>
          <w:szCs w:val="24"/>
        </w:rPr>
        <w:t>GESTIONE DELL’ENTRATE</w:t>
      </w:r>
    </w:p>
    <w:p w:rsidR="00B02C6C" w:rsidRPr="004A10D6" w:rsidRDefault="00B02C6C" w:rsidP="00DB3112">
      <w:pPr>
        <w:ind w:left="708"/>
        <w:rPr>
          <w:rFonts w:ascii="Arial" w:hAnsi="Arial" w:cs="Arial"/>
          <w:b/>
          <w:bCs/>
          <w:sz w:val="24"/>
          <w:szCs w:val="24"/>
        </w:rPr>
      </w:pPr>
    </w:p>
    <w:p w:rsidR="00B02C6C" w:rsidRPr="004A10D6" w:rsidRDefault="00B02C6C" w:rsidP="00DB3112">
      <w:pPr>
        <w:ind w:left="360"/>
        <w:rPr>
          <w:rFonts w:ascii="Arial" w:hAnsi="Arial" w:cs="Arial"/>
          <w:b/>
          <w:bCs/>
          <w:sz w:val="24"/>
          <w:szCs w:val="24"/>
        </w:rPr>
      </w:pPr>
      <w:r w:rsidRPr="004A10D6">
        <w:rPr>
          <w:rFonts w:ascii="Arial" w:hAnsi="Arial" w:cs="Arial"/>
          <w:b/>
          <w:bCs/>
          <w:sz w:val="24"/>
          <w:szCs w:val="24"/>
        </w:rPr>
        <w:t>Accertamento:</w:t>
      </w:r>
    </w:p>
    <w:p w:rsidR="00B02C6C" w:rsidRPr="004A10D6" w:rsidRDefault="00B02C6C" w:rsidP="00DB3112">
      <w:pPr>
        <w:ind w:left="360"/>
        <w:rPr>
          <w:rFonts w:ascii="Arial" w:hAnsi="Arial" w:cs="Arial"/>
          <w:sz w:val="24"/>
          <w:szCs w:val="24"/>
        </w:rPr>
      </w:pPr>
      <w:r w:rsidRPr="004A10D6">
        <w:rPr>
          <w:rFonts w:ascii="Arial" w:hAnsi="Arial" w:cs="Arial"/>
          <w:sz w:val="24"/>
          <w:szCs w:val="24"/>
        </w:rPr>
        <w:t xml:space="preserve">La gestione dell’entrate è attribuita ai singoli responsabili dei servizi; in questa fase i responsabili accertano le entrate attribuite dal bilancio verificando i documenti  </w:t>
      </w:r>
    </w:p>
    <w:p w:rsidR="00B02C6C" w:rsidRPr="004A10D6" w:rsidRDefault="00B02C6C" w:rsidP="00DB3112">
      <w:pPr>
        <w:ind w:left="708"/>
        <w:rPr>
          <w:rFonts w:ascii="Arial" w:hAnsi="Arial" w:cs="Arial"/>
          <w:b/>
          <w:bCs/>
          <w:sz w:val="24"/>
          <w:szCs w:val="24"/>
        </w:rPr>
      </w:pPr>
    </w:p>
    <w:p w:rsidR="00B02C6C" w:rsidRPr="004A10D6" w:rsidRDefault="00B02C6C" w:rsidP="00DB3112">
      <w:pPr>
        <w:ind w:left="360"/>
        <w:rPr>
          <w:rFonts w:ascii="Arial" w:hAnsi="Arial" w:cs="Arial"/>
          <w:b/>
          <w:bCs/>
          <w:sz w:val="24"/>
          <w:szCs w:val="24"/>
        </w:rPr>
      </w:pPr>
      <w:r w:rsidRPr="004A10D6">
        <w:rPr>
          <w:rFonts w:ascii="Arial" w:hAnsi="Arial" w:cs="Arial"/>
          <w:b/>
          <w:bCs/>
          <w:sz w:val="24"/>
          <w:szCs w:val="24"/>
        </w:rPr>
        <w:t>Riscossione:</w:t>
      </w:r>
    </w:p>
    <w:p w:rsidR="00B02C6C" w:rsidRPr="004A10D6" w:rsidRDefault="00B02C6C" w:rsidP="00DB3112">
      <w:pPr>
        <w:ind w:left="360"/>
        <w:rPr>
          <w:rFonts w:ascii="Arial" w:hAnsi="Arial" w:cs="Arial"/>
          <w:sz w:val="24"/>
          <w:szCs w:val="24"/>
        </w:rPr>
      </w:pPr>
      <w:r w:rsidRPr="004A10D6">
        <w:rPr>
          <w:rFonts w:ascii="Arial" w:hAnsi="Arial" w:cs="Arial"/>
          <w:sz w:val="24"/>
          <w:szCs w:val="24"/>
        </w:rPr>
        <w:lastRenderedPageBreak/>
        <w:t>Questa fase si realizza con l’emissione degli ordinativi di incasso trasmessi dal responsabile del servizio al Tesoriere; questo a sua volta le registra tra le partite sospese</w:t>
      </w:r>
    </w:p>
    <w:p w:rsidR="00B02C6C" w:rsidRPr="004A10D6" w:rsidRDefault="00B02C6C" w:rsidP="00DB3112">
      <w:pPr>
        <w:ind w:left="708"/>
        <w:rPr>
          <w:rFonts w:ascii="Arial" w:hAnsi="Arial" w:cs="Arial"/>
          <w:b/>
          <w:bCs/>
          <w:sz w:val="24"/>
          <w:szCs w:val="24"/>
        </w:rPr>
      </w:pPr>
    </w:p>
    <w:p w:rsidR="00B02C6C" w:rsidRPr="004A10D6" w:rsidRDefault="00B02C6C" w:rsidP="00DB3112">
      <w:pPr>
        <w:ind w:left="360"/>
        <w:rPr>
          <w:rFonts w:ascii="Arial" w:hAnsi="Arial" w:cs="Arial"/>
          <w:b/>
          <w:bCs/>
          <w:sz w:val="24"/>
          <w:szCs w:val="24"/>
        </w:rPr>
      </w:pPr>
      <w:r w:rsidRPr="004A10D6">
        <w:rPr>
          <w:rFonts w:ascii="Arial" w:hAnsi="Arial" w:cs="Arial"/>
          <w:b/>
          <w:bCs/>
          <w:sz w:val="24"/>
          <w:szCs w:val="24"/>
        </w:rPr>
        <w:t>Versamento:</w:t>
      </w:r>
    </w:p>
    <w:p w:rsidR="00B02C6C" w:rsidRPr="004A10D6" w:rsidRDefault="00B02C6C" w:rsidP="00DB3112">
      <w:pPr>
        <w:ind w:left="1080"/>
        <w:rPr>
          <w:rFonts w:ascii="Arial" w:hAnsi="Arial" w:cs="Arial"/>
          <w:sz w:val="24"/>
          <w:szCs w:val="24"/>
        </w:rPr>
      </w:pPr>
      <w:r w:rsidRPr="004A10D6">
        <w:rPr>
          <w:rFonts w:ascii="Arial" w:hAnsi="Arial" w:cs="Arial"/>
          <w:sz w:val="24"/>
          <w:szCs w:val="24"/>
        </w:rPr>
        <w:t>e’ la fase in cui, i soggetti diversi dal tesoriere , incaricati alla riscossione, versano le somme riscosse nelle casse della tesoreria comunale</w:t>
      </w:r>
    </w:p>
    <w:p w:rsidR="00B02C6C" w:rsidRPr="004A10D6" w:rsidRDefault="00B02C6C" w:rsidP="00DB3112">
      <w:pPr>
        <w:ind w:left="708"/>
        <w:rPr>
          <w:rFonts w:ascii="Arial" w:hAnsi="Arial" w:cs="Arial"/>
          <w:b/>
          <w:bCs/>
          <w:sz w:val="24"/>
          <w:szCs w:val="24"/>
        </w:rPr>
      </w:pPr>
    </w:p>
    <w:p w:rsidR="00B02C6C" w:rsidRPr="004A10D6" w:rsidRDefault="00B02C6C" w:rsidP="00DB3112">
      <w:pPr>
        <w:tabs>
          <w:tab w:val="left" w:pos="720"/>
        </w:tabs>
        <w:suppressAutoHyphens/>
        <w:autoSpaceDE w:val="0"/>
        <w:autoSpaceDN/>
        <w:adjustRightInd/>
        <w:spacing w:after="0" w:line="240" w:lineRule="auto"/>
        <w:ind w:left="360"/>
        <w:rPr>
          <w:rFonts w:ascii="Arial" w:hAnsi="Arial" w:cs="Arial"/>
          <w:b/>
          <w:bCs/>
          <w:sz w:val="24"/>
          <w:szCs w:val="24"/>
        </w:rPr>
      </w:pPr>
      <w:r w:rsidRPr="004A10D6">
        <w:rPr>
          <w:rFonts w:ascii="Arial" w:hAnsi="Arial" w:cs="Arial"/>
          <w:b/>
          <w:bCs/>
          <w:sz w:val="24"/>
          <w:szCs w:val="24"/>
        </w:rPr>
        <w:t>GESTIONE DELLA SPESA</w:t>
      </w:r>
    </w:p>
    <w:p w:rsidR="00B02C6C" w:rsidRPr="004A10D6" w:rsidRDefault="00B02C6C" w:rsidP="00DB3112">
      <w:pPr>
        <w:ind w:left="1080"/>
        <w:rPr>
          <w:rFonts w:ascii="Arial" w:hAnsi="Arial" w:cs="Arial"/>
          <w:sz w:val="24"/>
          <w:szCs w:val="24"/>
        </w:rPr>
      </w:pPr>
      <w:r w:rsidRPr="004A10D6">
        <w:rPr>
          <w:rFonts w:ascii="Arial" w:hAnsi="Arial" w:cs="Arial"/>
          <w:b/>
          <w:bCs/>
          <w:sz w:val="24"/>
          <w:szCs w:val="24"/>
        </w:rPr>
        <w:t>Impegno</w:t>
      </w:r>
      <w:r w:rsidRPr="004A10D6">
        <w:rPr>
          <w:rFonts w:ascii="Arial" w:hAnsi="Arial" w:cs="Arial"/>
          <w:sz w:val="24"/>
          <w:szCs w:val="24"/>
        </w:rPr>
        <w:t>:</w:t>
      </w:r>
    </w:p>
    <w:p w:rsidR="00B02C6C" w:rsidRPr="004A10D6" w:rsidRDefault="00B02C6C" w:rsidP="00DB3112">
      <w:pPr>
        <w:ind w:left="1080"/>
        <w:rPr>
          <w:rFonts w:ascii="Arial" w:hAnsi="Arial" w:cs="Arial"/>
          <w:sz w:val="24"/>
          <w:szCs w:val="24"/>
        </w:rPr>
      </w:pPr>
      <w:r w:rsidRPr="004A10D6">
        <w:rPr>
          <w:rFonts w:ascii="Arial" w:hAnsi="Arial" w:cs="Arial"/>
          <w:sz w:val="24"/>
          <w:szCs w:val="24"/>
        </w:rPr>
        <w:t>questa fase rappresenta il vincolo di una somma di denaro per l’adempimento di una obbligazione perfetta a favore di un terzo. L’impegno di spesa si assume attraverso un atto amministrativo del responsabile del servizio definita DETERMINA, con la quale viene approvata la spesa e si assumono l’impegno in attuazione di quanto previsto nel bilancio e nel PEG.Il responsabile del servizio effettua le attestazioni di copertura della spesa prendendo in considerazione la disponibilità presente negli stanziamenti del bilancio.</w:t>
      </w:r>
    </w:p>
    <w:p w:rsidR="00B02C6C" w:rsidRPr="004A10D6" w:rsidRDefault="00B02C6C" w:rsidP="00DB3112">
      <w:pPr>
        <w:ind w:left="1080"/>
        <w:rPr>
          <w:rFonts w:ascii="Arial" w:hAnsi="Arial" w:cs="Arial"/>
          <w:sz w:val="24"/>
          <w:szCs w:val="24"/>
        </w:rPr>
      </w:pPr>
      <w:r w:rsidRPr="004A10D6">
        <w:rPr>
          <w:rFonts w:ascii="Arial" w:hAnsi="Arial" w:cs="Arial"/>
          <w:sz w:val="24"/>
          <w:szCs w:val="24"/>
        </w:rPr>
        <w:t>Esistono poi delle tipologie di spesa che non sono necessariamente precedute da atti amministrativi ma che sono considerate impegnate per effetto del loro inserimento nel bilancio di previsione annuale.</w:t>
      </w:r>
      <w:r w:rsidRPr="004A10D6">
        <w:rPr>
          <w:rFonts w:ascii="Arial" w:hAnsi="Arial" w:cs="Arial"/>
          <w:sz w:val="24"/>
          <w:szCs w:val="24"/>
        </w:rPr>
        <w:tab/>
      </w:r>
    </w:p>
    <w:p w:rsidR="00B02C6C" w:rsidRPr="004A10D6" w:rsidRDefault="00B02C6C" w:rsidP="00DB3112">
      <w:pPr>
        <w:tabs>
          <w:tab w:val="left" w:pos="2160"/>
        </w:tabs>
        <w:ind w:left="1080" w:right="675"/>
        <w:rPr>
          <w:rFonts w:ascii="Arial" w:hAnsi="Arial" w:cs="Arial"/>
          <w:sz w:val="24"/>
          <w:szCs w:val="24"/>
        </w:rPr>
      </w:pPr>
      <w:r w:rsidRPr="004A10D6">
        <w:rPr>
          <w:rFonts w:ascii="Arial" w:hAnsi="Arial" w:cs="Arial"/>
          <w:sz w:val="24"/>
          <w:szCs w:val="24"/>
        </w:rPr>
        <w:t>per il trattamento economico tabellare già attribuito al personale dipendente e per i relativi oneri riflessi;</w:t>
      </w:r>
    </w:p>
    <w:p w:rsidR="00B02C6C" w:rsidRPr="004A10D6" w:rsidRDefault="00B02C6C" w:rsidP="00DB3112">
      <w:pPr>
        <w:tabs>
          <w:tab w:val="left" w:pos="2160"/>
        </w:tabs>
        <w:ind w:left="1080" w:right="675"/>
        <w:rPr>
          <w:rFonts w:ascii="Arial" w:hAnsi="Arial" w:cs="Arial"/>
          <w:sz w:val="24"/>
          <w:szCs w:val="24"/>
        </w:rPr>
      </w:pPr>
      <w:r w:rsidRPr="004A10D6">
        <w:rPr>
          <w:rFonts w:ascii="Arial" w:hAnsi="Arial" w:cs="Arial"/>
          <w:sz w:val="24"/>
          <w:szCs w:val="24"/>
        </w:rPr>
        <w:t>per le rate di ammortamento dei mutui e dei prestiti, interessi di preammortamento ed ulteriori oneri accessori;</w:t>
      </w:r>
    </w:p>
    <w:p w:rsidR="00B02C6C" w:rsidRPr="004A10D6" w:rsidRDefault="00B02C6C" w:rsidP="00DB3112">
      <w:pPr>
        <w:tabs>
          <w:tab w:val="left" w:pos="2160"/>
        </w:tabs>
        <w:ind w:left="1080" w:right="675"/>
        <w:rPr>
          <w:rFonts w:ascii="Arial" w:hAnsi="Arial" w:cs="Arial"/>
          <w:sz w:val="24"/>
          <w:szCs w:val="24"/>
        </w:rPr>
      </w:pPr>
      <w:r w:rsidRPr="004A10D6">
        <w:rPr>
          <w:rFonts w:ascii="Arial" w:hAnsi="Arial" w:cs="Arial"/>
          <w:sz w:val="24"/>
          <w:szCs w:val="24"/>
        </w:rPr>
        <w:t>per le spese dovute nell'esercizio in base a contratti o disposizioni di legge.</w:t>
      </w:r>
    </w:p>
    <w:p w:rsidR="00886858" w:rsidRPr="004A10D6" w:rsidRDefault="00886858" w:rsidP="00DB3112">
      <w:pPr>
        <w:widowControl/>
        <w:shd w:val="clear" w:color="auto" w:fill="F9F8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adjustRightInd/>
        <w:spacing w:after="0" w:line="336" w:lineRule="atLeast"/>
        <w:ind w:left="360"/>
        <w:textAlignment w:val="baseline"/>
        <w:rPr>
          <w:rFonts w:ascii="Arial" w:hAnsi="Arial" w:cs="Arial"/>
          <w:b/>
          <w:bCs/>
          <w:i/>
          <w:iCs/>
          <w:color w:val="000000"/>
          <w:sz w:val="24"/>
          <w:szCs w:val="24"/>
          <w:lang w:bidi="ar-SA"/>
        </w:rPr>
      </w:pPr>
      <w:r w:rsidRPr="004A10D6">
        <w:rPr>
          <w:rFonts w:ascii="Arial" w:hAnsi="Arial" w:cs="Arial"/>
          <w:b/>
          <w:bCs/>
          <w:i/>
          <w:iCs/>
          <w:color w:val="000000"/>
          <w:sz w:val="24"/>
          <w:szCs w:val="24"/>
          <w:lang w:bidi="ar-SA"/>
        </w:rPr>
        <w:t>Tutte le  obbligazioni  passive  giuridicamente  perfezionate,</w:t>
      </w:r>
    </w:p>
    <w:p w:rsidR="00886858" w:rsidRPr="004A10D6" w:rsidRDefault="00886858" w:rsidP="00DB3112">
      <w:pPr>
        <w:widowControl/>
        <w:shd w:val="clear" w:color="auto" w:fill="F9F8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adjustRightInd/>
        <w:spacing w:after="0" w:line="336" w:lineRule="atLeast"/>
        <w:ind w:left="360"/>
        <w:textAlignment w:val="baseline"/>
        <w:rPr>
          <w:rFonts w:ascii="Arial" w:hAnsi="Arial" w:cs="Arial"/>
          <w:b/>
          <w:bCs/>
          <w:i/>
          <w:iCs/>
          <w:color w:val="000000"/>
          <w:sz w:val="24"/>
          <w:szCs w:val="24"/>
          <w:lang w:bidi="ar-SA"/>
        </w:rPr>
      </w:pPr>
      <w:r w:rsidRPr="004A10D6">
        <w:rPr>
          <w:rFonts w:ascii="Arial" w:hAnsi="Arial" w:cs="Arial"/>
          <w:b/>
          <w:bCs/>
          <w:i/>
          <w:iCs/>
          <w:color w:val="000000"/>
          <w:sz w:val="24"/>
          <w:szCs w:val="24"/>
          <w:lang w:bidi="ar-SA"/>
        </w:rPr>
        <w:t>devono   essere   registrate   nelle   scritture   contabili   quando</w:t>
      </w:r>
    </w:p>
    <w:p w:rsidR="00886858" w:rsidRPr="004A10D6" w:rsidRDefault="00886858" w:rsidP="00DB3112">
      <w:pPr>
        <w:widowControl/>
        <w:shd w:val="clear" w:color="auto" w:fill="F9F8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adjustRightInd/>
        <w:spacing w:after="0" w:line="336" w:lineRule="atLeast"/>
        <w:ind w:left="360"/>
        <w:textAlignment w:val="baseline"/>
        <w:rPr>
          <w:rFonts w:ascii="Arial" w:hAnsi="Arial" w:cs="Arial"/>
          <w:b/>
          <w:bCs/>
          <w:i/>
          <w:iCs/>
          <w:color w:val="000000"/>
          <w:sz w:val="24"/>
          <w:szCs w:val="24"/>
          <w:lang w:bidi="ar-SA"/>
        </w:rPr>
      </w:pPr>
      <w:r w:rsidRPr="004A10D6">
        <w:rPr>
          <w:rFonts w:ascii="Arial" w:hAnsi="Arial" w:cs="Arial"/>
          <w:b/>
          <w:bCs/>
          <w:i/>
          <w:iCs/>
          <w:color w:val="000000"/>
          <w:sz w:val="24"/>
          <w:szCs w:val="24"/>
          <w:lang w:bidi="ar-SA"/>
        </w:rPr>
        <w:t>l'obbligazione e' perfezionata, con imputazione all'esercizio in  cui</w:t>
      </w:r>
    </w:p>
    <w:p w:rsidR="00886858" w:rsidRPr="004A10D6" w:rsidRDefault="00886858" w:rsidP="00DB3112">
      <w:pPr>
        <w:widowControl/>
        <w:shd w:val="clear" w:color="auto" w:fill="F9F8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adjustRightInd/>
        <w:spacing w:after="0" w:line="336" w:lineRule="atLeast"/>
        <w:ind w:left="360"/>
        <w:textAlignment w:val="baseline"/>
        <w:rPr>
          <w:rFonts w:ascii="Arial" w:hAnsi="Arial" w:cs="Arial"/>
          <w:color w:val="000000"/>
          <w:sz w:val="24"/>
          <w:szCs w:val="24"/>
          <w:lang w:bidi="ar-SA"/>
        </w:rPr>
      </w:pPr>
      <w:r w:rsidRPr="004A10D6">
        <w:rPr>
          <w:rFonts w:ascii="Arial" w:hAnsi="Arial" w:cs="Arial"/>
          <w:b/>
          <w:bCs/>
          <w:i/>
          <w:iCs/>
          <w:color w:val="000000"/>
          <w:sz w:val="24"/>
          <w:szCs w:val="24"/>
          <w:lang w:bidi="ar-SA"/>
        </w:rPr>
        <w:t>l'obbligazione viene a scadenza</w:t>
      </w:r>
    </w:p>
    <w:p w:rsidR="00886858" w:rsidRPr="004A10D6" w:rsidRDefault="00886858" w:rsidP="00DB3112">
      <w:pPr>
        <w:tabs>
          <w:tab w:val="left" w:pos="2160"/>
        </w:tabs>
        <w:ind w:right="675"/>
        <w:rPr>
          <w:rFonts w:ascii="Arial" w:hAnsi="Arial" w:cs="Arial"/>
          <w:sz w:val="24"/>
          <w:szCs w:val="24"/>
        </w:rPr>
      </w:pPr>
    </w:p>
    <w:p w:rsidR="00B02C6C" w:rsidRPr="004A10D6" w:rsidRDefault="00B02C6C" w:rsidP="00DB3112">
      <w:pPr>
        <w:ind w:left="360" w:right="675"/>
        <w:rPr>
          <w:rFonts w:ascii="Arial" w:hAnsi="Arial" w:cs="Arial"/>
          <w:b/>
          <w:bCs/>
          <w:sz w:val="24"/>
          <w:szCs w:val="24"/>
        </w:rPr>
      </w:pPr>
      <w:r w:rsidRPr="004A10D6">
        <w:rPr>
          <w:rFonts w:ascii="Arial" w:hAnsi="Arial" w:cs="Arial"/>
          <w:b/>
          <w:bCs/>
          <w:sz w:val="24"/>
          <w:szCs w:val="24"/>
        </w:rPr>
        <w:t>Liquidazione:</w:t>
      </w:r>
    </w:p>
    <w:p w:rsidR="00B02C6C" w:rsidRPr="004A10D6" w:rsidRDefault="00B02C6C" w:rsidP="00DB3112">
      <w:pPr>
        <w:ind w:left="360" w:right="675"/>
        <w:rPr>
          <w:rFonts w:ascii="Arial" w:hAnsi="Arial" w:cs="Arial"/>
          <w:sz w:val="24"/>
          <w:szCs w:val="24"/>
        </w:rPr>
      </w:pPr>
      <w:r w:rsidRPr="004A10D6">
        <w:rPr>
          <w:rFonts w:ascii="Arial" w:hAnsi="Arial" w:cs="Arial"/>
          <w:sz w:val="24"/>
          <w:szCs w:val="24"/>
        </w:rPr>
        <w:t xml:space="preserve">In questa fase viene determinata la somma certa  e liquida da pagare all’interno del vincolo sul bilancio assunto con l’impegno; in questo caso devono esser accertati le  </w:t>
      </w:r>
      <w:r w:rsidRPr="004A10D6">
        <w:rPr>
          <w:rFonts w:ascii="Arial" w:hAnsi="Arial" w:cs="Arial"/>
          <w:sz w:val="24"/>
          <w:szCs w:val="24"/>
        </w:rPr>
        <w:lastRenderedPageBreak/>
        <w:t>regolarità delle forniture o della prestazione conseguita, determinare la somma sulla bse della documentazione allegata, predisporre l</w:t>
      </w:r>
      <w:r w:rsidR="00C661E9" w:rsidRPr="004A10D6">
        <w:rPr>
          <w:rFonts w:ascii="Arial" w:hAnsi="Arial" w:cs="Arial"/>
          <w:sz w:val="24"/>
          <w:szCs w:val="24"/>
        </w:rPr>
        <w:t>’a</w:t>
      </w:r>
      <w:r w:rsidRPr="004A10D6">
        <w:rPr>
          <w:rFonts w:ascii="Arial" w:hAnsi="Arial" w:cs="Arial"/>
          <w:sz w:val="24"/>
          <w:szCs w:val="24"/>
        </w:rPr>
        <w:t>tto di liquidazione allegando i documenti che provano il diritto acquisito dal terzo. Il responsabile del servizio dovrà controfirmare l’atto di liquidazione  e trasmettrlo al servizio finanziario che effettuerà controlli e riscontri contabili .</w:t>
      </w:r>
    </w:p>
    <w:p w:rsidR="00A22492" w:rsidRPr="004A10D6" w:rsidRDefault="00B02C6C" w:rsidP="00DB3112">
      <w:pPr>
        <w:ind w:left="360" w:right="675"/>
        <w:rPr>
          <w:rFonts w:ascii="Arial" w:hAnsi="Arial" w:cs="Arial"/>
          <w:sz w:val="24"/>
          <w:szCs w:val="24"/>
        </w:rPr>
      </w:pPr>
      <w:r w:rsidRPr="004A10D6">
        <w:rPr>
          <w:rFonts w:ascii="Arial" w:hAnsi="Arial" w:cs="Arial"/>
          <w:b/>
          <w:bCs/>
          <w:sz w:val="24"/>
          <w:szCs w:val="24"/>
        </w:rPr>
        <w:t>Ordinazione e pagamento:</w:t>
      </w:r>
      <w:r w:rsidRPr="004A10D6">
        <w:rPr>
          <w:rFonts w:ascii="Arial" w:hAnsi="Arial" w:cs="Arial"/>
          <w:sz w:val="24"/>
          <w:szCs w:val="24"/>
        </w:rPr>
        <w:t>L’ordinazione è una disposizione impartita mediante il mandato di pagamento, al tesoriere del comune che dovrà provvedere al pagamento di quella determinata spesa.</w:t>
      </w:r>
    </w:p>
    <w:p w:rsidR="00A22492" w:rsidRPr="004A10D6" w:rsidRDefault="00A22492" w:rsidP="00DB3112">
      <w:pPr>
        <w:ind w:left="360" w:right="675"/>
        <w:rPr>
          <w:rFonts w:ascii="Arial" w:hAnsi="Arial" w:cs="Arial"/>
          <w:sz w:val="24"/>
          <w:szCs w:val="24"/>
        </w:rPr>
      </w:pPr>
    </w:p>
    <w:p w:rsidR="00A22492" w:rsidRPr="004A10D6" w:rsidRDefault="00A22492" w:rsidP="00DB3112">
      <w:pPr>
        <w:ind w:left="360" w:right="675"/>
        <w:rPr>
          <w:rFonts w:ascii="Arial" w:hAnsi="Arial" w:cs="Arial"/>
          <w:sz w:val="24"/>
          <w:szCs w:val="24"/>
        </w:rPr>
      </w:pPr>
      <w:r w:rsidRPr="004A10D6">
        <w:rPr>
          <w:rFonts w:ascii="Arial" w:hAnsi="Arial" w:cs="Arial"/>
          <w:sz w:val="24"/>
          <w:szCs w:val="24"/>
        </w:rPr>
        <w:t>RESIDUI ATTIVI E PASSIVI</w:t>
      </w:r>
    </w:p>
    <w:p w:rsidR="00B02C6C" w:rsidRPr="004A10D6" w:rsidRDefault="00B02C6C" w:rsidP="00DB3112">
      <w:pPr>
        <w:ind w:left="360" w:right="675"/>
        <w:rPr>
          <w:rFonts w:ascii="Arial" w:hAnsi="Arial" w:cs="Arial"/>
          <w:sz w:val="24"/>
          <w:szCs w:val="24"/>
        </w:rPr>
      </w:pPr>
      <w:r w:rsidRPr="004A10D6">
        <w:rPr>
          <w:rFonts w:ascii="Arial" w:hAnsi="Arial" w:cs="Arial"/>
          <w:sz w:val="24"/>
          <w:szCs w:val="24"/>
        </w:rPr>
        <w:t xml:space="preserve"> residui attivi sono le somme accertate ma non ancora riscosse entro il termine di esercizio I residui passivi sono invece le somme impegnate ma non ancora pagate nel termine dell’esercizio.la produzione di residui è correlata alle fasi di gestione in esercizi finanziari diversi; infatti in sede di approvazione sul rendiconto della gestione  devono esser riaccertati i residui . questi passano in gestione, ad esaurimento negli anni successivi.</w:t>
      </w:r>
    </w:p>
    <w:p w:rsidR="00A22492" w:rsidRPr="004A10D6" w:rsidRDefault="00A22492" w:rsidP="00DB3112">
      <w:pPr>
        <w:ind w:left="360" w:right="675"/>
        <w:rPr>
          <w:rFonts w:ascii="Arial" w:hAnsi="Arial" w:cs="Arial"/>
          <w:b/>
          <w:bCs/>
          <w:color w:val="000000"/>
          <w:sz w:val="24"/>
          <w:szCs w:val="24"/>
        </w:rPr>
      </w:pPr>
      <w:r w:rsidRPr="004A10D6">
        <w:rPr>
          <w:rFonts w:ascii="Arial" w:hAnsi="Arial" w:cs="Arial"/>
          <w:sz w:val="24"/>
          <w:szCs w:val="24"/>
        </w:rPr>
        <w:t>DEBITI FUORI BILANCIO</w:t>
      </w:r>
    </w:p>
    <w:p w:rsidR="00B02C6C" w:rsidRPr="004A10D6" w:rsidRDefault="00B02C6C" w:rsidP="00DB3112">
      <w:pPr>
        <w:ind w:left="360"/>
        <w:rPr>
          <w:rFonts w:ascii="Arial" w:hAnsi="Arial" w:cs="Arial"/>
          <w:color w:val="000000"/>
          <w:sz w:val="24"/>
          <w:szCs w:val="24"/>
        </w:rPr>
      </w:pPr>
      <w:r w:rsidRPr="004A10D6">
        <w:rPr>
          <w:rFonts w:ascii="Arial" w:hAnsi="Arial" w:cs="Arial"/>
          <w:color w:val="000000"/>
          <w:sz w:val="24"/>
          <w:szCs w:val="24"/>
        </w:rPr>
        <w:t>Il debito fuori bilancio è costituito da obbligazioni pecuniarie, relative al conseguimento di un fine pubblico, valide giuridicamente ma non perfezionate contabilmente, per cui il riconoscimento della sua legittimità da parte del consiglio dell’ente fa coincidere i due aspetti giuridico e contabile in capo al soggetto che l’ha riconosciuto.</w:t>
      </w:r>
    </w:p>
    <w:p w:rsidR="00B02C6C" w:rsidRPr="004A10D6" w:rsidRDefault="00B02C6C" w:rsidP="00DB3112">
      <w:pPr>
        <w:ind w:left="360"/>
        <w:rPr>
          <w:rFonts w:ascii="Arial" w:hAnsi="Arial" w:cs="Arial"/>
          <w:color w:val="000000"/>
          <w:sz w:val="24"/>
          <w:szCs w:val="24"/>
        </w:rPr>
      </w:pPr>
      <w:r w:rsidRPr="004A10D6">
        <w:rPr>
          <w:rFonts w:ascii="Arial" w:hAnsi="Arial" w:cs="Arial"/>
          <w:color w:val="000000"/>
          <w:sz w:val="24"/>
          <w:szCs w:val="24"/>
        </w:rPr>
        <w:t>Il riconoscimento di legittimità del debito fuori bilancio è riservato al Consiglio ed è ammissibile, per espressa definizione di legge, solo nei seguenti casi:</w:t>
      </w:r>
    </w:p>
    <w:p w:rsidR="00B02C6C" w:rsidRPr="004A10D6" w:rsidRDefault="00B02C6C" w:rsidP="00DB3112">
      <w:pPr>
        <w:rPr>
          <w:rFonts w:ascii="Arial" w:hAnsi="Arial" w:cs="Arial"/>
          <w:color w:val="000000"/>
          <w:sz w:val="24"/>
          <w:szCs w:val="24"/>
        </w:rPr>
      </w:pPr>
    </w:p>
    <w:p w:rsidR="006F30CB" w:rsidRPr="004A10D6" w:rsidRDefault="006F30CB" w:rsidP="00DB3112">
      <w:pPr>
        <w:suppressAutoHyphens/>
        <w:autoSpaceDE w:val="0"/>
        <w:autoSpaceDN/>
        <w:adjustRightInd/>
        <w:spacing w:after="0" w:line="240" w:lineRule="auto"/>
        <w:ind w:left="1080"/>
        <w:rPr>
          <w:rFonts w:ascii="Arial" w:hAnsi="Arial" w:cs="Arial"/>
          <w:i/>
          <w:iCs/>
          <w:color w:val="000000"/>
          <w:sz w:val="24"/>
          <w:szCs w:val="24"/>
        </w:rPr>
      </w:pPr>
      <w:r w:rsidRPr="004A10D6">
        <w:rPr>
          <w:rFonts w:ascii="Arial" w:hAnsi="Arial" w:cs="Arial"/>
          <w:i/>
          <w:iCs/>
          <w:color w:val="000000"/>
          <w:sz w:val="24"/>
          <w:szCs w:val="24"/>
        </w:rPr>
        <w:t>ART. 194 TUEL</w:t>
      </w:r>
    </w:p>
    <w:p w:rsidR="00B02C6C" w:rsidRPr="004A10D6" w:rsidRDefault="00B02C6C" w:rsidP="00DB3112">
      <w:pPr>
        <w:pStyle w:val="Paragrafoelenco"/>
        <w:numPr>
          <w:ilvl w:val="0"/>
          <w:numId w:val="1"/>
        </w:numPr>
        <w:suppressAutoHyphens/>
        <w:autoSpaceDE w:val="0"/>
        <w:autoSpaceDN/>
        <w:adjustRightInd/>
        <w:spacing w:after="0" w:line="240" w:lineRule="auto"/>
        <w:rPr>
          <w:rFonts w:ascii="Arial" w:hAnsi="Arial" w:cs="Arial"/>
          <w:i/>
          <w:iCs/>
          <w:color w:val="000000"/>
          <w:sz w:val="24"/>
          <w:szCs w:val="24"/>
        </w:rPr>
      </w:pPr>
      <w:r w:rsidRPr="004A10D6">
        <w:rPr>
          <w:rFonts w:ascii="Arial" w:hAnsi="Arial" w:cs="Arial"/>
          <w:i/>
          <w:iCs/>
          <w:color w:val="000000"/>
          <w:sz w:val="24"/>
          <w:szCs w:val="24"/>
        </w:rPr>
        <w:t>sentenze passate in giudicato;</w:t>
      </w:r>
    </w:p>
    <w:p w:rsidR="00B02C6C" w:rsidRPr="004A10D6" w:rsidRDefault="00B02C6C" w:rsidP="00DB3112">
      <w:pPr>
        <w:pStyle w:val="Paragrafoelenco"/>
        <w:numPr>
          <w:ilvl w:val="0"/>
          <w:numId w:val="1"/>
        </w:numPr>
        <w:suppressAutoHyphens/>
        <w:autoSpaceDE w:val="0"/>
        <w:autoSpaceDN/>
        <w:adjustRightInd/>
        <w:spacing w:after="0" w:line="240" w:lineRule="auto"/>
        <w:rPr>
          <w:rFonts w:ascii="Arial" w:hAnsi="Arial" w:cs="Arial"/>
          <w:i/>
          <w:iCs/>
          <w:color w:val="000000"/>
          <w:sz w:val="24"/>
          <w:szCs w:val="24"/>
        </w:rPr>
      </w:pPr>
      <w:r w:rsidRPr="004A10D6">
        <w:rPr>
          <w:rFonts w:ascii="Arial" w:hAnsi="Arial" w:cs="Arial"/>
          <w:i/>
          <w:iCs/>
          <w:color w:val="000000"/>
          <w:sz w:val="24"/>
          <w:szCs w:val="24"/>
        </w:rPr>
        <w:t>copertura di disavanzi di consorzi, di aziende speciali e di istituzioni, nei limiti obblighi derivanti dallo statuto, convenzione o atti costitutivi, purché sia rispettato l’obbligo di pareggio del bilancio di cui all’art. 114 ed il disavanzo derivi da fatti di gestione;</w:t>
      </w:r>
    </w:p>
    <w:p w:rsidR="00B02C6C" w:rsidRPr="004A10D6" w:rsidRDefault="00B02C6C" w:rsidP="00DB3112">
      <w:pPr>
        <w:pStyle w:val="Paragrafoelenco"/>
        <w:numPr>
          <w:ilvl w:val="0"/>
          <w:numId w:val="1"/>
        </w:numPr>
        <w:suppressAutoHyphens/>
        <w:autoSpaceDE w:val="0"/>
        <w:autoSpaceDN/>
        <w:adjustRightInd/>
        <w:spacing w:after="0" w:line="240" w:lineRule="auto"/>
        <w:rPr>
          <w:rFonts w:ascii="Arial" w:hAnsi="Arial" w:cs="Arial"/>
          <w:i/>
          <w:iCs/>
          <w:color w:val="000000"/>
          <w:sz w:val="24"/>
          <w:szCs w:val="24"/>
        </w:rPr>
      </w:pPr>
      <w:r w:rsidRPr="004A10D6">
        <w:rPr>
          <w:rFonts w:ascii="Arial" w:hAnsi="Arial" w:cs="Arial"/>
          <w:i/>
          <w:iCs/>
          <w:color w:val="000000"/>
          <w:sz w:val="24"/>
          <w:szCs w:val="24"/>
        </w:rPr>
        <w:t>ricapitalizzazione, nei limiti e nelle forme previste dal codice civile o da norme speciali,di società di capitali costituite per l’esercizio di servizi pubblici locali;</w:t>
      </w:r>
    </w:p>
    <w:p w:rsidR="00B02C6C" w:rsidRPr="004A10D6" w:rsidRDefault="00B02C6C" w:rsidP="00DB3112">
      <w:pPr>
        <w:pStyle w:val="Paragrafoelenco"/>
        <w:numPr>
          <w:ilvl w:val="0"/>
          <w:numId w:val="1"/>
        </w:numPr>
        <w:suppressAutoHyphens/>
        <w:autoSpaceDE w:val="0"/>
        <w:autoSpaceDN/>
        <w:adjustRightInd/>
        <w:spacing w:after="0" w:line="240" w:lineRule="auto"/>
        <w:rPr>
          <w:rFonts w:ascii="Arial" w:hAnsi="Arial" w:cs="Arial"/>
          <w:i/>
          <w:iCs/>
          <w:color w:val="000000"/>
          <w:sz w:val="24"/>
          <w:szCs w:val="24"/>
        </w:rPr>
      </w:pPr>
      <w:r w:rsidRPr="004A10D6">
        <w:rPr>
          <w:rFonts w:ascii="Arial" w:hAnsi="Arial" w:cs="Arial"/>
          <w:i/>
          <w:iCs/>
          <w:color w:val="000000"/>
          <w:sz w:val="24"/>
          <w:szCs w:val="24"/>
        </w:rPr>
        <w:t>procedure espropriative o di occupazione d’urgenza di pubblica utilità;</w:t>
      </w:r>
    </w:p>
    <w:p w:rsidR="00B02C6C" w:rsidRPr="004A10D6" w:rsidRDefault="00B02C6C" w:rsidP="00DB3112">
      <w:pPr>
        <w:pStyle w:val="Paragrafoelenco"/>
        <w:numPr>
          <w:ilvl w:val="0"/>
          <w:numId w:val="1"/>
        </w:numPr>
        <w:suppressAutoHyphens/>
        <w:autoSpaceDE w:val="0"/>
        <w:autoSpaceDN/>
        <w:adjustRightInd/>
        <w:spacing w:after="0" w:line="240" w:lineRule="auto"/>
        <w:rPr>
          <w:rFonts w:ascii="Arial" w:hAnsi="Arial" w:cs="Arial"/>
          <w:i/>
          <w:iCs/>
          <w:color w:val="000000"/>
          <w:sz w:val="24"/>
          <w:szCs w:val="24"/>
        </w:rPr>
      </w:pPr>
      <w:r w:rsidRPr="004A10D6">
        <w:rPr>
          <w:rFonts w:ascii="Arial" w:hAnsi="Arial" w:cs="Arial"/>
          <w:i/>
          <w:iCs/>
          <w:color w:val="000000"/>
          <w:sz w:val="24"/>
          <w:szCs w:val="24"/>
        </w:rPr>
        <w:t>acquisizione di beni e servizi, in violazione degli obblighi di cui ai commi 1, 2 e 3 dell’art. 191, nei limiti degli accertati e dimostrati utilità e arricchimento per l’ente, nell’ambito dell’espletamento di pubbliche funzioni e servizi di competenza.</w:t>
      </w:r>
    </w:p>
    <w:p w:rsidR="00B02C6C" w:rsidRPr="004A10D6" w:rsidRDefault="00B02C6C" w:rsidP="00DB3112">
      <w:pPr>
        <w:rPr>
          <w:rFonts w:ascii="Arial" w:hAnsi="Arial" w:cs="Arial"/>
          <w:color w:val="000000"/>
          <w:sz w:val="24"/>
          <w:szCs w:val="24"/>
        </w:rPr>
      </w:pPr>
    </w:p>
    <w:p w:rsidR="00B02C6C" w:rsidRPr="004A10D6" w:rsidRDefault="00B02C6C" w:rsidP="00DB3112">
      <w:pPr>
        <w:ind w:left="360"/>
        <w:rPr>
          <w:rFonts w:ascii="Arial" w:hAnsi="Arial" w:cs="Arial"/>
          <w:color w:val="000000"/>
          <w:sz w:val="24"/>
          <w:szCs w:val="24"/>
        </w:rPr>
      </w:pPr>
      <w:r w:rsidRPr="004A10D6">
        <w:rPr>
          <w:rFonts w:ascii="Arial" w:hAnsi="Arial" w:cs="Arial"/>
          <w:color w:val="000000"/>
          <w:sz w:val="24"/>
          <w:szCs w:val="24"/>
        </w:rPr>
        <w:lastRenderedPageBreak/>
        <w:t>La competenza consiliare al riconoscimento e finanziamento dei debiti fuori bilancio permane anche nel caso in cui in bilancio siano stati previsti stanziamenti generici o specifici accantonati per sopperire a tali fattispecie debitorie.</w:t>
      </w:r>
    </w:p>
    <w:p w:rsidR="00B02C6C" w:rsidRPr="004A10D6" w:rsidRDefault="00B02C6C" w:rsidP="00DB3112">
      <w:pPr>
        <w:ind w:left="360"/>
        <w:rPr>
          <w:rFonts w:ascii="Arial" w:hAnsi="Arial" w:cs="Arial"/>
          <w:color w:val="000000"/>
          <w:sz w:val="24"/>
          <w:szCs w:val="24"/>
        </w:rPr>
      </w:pPr>
      <w:r w:rsidRPr="004A10D6">
        <w:rPr>
          <w:rFonts w:ascii="Arial" w:hAnsi="Arial" w:cs="Arial"/>
          <w:color w:val="000000"/>
          <w:sz w:val="24"/>
          <w:szCs w:val="24"/>
        </w:rPr>
        <w:t xml:space="preserve">Al riconoscimento della legittimità e contestuale finanziamento dei debiti fuori bilancio di cui alle lettere da </w:t>
      </w:r>
      <w:r w:rsidRPr="004A10D6">
        <w:rPr>
          <w:rFonts w:ascii="Arial" w:hAnsi="Arial" w:cs="Arial"/>
          <w:i/>
          <w:iCs/>
          <w:color w:val="000000"/>
          <w:sz w:val="24"/>
          <w:szCs w:val="24"/>
        </w:rPr>
        <w:t xml:space="preserve">a) </w:t>
      </w:r>
      <w:r w:rsidRPr="004A10D6">
        <w:rPr>
          <w:rFonts w:ascii="Arial" w:hAnsi="Arial" w:cs="Arial"/>
          <w:color w:val="000000"/>
          <w:sz w:val="24"/>
          <w:szCs w:val="24"/>
        </w:rPr>
        <w:t xml:space="preserve">ad </w:t>
      </w:r>
      <w:r w:rsidRPr="004A10D6">
        <w:rPr>
          <w:rFonts w:ascii="Arial" w:hAnsi="Arial" w:cs="Arial"/>
          <w:i/>
          <w:iCs/>
          <w:color w:val="000000"/>
          <w:sz w:val="24"/>
          <w:szCs w:val="24"/>
        </w:rPr>
        <w:t xml:space="preserve">e) </w:t>
      </w:r>
      <w:r w:rsidRPr="004A10D6">
        <w:rPr>
          <w:rFonts w:ascii="Arial" w:hAnsi="Arial" w:cs="Arial"/>
          <w:color w:val="000000"/>
          <w:sz w:val="24"/>
          <w:szCs w:val="24"/>
        </w:rPr>
        <w:t>dell’art. 194, comma 1, del TUEL deve provvedersi con procedura d’urgenza, con la sottoposizione al Consiglio nei tempi brevi previsti dal regolamento di contabilità, in tutti i casi in cui al decorrere dei tempi è collegato il rischio di maggiori gravami o il maturare di interessi e rivalutazione monetaria o, comunque, non appena il responsabile del servizio ne è venuto a conoscenza.</w:t>
      </w:r>
    </w:p>
    <w:p w:rsidR="00B02C6C" w:rsidRPr="004A10D6" w:rsidRDefault="00B02C6C" w:rsidP="00DB3112">
      <w:pPr>
        <w:ind w:left="360"/>
        <w:rPr>
          <w:rFonts w:ascii="Arial" w:hAnsi="Arial" w:cs="Arial"/>
          <w:color w:val="000000"/>
          <w:sz w:val="24"/>
          <w:szCs w:val="24"/>
        </w:rPr>
      </w:pPr>
      <w:r w:rsidRPr="004A10D6">
        <w:rPr>
          <w:rFonts w:ascii="Arial" w:hAnsi="Arial" w:cs="Arial"/>
          <w:color w:val="000000"/>
          <w:sz w:val="24"/>
          <w:szCs w:val="24"/>
        </w:rPr>
        <w:t xml:space="preserve">Nei casi di debiti fuori bilancio previsti dalla lettera </w:t>
      </w:r>
      <w:r w:rsidRPr="004A10D6">
        <w:rPr>
          <w:rFonts w:ascii="Arial" w:hAnsi="Arial" w:cs="Arial"/>
          <w:i/>
          <w:iCs/>
          <w:color w:val="000000"/>
          <w:sz w:val="24"/>
          <w:szCs w:val="24"/>
        </w:rPr>
        <w:t xml:space="preserve">c) </w:t>
      </w:r>
      <w:r w:rsidRPr="004A10D6">
        <w:rPr>
          <w:rFonts w:ascii="Arial" w:hAnsi="Arial" w:cs="Arial"/>
          <w:color w:val="000000"/>
          <w:sz w:val="24"/>
          <w:szCs w:val="24"/>
        </w:rPr>
        <w:t>dell’art. 194 del TUEL, ossia di acquisizione di beni e servizi in violazione delle norme giuscontabili che impongono la previa adozione del provvedimento autorizzatorio, con l’esecutività ottenuta o dichiarata e munito di attestazione di copertura finanziaria, la coesistenza dei due requisiti dell’utilità e dell’arricchimento, che ne consentono il riconoscimento e finanziamento, deve essere motivatamente e dettagliatamente attestata nel parere tecnico-amministrativo sulla proposta di deliberazione.</w:t>
      </w:r>
    </w:p>
    <w:p w:rsidR="00B02C6C" w:rsidRPr="004A10D6" w:rsidRDefault="00B02C6C" w:rsidP="00DB3112">
      <w:pPr>
        <w:ind w:left="360"/>
        <w:rPr>
          <w:rFonts w:ascii="Arial" w:hAnsi="Arial" w:cs="Arial"/>
          <w:color w:val="000000"/>
          <w:sz w:val="24"/>
          <w:szCs w:val="24"/>
        </w:rPr>
      </w:pPr>
      <w:r w:rsidRPr="004A10D6">
        <w:rPr>
          <w:rFonts w:ascii="Arial" w:hAnsi="Arial" w:cs="Arial"/>
          <w:color w:val="000000"/>
          <w:sz w:val="24"/>
          <w:szCs w:val="24"/>
        </w:rPr>
        <w:t xml:space="preserve">L’accertamento dell’esistenza dell’utilità, requisito indispensabile per il riconoscimento di debiti fuori bilancio, deve consistere nella verifica della presenza di potenziale o reale possibilità, di ausilio o beneficio direttamente all’ente e/o ai suoi cittadini. Deve in sintesi trattarsi dell’accertamento della possibilità di soddisfacimento di bisogni collettivi, in relazione a fini specifici dell’ente, al pari di quelli per i quali sono resi i servizi pubblici. L’utilità di una sola parte consente a quella sola parte ed al suo valore di essere riconosciuta come debito fuori bilancio. La dimostrazione dell’utilità da acquisire mediante idonea documentazione da acquisire è finalizzata a servire prova dell’avvenuto accertamento e dei suoi limiti. Il provvedimento di riconoscimento deve tener conto della documentazione in tal senso acquisita. </w:t>
      </w:r>
    </w:p>
    <w:p w:rsidR="00B02C6C" w:rsidRPr="004A10D6" w:rsidRDefault="00B02C6C" w:rsidP="00DB3112">
      <w:pPr>
        <w:ind w:left="360"/>
        <w:rPr>
          <w:rFonts w:ascii="Arial" w:hAnsi="Arial" w:cs="Arial"/>
          <w:color w:val="000000"/>
          <w:sz w:val="24"/>
          <w:szCs w:val="24"/>
        </w:rPr>
      </w:pPr>
      <w:r w:rsidRPr="004A10D6">
        <w:rPr>
          <w:rFonts w:ascii="Arial" w:hAnsi="Arial" w:cs="Arial"/>
          <w:color w:val="000000"/>
          <w:sz w:val="24"/>
          <w:szCs w:val="24"/>
        </w:rPr>
        <w:t xml:space="preserve">L’assenza di utilità impedisce il riconoscimento del debito. </w:t>
      </w:r>
    </w:p>
    <w:p w:rsidR="00B02C6C" w:rsidRPr="004A10D6" w:rsidRDefault="00B02C6C" w:rsidP="00DB3112">
      <w:pPr>
        <w:ind w:left="360"/>
        <w:rPr>
          <w:rFonts w:ascii="Arial" w:hAnsi="Arial" w:cs="Arial"/>
          <w:color w:val="000000"/>
          <w:sz w:val="24"/>
          <w:szCs w:val="24"/>
        </w:rPr>
      </w:pPr>
      <w:r w:rsidRPr="004A10D6">
        <w:rPr>
          <w:rFonts w:ascii="Arial" w:hAnsi="Arial" w:cs="Arial"/>
          <w:color w:val="000000"/>
          <w:sz w:val="24"/>
          <w:szCs w:val="24"/>
        </w:rPr>
        <w:t>L’arricchimento, che è l’altro requisito essenziale per il riconoscimento di debiti fuori bilancio deve misurare l’incremento patrimoniale vero e proprio (cioè il maggior valore patrimoniale di beni o servizi acquisiti), oppure il risparmio di spese che diversamente sarebbero state dovute o la mancata perdita patrimoniale. La misura dell’arricchimento costituisce il limite massimo al quale può arrivare il riconoscimento del debito fuori bilancio,</w:t>
      </w:r>
    </w:p>
    <w:p w:rsidR="00B02C6C" w:rsidRPr="004A10D6" w:rsidRDefault="00B02C6C" w:rsidP="00DB3112">
      <w:pPr>
        <w:ind w:left="360"/>
        <w:rPr>
          <w:rFonts w:ascii="Arial" w:hAnsi="Arial" w:cs="Arial"/>
          <w:color w:val="000000"/>
          <w:sz w:val="24"/>
          <w:szCs w:val="24"/>
        </w:rPr>
      </w:pPr>
      <w:r w:rsidRPr="004A10D6">
        <w:rPr>
          <w:rFonts w:ascii="Arial" w:hAnsi="Arial" w:cs="Arial"/>
          <w:color w:val="000000"/>
          <w:sz w:val="24"/>
          <w:szCs w:val="24"/>
        </w:rPr>
        <w:t xml:space="preserve">restando preclusa tale possibilità alle somme esuberanti rispetto a detto limite. La documentazione da acquisire deve essere finalizzata a servire la prova dell’avvenuto accertamento e del suo limite. Il provvedimento di riconoscimento deve prendere atto della </w:t>
      </w:r>
      <w:r w:rsidRPr="004A10D6">
        <w:rPr>
          <w:rFonts w:ascii="Arial" w:hAnsi="Arial" w:cs="Arial"/>
          <w:color w:val="000000"/>
          <w:sz w:val="24"/>
          <w:szCs w:val="24"/>
        </w:rPr>
        <w:lastRenderedPageBreak/>
        <w:t>documentazione in tal senso acquisita. Non costituisce in alcun caso arricchimento e non è, pertanto, riconoscibile, l’onere per interessi, spese rivalutazione monetaria ed i maggiori</w:t>
      </w:r>
    </w:p>
    <w:p w:rsidR="00B02C6C" w:rsidRPr="004A10D6" w:rsidRDefault="00B02C6C" w:rsidP="00DB3112">
      <w:pPr>
        <w:ind w:left="360"/>
        <w:rPr>
          <w:rFonts w:ascii="Arial" w:hAnsi="Arial" w:cs="Arial"/>
          <w:color w:val="000000"/>
          <w:sz w:val="24"/>
          <w:szCs w:val="24"/>
        </w:rPr>
      </w:pPr>
      <w:r w:rsidRPr="004A10D6">
        <w:rPr>
          <w:rFonts w:ascii="Arial" w:hAnsi="Arial" w:cs="Arial"/>
          <w:color w:val="000000"/>
          <w:sz w:val="24"/>
          <w:szCs w:val="24"/>
        </w:rPr>
        <w:t>esborsi in generale causati da ritardato pagamento.</w:t>
      </w:r>
    </w:p>
    <w:p w:rsidR="00B02C6C" w:rsidRPr="004A10D6" w:rsidRDefault="00B02C6C" w:rsidP="00DB3112">
      <w:pPr>
        <w:ind w:left="360"/>
        <w:rPr>
          <w:rFonts w:ascii="Arial" w:hAnsi="Arial" w:cs="Arial"/>
          <w:color w:val="000000"/>
          <w:sz w:val="24"/>
          <w:szCs w:val="24"/>
        </w:rPr>
      </w:pPr>
      <w:r w:rsidRPr="004A10D6">
        <w:rPr>
          <w:rFonts w:ascii="Arial" w:hAnsi="Arial" w:cs="Arial"/>
          <w:color w:val="000000"/>
          <w:sz w:val="24"/>
          <w:szCs w:val="24"/>
        </w:rPr>
        <w:t>Poiché il finanziamento di debiti fuori bilancio comporta una diversa modulazione in bilancio delle risorse programmate o l’utilizzo di nuove risorse e consegue al riconoscimento di interventi di spesa non autorizzati nei documenti di programmazione, la competenza del consiglio in materia è esclusiva, non surrogabile o assumibile da altri soggetti.</w:t>
      </w:r>
    </w:p>
    <w:p w:rsidR="00B02C6C" w:rsidRPr="004A10D6" w:rsidRDefault="00B02C6C" w:rsidP="00DB3112">
      <w:pPr>
        <w:ind w:left="360"/>
        <w:rPr>
          <w:rFonts w:ascii="Arial" w:hAnsi="Arial" w:cs="Arial"/>
          <w:b/>
          <w:sz w:val="24"/>
          <w:szCs w:val="24"/>
        </w:rPr>
      </w:pPr>
      <w:r w:rsidRPr="004A10D6">
        <w:rPr>
          <w:rFonts w:ascii="Arial" w:hAnsi="Arial" w:cs="Arial"/>
          <w:b/>
          <w:sz w:val="24"/>
          <w:szCs w:val="24"/>
        </w:rPr>
        <w:t>Il nuovo principio di competenza potenziata</w:t>
      </w:r>
    </w:p>
    <w:p w:rsidR="00CB2C10" w:rsidRPr="004A10D6" w:rsidRDefault="00063FC8" w:rsidP="00DB3112">
      <w:pPr>
        <w:ind w:left="360"/>
        <w:rPr>
          <w:rFonts w:ascii="Arial" w:hAnsi="Arial" w:cs="Arial"/>
          <w:sz w:val="24"/>
          <w:szCs w:val="24"/>
        </w:rPr>
      </w:pPr>
      <w:r w:rsidRPr="004A10D6">
        <w:rPr>
          <w:rFonts w:ascii="Arial" w:hAnsi="Arial" w:cs="Arial"/>
          <w:sz w:val="24"/>
          <w:szCs w:val="24"/>
        </w:rPr>
        <w:t>La rilevazione dei fatti gestionali nell’ente locale può essere esaminata sotto un profilo strettamente finanziario, avendo riguardo alla nascita delle obbligazioni giuridiche e prescindendo dal momento in cui tali eventi hanno ripercussioni sul patrimonio dell’ente, oppure sotto un profilo economico, con la rilevazione che analizza gli effetti reddituali e patrimoniali, o, infine, prendendo a riferimento solo l’aspetto della cassa. Nessuno dei tre metodi può dirsi esaustivo: ognuno esamina un aspetto particolare della gestione.</w:t>
      </w:r>
    </w:p>
    <w:p w:rsidR="00063FC8" w:rsidRPr="004A10D6" w:rsidRDefault="00063FC8" w:rsidP="00DB3112">
      <w:pPr>
        <w:ind w:left="360"/>
        <w:rPr>
          <w:rFonts w:ascii="Arial" w:hAnsi="Arial" w:cs="Arial"/>
          <w:sz w:val="24"/>
          <w:szCs w:val="24"/>
        </w:rPr>
      </w:pPr>
      <w:r w:rsidRPr="004A10D6">
        <w:rPr>
          <w:rFonts w:ascii="Arial" w:hAnsi="Arial" w:cs="Arial"/>
          <w:sz w:val="24"/>
          <w:szCs w:val="24"/>
        </w:rPr>
        <w:t>È stata l’irrinunciabile esigenza di avere bilanci che rispecchino effettive obbligazioni giuridiche, con la conseguente necessità di risultati di amministrazione veritieri e attendibili, reale quantificazione delle effettive risorse a disposizione degli enti, il motivo principale che ha portato alla conferma della contabilità finanziaria e all’adozione, nell’armonizzazione contabile dei bilanci degli enti territoriali, del nuovo principio di competenza finanziaria potenziata, fulcro centrale della riforma</w:t>
      </w:r>
    </w:p>
    <w:p w:rsidR="00063FC8" w:rsidRPr="004A10D6" w:rsidRDefault="00063FC8" w:rsidP="00DB3112">
      <w:pPr>
        <w:ind w:left="360"/>
        <w:rPr>
          <w:rFonts w:ascii="Arial" w:hAnsi="Arial" w:cs="Arial"/>
          <w:sz w:val="24"/>
          <w:szCs w:val="24"/>
        </w:rPr>
      </w:pPr>
      <w:r w:rsidRPr="004A10D6">
        <w:rPr>
          <w:rFonts w:ascii="Arial" w:hAnsi="Arial" w:cs="Arial"/>
          <w:sz w:val="24"/>
          <w:szCs w:val="24"/>
        </w:rPr>
        <w:t xml:space="preserve">Nel quadro normativo delineato, la contabilità finanziaria si riconferma il sistema di rilevazione dei fatti gestionali: il bilancio dell’ente locale continua ad avere pertanto quel carattere autorizzatorio che consente di adottare decisioni di spesa solo laddove esista il relativo stanziamento. Ed è proprio l’inserimento della previsione di spesa nel bilancio preventivo che permette l’attuazione dell’ intervento (acquisto beni, trasferimenti a persone, pagamento imposte, rimborso quote mutui, …), attraverso la creazione di un vincolo sullo stanziamento di importo pari alla spesa da sostenere. </w:t>
      </w:r>
      <w:r w:rsidRPr="004A10D6">
        <w:rPr>
          <w:rFonts w:ascii="Arial" w:hAnsi="Arial" w:cs="Arial"/>
          <w:b/>
          <w:sz w:val="24"/>
          <w:szCs w:val="24"/>
        </w:rPr>
        <w:t>Se lo stanziamento iniziale non è sufficiente o è del tutto assente, non è possibile creare quel vincolo sulle previsioni di bilancio che autorizza il procedimento di spesa</w:t>
      </w:r>
      <w:r w:rsidRPr="004A10D6">
        <w:rPr>
          <w:rFonts w:ascii="Arial" w:hAnsi="Arial" w:cs="Arial"/>
          <w:sz w:val="24"/>
          <w:szCs w:val="24"/>
        </w:rPr>
        <w:t>.</w:t>
      </w:r>
    </w:p>
    <w:p w:rsidR="00063FC8" w:rsidRPr="004A10D6" w:rsidRDefault="00063FC8" w:rsidP="00DB3112">
      <w:pPr>
        <w:ind w:left="360"/>
        <w:rPr>
          <w:rFonts w:ascii="Arial" w:hAnsi="Arial" w:cs="Arial"/>
          <w:sz w:val="24"/>
          <w:szCs w:val="24"/>
        </w:rPr>
      </w:pPr>
      <w:r w:rsidRPr="004A10D6">
        <w:rPr>
          <w:rFonts w:ascii="Arial" w:hAnsi="Arial" w:cs="Arial"/>
          <w:sz w:val="24"/>
          <w:szCs w:val="24"/>
        </w:rPr>
        <w:t xml:space="preserve">una novità significativa della riforma contabile riguarda il bilancio finanziario autorizzatorio che abbraccia, almeno, l’arco temporale del triennio e dove, alle previsioni di competenza, si affiancano le previsioni di cassa, solo però per il primo anno del triennio considerato: viene meno, così, la distinzione tra bilancio annuale e bilancio pluriennale con la redazione di un unico documento finanziario autorizzatorio triennale. Un ulteriore aspetto su cui soffermarsi concerne l’attribuzione della funzione autorizzatoria al titolo sesto delle </w:t>
      </w:r>
      <w:r w:rsidRPr="004A10D6">
        <w:rPr>
          <w:rFonts w:ascii="Arial" w:hAnsi="Arial" w:cs="Arial"/>
          <w:sz w:val="24"/>
          <w:szCs w:val="24"/>
        </w:rPr>
        <w:lastRenderedPageBreak/>
        <w:t>entrate riguardanti le accensioni prestiti: si può dar corso all’indebitamento solo se previsto negli strumenti programmatici, e tra questi va sicuramente ricompreso il bilancio di previsione.</w:t>
      </w:r>
    </w:p>
    <w:p w:rsidR="00063FC8" w:rsidRPr="004A10D6" w:rsidRDefault="00063FC8" w:rsidP="00DB3112">
      <w:pPr>
        <w:ind w:left="360"/>
        <w:rPr>
          <w:rFonts w:ascii="Arial" w:hAnsi="Arial" w:cs="Arial"/>
          <w:sz w:val="24"/>
          <w:szCs w:val="24"/>
        </w:rPr>
      </w:pPr>
      <w:r w:rsidRPr="004A10D6">
        <w:rPr>
          <w:rFonts w:ascii="Arial" w:hAnsi="Arial" w:cs="Arial"/>
          <w:sz w:val="24"/>
          <w:szCs w:val="24"/>
        </w:rPr>
        <w:t>il bilancio di previsione è almeno triennale</w:t>
      </w:r>
      <w:r w:rsidR="00C661E9" w:rsidRPr="004A10D6">
        <w:rPr>
          <w:rFonts w:ascii="Arial" w:hAnsi="Arial" w:cs="Arial"/>
          <w:sz w:val="24"/>
          <w:szCs w:val="24"/>
        </w:rPr>
        <w:t xml:space="preserve"> e</w:t>
      </w:r>
      <w:r w:rsidRPr="004A10D6">
        <w:rPr>
          <w:rFonts w:ascii="Arial" w:hAnsi="Arial" w:cs="Arial"/>
          <w:sz w:val="24"/>
          <w:szCs w:val="24"/>
        </w:rPr>
        <w:t xml:space="preserve"> per effetto della natura autorizzatoria delle previsioni degli esercizi del triennio, possono essere assunte obbligazioni anche con riferimento agli esercizi successivi al primo:</w:t>
      </w:r>
    </w:p>
    <w:p w:rsidR="00063FC8" w:rsidRPr="004A10D6" w:rsidRDefault="00063FC8" w:rsidP="00DB3112">
      <w:pPr>
        <w:ind w:left="1800"/>
        <w:rPr>
          <w:rFonts w:ascii="Arial" w:hAnsi="Arial" w:cs="Arial"/>
          <w:sz w:val="24"/>
          <w:szCs w:val="24"/>
        </w:rPr>
      </w:pPr>
      <w:r w:rsidRPr="004A10D6">
        <w:rPr>
          <w:rFonts w:ascii="Arial" w:hAnsi="Arial" w:cs="Arial"/>
          <w:sz w:val="24"/>
          <w:szCs w:val="24"/>
        </w:rPr>
        <w:t xml:space="preserve">per spese correnti, se relative a contratti o convenzioni pluriennali, o se necessarie per garantire lo svolgimento di compiti connessi con le funzioni fondamentali; </w:t>
      </w:r>
    </w:p>
    <w:p w:rsidR="00063FC8" w:rsidRPr="004A10D6" w:rsidRDefault="00063FC8" w:rsidP="00DB3112">
      <w:pPr>
        <w:ind w:left="1800"/>
        <w:rPr>
          <w:rFonts w:ascii="Arial" w:hAnsi="Arial" w:cs="Arial"/>
          <w:sz w:val="24"/>
          <w:szCs w:val="24"/>
        </w:rPr>
      </w:pPr>
      <w:r w:rsidRPr="004A10D6">
        <w:rPr>
          <w:rFonts w:ascii="Arial" w:hAnsi="Arial" w:cs="Arial"/>
          <w:sz w:val="24"/>
          <w:szCs w:val="24"/>
        </w:rPr>
        <w:t>per spese di investimento, a condizione di aver predisposto, prima della nascita dell’obbligazione, la copertura finanziaria dell’investimento, che può essere costituita solo da entrate accertate esigibili nel corso dell’esercizio o la cui esigibilità è nella piena discrezionalità dell’ente(3) o di altra pubblica amministrazione, dall’avanzo</w:t>
      </w:r>
    </w:p>
    <w:p w:rsidR="00063FC8" w:rsidRPr="004A10D6" w:rsidRDefault="00063FC8" w:rsidP="00DB3112">
      <w:pPr>
        <w:ind w:left="360"/>
        <w:rPr>
          <w:rFonts w:ascii="Arial" w:hAnsi="Arial" w:cs="Arial"/>
          <w:sz w:val="24"/>
          <w:szCs w:val="24"/>
        </w:rPr>
      </w:pPr>
      <w:r w:rsidRPr="004A10D6">
        <w:rPr>
          <w:rFonts w:ascii="Arial" w:hAnsi="Arial" w:cs="Arial"/>
          <w:sz w:val="24"/>
          <w:szCs w:val="24"/>
        </w:rPr>
        <w:t xml:space="preserve">Quale momento fa sorgere l’obbligo della registrazione dei fatti di gestione? Il criterio individuato è quello della </w:t>
      </w:r>
      <w:r w:rsidRPr="004A10D6">
        <w:rPr>
          <w:rFonts w:ascii="Arial" w:hAnsi="Arial" w:cs="Arial"/>
          <w:b/>
          <w:sz w:val="24"/>
          <w:szCs w:val="24"/>
        </w:rPr>
        <w:t>competenza finanziaria potenziata</w:t>
      </w:r>
      <w:r w:rsidRPr="004A10D6">
        <w:rPr>
          <w:rFonts w:ascii="Arial" w:hAnsi="Arial" w:cs="Arial"/>
          <w:sz w:val="24"/>
          <w:szCs w:val="24"/>
        </w:rPr>
        <w:t xml:space="preserve"> che individua </w:t>
      </w:r>
      <w:r w:rsidRPr="004A10D6">
        <w:rPr>
          <w:rFonts w:ascii="Arial" w:hAnsi="Arial" w:cs="Arial"/>
          <w:color w:val="FF0000"/>
          <w:sz w:val="24"/>
          <w:szCs w:val="24"/>
        </w:rPr>
        <w:t>la rilevazione dei fatti gestionali nel momento del perfezionamento dell’obbligazione e l’imputazione degli impegni e degli accertamenti in base all’esigibilità dell’obbligazione stessa.</w:t>
      </w:r>
      <w:r w:rsidRPr="004A10D6">
        <w:rPr>
          <w:rFonts w:ascii="Arial" w:hAnsi="Arial" w:cs="Arial"/>
          <w:sz w:val="24"/>
          <w:szCs w:val="24"/>
        </w:rPr>
        <w:t xml:space="preserve"> </w:t>
      </w:r>
    </w:p>
    <w:p w:rsidR="00063FC8" w:rsidRPr="004A10D6" w:rsidRDefault="00063FC8" w:rsidP="00DB3112">
      <w:pPr>
        <w:ind w:left="360"/>
        <w:rPr>
          <w:rFonts w:ascii="Arial" w:hAnsi="Arial" w:cs="Arial"/>
          <w:sz w:val="24"/>
          <w:szCs w:val="24"/>
        </w:rPr>
      </w:pPr>
      <w:r w:rsidRPr="004A10D6">
        <w:rPr>
          <w:rFonts w:ascii="Arial" w:hAnsi="Arial" w:cs="Arial"/>
          <w:sz w:val="24"/>
          <w:szCs w:val="24"/>
        </w:rPr>
        <w:t>primo effetto quello di diminuire la formazione dei residui attivi e passivi proprio perché l’obbligazione, sebbene registrata all’atto del suo perfezionamento, è imputata nell’anno in cui, diventando esigibile, verrà soddisfatta:</w:t>
      </w:r>
    </w:p>
    <w:p w:rsidR="00540FC8" w:rsidRPr="004A10D6" w:rsidRDefault="00540FC8" w:rsidP="00DB3112">
      <w:pPr>
        <w:ind w:left="360"/>
        <w:rPr>
          <w:rFonts w:ascii="Arial" w:hAnsi="Arial" w:cs="Arial"/>
          <w:sz w:val="24"/>
          <w:szCs w:val="24"/>
        </w:rPr>
      </w:pPr>
      <w:r w:rsidRPr="004A10D6">
        <w:rPr>
          <w:rFonts w:ascii="Arial" w:hAnsi="Arial" w:cs="Arial"/>
          <w:sz w:val="24"/>
          <w:szCs w:val="24"/>
        </w:rPr>
        <w:t>Se tutti i debiti e i crediti imputati secondo esigibilità vengono, rispettivamente, pagati e riscossi nell’anno in cui sono stati imputati, gli stanziamenti di cassa sono esattamente uguali agli stanziamenti di competenza.</w:t>
      </w:r>
    </w:p>
    <w:p w:rsidR="00540FC8" w:rsidRPr="004A10D6" w:rsidRDefault="00540FC8" w:rsidP="00DB3112">
      <w:pPr>
        <w:ind w:left="360"/>
        <w:rPr>
          <w:rFonts w:ascii="Arial" w:hAnsi="Arial" w:cs="Arial"/>
          <w:sz w:val="24"/>
          <w:szCs w:val="24"/>
        </w:rPr>
      </w:pPr>
      <w:r w:rsidRPr="004A10D6">
        <w:rPr>
          <w:rFonts w:ascii="Arial" w:hAnsi="Arial" w:cs="Arial"/>
          <w:sz w:val="24"/>
          <w:szCs w:val="24"/>
        </w:rPr>
        <w:t>Bisogna però tener conto che vi possono essere ritardi nella riscossione dei crediti dell’ente (dovuti, ad esempio, ai tempi di attuazione delle procedure di riscossione coattiva) per cui l’entrata relativa al credito esigibile, scaduto, tarda a realizzarsi. Nel contempo possono esservi obbligazioni passive connesse ad adempimenti dei fornitori, dei prestatori d’opera o dei professionisti le quali, ancorché portate a termine, non vengono pagate</w:t>
      </w:r>
    </w:p>
    <w:p w:rsidR="00540FC8" w:rsidRPr="004A10D6" w:rsidRDefault="00540FC8" w:rsidP="00DB3112">
      <w:pPr>
        <w:ind w:left="360"/>
        <w:rPr>
          <w:rFonts w:ascii="Arial" w:hAnsi="Arial" w:cs="Arial"/>
          <w:sz w:val="24"/>
          <w:szCs w:val="24"/>
        </w:rPr>
      </w:pPr>
      <w:r w:rsidRPr="004A10D6">
        <w:rPr>
          <w:rFonts w:ascii="Arial" w:hAnsi="Arial" w:cs="Arial"/>
          <w:sz w:val="24"/>
          <w:szCs w:val="24"/>
        </w:rPr>
        <w:t>in questi casi il residuo che si genera fa emergere il disallineamento tra gli stanziamenti di competenza e gli stanziamenti di cassa, ma è destinato ad azzerarsi nel breve periodo.</w:t>
      </w:r>
    </w:p>
    <w:p w:rsidR="00063FC8" w:rsidRPr="004A10D6" w:rsidRDefault="00540FC8" w:rsidP="00DB3112">
      <w:pPr>
        <w:ind w:left="360"/>
        <w:rPr>
          <w:rFonts w:ascii="Arial" w:hAnsi="Arial" w:cs="Arial"/>
          <w:sz w:val="24"/>
          <w:szCs w:val="24"/>
        </w:rPr>
      </w:pPr>
      <w:r w:rsidRPr="004A10D6">
        <w:rPr>
          <w:rFonts w:ascii="Arial" w:hAnsi="Arial" w:cs="Arial"/>
          <w:sz w:val="24"/>
          <w:szCs w:val="24"/>
        </w:rPr>
        <w:t>PRIMA</w:t>
      </w:r>
      <w:r w:rsidRPr="004A10D6">
        <w:rPr>
          <w:rFonts w:ascii="Arial" w:hAnsi="Arial" w:cs="Arial"/>
          <w:sz w:val="24"/>
          <w:szCs w:val="24"/>
        </w:rPr>
        <w:sym w:font="Wingdings" w:char="F0E0"/>
      </w:r>
      <w:r w:rsidRPr="004A10D6">
        <w:rPr>
          <w:rFonts w:ascii="Arial" w:hAnsi="Arial" w:cs="Arial"/>
          <w:sz w:val="24"/>
          <w:szCs w:val="24"/>
        </w:rPr>
        <w:t xml:space="preserve">e obbligazioni giuridiche perfezionate sono state registrate nelle scritture contabili al momento della nascita dell’obbligazione, dando contestualmente origine ad </w:t>
      </w:r>
      <w:r w:rsidRPr="004A10D6">
        <w:rPr>
          <w:rFonts w:ascii="Arial" w:hAnsi="Arial" w:cs="Arial"/>
          <w:sz w:val="24"/>
          <w:szCs w:val="24"/>
        </w:rPr>
        <w:lastRenderedPageBreak/>
        <w:t>accertamenti ed impegni.</w:t>
      </w:r>
    </w:p>
    <w:p w:rsidR="00540FC8" w:rsidRPr="004A10D6" w:rsidRDefault="00540FC8" w:rsidP="00DB3112">
      <w:pPr>
        <w:ind w:left="360"/>
        <w:rPr>
          <w:rFonts w:ascii="Arial" w:hAnsi="Arial" w:cs="Arial"/>
          <w:sz w:val="24"/>
          <w:szCs w:val="24"/>
        </w:rPr>
      </w:pPr>
      <w:r w:rsidRPr="004A10D6">
        <w:rPr>
          <w:rFonts w:ascii="Arial" w:hAnsi="Arial" w:cs="Arial"/>
          <w:sz w:val="24"/>
          <w:szCs w:val="24"/>
        </w:rPr>
        <w:t>DOPO</w:t>
      </w:r>
      <w:r w:rsidRPr="004A10D6">
        <w:rPr>
          <w:rFonts w:ascii="Arial" w:hAnsi="Arial" w:cs="Arial"/>
          <w:sz w:val="24"/>
          <w:szCs w:val="24"/>
        </w:rPr>
        <w:sym w:font="Wingdings" w:char="F0E0"/>
      </w:r>
      <w:r w:rsidRPr="004A10D6">
        <w:rPr>
          <w:rFonts w:ascii="Arial" w:hAnsi="Arial" w:cs="Arial"/>
          <w:sz w:val="24"/>
          <w:szCs w:val="24"/>
        </w:rPr>
        <w:t>le obbligazioni giuridiche perfezionate sono registrate nelle scritture contabili al momento della nascita dell’obbligazione e danno origine ad accertamenti ed impegni, i quali vengono imputati all’esercizio in cui l’obbligazione viene a scadenza.</w:t>
      </w:r>
    </w:p>
    <w:p w:rsidR="004C3B93" w:rsidRPr="004A10D6" w:rsidRDefault="004C3B93" w:rsidP="00DB3112">
      <w:pPr>
        <w:ind w:left="360"/>
        <w:rPr>
          <w:rFonts w:ascii="Arial" w:hAnsi="Arial" w:cs="Arial"/>
          <w:sz w:val="24"/>
          <w:szCs w:val="24"/>
          <w:u w:val="single"/>
        </w:rPr>
      </w:pPr>
      <w:r w:rsidRPr="004A10D6">
        <w:rPr>
          <w:rFonts w:ascii="Arial" w:hAnsi="Arial" w:cs="Arial"/>
          <w:sz w:val="24"/>
          <w:szCs w:val="24"/>
          <w:u w:val="single"/>
        </w:rPr>
        <w:t>la registrazione contabile di un accertamento riguarda</w:t>
      </w:r>
    </w:p>
    <w:p w:rsidR="004C3B93" w:rsidRPr="004A10D6" w:rsidRDefault="004C3B93" w:rsidP="00DB3112">
      <w:pPr>
        <w:ind w:left="1800"/>
        <w:rPr>
          <w:rFonts w:ascii="Arial" w:hAnsi="Arial" w:cs="Arial"/>
          <w:sz w:val="24"/>
          <w:szCs w:val="24"/>
        </w:rPr>
      </w:pPr>
      <w:r w:rsidRPr="004A10D6">
        <w:rPr>
          <w:rFonts w:ascii="Arial" w:hAnsi="Arial" w:cs="Arial"/>
          <w:sz w:val="24"/>
          <w:szCs w:val="24"/>
        </w:rPr>
        <w:t xml:space="preserve">la ragione del credito; </w:t>
      </w:r>
    </w:p>
    <w:p w:rsidR="004C3B93" w:rsidRPr="004A10D6" w:rsidRDefault="004C3B93" w:rsidP="00DB3112">
      <w:pPr>
        <w:ind w:left="1800"/>
        <w:rPr>
          <w:rFonts w:ascii="Arial" w:hAnsi="Arial" w:cs="Arial"/>
          <w:sz w:val="24"/>
          <w:szCs w:val="24"/>
        </w:rPr>
      </w:pPr>
      <w:r w:rsidRPr="004A10D6">
        <w:rPr>
          <w:rFonts w:ascii="Arial" w:hAnsi="Arial" w:cs="Arial"/>
          <w:sz w:val="24"/>
          <w:szCs w:val="24"/>
        </w:rPr>
        <w:t>il titolo giuridico che supporta il credito;</w:t>
      </w:r>
    </w:p>
    <w:p w:rsidR="004C3B93" w:rsidRPr="004A10D6" w:rsidRDefault="004C3B93" w:rsidP="00DB3112">
      <w:pPr>
        <w:ind w:left="1800"/>
        <w:rPr>
          <w:rFonts w:ascii="Arial" w:hAnsi="Arial" w:cs="Arial"/>
          <w:sz w:val="24"/>
          <w:szCs w:val="24"/>
        </w:rPr>
      </w:pPr>
      <w:r w:rsidRPr="004A10D6">
        <w:rPr>
          <w:rFonts w:ascii="Arial" w:hAnsi="Arial" w:cs="Arial"/>
          <w:sz w:val="24"/>
          <w:szCs w:val="24"/>
        </w:rPr>
        <w:t xml:space="preserve">l’individuazione del soggetto debitore; </w:t>
      </w:r>
    </w:p>
    <w:p w:rsidR="004C3B93" w:rsidRPr="004A10D6" w:rsidRDefault="004C3B93" w:rsidP="00DB3112">
      <w:pPr>
        <w:ind w:left="1800"/>
        <w:rPr>
          <w:rFonts w:ascii="Arial" w:hAnsi="Arial" w:cs="Arial"/>
          <w:sz w:val="24"/>
          <w:szCs w:val="24"/>
        </w:rPr>
      </w:pPr>
      <w:r w:rsidRPr="004A10D6">
        <w:rPr>
          <w:rFonts w:ascii="Arial" w:hAnsi="Arial" w:cs="Arial"/>
          <w:sz w:val="24"/>
          <w:szCs w:val="24"/>
        </w:rPr>
        <w:t xml:space="preserve">l’ammontare del credito; </w:t>
      </w:r>
    </w:p>
    <w:p w:rsidR="00540FC8" w:rsidRPr="004A10D6" w:rsidRDefault="004C3B93" w:rsidP="00DB3112">
      <w:pPr>
        <w:ind w:left="1800"/>
        <w:rPr>
          <w:rFonts w:ascii="Arial" w:hAnsi="Arial" w:cs="Arial"/>
          <w:sz w:val="24"/>
          <w:szCs w:val="24"/>
        </w:rPr>
      </w:pPr>
      <w:r w:rsidRPr="004A10D6">
        <w:rPr>
          <w:rFonts w:ascii="Arial" w:hAnsi="Arial" w:cs="Arial"/>
          <w:sz w:val="24"/>
          <w:szCs w:val="24"/>
        </w:rPr>
        <w:t>la relativa scadenza.</w:t>
      </w:r>
    </w:p>
    <w:p w:rsidR="004C3B93" w:rsidRPr="004A10D6" w:rsidRDefault="004C3B93" w:rsidP="00DB3112">
      <w:pPr>
        <w:ind w:left="360"/>
        <w:rPr>
          <w:rFonts w:ascii="Arial" w:hAnsi="Arial" w:cs="Arial"/>
          <w:sz w:val="24"/>
          <w:szCs w:val="24"/>
          <w:u w:val="single"/>
        </w:rPr>
      </w:pPr>
      <w:r w:rsidRPr="004A10D6">
        <w:rPr>
          <w:rFonts w:ascii="Arial" w:hAnsi="Arial" w:cs="Arial"/>
          <w:sz w:val="24"/>
          <w:szCs w:val="24"/>
          <w:u w:val="single"/>
        </w:rPr>
        <w:t>Un’obbligazione è scaduta quando nulla osta alla sua riscossione ed è consentito pretenderne l’adempimento</w:t>
      </w:r>
    </w:p>
    <w:p w:rsidR="004C3B93" w:rsidRPr="004A10D6" w:rsidRDefault="004C3B93" w:rsidP="00DB3112">
      <w:pPr>
        <w:ind w:left="360"/>
        <w:rPr>
          <w:rFonts w:ascii="Arial" w:hAnsi="Arial" w:cs="Arial"/>
          <w:sz w:val="24"/>
          <w:szCs w:val="24"/>
        </w:rPr>
      </w:pPr>
      <w:r w:rsidRPr="004A10D6">
        <w:rPr>
          <w:rFonts w:ascii="Arial" w:hAnsi="Arial" w:cs="Arial"/>
          <w:sz w:val="24"/>
          <w:szCs w:val="24"/>
        </w:rPr>
        <w:t>“Non possono essere riferite ad un determinato esercizio finanziario le entrate per le quali non sia venuto a scadere, nello stesso esercizio finanziario, il diritto di credito. Conseguentemente è esclusa categoricamente la possibilità di accertamento 91 Il principio generale di competenza finanziaria. Il fondo pluriennale vincolato e il riaccertamento straordinario attuale di entrate future, in quanto ciò darebbe luogo ad un’anticipazione di impieghi (ed ai relativi oneri) in attesa dell’effettivo maturare della scadenza del titolo giuridico dell’entrata futura, con la conseguenza di alterare gli equilibri finanziari dell’esercizio finanziario”</w:t>
      </w:r>
    </w:p>
    <w:p w:rsidR="004C3B93" w:rsidRPr="004A10D6" w:rsidRDefault="004C3B93" w:rsidP="00DB3112">
      <w:pPr>
        <w:ind w:left="360"/>
        <w:rPr>
          <w:rFonts w:ascii="Arial" w:hAnsi="Arial" w:cs="Arial"/>
          <w:sz w:val="24"/>
          <w:szCs w:val="24"/>
        </w:rPr>
      </w:pPr>
      <w:r w:rsidRPr="004A10D6">
        <w:rPr>
          <w:rFonts w:ascii="Arial" w:hAnsi="Arial" w:cs="Arial"/>
          <w:sz w:val="24"/>
          <w:szCs w:val="24"/>
        </w:rPr>
        <w:t xml:space="preserve">Gli elementi costitutivi dell’impegno, elencati nel principio generale della contabilità finanziaria sono: </w:t>
      </w:r>
    </w:p>
    <w:p w:rsidR="004C3B93" w:rsidRPr="004A10D6" w:rsidRDefault="004C3B93" w:rsidP="00DB3112">
      <w:pPr>
        <w:ind w:left="1800"/>
        <w:rPr>
          <w:rFonts w:ascii="Arial" w:hAnsi="Arial" w:cs="Arial"/>
          <w:sz w:val="24"/>
          <w:szCs w:val="24"/>
        </w:rPr>
      </w:pPr>
      <w:r w:rsidRPr="004A10D6">
        <w:rPr>
          <w:rFonts w:ascii="Arial" w:hAnsi="Arial" w:cs="Arial"/>
          <w:sz w:val="24"/>
          <w:szCs w:val="24"/>
        </w:rPr>
        <w:t xml:space="preserve">la ragione del debito; </w:t>
      </w:r>
    </w:p>
    <w:p w:rsidR="004C3B93" w:rsidRPr="004A10D6" w:rsidRDefault="004C3B93" w:rsidP="00DB3112">
      <w:pPr>
        <w:ind w:left="1800"/>
        <w:rPr>
          <w:rFonts w:ascii="Arial" w:hAnsi="Arial" w:cs="Arial"/>
          <w:sz w:val="24"/>
          <w:szCs w:val="24"/>
        </w:rPr>
      </w:pPr>
      <w:r w:rsidRPr="004A10D6">
        <w:rPr>
          <w:rFonts w:ascii="Arial" w:hAnsi="Arial" w:cs="Arial"/>
          <w:sz w:val="24"/>
          <w:szCs w:val="24"/>
        </w:rPr>
        <w:t xml:space="preserve">la determinazione della somma da pagare; </w:t>
      </w:r>
    </w:p>
    <w:p w:rsidR="004C3B93" w:rsidRPr="004A10D6" w:rsidRDefault="004C3B93" w:rsidP="00DB3112">
      <w:pPr>
        <w:ind w:left="1800"/>
        <w:rPr>
          <w:rFonts w:ascii="Arial" w:hAnsi="Arial" w:cs="Arial"/>
          <w:sz w:val="24"/>
          <w:szCs w:val="24"/>
        </w:rPr>
      </w:pPr>
      <w:r w:rsidRPr="004A10D6">
        <w:rPr>
          <w:rFonts w:ascii="Arial" w:hAnsi="Arial" w:cs="Arial"/>
          <w:sz w:val="24"/>
          <w:szCs w:val="24"/>
        </w:rPr>
        <w:t>il soggetto creditore;</w:t>
      </w:r>
    </w:p>
    <w:p w:rsidR="004C3B93" w:rsidRPr="004A10D6" w:rsidRDefault="004C3B93" w:rsidP="00DB3112">
      <w:pPr>
        <w:ind w:left="1800"/>
        <w:rPr>
          <w:rFonts w:ascii="Arial" w:hAnsi="Arial" w:cs="Arial"/>
          <w:sz w:val="24"/>
          <w:szCs w:val="24"/>
        </w:rPr>
      </w:pPr>
      <w:r w:rsidRPr="004A10D6">
        <w:rPr>
          <w:rFonts w:ascii="Arial" w:hAnsi="Arial" w:cs="Arial"/>
          <w:sz w:val="24"/>
          <w:szCs w:val="24"/>
        </w:rPr>
        <w:t xml:space="preserve">la specificazione del vincolo costituito sullo stanziamento di bilanci; </w:t>
      </w:r>
    </w:p>
    <w:p w:rsidR="004C3B93" w:rsidRPr="004A10D6" w:rsidRDefault="004C3B93" w:rsidP="00DB3112">
      <w:pPr>
        <w:ind w:left="1800"/>
        <w:rPr>
          <w:rFonts w:ascii="Arial" w:hAnsi="Arial" w:cs="Arial"/>
          <w:sz w:val="24"/>
          <w:szCs w:val="24"/>
        </w:rPr>
      </w:pPr>
      <w:r w:rsidRPr="004A10D6">
        <w:rPr>
          <w:rFonts w:ascii="Arial" w:hAnsi="Arial" w:cs="Arial"/>
          <w:sz w:val="24"/>
          <w:szCs w:val="24"/>
        </w:rPr>
        <w:t>la relativa scadenza.</w:t>
      </w:r>
    </w:p>
    <w:p w:rsidR="004C3B93" w:rsidRPr="004A10D6" w:rsidRDefault="004C3B93" w:rsidP="00DB3112">
      <w:pPr>
        <w:ind w:left="360"/>
        <w:rPr>
          <w:rFonts w:ascii="Arial" w:hAnsi="Arial" w:cs="Arial"/>
          <w:sz w:val="24"/>
          <w:szCs w:val="24"/>
        </w:rPr>
      </w:pPr>
      <w:r w:rsidRPr="004A10D6">
        <w:rPr>
          <w:rFonts w:ascii="Arial" w:hAnsi="Arial" w:cs="Arial"/>
          <w:sz w:val="24"/>
          <w:szCs w:val="24"/>
        </w:rPr>
        <w:t>la competenza finanziaria potenziata in quanto permette l’imputazione dell’impegno nell’anno in cui l’obbligazione scade. In tal modo i bilanci degli enti rispecchiano veri debiti, in quanto obbligazioni giuridiche passive scadute.</w:t>
      </w:r>
    </w:p>
    <w:p w:rsidR="004C3B93" w:rsidRPr="004A10D6" w:rsidRDefault="00646538" w:rsidP="00DB3112">
      <w:pPr>
        <w:ind w:left="360"/>
        <w:rPr>
          <w:rFonts w:ascii="Arial" w:hAnsi="Arial" w:cs="Arial"/>
          <w:sz w:val="24"/>
          <w:szCs w:val="24"/>
        </w:rPr>
      </w:pPr>
      <w:r w:rsidRPr="004A10D6">
        <w:rPr>
          <w:rFonts w:ascii="Arial" w:hAnsi="Arial" w:cs="Arial"/>
          <w:sz w:val="24"/>
          <w:szCs w:val="24"/>
        </w:rPr>
        <w:lastRenderedPageBreak/>
        <w:t xml:space="preserve">Si prevede inoltre la costituzione di un accantonamento obbligatorio in presenza di contenzioso con significative pagamento delle spese in attesa degli esiti del giudizio: in questo caso non può essere assunto alcun valido impegno di spesa e l’ente è tenuto ad accantonare le risorse necessarie per il pagamento degli oneri previsti dalla sentenza attraverso la costituzione di </w:t>
      </w:r>
      <w:r w:rsidRPr="004A10D6">
        <w:rPr>
          <w:rFonts w:ascii="Arial" w:hAnsi="Arial" w:cs="Arial"/>
          <w:sz w:val="24"/>
          <w:szCs w:val="24"/>
          <w:u w:val="single"/>
        </w:rPr>
        <w:t>un fondo rischi spese legali i</w:t>
      </w:r>
      <w:r w:rsidRPr="004A10D6">
        <w:rPr>
          <w:rFonts w:ascii="Arial" w:hAnsi="Arial" w:cs="Arial"/>
          <w:sz w:val="24"/>
          <w:szCs w:val="24"/>
        </w:rPr>
        <w:t xml:space="preserve"> cui stanziamenti, a fine esercizio, incrementano il risultato di amministrazione che dovrà essere vincolato alla copertura delle eventuali spese derivanti dalla sentenza.</w:t>
      </w:r>
    </w:p>
    <w:p w:rsidR="00646538" w:rsidRPr="004A10D6" w:rsidRDefault="00646538" w:rsidP="00DB3112">
      <w:pPr>
        <w:ind w:left="360"/>
        <w:rPr>
          <w:rFonts w:ascii="Arial" w:hAnsi="Arial" w:cs="Arial"/>
          <w:sz w:val="24"/>
          <w:szCs w:val="24"/>
        </w:rPr>
      </w:pPr>
      <w:r w:rsidRPr="004A10D6">
        <w:rPr>
          <w:rFonts w:ascii="Arial" w:hAnsi="Arial" w:cs="Arial"/>
          <w:sz w:val="24"/>
          <w:szCs w:val="24"/>
        </w:rPr>
        <w:t>Per le spese di investimento non viene meno la garanzia della copertura finanziaria che deve sussistere sin dal momento dell’attivazione del primo impegno, nonostante le obbligazioni passive vengano a scadenza in più esercizi. In questo caso, la copertura finanziaria prescinde dall’esercizio di imputazione della spesa e deve essere concreta ed effettiva.</w:t>
      </w:r>
    </w:p>
    <w:p w:rsidR="00646538" w:rsidRPr="004A10D6" w:rsidRDefault="00646538" w:rsidP="00DB3112">
      <w:pPr>
        <w:ind w:left="360"/>
        <w:rPr>
          <w:rFonts w:ascii="Arial" w:hAnsi="Arial" w:cs="Arial"/>
          <w:sz w:val="24"/>
          <w:szCs w:val="24"/>
        </w:rPr>
      </w:pPr>
      <w:r w:rsidRPr="004A10D6">
        <w:rPr>
          <w:rFonts w:ascii="Arial" w:hAnsi="Arial" w:cs="Arial"/>
          <w:sz w:val="24"/>
          <w:szCs w:val="24"/>
        </w:rPr>
        <w:t>Eccezione al principio di competenza finanziaria potenziata</w:t>
      </w:r>
      <w:r w:rsidRPr="004A10D6">
        <w:rPr>
          <w:rFonts w:ascii="Arial" w:hAnsi="Arial" w:cs="Arial"/>
          <w:sz w:val="24"/>
          <w:szCs w:val="24"/>
        </w:rPr>
        <w:sym w:font="Wingdings" w:char="F0E0"/>
      </w:r>
      <w:r w:rsidRPr="004A10D6">
        <w:rPr>
          <w:rFonts w:ascii="Arial" w:hAnsi="Arial" w:cs="Arial"/>
          <w:sz w:val="24"/>
          <w:szCs w:val="24"/>
        </w:rPr>
        <w:t xml:space="preserve"> in deroga al principio generale, le obbligazioni giuridicamente perfezionate attive e passive, che danno luogo ad entrate e spese riguardanti le partite di giro e le operazioni per conto terzi devono essere registrate e imputate all’esercizio in cui l’obbligazione è perfezionata.</w:t>
      </w:r>
    </w:p>
    <w:p w:rsidR="007D16EE" w:rsidRPr="004A10D6" w:rsidRDefault="007D16EE" w:rsidP="00DB3112">
      <w:pPr>
        <w:ind w:left="360"/>
        <w:rPr>
          <w:rFonts w:ascii="Arial" w:hAnsi="Arial" w:cs="Arial"/>
          <w:sz w:val="24"/>
          <w:szCs w:val="24"/>
        </w:rPr>
      </w:pPr>
      <w:r w:rsidRPr="004A10D6">
        <w:rPr>
          <w:rFonts w:ascii="Arial" w:hAnsi="Arial" w:cs="Arial"/>
          <w:sz w:val="24"/>
          <w:szCs w:val="24"/>
        </w:rPr>
        <w:t xml:space="preserve">L’applicazione del principio della competenza finanziaria potenziata conduce necessariamente all’introduzione nel sistema contabile degli enti del </w:t>
      </w:r>
      <w:r w:rsidRPr="004A10D6">
        <w:rPr>
          <w:rFonts w:ascii="Arial" w:hAnsi="Arial" w:cs="Arial"/>
          <w:b/>
          <w:sz w:val="24"/>
          <w:szCs w:val="24"/>
        </w:rPr>
        <w:t>fondo crediti di dubbia esigibilità e del fondo pluriennale vincolato</w:t>
      </w:r>
      <w:r w:rsidRPr="004A10D6">
        <w:rPr>
          <w:rFonts w:ascii="Arial" w:hAnsi="Arial" w:cs="Arial"/>
          <w:sz w:val="24"/>
          <w:szCs w:val="24"/>
        </w:rPr>
        <w:t xml:space="preserve">. </w:t>
      </w:r>
    </w:p>
    <w:p w:rsidR="007D16EE" w:rsidRPr="004A10D6" w:rsidRDefault="007D16EE" w:rsidP="00DB3112">
      <w:pPr>
        <w:ind w:left="360"/>
        <w:rPr>
          <w:rFonts w:ascii="Arial" w:hAnsi="Arial" w:cs="Arial"/>
          <w:sz w:val="24"/>
          <w:szCs w:val="24"/>
        </w:rPr>
      </w:pPr>
      <w:r w:rsidRPr="004A10D6">
        <w:rPr>
          <w:rFonts w:ascii="Arial" w:hAnsi="Arial" w:cs="Arial"/>
          <w:b/>
          <w:sz w:val="24"/>
          <w:szCs w:val="24"/>
        </w:rPr>
        <w:t xml:space="preserve">fondo crediti di dubbia esigibilità </w:t>
      </w:r>
      <w:r w:rsidRPr="004A10D6">
        <w:rPr>
          <w:rFonts w:ascii="Arial" w:hAnsi="Arial" w:cs="Arial"/>
          <w:b/>
          <w:sz w:val="24"/>
          <w:szCs w:val="24"/>
        </w:rPr>
        <w:sym w:font="Wingdings" w:char="F0E0"/>
      </w:r>
      <w:r w:rsidRPr="004A10D6">
        <w:rPr>
          <w:rFonts w:ascii="Arial" w:hAnsi="Arial" w:cs="Arial"/>
          <w:b/>
          <w:sz w:val="24"/>
          <w:szCs w:val="24"/>
        </w:rPr>
        <w:t xml:space="preserve"> </w:t>
      </w:r>
      <w:r w:rsidRPr="004A10D6">
        <w:rPr>
          <w:rFonts w:ascii="Arial" w:hAnsi="Arial" w:cs="Arial"/>
          <w:sz w:val="24"/>
          <w:szCs w:val="24"/>
        </w:rPr>
        <w:t>è connesso all’accertamento integrale delle obbligazioni giuridiche attive imputate secondo esigibilità: dalla registrazione del diritto di credito nel suo esatto ammontare non può derivare la copertura finanziaria di un eguale importo di spesa se il diritto di credito vantato dall’ente tarda a realizzarsi. Il rischio è quello di minare gli equilibri di bilancio, dapprima di cassa, e poi finanziari.. La funzione del fondo crediti di dubbia esigibilità è proprio quella di accantonare, nella parte spesa del bilancio, risorse che l’ente non spende se le entrate, accertate e imputate nell’anno, non hanno una velocità di riscossione adeguata a sostenere i normali flussi di spesa.</w:t>
      </w:r>
    </w:p>
    <w:p w:rsidR="00833625" w:rsidRPr="004A10D6" w:rsidRDefault="007D16EE" w:rsidP="00DB3112">
      <w:pPr>
        <w:ind w:left="360"/>
        <w:rPr>
          <w:rFonts w:ascii="Arial" w:hAnsi="Arial" w:cs="Arial"/>
          <w:sz w:val="24"/>
          <w:szCs w:val="24"/>
        </w:rPr>
      </w:pPr>
      <w:r w:rsidRPr="004A10D6">
        <w:rPr>
          <w:rFonts w:ascii="Arial" w:hAnsi="Arial" w:cs="Arial"/>
          <w:b/>
          <w:sz w:val="24"/>
          <w:szCs w:val="24"/>
        </w:rPr>
        <w:t>Il fondo pluriennale vincolato</w:t>
      </w:r>
      <w:r w:rsidRPr="004A10D6">
        <w:rPr>
          <w:rFonts w:ascii="Arial" w:hAnsi="Arial" w:cs="Arial"/>
          <w:b/>
          <w:sz w:val="24"/>
          <w:szCs w:val="24"/>
        </w:rPr>
        <w:sym w:font="Wingdings" w:char="F0E0"/>
      </w:r>
      <w:r w:rsidRPr="004A10D6">
        <w:rPr>
          <w:rFonts w:ascii="Arial" w:hAnsi="Arial" w:cs="Arial"/>
          <w:sz w:val="24"/>
          <w:szCs w:val="24"/>
        </w:rPr>
        <w:t xml:space="preserve"> </w:t>
      </w:r>
      <w:r w:rsidR="006F30CB" w:rsidRPr="004A10D6">
        <w:rPr>
          <w:rFonts w:ascii="Arial" w:hAnsi="Arial" w:cs="Arial"/>
          <w:sz w:val="24"/>
          <w:szCs w:val="24"/>
        </w:rPr>
        <w:t xml:space="preserve">Nell'ambito della nuova contabilità armonizzata uno strumento del tutto nuovo, peculiare e fondamentale è certamente costituito dal "fondo pluriennale vincolato", essenziale per garantire l'applicazione del principio della "competenza finanziaria potenziata" e conseguentemente del criterio dell'esigibilità. Si tratta, riprendendo la definizione del principio contabile, di un "un saldo finanziario, costituito da risorse già accertate destinate al finanziamento di obbligazioni passive dell'ente già impegnate, ma esigibili in esercizi successivi a quello in cui è accertata l'entrata. Il  fondo è vincolato, in quanto finalizzato al sostenimento di determinate tipologie di spesa specificamente individuate, e pluriennale, in quanto destinato a garantire il raccordo tra più esercizi e a essere gestito in un arco temporale più esteso dell'esercizio </w:t>
      </w:r>
      <w:r w:rsidR="006F30CB" w:rsidRPr="004A10D6">
        <w:rPr>
          <w:rFonts w:ascii="Arial" w:hAnsi="Arial" w:cs="Arial"/>
          <w:sz w:val="24"/>
          <w:szCs w:val="24"/>
        </w:rPr>
        <w:lastRenderedPageBreak/>
        <w:t>annuale.</w:t>
      </w:r>
    </w:p>
    <w:p w:rsidR="006F30CB" w:rsidRPr="004A10D6" w:rsidRDefault="006F30CB" w:rsidP="00DB3112">
      <w:pPr>
        <w:ind w:left="360"/>
        <w:rPr>
          <w:rFonts w:ascii="Arial" w:hAnsi="Arial" w:cs="Arial"/>
          <w:sz w:val="24"/>
          <w:szCs w:val="24"/>
        </w:rPr>
      </w:pPr>
    </w:p>
    <w:p w:rsidR="002D670F" w:rsidRPr="004A10D6" w:rsidRDefault="002D670F" w:rsidP="00DB3112">
      <w:pPr>
        <w:ind w:left="360"/>
        <w:rPr>
          <w:rFonts w:ascii="Arial" w:hAnsi="Arial" w:cs="Arial"/>
          <w:b/>
          <w:sz w:val="24"/>
          <w:szCs w:val="24"/>
        </w:rPr>
      </w:pPr>
      <w:r w:rsidRPr="004A10D6">
        <w:rPr>
          <w:rFonts w:ascii="Arial" w:hAnsi="Arial" w:cs="Arial"/>
          <w:b/>
          <w:sz w:val="24"/>
          <w:szCs w:val="24"/>
        </w:rPr>
        <w:t xml:space="preserve">DUP </w:t>
      </w:r>
    </w:p>
    <w:p w:rsidR="002D670F" w:rsidRPr="004A10D6" w:rsidRDefault="002D670F" w:rsidP="00DB3112">
      <w:pPr>
        <w:ind w:left="360"/>
        <w:rPr>
          <w:rFonts w:ascii="Arial" w:hAnsi="Arial" w:cs="Arial"/>
          <w:sz w:val="24"/>
          <w:szCs w:val="24"/>
        </w:rPr>
      </w:pPr>
      <w:r w:rsidRPr="004A10D6">
        <w:rPr>
          <w:rFonts w:ascii="Arial" w:hAnsi="Arial" w:cs="Arial"/>
          <w:sz w:val="24"/>
          <w:szCs w:val="24"/>
        </w:rPr>
        <w:t>Il DUP è la principale innovazione introdotta nel sistema di programmazione degli Enti locali. L’aggettivo “unico” ben chiarisce l’obiettivo primario individuato nel principio applicato (d’ora in poi, per brevità, principio): riunire in un solo documento, posto a monte del BPF, le analisi, gli indirizzi e gli obiettivi che devono guidare la predisposizione del BPF, del PEG e la loro successiva gestione. Il DUP ha carattere generale, funge da guida strategica ed operativa dell’Amministrazione e consente di fronteggiare in modo permanente, sistemico e unitario le discontinuità ambientali e organizzative.</w:t>
      </w:r>
    </w:p>
    <w:p w:rsidR="002D670F" w:rsidRPr="004A10D6" w:rsidRDefault="00647B37" w:rsidP="00DB3112">
      <w:pPr>
        <w:ind w:left="360"/>
        <w:rPr>
          <w:rFonts w:ascii="Arial" w:hAnsi="Arial" w:cs="Arial"/>
          <w:sz w:val="24"/>
          <w:szCs w:val="24"/>
        </w:rPr>
      </w:pPr>
      <w:r w:rsidRPr="004A10D6">
        <w:rPr>
          <w:rFonts w:ascii="Arial" w:hAnsi="Arial" w:cs="Arial"/>
          <w:sz w:val="24"/>
          <w:szCs w:val="24"/>
        </w:rPr>
        <w:t>Il DUP, diversamente dalla vecchia Relazione previsionale e programmatica, non è un allegato del bilancio e costituisce presupposto indispensabile per l’approvazione del BPF;  sono definite le linee strategiche su cui si basano le previsioni finanziarie contenute nel BPF. Conseguentemente, anche il contenuto del PEG deve essere coerente con il DUP oltre che con il BPF. Il DUP assorbe sia la Relazione previsionale e programmatica sia il Piano generale di sviluppo. Nel DUP è compresa la programmazione in materia di lavori pubblici, personale e patrimonio. Nel DUP dovrebbero essere inseriti e integrati gli ulteriori strumenti di programmazione relativi all’attività istituzionale dell’Ente di cui il legislatore prevedrà la redazione e approvazione</w:t>
      </w:r>
    </w:p>
    <w:p w:rsidR="00647B37" w:rsidRPr="004A10D6" w:rsidRDefault="00647B37" w:rsidP="00DB3112">
      <w:pPr>
        <w:ind w:left="360"/>
        <w:rPr>
          <w:rFonts w:ascii="Arial" w:hAnsi="Arial" w:cs="Arial"/>
          <w:sz w:val="24"/>
          <w:szCs w:val="24"/>
        </w:rPr>
      </w:pPr>
      <w:r w:rsidRPr="004A10D6">
        <w:rPr>
          <w:rFonts w:ascii="Arial" w:hAnsi="Arial" w:cs="Arial"/>
          <w:sz w:val="24"/>
          <w:szCs w:val="24"/>
        </w:rPr>
        <w:t>Il DUP sviluppa e concretizza le linee programmatiche relative alle azioni e ai progetti da realizzare nel corso del mandato presentate al Consiglio dal Sindaco ai sensi dell’articolo 46, comma 3 del TUEL. Di fatto, “le linee programmatiche” dovrebbero restare l’unico documento di indirizzo strategico “a monte” del DUP. Il DUP è proposto ogni anno, entro il 30 giugno, dalla Giunta al Consiglio che adotta le conseguenti deliberazioni entro il 31 luglio</w:t>
      </w:r>
    </w:p>
    <w:p w:rsidR="00647B37" w:rsidRPr="004A10D6" w:rsidRDefault="00647B37" w:rsidP="00DB3112">
      <w:pPr>
        <w:ind w:left="360"/>
        <w:rPr>
          <w:rFonts w:ascii="Arial" w:hAnsi="Arial" w:cs="Arial"/>
          <w:sz w:val="24"/>
          <w:szCs w:val="24"/>
        </w:rPr>
      </w:pPr>
      <w:r w:rsidRPr="004A10D6">
        <w:rPr>
          <w:rFonts w:ascii="Arial" w:hAnsi="Arial" w:cs="Arial"/>
          <w:sz w:val="24"/>
          <w:szCs w:val="24"/>
        </w:rPr>
        <w:t>Se  nel corso dell’esercizio si renda necessario attuare nuovi investimenti o variare quelli già in atto, l’organo consiliare, fermo restando l’adempimento degli obblighi previsti dal TUEL, adotta la necessaria variazione al BPF, adegua il DUP e, di conseguenza, le previsioni del bilancio degli esercizi successivi per la copertura degli oneri derivanti dall’indebitamento e per la copertura delle spese di gestione.</w:t>
      </w:r>
    </w:p>
    <w:p w:rsidR="00647B37" w:rsidRPr="004A10D6" w:rsidRDefault="00647B37" w:rsidP="00DB3112">
      <w:pPr>
        <w:ind w:left="360"/>
        <w:rPr>
          <w:rFonts w:ascii="Arial" w:hAnsi="Arial" w:cs="Arial"/>
          <w:sz w:val="24"/>
          <w:szCs w:val="24"/>
        </w:rPr>
      </w:pPr>
      <w:r w:rsidRPr="004A10D6">
        <w:rPr>
          <w:rFonts w:ascii="Arial" w:hAnsi="Arial" w:cs="Arial"/>
          <w:sz w:val="24"/>
          <w:szCs w:val="24"/>
        </w:rPr>
        <w:t>La sezione strategica del DUP (SeS) definisce gli indirizzi strategici dell’amministrazione sviluppando e concretizzando le linee programmatiche di mandato di cui all’articolo 46, comma 3 del decreto legislativo n. 267 del 18 agosto 2000. Ciò concretamente significa sforzarsi di definire quali siano gli effetti in termini di impatto di medio e lungo periodo che l’Amministrazione si impegna a produrre mettendo in atto le politiche che caratterizzano il programma dell’amministrazione da realizzare nel corso del mandato amministrativo.</w:t>
      </w:r>
    </w:p>
    <w:p w:rsidR="00522F02" w:rsidRPr="004A10D6" w:rsidRDefault="00522F02" w:rsidP="00DB3112">
      <w:pPr>
        <w:ind w:left="360"/>
        <w:rPr>
          <w:rFonts w:ascii="Arial" w:hAnsi="Arial" w:cs="Arial"/>
          <w:sz w:val="24"/>
          <w:szCs w:val="24"/>
        </w:rPr>
      </w:pPr>
      <w:r w:rsidRPr="004A10D6">
        <w:rPr>
          <w:rFonts w:ascii="Arial" w:hAnsi="Arial" w:cs="Arial"/>
          <w:sz w:val="24"/>
          <w:szCs w:val="24"/>
        </w:rPr>
        <w:lastRenderedPageBreak/>
        <w:t>La Sezione operativa del DUP (SeO) concerne la programmazione operativa pluriennale e annuale dell’Ente e si pone in continuità e complementarietà organica con la SeS quanto a struttura e contenuti</w:t>
      </w:r>
      <w:r w:rsidR="00C661E9" w:rsidRPr="004A10D6">
        <w:rPr>
          <w:rFonts w:ascii="Arial" w:hAnsi="Arial" w:cs="Arial"/>
          <w:sz w:val="24"/>
          <w:szCs w:val="24"/>
        </w:rPr>
        <w:t xml:space="preserve"> </w:t>
      </w:r>
      <w:r w:rsidRPr="004A10D6">
        <w:rPr>
          <w:rFonts w:ascii="Arial" w:hAnsi="Arial" w:cs="Arial"/>
          <w:sz w:val="24"/>
          <w:szCs w:val="24"/>
        </w:rPr>
        <w:t>definire, con riferimento all’Ente e al gruppo amministrazione pubblica, gli obiettivi dei programmi all’interno delle singole missioni. Con specifico riferimento all’Ente devono essere indicati anche i fabbisogni di spesa e le relative modalità di finanziamento; b) orientare e guidare le successive deliberazioni del Consiglio e della Giunta; c) costituire il presupposto dell’attività di controllo strategico e dei risultati conseguiti dall’Ente, con particolare riferimento allo stato di attuazione dei programmi nell’ambito delle missioni e alla relazione al rendiconto di gestione.</w:t>
      </w:r>
    </w:p>
    <w:p w:rsidR="00522F02" w:rsidRPr="004A10D6" w:rsidRDefault="00522F02" w:rsidP="00DB3112">
      <w:pPr>
        <w:ind w:left="360"/>
        <w:rPr>
          <w:rFonts w:ascii="Arial" w:hAnsi="Arial" w:cs="Arial"/>
          <w:sz w:val="24"/>
          <w:szCs w:val="24"/>
        </w:rPr>
      </w:pPr>
      <w:r w:rsidRPr="004A10D6">
        <w:rPr>
          <w:rFonts w:ascii="Arial" w:hAnsi="Arial" w:cs="Arial"/>
          <w:sz w:val="24"/>
          <w:szCs w:val="24"/>
        </w:rPr>
        <w:t>La SeO, di conseguenza, guida e vincola i processi di redazione del BPF 72 L’armonizzazione dei sistemi contabili. Verso l’attuazione della riforma definendo gli effetti economico-finanziari delle attività necessarie per conseguire gli obiettivi strategici. A tal fine, la SeO individua: 1) per ogni singola missione, i programmi che l’Ente intende realizzare per conseguire gli obiettivi strategici definiti nella SeS; 2) per ogni programma, e per tutto il periodo di riferimento del DUP, gli obiettivi operativi annuali da raggiungere e i contenuti finanziari, sia in termini di competenza che di cassa, della manovra di bilancio con un orizzonte temporale annuale e pluriennale.</w:t>
      </w:r>
    </w:p>
    <w:p w:rsidR="00522F02" w:rsidRPr="004A10D6" w:rsidRDefault="00522F02" w:rsidP="00DB3112">
      <w:pPr>
        <w:ind w:left="360"/>
        <w:rPr>
          <w:rFonts w:ascii="Arial" w:hAnsi="Arial" w:cs="Arial"/>
          <w:b/>
          <w:sz w:val="24"/>
          <w:szCs w:val="24"/>
        </w:rPr>
      </w:pPr>
      <w:r w:rsidRPr="004A10D6">
        <w:rPr>
          <w:rFonts w:ascii="Arial" w:hAnsi="Arial" w:cs="Arial"/>
          <w:b/>
          <w:sz w:val="24"/>
          <w:szCs w:val="24"/>
        </w:rPr>
        <w:t>PEG</w:t>
      </w:r>
    </w:p>
    <w:p w:rsidR="00522F02" w:rsidRPr="004A10D6" w:rsidRDefault="00522F02" w:rsidP="00DB3112">
      <w:pPr>
        <w:ind w:left="360"/>
        <w:rPr>
          <w:rFonts w:ascii="Arial" w:hAnsi="Arial" w:cs="Arial"/>
          <w:sz w:val="24"/>
          <w:szCs w:val="24"/>
        </w:rPr>
      </w:pPr>
      <w:r w:rsidRPr="004A10D6">
        <w:rPr>
          <w:rFonts w:ascii="Arial" w:hAnsi="Arial" w:cs="Arial"/>
          <w:sz w:val="24"/>
          <w:szCs w:val="24"/>
        </w:rPr>
        <w:t>lo strumento nel quale si sostanzia la relazione tra organo esecutivo e responsabili dei servizi. La proposta di PEG alla Giunta è affidata al direttore generale e al segretario comunale nelle ipotesi di cui all’articolo 108, comma 4, TUEL, che si avvalgono della collaborazione dei dirigenti e dei responsabili dei servizi. Il PEG deve essere approvato dalla Giunta entro venti giorni dall’approvazione del BPF da parte del Consiglio. Il PEG mantiene il compito di porre in termini espliciti e diretti il legame tra obiettivi di gestione, dotazioni di risorse e responsabilità gestionali correlative. Pur non avendo una struttura predefinita, copre tutta l’attività dell’Ente, includendo tutte le entrate e le spese comprese nel BPF.</w:t>
      </w:r>
    </w:p>
    <w:p w:rsidR="00522F02" w:rsidRPr="004A10D6" w:rsidRDefault="00522F02" w:rsidP="00DB3112">
      <w:pPr>
        <w:ind w:left="360"/>
        <w:rPr>
          <w:rFonts w:ascii="Arial" w:hAnsi="Arial" w:cs="Arial"/>
          <w:sz w:val="24"/>
          <w:szCs w:val="24"/>
        </w:rPr>
      </w:pPr>
      <w:r w:rsidRPr="004A10D6">
        <w:rPr>
          <w:rFonts w:ascii="Arial" w:hAnsi="Arial" w:cs="Arial"/>
          <w:sz w:val="24"/>
          <w:szCs w:val="24"/>
        </w:rPr>
        <w:t>La funzione del PEG può così essere riassunta in due momenti principali: il primo, di programmazione e controllo della gestione, con valenza di razionale coordinamento e motivazione, sul modello di un budget onde il PEG contiene anche dati di natura extracontabile; il secondo, di autorizzazione e limite all’autonomia dirigenziale con specifico riguardo ai poteri di impegno costituendo le previsioni finanziarie contenute nel PEG il limite agli impegni di spesa assunti dai responsabili dei servizi</w:t>
      </w:r>
    </w:p>
    <w:p w:rsidR="00886858" w:rsidRPr="004A10D6" w:rsidRDefault="00886858" w:rsidP="00DB3112">
      <w:pPr>
        <w:ind w:left="360"/>
        <w:rPr>
          <w:rFonts w:ascii="Arial" w:hAnsi="Arial" w:cs="Arial"/>
          <w:sz w:val="24"/>
          <w:szCs w:val="24"/>
        </w:rPr>
      </w:pPr>
      <w:r w:rsidRPr="004A10D6">
        <w:rPr>
          <w:rFonts w:ascii="Arial" w:hAnsi="Arial" w:cs="Arial"/>
          <w:sz w:val="24"/>
          <w:szCs w:val="24"/>
        </w:rPr>
        <w:t>IL PEG può esser variato dalla Giunta entro il 15 dicembre.</w:t>
      </w:r>
    </w:p>
    <w:p w:rsidR="00886858" w:rsidRPr="004A10D6" w:rsidRDefault="00886858" w:rsidP="00DB3112">
      <w:pPr>
        <w:widowControl/>
        <w:shd w:val="clear" w:color="auto" w:fill="F9F8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adjustRightInd/>
        <w:spacing w:after="0" w:line="336" w:lineRule="atLeast"/>
        <w:ind w:left="360"/>
        <w:textAlignment w:val="baseline"/>
        <w:rPr>
          <w:rFonts w:ascii="Arial" w:hAnsi="Arial" w:cs="Arial"/>
          <w:b/>
          <w:bCs/>
          <w:i/>
          <w:iCs/>
          <w:color w:val="000000"/>
          <w:sz w:val="24"/>
          <w:szCs w:val="24"/>
          <w:lang w:bidi="ar-SA"/>
        </w:rPr>
      </w:pPr>
      <w:r w:rsidRPr="004A10D6">
        <w:rPr>
          <w:rFonts w:ascii="Arial" w:hAnsi="Arial" w:cs="Arial"/>
          <w:b/>
          <w:bCs/>
          <w:i/>
          <w:iCs/>
          <w:color w:val="000000"/>
          <w:sz w:val="24"/>
          <w:szCs w:val="24"/>
          <w:lang w:bidi="ar-SA"/>
        </w:rPr>
        <w:t>La giunta delibera il piano esecutivo di gestione (PEG)  entro</w:t>
      </w:r>
    </w:p>
    <w:p w:rsidR="00886858" w:rsidRPr="004A10D6" w:rsidRDefault="00886858" w:rsidP="00DB3112">
      <w:pPr>
        <w:widowControl/>
        <w:shd w:val="clear" w:color="auto" w:fill="F9F8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adjustRightInd/>
        <w:spacing w:after="0" w:line="336" w:lineRule="atLeast"/>
        <w:ind w:left="360"/>
        <w:textAlignment w:val="baseline"/>
        <w:rPr>
          <w:rFonts w:ascii="Arial" w:hAnsi="Arial" w:cs="Arial"/>
          <w:b/>
          <w:bCs/>
          <w:i/>
          <w:iCs/>
          <w:color w:val="000000"/>
          <w:sz w:val="24"/>
          <w:szCs w:val="24"/>
          <w:lang w:bidi="ar-SA"/>
        </w:rPr>
      </w:pPr>
      <w:r w:rsidRPr="004A10D6">
        <w:rPr>
          <w:rFonts w:ascii="Arial" w:hAnsi="Arial" w:cs="Arial"/>
          <w:b/>
          <w:bCs/>
          <w:i/>
          <w:iCs/>
          <w:color w:val="000000"/>
          <w:sz w:val="24"/>
          <w:szCs w:val="24"/>
          <w:lang w:bidi="ar-SA"/>
        </w:rPr>
        <w:t>venti giorni dall'approvazione del bilancio di previsione, in termini</w:t>
      </w:r>
    </w:p>
    <w:p w:rsidR="00886858" w:rsidRPr="004A10D6" w:rsidRDefault="00886858" w:rsidP="00DB3112">
      <w:pPr>
        <w:widowControl/>
        <w:shd w:val="clear" w:color="auto" w:fill="F9F8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adjustRightInd/>
        <w:spacing w:after="0" w:line="336" w:lineRule="atLeast"/>
        <w:ind w:left="360"/>
        <w:textAlignment w:val="baseline"/>
        <w:rPr>
          <w:rFonts w:ascii="Arial" w:hAnsi="Arial" w:cs="Arial"/>
          <w:b/>
          <w:bCs/>
          <w:i/>
          <w:iCs/>
          <w:color w:val="000000"/>
          <w:sz w:val="24"/>
          <w:szCs w:val="24"/>
          <w:lang w:bidi="ar-SA"/>
        </w:rPr>
      </w:pPr>
      <w:r w:rsidRPr="004A10D6">
        <w:rPr>
          <w:rFonts w:ascii="Arial" w:hAnsi="Arial" w:cs="Arial"/>
          <w:b/>
          <w:bCs/>
          <w:i/>
          <w:iCs/>
          <w:color w:val="000000"/>
          <w:sz w:val="24"/>
          <w:szCs w:val="24"/>
          <w:lang w:bidi="ar-SA"/>
        </w:rPr>
        <w:lastRenderedPageBreak/>
        <w:t>di competenza . Con riferimento al primo esercizio il PEG e'  redatto</w:t>
      </w:r>
    </w:p>
    <w:p w:rsidR="00886858" w:rsidRPr="004A10D6" w:rsidRDefault="00886858" w:rsidP="00DB3112">
      <w:pPr>
        <w:widowControl/>
        <w:shd w:val="clear" w:color="auto" w:fill="F9F8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adjustRightInd/>
        <w:spacing w:after="0" w:line="336" w:lineRule="atLeast"/>
        <w:ind w:left="360"/>
        <w:textAlignment w:val="baseline"/>
        <w:rPr>
          <w:rFonts w:ascii="Arial" w:hAnsi="Arial" w:cs="Arial"/>
          <w:b/>
          <w:bCs/>
          <w:i/>
          <w:iCs/>
          <w:color w:val="000000"/>
          <w:sz w:val="24"/>
          <w:szCs w:val="24"/>
          <w:lang w:bidi="ar-SA"/>
        </w:rPr>
      </w:pPr>
      <w:r w:rsidRPr="004A10D6">
        <w:rPr>
          <w:rFonts w:ascii="Arial" w:hAnsi="Arial" w:cs="Arial"/>
          <w:b/>
          <w:bCs/>
          <w:i/>
          <w:iCs/>
          <w:color w:val="000000"/>
          <w:sz w:val="24"/>
          <w:szCs w:val="24"/>
          <w:lang w:bidi="ar-SA"/>
        </w:rPr>
        <w:t>anche in termini di cassa. Il PEG e' riferito  ai  medesimi  esercizi</w:t>
      </w:r>
    </w:p>
    <w:p w:rsidR="00886858" w:rsidRPr="004A10D6" w:rsidRDefault="00886858" w:rsidP="00DB3112">
      <w:pPr>
        <w:widowControl/>
        <w:shd w:val="clear" w:color="auto" w:fill="F9F8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adjustRightInd/>
        <w:spacing w:after="0" w:line="336" w:lineRule="atLeast"/>
        <w:ind w:left="360"/>
        <w:textAlignment w:val="baseline"/>
        <w:rPr>
          <w:rFonts w:ascii="Arial" w:hAnsi="Arial" w:cs="Arial"/>
          <w:b/>
          <w:bCs/>
          <w:i/>
          <w:iCs/>
          <w:color w:val="000000"/>
          <w:sz w:val="24"/>
          <w:szCs w:val="24"/>
          <w:lang w:bidi="ar-SA"/>
        </w:rPr>
      </w:pPr>
      <w:r w:rsidRPr="004A10D6">
        <w:rPr>
          <w:rFonts w:ascii="Arial" w:hAnsi="Arial" w:cs="Arial"/>
          <w:b/>
          <w:bCs/>
          <w:i/>
          <w:iCs/>
          <w:color w:val="000000"/>
          <w:sz w:val="24"/>
          <w:szCs w:val="24"/>
          <w:lang w:bidi="ar-SA"/>
        </w:rPr>
        <w:t>considerati nel bilancio, individua gli obiettivi della  gestione  ed</w:t>
      </w:r>
    </w:p>
    <w:p w:rsidR="00886858" w:rsidRPr="004A10D6" w:rsidRDefault="00886858" w:rsidP="00DB3112">
      <w:pPr>
        <w:widowControl/>
        <w:shd w:val="clear" w:color="auto" w:fill="F9F8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adjustRightInd/>
        <w:spacing w:after="0" w:line="336" w:lineRule="atLeast"/>
        <w:ind w:left="360"/>
        <w:textAlignment w:val="baseline"/>
        <w:rPr>
          <w:rFonts w:ascii="Arial" w:hAnsi="Arial" w:cs="Arial"/>
          <w:b/>
          <w:bCs/>
          <w:i/>
          <w:iCs/>
          <w:color w:val="000000"/>
          <w:sz w:val="24"/>
          <w:szCs w:val="24"/>
          <w:lang w:bidi="ar-SA"/>
        </w:rPr>
      </w:pPr>
      <w:r w:rsidRPr="004A10D6">
        <w:rPr>
          <w:rFonts w:ascii="Arial" w:hAnsi="Arial" w:cs="Arial"/>
          <w:b/>
          <w:bCs/>
          <w:i/>
          <w:iCs/>
          <w:color w:val="000000"/>
          <w:sz w:val="24"/>
          <w:szCs w:val="24"/>
          <w:lang w:bidi="ar-SA"/>
        </w:rPr>
        <w:t>affida  gli  stessi,  unitamente  alle   dotazioni   necessarie,   ai</w:t>
      </w:r>
    </w:p>
    <w:p w:rsidR="00886858" w:rsidRPr="004A10D6" w:rsidRDefault="00886858" w:rsidP="00DB3112">
      <w:pPr>
        <w:widowControl/>
        <w:shd w:val="clear" w:color="auto" w:fill="F9F8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adjustRightInd/>
        <w:spacing w:after="0" w:line="336" w:lineRule="atLeast"/>
        <w:ind w:left="360"/>
        <w:textAlignment w:val="baseline"/>
        <w:rPr>
          <w:rFonts w:ascii="Arial" w:hAnsi="Arial" w:cs="Arial"/>
          <w:b/>
          <w:bCs/>
          <w:i/>
          <w:iCs/>
          <w:color w:val="000000"/>
          <w:sz w:val="24"/>
          <w:szCs w:val="24"/>
          <w:lang w:bidi="ar-SA"/>
        </w:rPr>
      </w:pPr>
      <w:r w:rsidRPr="004A10D6">
        <w:rPr>
          <w:rFonts w:ascii="Arial" w:hAnsi="Arial" w:cs="Arial"/>
          <w:b/>
          <w:bCs/>
          <w:i/>
          <w:iCs/>
          <w:color w:val="000000"/>
          <w:sz w:val="24"/>
          <w:szCs w:val="24"/>
          <w:lang w:bidi="ar-SA"/>
        </w:rPr>
        <w:t xml:space="preserve">responsabili dei servizi. </w:t>
      </w:r>
    </w:p>
    <w:p w:rsidR="00886858" w:rsidRPr="004A10D6" w:rsidRDefault="00886858" w:rsidP="00DB3112">
      <w:pPr>
        <w:widowControl/>
        <w:shd w:val="clear" w:color="auto" w:fill="F9F8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adjustRightInd/>
        <w:spacing w:after="0" w:line="336" w:lineRule="atLeast"/>
        <w:ind w:left="135"/>
        <w:textAlignment w:val="baseline"/>
        <w:rPr>
          <w:rFonts w:ascii="Arial" w:hAnsi="Arial" w:cs="Arial"/>
          <w:b/>
          <w:bCs/>
          <w:i/>
          <w:iCs/>
          <w:color w:val="000000"/>
          <w:sz w:val="24"/>
          <w:szCs w:val="24"/>
          <w:lang w:bidi="ar-SA"/>
        </w:rPr>
      </w:pPr>
    </w:p>
    <w:p w:rsidR="00886858" w:rsidRPr="004A10D6" w:rsidRDefault="00886858" w:rsidP="00DB3112">
      <w:pPr>
        <w:widowControl/>
        <w:shd w:val="clear" w:color="auto" w:fill="F9F8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adjustRightInd/>
        <w:spacing w:after="0" w:line="336" w:lineRule="atLeast"/>
        <w:ind w:left="360"/>
        <w:textAlignment w:val="baseline"/>
        <w:rPr>
          <w:rFonts w:ascii="Arial" w:hAnsi="Arial" w:cs="Arial"/>
          <w:b/>
          <w:bCs/>
          <w:i/>
          <w:iCs/>
          <w:color w:val="000000"/>
          <w:sz w:val="24"/>
          <w:szCs w:val="24"/>
          <w:lang w:bidi="ar-SA"/>
        </w:rPr>
      </w:pPr>
      <w:r w:rsidRPr="004A10D6">
        <w:rPr>
          <w:rFonts w:ascii="Arial" w:hAnsi="Arial" w:cs="Arial"/>
          <w:b/>
          <w:bCs/>
          <w:i/>
          <w:iCs/>
          <w:color w:val="000000"/>
          <w:sz w:val="24"/>
          <w:szCs w:val="24"/>
          <w:lang w:bidi="ar-SA"/>
        </w:rPr>
        <w:t>2. Nel  PEG  le  entrate  sono  articolate  in  titoli,  tipologie,</w:t>
      </w:r>
    </w:p>
    <w:p w:rsidR="00886858" w:rsidRPr="004A10D6" w:rsidRDefault="00886858" w:rsidP="00DB3112">
      <w:pPr>
        <w:widowControl/>
        <w:shd w:val="clear" w:color="auto" w:fill="F9F8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adjustRightInd/>
        <w:spacing w:after="0" w:line="336" w:lineRule="atLeast"/>
        <w:ind w:left="360"/>
        <w:textAlignment w:val="baseline"/>
        <w:rPr>
          <w:rFonts w:ascii="Arial" w:hAnsi="Arial" w:cs="Arial"/>
          <w:b/>
          <w:bCs/>
          <w:i/>
          <w:iCs/>
          <w:color w:val="000000"/>
          <w:sz w:val="24"/>
          <w:szCs w:val="24"/>
          <w:lang w:bidi="ar-SA"/>
        </w:rPr>
      </w:pPr>
      <w:r w:rsidRPr="004A10D6">
        <w:rPr>
          <w:rFonts w:ascii="Arial" w:hAnsi="Arial" w:cs="Arial"/>
          <w:b/>
          <w:bCs/>
          <w:i/>
          <w:iCs/>
          <w:color w:val="000000"/>
          <w:sz w:val="24"/>
          <w:szCs w:val="24"/>
          <w:lang w:bidi="ar-SA"/>
        </w:rPr>
        <w:t>categorie,  capitoli,  ed  eventualmente  in  articoli,  secondo   il</w:t>
      </w:r>
    </w:p>
    <w:p w:rsidR="00886858" w:rsidRPr="004A10D6" w:rsidRDefault="00886858" w:rsidP="00DB3112">
      <w:pPr>
        <w:widowControl/>
        <w:shd w:val="clear" w:color="auto" w:fill="F9F8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adjustRightInd/>
        <w:spacing w:after="0" w:line="336" w:lineRule="atLeast"/>
        <w:ind w:left="360"/>
        <w:textAlignment w:val="baseline"/>
        <w:rPr>
          <w:rFonts w:ascii="Arial" w:hAnsi="Arial" w:cs="Arial"/>
          <w:b/>
          <w:bCs/>
          <w:i/>
          <w:iCs/>
          <w:color w:val="000000"/>
          <w:sz w:val="24"/>
          <w:szCs w:val="24"/>
          <w:lang w:bidi="ar-SA"/>
        </w:rPr>
      </w:pPr>
      <w:r w:rsidRPr="004A10D6">
        <w:rPr>
          <w:rFonts w:ascii="Arial" w:hAnsi="Arial" w:cs="Arial"/>
          <w:b/>
          <w:bCs/>
          <w:i/>
          <w:iCs/>
          <w:color w:val="000000"/>
          <w:sz w:val="24"/>
          <w:szCs w:val="24"/>
          <w:lang w:bidi="ar-SA"/>
        </w:rPr>
        <w:t>rispettivo oggetto. Le spese sono articolate in missioni,  programmi,</w:t>
      </w:r>
    </w:p>
    <w:p w:rsidR="00886858" w:rsidRPr="004A10D6" w:rsidRDefault="00886858" w:rsidP="00DB3112">
      <w:pPr>
        <w:widowControl/>
        <w:shd w:val="clear" w:color="auto" w:fill="F9F8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adjustRightInd/>
        <w:spacing w:after="0" w:line="336" w:lineRule="atLeast"/>
        <w:ind w:left="360"/>
        <w:textAlignment w:val="baseline"/>
        <w:rPr>
          <w:rFonts w:ascii="Arial" w:hAnsi="Arial" w:cs="Arial"/>
          <w:color w:val="000000"/>
          <w:sz w:val="24"/>
          <w:szCs w:val="24"/>
          <w:lang w:bidi="ar-SA"/>
        </w:rPr>
      </w:pPr>
      <w:r w:rsidRPr="004A10D6">
        <w:rPr>
          <w:rFonts w:ascii="Arial" w:hAnsi="Arial" w:cs="Arial"/>
          <w:b/>
          <w:bCs/>
          <w:i/>
          <w:iCs/>
          <w:color w:val="000000"/>
          <w:sz w:val="24"/>
          <w:szCs w:val="24"/>
          <w:lang w:bidi="ar-SA"/>
        </w:rPr>
        <w:t>titoli, macroaggregati, capitoli  ed  eventualmente  in  articoli.</w:t>
      </w:r>
    </w:p>
    <w:p w:rsidR="00886858" w:rsidRPr="004A10D6" w:rsidRDefault="00886858" w:rsidP="00DB3112">
      <w:pPr>
        <w:rPr>
          <w:rFonts w:ascii="Arial" w:hAnsi="Arial" w:cs="Arial"/>
          <w:sz w:val="24"/>
          <w:szCs w:val="24"/>
        </w:rPr>
      </w:pPr>
    </w:p>
    <w:p w:rsidR="00522F02" w:rsidRPr="004A10D6" w:rsidRDefault="00522F02" w:rsidP="00DB3112">
      <w:pPr>
        <w:ind w:left="360"/>
        <w:rPr>
          <w:rFonts w:ascii="Arial" w:hAnsi="Arial" w:cs="Arial"/>
          <w:sz w:val="24"/>
          <w:szCs w:val="24"/>
        </w:rPr>
      </w:pPr>
      <w:r w:rsidRPr="004A10D6">
        <w:rPr>
          <w:rFonts w:ascii="Arial" w:hAnsi="Arial" w:cs="Arial"/>
          <w:sz w:val="24"/>
          <w:szCs w:val="24"/>
        </w:rPr>
        <w:t>il PEG è redatto:</w:t>
      </w:r>
    </w:p>
    <w:p w:rsidR="00522F02" w:rsidRPr="004A10D6" w:rsidRDefault="00522F02" w:rsidP="00DB3112">
      <w:pPr>
        <w:ind w:left="1800"/>
        <w:rPr>
          <w:rFonts w:ascii="Arial" w:hAnsi="Arial" w:cs="Arial"/>
          <w:sz w:val="24"/>
          <w:szCs w:val="24"/>
        </w:rPr>
      </w:pPr>
      <w:r w:rsidRPr="004A10D6">
        <w:rPr>
          <w:rFonts w:ascii="Arial" w:hAnsi="Arial" w:cs="Arial"/>
          <w:sz w:val="24"/>
          <w:szCs w:val="24"/>
        </w:rPr>
        <w:t>per competenza con riferimento a tutti gli esercizi considerati nel BPF;</w:t>
      </w:r>
    </w:p>
    <w:p w:rsidR="00522F02" w:rsidRPr="004A10D6" w:rsidRDefault="00522F02" w:rsidP="00DB3112">
      <w:pPr>
        <w:ind w:left="1800"/>
        <w:rPr>
          <w:rFonts w:ascii="Arial" w:hAnsi="Arial" w:cs="Arial"/>
          <w:sz w:val="24"/>
          <w:szCs w:val="24"/>
        </w:rPr>
      </w:pPr>
      <w:r w:rsidRPr="004A10D6">
        <w:rPr>
          <w:rFonts w:ascii="Arial" w:hAnsi="Arial" w:cs="Arial"/>
          <w:sz w:val="24"/>
          <w:szCs w:val="24"/>
        </w:rPr>
        <w:t>per cassa con riferimento al primo esercizio considerato nel BPF.</w:t>
      </w:r>
    </w:p>
    <w:p w:rsidR="00522F02" w:rsidRPr="004A10D6" w:rsidRDefault="00522F02" w:rsidP="00DB3112">
      <w:pPr>
        <w:ind w:left="360"/>
        <w:rPr>
          <w:rFonts w:ascii="Arial" w:hAnsi="Arial" w:cs="Arial"/>
          <w:sz w:val="24"/>
          <w:szCs w:val="24"/>
        </w:rPr>
      </w:pPr>
      <w:r w:rsidRPr="004A10D6">
        <w:rPr>
          <w:rFonts w:ascii="Arial" w:hAnsi="Arial" w:cs="Arial"/>
          <w:sz w:val="24"/>
          <w:szCs w:val="24"/>
        </w:rPr>
        <w:t>Da ciò consegue che il piano dettagliato degli obiettivi di cui all’articolo 108, comma 1, del TUEL e il piano della performance di cui all’articolo 10 del decreto legislativo, n. 150 del 27 ottobre 2009, sono unificati organicamente nel PEG. Quanto alla obbligatorietà della redazione del PEG, il principio lo considera obbligatorio per le Province e per i Comuni con popolazione superiore a 5.000 abitanti, mentre ne sollecita l’adozione, anche in forma semplificata, per i Comuni con una popolazione inferiore alla soglia ricordata.</w:t>
      </w:r>
    </w:p>
    <w:p w:rsidR="00522F02" w:rsidRPr="004A10D6" w:rsidRDefault="00522F02" w:rsidP="00DB3112">
      <w:pPr>
        <w:ind w:left="360"/>
        <w:rPr>
          <w:rFonts w:ascii="Arial" w:hAnsi="Arial" w:cs="Arial"/>
          <w:sz w:val="24"/>
          <w:szCs w:val="24"/>
        </w:rPr>
      </w:pPr>
      <w:r w:rsidRPr="004A10D6">
        <w:rPr>
          <w:rFonts w:ascii="Arial" w:hAnsi="Arial" w:cs="Arial"/>
          <w:sz w:val="24"/>
          <w:szCs w:val="24"/>
        </w:rPr>
        <w:t>Nel PEG devono essere specificatamente individuati gli obiettivi esecutivi dei quali occorre dare rappresentazione in termini di processo e di risultati attesi. Pertanto, il PEG deve rappresentare tanto gli obiettivi gestionali che gli indicatori idonei a monitorarne il grado di conseguimento. La definizione degli obiettivi comporta, inoltre, un collegamento con il periodo triennale considerato dal BPF e, in tale ambito, il PEG riflette anche la gestione dei residui attivi e passivi. Il PEG, inoltre, deve assicurare un collegamento con la struttura organizzativa dell’ente e con l’articolazione della spesa per programmi</w:t>
      </w:r>
    </w:p>
    <w:p w:rsidR="008B6541" w:rsidRPr="004A10D6" w:rsidRDefault="008B6541" w:rsidP="00DB3112">
      <w:pPr>
        <w:ind w:left="360"/>
        <w:rPr>
          <w:rFonts w:ascii="Arial" w:hAnsi="Arial" w:cs="Arial"/>
          <w:sz w:val="24"/>
          <w:szCs w:val="24"/>
        </w:rPr>
      </w:pPr>
      <w:r w:rsidRPr="004A10D6">
        <w:rPr>
          <w:rFonts w:ascii="Arial" w:hAnsi="Arial" w:cs="Arial"/>
          <w:sz w:val="24"/>
          <w:szCs w:val="24"/>
        </w:rPr>
        <w:t>È piano di responsabilità gestionali, nella misura in cui gli obiettivi e le dotazioni di cui sopra sono assegnati a un dirigente/responsabile dei servizi che ne assume la responsabilità rispettivamente di risultato e di gestione, dando effettività, al di là delle enunciazioni di principio, all’autonomia dirigenziale. Le risorse finanziarie assegnate per ogni programma definito nel SeO del DUP sono destinate, insieme a quelle umane e strumentali, ai singoli dirigenti/responsabili dei servizi per la realizzazione degli specifici obiettivi di ciascun programma.</w:t>
      </w:r>
    </w:p>
    <w:p w:rsidR="008B6541" w:rsidRPr="004A10D6" w:rsidRDefault="008B6541" w:rsidP="00DB3112">
      <w:pPr>
        <w:ind w:left="360"/>
        <w:rPr>
          <w:rFonts w:ascii="Arial" w:hAnsi="Arial" w:cs="Arial"/>
          <w:b/>
          <w:sz w:val="24"/>
          <w:szCs w:val="24"/>
        </w:rPr>
      </w:pPr>
      <w:r w:rsidRPr="004A10D6">
        <w:rPr>
          <w:rFonts w:ascii="Arial" w:hAnsi="Arial" w:cs="Arial"/>
          <w:b/>
          <w:sz w:val="24"/>
          <w:szCs w:val="24"/>
        </w:rPr>
        <w:t>VARIAZIONI AL BILANCIO</w:t>
      </w:r>
    </w:p>
    <w:p w:rsidR="0059604A" w:rsidRPr="004A10D6" w:rsidRDefault="0059604A" w:rsidP="00DB3112">
      <w:pPr>
        <w:ind w:left="360"/>
        <w:rPr>
          <w:rFonts w:ascii="Arial" w:hAnsi="Arial" w:cs="Arial"/>
          <w:sz w:val="24"/>
          <w:szCs w:val="24"/>
        </w:rPr>
      </w:pPr>
      <w:r w:rsidRPr="004A10D6">
        <w:rPr>
          <w:rFonts w:ascii="Arial" w:hAnsi="Arial" w:cs="Arial"/>
          <w:sz w:val="24"/>
          <w:szCs w:val="24"/>
        </w:rPr>
        <w:lastRenderedPageBreak/>
        <w:t>1. Il bilancio di previsione finanziario può subire variazioni di competenza e di cassa nel corso dell'esercizio sia nella parte prima, relativa alle entrate, sia nella parte seconda, relativa alle spese, per ciascuno degli esercizi considerati nel documento.</w:t>
      </w:r>
    </w:p>
    <w:p w:rsidR="0059604A" w:rsidRPr="004A10D6" w:rsidRDefault="0059604A" w:rsidP="00DB3112">
      <w:pPr>
        <w:ind w:left="360"/>
        <w:rPr>
          <w:rFonts w:ascii="Arial" w:hAnsi="Arial" w:cs="Arial"/>
          <w:sz w:val="24"/>
          <w:szCs w:val="24"/>
        </w:rPr>
      </w:pPr>
      <w:r w:rsidRPr="004A10D6">
        <w:rPr>
          <w:rFonts w:ascii="Arial" w:hAnsi="Arial" w:cs="Arial"/>
          <w:sz w:val="24"/>
          <w:szCs w:val="24"/>
        </w:rPr>
        <w:t xml:space="preserve"> 2. Le variazioni al bilancio sono di competenza dell'organo consiliare salvo quelle previste dai commi 5-bis e 5-quater. (COMPETENZA GIUNTA E DIRIGENTI)</w:t>
      </w:r>
    </w:p>
    <w:p w:rsidR="008B6541" w:rsidRPr="004A10D6" w:rsidRDefault="0059604A" w:rsidP="00DB3112">
      <w:pPr>
        <w:ind w:left="360"/>
        <w:rPr>
          <w:rFonts w:ascii="Arial" w:hAnsi="Arial" w:cs="Arial"/>
          <w:sz w:val="24"/>
          <w:szCs w:val="24"/>
        </w:rPr>
      </w:pPr>
      <w:r w:rsidRPr="004A10D6">
        <w:rPr>
          <w:rFonts w:ascii="Arial" w:hAnsi="Arial" w:cs="Arial"/>
          <w:sz w:val="24"/>
          <w:szCs w:val="24"/>
        </w:rPr>
        <w:t xml:space="preserve"> 3. Le variazioni al bilancio di previsione possono essere deliberate non oltre il 30 novembre di ciascun anno, fatte salve le seguenti variazioni, che possono essere deliberate sino al 31 dicembre di ciascun anno: a) l’istituzione di tipologie di entrata a destinazione vincolata e il correlato programma di spesa; b) l’istituzione di tipologie di entrata senza vincolo di destinazione, con stanziamento pari a zero, a seguito di accertamento e riscossione di entrate non previste in bilancio, secondo le modalità disciplinate dal principio applicato della contabilità finanziaria; c) l’utilizzo delle quote del risultato di amministrazione vincolato e accantonato per le finalità per le quali sono stati previsti; d) quelle necessarie alla reimputazione agli esercizi in cui sono esigibili, di obbligazioni riguardanti entrate vincolate già assunte e, se necessario, delle spese correlate; e) le variazioni delle dotazioni di cassa di cui al comma 5-bis, lettera d; f) le variazioni di cui al comma 5-quater, lettera b (FPV); g) le variazioni degli stanziamenti riguardanti i versamenti ai conti di tesoreria statale intestati all'ente e i versamenti a depositi bancari intestati all'ente.</w:t>
      </w:r>
    </w:p>
    <w:p w:rsidR="0059604A" w:rsidRPr="004A10D6" w:rsidRDefault="0059604A" w:rsidP="00DB3112">
      <w:pPr>
        <w:ind w:left="360"/>
        <w:rPr>
          <w:rFonts w:ascii="Arial" w:hAnsi="Arial" w:cs="Arial"/>
          <w:sz w:val="24"/>
          <w:szCs w:val="24"/>
        </w:rPr>
      </w:pPr>
      <w:r w:rsidRPr="004A10D6">
        <w:rPr>
          <w:rFonts w:ascii="Arial" w:hAnsi="Arial" w:cs="Arial"/>
          <w:sz w:val="24"/>
          <w:szCs w:val="24"/>
        </w:rPr>
        <w:t>4. La procedura per le variazioni di urgenza è invariata</w:t>
      </w:r>
    </w:p>
    <w:p w:rsidR="0059604A" w:rsidRPr="004A10D6" w:rsidRDefault="0059604A" w:rsidP="00DB3112">
      <w:pPr>
        <w:ind w:left="360"/>
        <w:rPr>
          <w:rFonts w:ascii="Arial" w:hAnsi="Arial" w:cs="Arial"/>
          <w:sz w:val="24"/>
          <w:szCs w:val="24"/>
        </w:rPr>
      </w:pPr>
      <w:r w:rsidRPr="004A10D6">
        <w:rPr>
          <w:rFonts w:ascii="Arial" w:hAnsi="Arial" w:cs="Arial"/>
          <w:sz w:val="24"/>
          <w:szCs w:val="24"/>
        </w:rPr>
        <w:t xml:space="preserve"> 5. Sono vietate le variazioni di Giunta compensative tra macroaggregati appartenenti a titoli diversi </w:t>
      </w:r>
    </w:p>
    <w:p w:rsidR="0059604A" w:rsidRPr="004A10D6" w:rsidRDefault="0059604A" w:rsidP="00DB3112">
      <w:pPr>
        <w:ind w:left="360"/>
        <w:rPr>
          <w:rFonts w:ascii="Arial" w:hAnsi="Arial" w:cs="Arial"/>
          <w:sz w:val="24"/>
          <w:szCs w:val="24"/>
        </w:rPr>
      </w:pPr>
      <w:r w:rsidRPr="004A10D6">
        <w:rPr>
          <w:rFonts w:ascii="Arial" w:hAnsi="Arial" w:cs="Arial"/>
          <w:sz w:val="24"/>
          <w:szCs w:val="24"/>
        </w:rPr>
        <w:t xml:space="preserve">6. Sono sempre vietati gli spostamenti di dotazioni dai capitoli riguardanti le entrate e spese conto terzi verso altre parti del Bilancio e gli spostamenti tra residui e competenza </w:t>
      </w:r>
    </w:p>
    <w:p w:rsidR="0059604A" w:rsidRPr="004A10D6" w:rsidRDefault="0059604A" w:rsidP="00DB3112">
      <w:pPr>
        <w:ind w:left="360"/>
        <w:rPr>
          <w:rFonts w:ascii="Arial" w:hAnsi="Arial" w:cs="Arial"/>
          <w:sz w:val="24"/>
          <w:szCs w:val="24"/>
        </w:rPr>
      </w:pPr>
      <w:r w:rsidRPr="004A10D6">
        <w:rPr>
          <w:rFonts w:ascii="Arial" w:hAnsi="Arial" w:cs="Arial"/>
          <w:sz w:val="24"/>
          <w:szCs w:val="24"/>
        </w:rPr>
        <w:t xml:space="preserve">7. Variazione di assestamento generale entro il 31 luglio </w:t>
      </w:r>
    </w:p>
    <w:p w:rsidR="0059604A" w:rsidRPr="004A10D6" w:rsidRDefault="0059604A" w:rsidP="00DB3112">
      <w:pPr>
        <w:ind w:left="360"/>
        <w:rPr>
          <w:rFonts w:ascii="Arial" w:hAnsi="Arial" w:cs="Arial"/>
          <w:sz w:val="24"/>
          <w:szCs w:val="24"/>
        </w:rPr>
      </w:pPr>
      <w:r w:rsidRPr="004A10D6">
        <w:rPr>
          <w:rFonts w:ascii="Arial" w:hAnsi="Arial" w:cs="Arial"/>
          <w:sz w:val="24"/>
          <w:szCs w:val="24"/>
        </w:rPr>
        <w:t>8. Variazioni di PEG entro il 15 dicembre</w:t>
      </w:r>
    </w:p>
    <w:p w:rsidR="0059604A" w:rsidRPr="004A10D6" w:rsidRDefault="0059604A" w:rsidP="00DB3112">
      <w:pPr>
        <w:ind w:left="360"/>
        <w:rPr>
          <w:rFonts w:ascii="Arial" w:hAnsi="Arial" w:cs="Arial"/>
          <w:sz w:val="24"/>
          <w:szCs w:val="24"/>
        </w:rPr>
      </w:pPr>
      <w:r w:rsidRPr="004A10D6">
        <w:rPr>
          <w:rFonts w:ascii="Arial" w:hAnsi="Arial" w:cs="Arial"/>
          <w:sz w:val="24"/>
          <w:szCs w:val="24"/>
        </w:rPr>
        <w:t xml:space="preserve">Consiglio Comunale Competenza piena sulle variazioni (Tipologie e Programmi - unità di voto) </w:t>
      </w:r>
    </w:p>
    <w:p w:rsidR="00A22492" w:rsidRPr="004A10D6" w:rsidRDefault="00A22492" w:rsidP="00DB3112">
      <w:pPr>
        <w:ind w:left="360"/>
        <w:rPr>
          <w:rFonts w:ascii="Arial" w:hAnsi="Arial" w:cs="Arial"/>
          <w:sz w:val="24"/>
          <w:szCs w:val="24"/>
        </w:rPr>
      </w:pPr>
      <w:r w:rsidRPr="004A10D6">
        <w:rPr>
          <w:rFonts w:ascii="Arial" w:hAnsi="Arial" w:cs="Arial"/>
          <w:sz w:val="24"/>
          <w:szCs w:val="24"/>
        </w:rPr>
        <w:t>Giunta Comunale:</w:t>
      </w:r>
    </w:p>
    <w:p w:rsidR="00A22492" w:rsidRPr="004A10D6" w:rsidRDefault="00A22492" w:rsidP="00DB3112">
      <w:pPr>
        <w:ind w:left="360"/>
        <w:rPr>
          <w:rFonts w:ascii="Arial" w:hAnsi="Arial" w:cs="Arial"/>
          <w:sz w:val="24"/>
          <w:szCs w:val="24"/>
        </w:rPr>
      </w:pPr>
      <w:r w:rsidRPr="004A10D6">
        <w:rPr>
          <w:rFonts w:ascii="Arial" w:hAnsi="Arial" w:cs="Arial"/>
          <w:sz w:val="24"/>
          <w:szCs w:val="24"/>
        </w:rPr>
        <w:t xml:space="preserve"> • variazioni relative agli stanziamenti di cassa; </w:t>
      </w:r>
    </w:p>
    <w:p w:rsidR="00A22492" w:rsidRPr="004A10D6" w:rsidRDefault="00A22492" w:rsidP="00DB3112">
      <w:pPr>
        <w:ind w:left="360"/>
        <w:rPr>
          <w:rFonts w:ascii="Arial" w:hAnsi="Arial" w:cs="Arial"/>
          <w:sz w:val="24"/>
          <w:szCs w:val="24"/>
        </w:rPr>
      </w:pPr>
      <w:r w:rsidRPr="004A10D6">
        <w:rPr>
          <w:rFonts w:ascii="Arial" w:hAnsi="Arial" w:cs="Arial"/>
          <w:sz w:val="24"/>
          <w:szCs w:val="24"/>
        </w:rPr>
        <w:t xml:space="preserve">• variazioni riguardanti l’utilizzo del fondo di riserva, il fondo di riserva di cassa e i fondi spese potenziali; </w:t>
      </w:r>
    </w:p>
    <w:p w:rsidR="00A22492" w:rsidRPr="004A10D6" w:rsidRDefault="00A22492" w:rsidP="00DB3112">
      <w:pPr>
        <w:ind w:left="360"/>
        <w:rPr>
          <w:rFonts w:ascii="Arial" w:hAnsi="Arial" w:cs="Arial"/>
          <w:sz w:val="24"/>
          <w:szCs w:val="24"/>
        </w:rPr>
      </w:pPr>
      <w:r w:rsidRPr="004A10D6">
        <w:rPr>
          <w:rFonts w:ascii="Arial" w:hAnsi="Arial" w:cs="Arial"/>
          <w:sz w:val="24"/>
          <w:szCs w:val="24"/>
        </w:rPr>
        <w:lastRenderedPageBreak/>
        <w:t>• variazioni compensative in sede di gestione tra le dotazioni delle missioni e dei programmi, limitatamente alle spese di personale legato alla mobilità interna all’amministrazione; variazioni riguardanti gli stanziamenti del FPV</w:t>
      </w:r>
    </w:p>
    <w:p w:rsidR="00A22492" w:rsidRPr="004A10D6" w:rsidRDefault="00A22492" w:rsidP="00DB3112">
      <w:pPr>
        <w:ind w:left="360"/>
        <w:rPr>
          <w:rFonts w:ascii="Arial" w:hAnsi="Arial" w:cs="Arial"/>
          <w:sz w:val="24"/>
          <w:szCs w:val="24"/>
        </w:rPr>
      </w:pPr>
      <w:r w:rsidRPr="004A10D6">
        <w:rPr>
          <w:rFonts w:ascii="Arial" w:hAnsi="Arial" w:cs="Arial"/>
          <w:sz w:val="24"/>
          <w:szCs w:val="24"/>
        </w:rPr>
        <w:t>• variazioni compensative tra le dotazioni delle missioni e dei programmi riguardanti l’utilizzo di risorse comunitarie e vincolate o necessarie per l'attuazione di interventi previsti da intese istituzionali di programma, già deliberati dal Consiglio</w:t>
      </w:r>
    </w:p>
    <w:p w:rsidR="00A22492" w:rsidRPr="004A10D6" w:rsidRDefault="00A22492" w:rsidP="00DB3112">
      <w:pPr>
        <w:ind w:left="360"/>
        <w:rPr>
          <w:rFonts w:ascii="Arial" w:hAnsi="Arial" w:cs="Arial"/>
          <w:sz w:val="24"/>
          <w:szCs w:val="24"/>
        </w:rPr>
      </w:pPr>
      <w:r w:rsidRPr="004A10D6">
        <w:rPr>
          <w:rFonts w:ascii="Arial" w:hAnsi="Arial" w:cs="Arial"/>
          <w:sz w:val="24"/>
          <w:szCs w:val="24"/>
        </w:rPr>
        <w:t xml:space="preserve"> • variazioni riguardanti l’utilizzo della quota vincolata e accantonata del risultato di amministrazione nel corso dell’esercizio provvisorio consistenti nella mera reiscrizione di economie di spesa derivanti da stanziamenti di bilancio dell’esercizio precedente corrispondenti a entrate vincolate; </w:t>
      </w:r>
    </w:p>
    <w:p w:rsidR="00A22492" w:rsidRPr="004A10D6" w:rsidRDefault="00A22492" w:rsidP="00DB3112">
      <w:pPr>
        <w:ind w:left="360"/>
        <w:rPr>
          <w:rFonts w:ascii="Arial" w:hAnsi="Arial" w:cs="Arial"/>
          <w:sz w:val="24"/>
          <w:szCs w:val="24"/>
        </w:rPr>
      </w:pPr>
      <w:r w:rsidRPr="004A10D6">
        <w:rPr>
          <w:rFonts w:ascii="Arial" w:hAnsi="Arial" w:cs="Arial"/>
          <w:sz w:val="24"/>
          <w:szCs w:val="24"/>
        </w:rPr>
        <w:t>• variazioni PEG riguardanti trasferimenti correnti, contributi agli investimenti e trasferimenti in conto capitale</w:t>
      </w:r>
    </w:p>
    <w:p w:rsidR="00A22492" w:rsidRPr="004A10D6" w:rsidRDefault="00A22492" w:rsidP="00DB3112">
      <w:pPr>
        <w:ind w:left="360"/>
        <w:rPr>
          <w:rFonts w:ascii="Arial" w:hAnsi="Arial" w:cs="Arial"/>
          <w:sz w:val="24"/>
          <w:szCs w:val="24"/>
        </w:rPr>
      </w:pPr>
      <w:r w:rsidRPr="004A10D6">
        <w:rPr>
          <w:rFonts w:ascii="Arial" w:hAnsi="Arial" w:cs="Arial"/>
          <w:sz w:val="24"/>
          <w:szCs w:val="24"/>
        </w:rPr>
        <w:t>Dirigenti:</w:t>
      </w:r>
    </w:p>
    <w:p w:rsidR="00A22492" w:rsidRPr="004A10D6" w:rsidRDefault="00A22492" w:rsidP="00DB3112">
      <w:pPr>
        <w:pStyle w:val="Paragrafoelenco"/>
        <w:numPr>
          <w:ilvl w:val="0"/>
          <w:numId w:val="2"/>
        </w:numPr>
        <w:rPr>
          <w:rFonts w:ascii="Arial" w:hAnsi="Arial" w:cs="Arial"/>
          <w:sz w:val="24"/>
          <w:szCs w:val="24"/>
        </w:rPr>
      </w:pPr>
      <w:r w:rsidRPr="004A10D6">
        <w:rPr>
          <w:rFonts w:ascii="Arial" w:hAnsi="Arial" w:cs="Arial"/>
          <w:sz w:val="24"/>
          <w:szCs w:val="24"/>
        </w:rPr>
        <w:t xml:space="preserve">variazioni compensative del PEG, fra capitoli di entrata della medesima categoria e fra i capitoli di spesa del medesimo macroaggregato, (escluso trasferimenti correnti e contributi e trasferimenti in conto capitale) </w:t>
      </w:r>
    </w:p>
    <w:p w:rsidR="00A22492" w:rsidRPr="004A10D6" w:rsidRDefault="00A22492" w:rsidP="00DB3112">
      <w:pPr>
        <w:pStyle w:val="Paragrafoelenco"/>
        <w:numPr>
          <w:ilvl w:val="0"/>
          <w:numId w:val="2"/>
        </w:numPr>
        <w:rPr>
          <w:rFonts w:ascii="Arial" w:hAnsi="Arial" w:cs="Arial"/>
          <w:sz w:val="24"/>
          <w:szCs w:val="24"/>
        </w:rPr>
      </w:pPr>
      <w:r w:rsidRPr="004A10D6">
        <w:rPr>
          <w:rFonts w:ascii="Arial" w:hAnsi="Arial" w:cs="Arial"/>
          <w:sz w:val="24"/>
          <w:szCs w:val="24"/>
        </w:rPr>
        <w:t>variazioni di bilancio fra gli stanziamenti riguardanti il fondo pluriennale vincolato e gli stanziamenti correlati, in termini di competenza e di cassa, escluse quelle attribuite alla competenza della giunta;</w:t>
      </w:r>
    </w:p>
    <w:p w:rsidR="00A22492" w:rsidRPr="004A10D6" w:rsidRDefault="00A22492" w:rsidP="00DB3112">
      <w:pPr>
        <w:pStyle w:val="Paragrafoelenco"/>
        <w:numPr>
          <w:ilvl w:val="0"/>
          <w:numId w:val="2"/>
        </w:numPr>
        <w:rPr>
          <w:rFonts w:ascii="Arial" w:hAnsi="Arial" w:cs="Arial"/>
          <w:sz w:val="24"/>
          <w:szCs w:val="24"/>
        </w:rPr>
      </w:pPr>
      <w:r w:rsidRPr="004A10D6">
        <w:rPr>
          <w:rFonts w:ascii="Arial" w:hAnsi="Arial" w:cs="Arial"/>
          <w:sz w:val="24"/>
          <w:szCs w:val="24"/>
        </w:rPr>
        <w:t>variazioni di bilancio riguardanti l’utilizzo della quota vincolata del risultato di amministrazione derivanti da stanziamenti di bilancio dell’esercizio precedente corrispondenti a entrate vincolate, in termini di competenza e di cassa, secondo le modalità previste dall’articolo 187, comma 3-quinquies;</w:t>
      </w:r>
    </w:p>
    <w:p w:rsidR="00A22492" w:rsidRPr="004A10D6" w:rsidRDefault="00A22492" w:rsidP="00DB3112">
      <w:pPr>
        <w:pStyle w:val="Paragrafoelenco"/>
        <w:numPr>
          <w:ilvl w:val="0"/>
          <w:numId w:val="2"/>
        </w:numPr>
        <w:rPr>
          <w:rFonts w:ascii="Arial" w:hAnsi="Arial" w:cs="Arial"/>
          <w:sz w:val="24"/>
          <w:szCs w:val="24"/>
        </w:rPr>
      </w:pPr>
      <w:r w:rsidRPr="004A10D6">
        <w:rPr>
          <w:rFonts w:ascii="Arial" w:hAnsi="Arial" w:cs="Arial"/>
          <w:sz w:val="24"/>
          <w:szCs w:val="24"/>
        </w:rPr>
        <w:t xml:space="preserve"> variazioni degli stanziamenti riguardanti i versamenti ai conti di tesoreria statale intestati all'ente e i versamenti a depositi bancari intestati all'ente;</w:t>
      </w:r>
    </w:p>
    <w:p w:rsidR="00A22492" w:rsidRPr="004A10D6" w:rsidRDefault="00A22492" w:rsidP="00DB3112">
      <w:pPr>
        <w:pStyle w:val="Paragrafoelenco"/>
        <w:numPr>
          <w:ilvl w:val="0"/>
          <w:numId w:val="2"/>
        </w:numPr>
        <w:rPr>
          <w:rFonts w:ascii="Arial" w:hAnsi="Arial" w:cs="Arial"/>
          <w:sz w:val="24"/>
          <w:szCs w:val="24"/>
        </w:rPr>
      </w:pPr>
      <w:r w:rsidRPr="004A10D6">
        <w:rPr>
          <w:rFonts w:ascii="Arial" w:hAnsi="Arial" w:cs="Arial"/>
          <w:sz w:val="24"/>
          <w:szCs w:val="24"/>
        </w:rPr>
        <w:t>le variazioni necessarie per l’adeguamento delle previsioni, compresa l’istituzione di tipologie e programmi, riguardanti le partite di giro e le operazioni per conto di terzi.</w:t>
      </w:r>
    </w:p>
    <w:p w:rsidR="008B10CB" w:rsidRPr="004A10D6" w:rsidRDefault="008B10CB" w:rsidP="00DB3112">
      <w:pPr>
        <w:ind w:left="360"/>
        <w:rPr>
          <w:rFonts w:ascii="Arial" w:hAnsi="Arial" w:cs="Arial"/>
          <w:sz w:val="24"/>
          <w:szCs w:val="24"/>
        </w:rPr>
      </w:pPr>
      <w:r w:rsidRPr="004A10D6">
        <w:rPr>
          <w:rFonts w:ascii="Arial" w:hAnsi="Arial" w:cs="Arial"/>
          <w:sz w:val="24"/>
          <w:szCs w:val="24"/>
        </w:rPr>
        <w:t>PIANO INTEGRATO DEI CONTI</w:t>
      </w:r>
    </w:p>
    <w:p w:rsidR="008B10CB" w:rsidRPr="004A10D6" w:rsidRDefault="008B10CB" w:rsidP="00DB3112">
      <w:pPr>
        <w:ind w:left="360"/>
        <w:rPr>
          <w:rFonts w:ascii="Arial" w:hAnsi="Arial" w:cs="Arial"/>
          <w:sz w:val="24"/>
          <w:szCs w:val="24"/>
        </w:rPr>
      </w:pPr>
      <w:r w:rsidRPr="004A10D6">
        <w:rPr>
          <w:rFonts w:ascii="Arial" w:hAnsi="Arial" w:cs="Arial"/>
          <w:sz w:val="24"/>
          <w:szCs w:val="24"/>
        </w:rPr>
        <w:t xml:space="preserve">Le amministrazioni pubbliche adottAno il piano dei conti integrato, costituito da: </w:t>
      </w:r>
    </w:p>
    <w:p w:rsidR="008B10CB" w:rsidRPr="004A10D6" w:rsidRDefault="008B10CB" w:rsidP="00DB3112">
      <w:pPr>
        <w:ind w:left="1800"/>
        <w:rPr>
          <w:rFonts w:ascii="Arial" w:hAnsi="Arial" w:cs="Arial"/>
          <w:sz w:val="24"/>
          <w:szCs w:val="24"/>
        </w:rPr>
      </w:pPr>
      <w:r w:rsidRPr="004A10D6">
        <w:rPr>
          <w:rFonts w:ascii="Arial" w:hAnsi="Arial" w:cs="Arial"/>
          <w:sz w:val="24"/>
          <w:szCs w:val="24"/>
        </w:rPr>
        <w:t xml:space="preserve">Piano dei conti finanziario degli Enti locali; </w:t>
      </w:r>
    </w:p>
    <w:p w:rsidR="008B10CB" w:rsidRPr="004A10D6" w:rsidRDefault="008B10CB" w:rsidP="00DB3112">
      <w:pPr>
        <w:ind w:left="1800"/>
        <w:rPr>
          <w:rFonts w:ascii="Arial" w:hAnsi="Arial" w:cs="Arial"/>
          <w:sz w:val="24"/>
          <w:szCs w:val="24"/>
        </w:rPr>
      </w:pPr>
      <w:r w:rsidRPr="004A10D6">
        <w:rPr>
          <w:rFonts w:ascii="Arial" w:hAnsi="Arial" w:cs="Arial"/>
          <w:sz w:val="24"/>
          <w:szCs w:val="24"/>
        </w:rPr>
        <w:t xml:space="preserve">Piano dei conti economico degli Enti locali; </w:t>
      </w:r>
    </w:p>
    <w:p w:rsidR="008B10CB" w:rsidRPr="004A10D6" w:rsidRDefault="008B10CB" w:rsidP="00DB3112">
      <w:pPr>
        <w:ind w:left="1800"/>
        <w:rPr>
          <w:rFonts w:ascii="Arial" w:hAnsi="Arial" w:cs="Arial"/>
          <w:sz w:val="24"/>
          <w:szCs w:val="24"/>
        </w:rPr>
      </w:pPr>
      <w:r w:rsidRPr="004A10D6">
        <w:rPr>
          <w:rFonts w:ascii="Arial" w:hAnsi="Arial" w:cs="Arial"/>
          <w:sz w:val="24"/>
          <w:szCs w:val="24"/>
        </w:rPr>
        <w:t xml:space="preserve">Piano dei conti patrimoniale degli Enti locali. </w:t>
      </w:r>
    </w:p>
    <w:p w:rsidR="00A22492" w:rsidRPr="004A10D6" w:rsidRDefault="008B10CB" w:rsidP="00DB3112">
      <w:pPr>
        <w:ind w:left="360"/>
        <w:rPr>
          <w:rFonts w:ascii="Arial" w:hAnsi="Arial" w:cs="Arial"/>
          <w:sz w:val="24"/>
          <w:szCs w:val="24"/>
        </w:rPr>
      </w:pPr>
      <w:r w:rsidRPr="004A10D6">
        <w:rPr>
          <w:rFonts w:ascii="Arial" w:hAnsi="Arial" w:cs="Arial"/>
          <w:sz w:val="24"/>
          <w:szCs w:val="24"/>
        </w:rPr>
        <w:t xml:space="preserve">Il piano dei conti integrato è costituito dall’elenco delle unità elementari del bilancio </w:t>
      </w:r>
      <w:r w:rsidRPr="004A10D6">
        <w:rPr>
          <w:rFonts w:ascii="Arial" w:hAnsi="Arial" w:cs="Arial"/>
          <w:sz w:val="24"/>
          <w:szCs w:val="24"/>
        </w:rPr>
        <w:lastRenderedPageBreak/>
        <w:t>finanziario gestionale e dei conti economico-patrimoniali, al fine di garantire la rilevazione unitaria dei fatti gestionali in termini di impatto finanziario ed economico nonché in termini di contabilità patrimoniale, registrando le variazioni patrimoniali e il raccordo con i flussi finanziari che le hanno prodotte.</w:t>
      </w:r>
    </w:p>
    <w:p w:rsidR="00A22492" w:rsidRPr="004A10D6" w:rsidRDefault="00A22492" w:rsidP="00DB3112">
      <w:pPr>
        <w:ind w:left="360"/>
        <w:rPr>
          <w:rFonts w:ascii="Arial" w:hAnsi="Arial" w:cs="Arial"/>
          <w:sz w:val="24"/>
          <w:szCs w:val="24"/>
        </w:rPr>
      </w:pPr>
      <w:r w:rsidRPr="004A10D6">
        <w:rPr>
          <w:rFonts w:ascii="Arial" w:hAnsi="Arial" w:cs="Arial"/>
          <w:sz w:val="24"/>
          <w:szCs w:val="24"/>
        </w:rPr>
        <w:t>INVESTIMENTI</w:t>
      </w:r>
    </w:p>
    <w:p w:rsidR="00B02C6C" w:rsidRPr="004A10D6" w:rsidRDefault="00A22492" w:rsidP="00DB3112">
      <w:pPr>
        <w:ind w:left="360"/>
        <w:rPr>
          <w:rFonts w:ascii="Arial" w:hAnsi="Arial" w:cs="Arial"/>
          <w:sz w:val="24"/>
          <w:szCs w:val="24"/>
        </w:rPr>
      </w:pPr>
      <w:r w:rsidRPr="004A10D6">
        <w:rPr>
          <w:rFonts w:ascii="Arial" w:hAnsi="Arial" w:cs="Arial"/>
          <w:sz w:val="24"/>
          <w:szCs w:val="24"/>
        </w:rPr>
        <w:t xml:space="preserve"> </w:t>
      </w:r>
      <w:r w:rsidR="00B02C6C" w:rsidRPr="004A10D6">
        <w:rPr>
          <w:rFonts w:ascii="Arial" w:hAnsi="Arial" w:cs="Arial"/>
          <w:sz w:val="24"/>
          <w:szCs w:val="24"/>
        </w:rPr>
        <w:t>L’attività di investimento è inerente alla realizzazione, acquisto, manutenzione straordinaria di beni demaniali e patrimoniali come:</w:t>
      </w:r>
    </w:p>
    <w:p w:rsidR="00B02C6C" w:rsidRPr="004A10D6" w:rsidRDefault="00B02C6C" w:rsidP="00DB3112">
      <w:pPr>
        <w:tabs>
          <w:tab w:val="left" w:pos="1470"/>
        </w:tabs>
        <w:suppressAutoHyphens/>
        <w:autoSpaceDE w:val="0"/>
        <w:autoSpaceDN/>
        <w:adjustRightInd/>
        <w:spacing w:after="0" w:line="240" w:lineRule="auto"/>
        <w:ind w:left="360" w:right="49"/>
        <w:rPr>
          <w:rFonts w:ascii="Arial" w:hAnsi="Arial" w:cs="Arial"/>
          <w:sz w:val="24"/>
          <w:szCs w:val="24"/>
        </w:rPr>
      </w:pPr>
      <w:r w:rsidRPr="004A10D6">
        <w:rPr>
          <w:rFonts w:ascii="Arial" w:hAnsi="Arial" w:cs="Arial"/>
          <w:sz w:val="24"/>
          <w:szCs w:val="24"/>
        </w:rPr>
        <w:t>acquedotti, fognature, opere per smaltimento rifiuti, strade, gasdotti, impianti di illuminazione, opere di urbanizzazione primaria e secondaria, attrezzature tecniche</w:t>
      </w:r>
    </w:p>
    <w:p w:rsidR="00B02C6C" w:rsidRPr="004A10D6" w:rsidRDefault="00B02C6C" w:rsidP="00DB3112">
      <w:pPr>
        <w:ind w:left="1800" w:right="49"/>
        <w:rPr>
          <w:rFonts w:ascii="Arial" w:hAnsi="Arial" w:cs="Arial"/>
          <w:sz w:val="24"/>
          <w:szCs w:val="24"/>
        </w:rPr>
      </w:pPr>
      <w:r w:rsidRPr="004A10D6">
        <w:rPr>
          <w:rFonts w:ascii="Arial" w:hAnsi="Arial" w:cs="Arial"/>
          <w:sz w:val="24"/>
          <w:szCs w:val="24"/>
        </w:rPr>
        <w:t>la copertura delle spese di investimento è individuata dal TUEL art. 199 :</w:t>
      </w:r>
    </w:p>
    <w:p w:rsidR="00B02C6C" w:rsidRPr="004A10D6" w:rsidRDefault="00B02C6C" w:rsidP="00DB3112">
      <w:pPr>
        <w:tabs>
          <w:tab w:val="left" w:pos="1470"/>
        </w:tabs>
        <w:suppressAutoHyphens/>
        <w:autoSpaceDE w:val="0"/>
        <w:autoSpaceDN/>
        <w:adjustRightInd/>
        <w:spacing w:after="0" w:line="240" w:lineRule="auto"/>
        <w:ind w:left="360" w:right="49"/>
        <w:rPr>
          <w:rFonts w:ascii="Arial" w:hAnsi="Arial" w:cs="Arial"/>
          <w:sz w:val="24"/>
          <w:szCs w:val="24"/>
        </w:rPr>
      </w:pPr>
      <w:r w:rsidRPr="004A10D6">
        <w:rPr>
          <w:rFonts w:ascii="Arial" w:hAnsi="Arial" w:cs="Arial"/>
          <w:sz w:val="24"/>
          <w:szCs w:val="24"/>
        </w:rPr>
        <w:t xml:space="preserve">entrate correnti destinate per legge agli investimenti: proventi dalla ricerca e coltivazione delle risorse geotermiche, titoli di debito pubblico, proventi derivanti da alienazione di valori mobiliari, titoli di credito, azioni. </w:t>
      </w:r>
    </w:p>
    <w:p w:rsidR="00B02C6C" w:rsidRPr="004A10D6" w:rsidRDefault="00B02C6C" w:rsidP="00DB3112">
      <w:pPr>
        <w:tabs>
          <w:tab w:val="left" w:pos="1470"/>
        </w:tabs>
        <w:suppressAutoHyphens/>
        <w:autoSpaceDE w:val="0"/>
        <w:autoSpaceDN/>
        <w:adjustRightInd/>
        <w:spacing w:after="0" w:line="240" w:lineRule="auto"/>
        <w:ind w:left="360" w:right="49"/>
        <w:rPr>
          <w:rFonts w:ascii="Arial" w:hAnsi="Arial" w:cs="Arial"/>
          <w:sz w:val="24"/>
          <w:szCs w:val="24"/>
        </w:rPr>
      </w:pPr>
      <w:r w:rsidRPr="004A10D6">
        <w:rPr>
          <w:rFonts w:ascii="Arial" w:hAnsi="Arial" w:cs="Arial"/>
          <w:sz w:val="24"/>
          <w:szCs w:val="24"/>
        </w:rPr>
        <w:t>avanzi di bilancio, costituiti da eccedenze di entrate correnti rispetto alle spese correnti aumentate delle quote capitali di ammortamento dei prestiti;</w:t>
      </w:r>
    </w:p>
    <w:p w:rsidR="00B02C6C" w:rsidRPr="004A10D6" w:rsidRDefault="00B02C6C" w:rsidP="00DB3112">
      <w:pPr>
        <w:tabs>
          <w:tab w:val="left" w:pos="1470"/>
        </w:tabs>
        <w:suppressAutoHyphens/>
        <w:autoSpaceDE w:val="0"/>
        <w:autoSpaceDN/>
        <w:adjustRightInd/>
        <w:spacing w:after="0" w:line="240" w:lineRule="auto"/>
        <w:ind w:left="360" w:right="49"/>
        <w:rPr>
          <w:rFonts w:ascii="Arial" w:hAnsi="Arial" w:cs="Arial"/>
          <w:sz w:val="24"/>
          <w:szCs w:val="24"/>
        </w:rPr>
      </w:pPr>
      <w:r w:rsidRPr="004A10D6">
        <w:rPr>
          <w:rFonts w:ascii="Arial" w:hAnsi="Arial" w:cs="Arial"/>
          <w:sz w:val="24"/>
          <w:szCs w:val="24"/>
        </w:rPr>
        <w:t>entrate derivanti dall'alienazione di beni e diritti patrimoniali, riscossioni di crediti, proventi da concessioni edilizie e relative sanzioni;</w:t>
      </w:r>
    </w:p>
    <w:p w:rsidR="00B02C6C" w:rsidRPr="004A10D6" w:rsidRDefault="00B02C6C" w:rsidP="00DB3112">
      <w:pPr>
        <w:tabs>
          <w:tab w:val="left" w:pos="1470"/>
        </w:tabs>
        <w:suppressAutoHyphens/>
        <w:autoSpaceDE w:val="0"/>
        <w:autoSpaceDN/>
        <w:adjustRightInd/>
        <w:spacing w:after="0" w:line="240" w:lineRule="auto"/>
        <w:ind w:left="360" w:right="49"/>
        <w:rPr>
          <w:rFonts w:ascii="Arial" w:hAnsi="Arial" w:cs="Arial"/>
          <w:sz w:val="24"/>
          <w:szCs w:val="24"/>
        </w:rPr>
      </w:pPr>
      <w:r w:rsidRPr="004A10D6">
        <w:rPr>
          <w:rFonts w:ascii="Arial" w:hAnsi="Arial" w:cs="Arial"/>
          <w:sz w:val="24"/>
          <w:szCs w:val="24"/>
        </w:rPr>
        <w:t>entrate derivanti da trasferimenti in conto capitale dello Stato, delle regioni, da altri interventi pubblici e privati finalizzati agli investimenti, da interventi finalizzati da parte di organismi comunitari e internazionali;</w:t>
      </w:r>
    </w:p>
    <w:p w:rsidR="00B02C6C" w:rsidRPr="004A10D6" w:rsidRDefault="00B02C6C" w:rsidP="00DB3112">
      <w:pPr>
        <w:tabs>
          <w:tab w:val="left" w:pos="1470"/>
        </w:tabs>
        <w:suppressAutoHyphens/>
        <w:autoSpaceDE w:val="0"/>
        <w:autoSpaceDN/>
        <w:adjustRightInd/>
        <w:spacing w:after="0" w:line="240" w:lineRule="auto"/>
        <w:ind w:left="360" w:right="49"/>
        <w:rPr>
          <w:rFonts w:ascii="Arial" w:hAnsi="Arial" w:cs="Arial"/>
          <w:sz w:val="24"/>
          <w:szCs w:val="24"/>
        </w:rPr>
      </w:pPr>
      <w:r w:rsidRPr="004A10D6">
        <w:rPr>
          <w:rFonts w:ascii="Arial" w:hAnsi="Arial" w:cs="Arial"/>
          <w:sz w:val="24"/>
          <w:szCs w:val="24"/>
        </w:rPr>
        <w:t>avanzo di amministrazione, nelle forme disciplinate dall'articolo 187;</w:t>
      </w:r>
    </w:p>
    <w:p w:rsidR="00B02C6C" w:rsidRPr="004A10D6" w:rsidRDefault="00B02C6C" w:rsidP="00DB3112">
      <w:pPr>
        <w:tabs>
          <w:tab w:val="left" w:pos="1470"/>
        </w:tabs>
        <w:suppressAutoHyphens/>
        <w:autoSpaceDE w:val="0"/>
        <w:autoSpaceDN/>
        <w:adjustRightInd/>
        <w:spacing w:after="0" w:line="240" w:lineRule="auto"/>
        <w:ind w:left="360" w:right="49"/>
        <w:rPr>
          <w:rFonts w:ascii="Arial" w:hAnsi="Arial" w:cs="Arial"/>
          <w:sz w:val="24"/>
          <w:szCs w:val="24"/>
        </w:rPr>
      </w:pPr>
      <w:r w:rsidRPr="004A10D6">
        <w:rPr>
          <w:rFonts w:ascii="Arial" w:hAnsi="Arial" w:cs="Arial"/>
          <w:sz w:val="24"/>
          <w:szCs w:val="24"/>
        </w:rPr>
        <w:t>mutui passivi;</w:t>
      </w:r>
    </w:p>
    <w:p w:rsidR="00B02C6C" w:rsidRPr="004A10D6" w:rsidRDefault="00B02C6C" w:rsidP="00DB3112">
      <w:pPr>
        <w:tabs>
          <w:tab w:val="left" w:pos="1470"/>
        </w:tabs>
        <w:suppressAutoHyphens/>
        <w:autoSpaceDE w:val="0"/>
        <w:autoSpaceDN/>
        <w:adjustRightInd/>
        <w:spacing w:after="0" w:line="240" w:lineRule="auto"/>
        <w:ind w:left="360" w:right="49"/>
        <w:rPr>
          <w:rFonts w:ascii="Arial" w:hAnsi="Arial" w:cs="Arial"/>
          <w:sz w:val="24"/>
          <w:szCs w:val="24"/>
        </w:rPr>
      </w:pPr>
      <w:r w:rsidRPr="004A10D6">
        <w:rPr>
          <w:rFonts w:ascii="Arial" w:hAnsi="Arial" w:cs="Arial"/>
          <w:sz w:val="24"/>
          <w:szCs w:val="24"/>
        </w:rPr>
        <w:t>altre forme di ricorso al mercato finanziario consentite dalla legge.</w:t>
      </w:r>
    </w:p>
    <w:p w:rsidR="00A22492" w:rsidRPr="004A10D6" w:rsidRDefault="00B02C6C" w:rsidP="00DB3112">
      <w:pPr>
        <w:ind w:left="360" w:right="675"/>
        <w:rPr>
          <w:rFonts w:ascii="Arial" w:hAnsi="Arial" w:cs="Arial"/>
          <w:sz w:val="24"/>
          <w:szCs w:val="24"/>
        </w:rPr>
      </w:pPr>
      <w:r w:rsidRPr="004A10D6">
        <w:rPr>
          <w:rFonts w:ascii="Arial" w:hAnsi="Arial" w:cs="Arial"/>
          <w:sz w:val="24"/>
          <w:szCs w:val="24"/>
        </w:rPr>
        <w:t>Per tutti gli investimenti degli enti locali, comunque finanziati, l'organo deliberante, nell'approvare il progetto od il piano esecutivo dell'investimento, dà atto della copertura delle maggiori spese derivanti dallo stesso nel bilancio pluriennale originario, eventualmente modificato dall'organo consiliare, ed assume impegno di inserire nei bilanci pluriennali successivi le ulteriori o maggiori previsioni di spesa relative ad esercizi futuri, delle quali è redatto apposito elenco.</w:t>
      </w:r>
    </w:p>
    <w:p w:rsidR="00B02C6C" w:rsidRPr="004A10D6" w:rsidRDefault="00A22492" w:rsidP="00DB3112">
      <w:pPr>
        <w:ind w:left="360" w:right="675"/>
        <w:rPr>
          <w:rFonts w:ascii="Arial" w:hAnsi="Arial" w:cs="Arial"/>
          <w:sz w:val="24"/>
          <w:szCs w:val="24"/>
        </w:rPr>
      </w:pPr>
      <w:r w:rsidRPr="004A10D6">
        <w:rPr>
          <w:rFonts w:ascii="Arial" w:hAnsi="Arial" w:cs="Arial"/>
          <w:sz w:val="24"/>
          <w:szCs w:val="24"/>
        </w:rPr>
        <w:t xml:space="preserve"> </w:t>
      </w:r>
      <w:r w:rsidR="00B02C6C" w:rsidRPr="004A10D6">
        <w:rPr>
          <w:rFonts w:ascii="Arial" w:hAnsi="Arial" w:cs="Arial"/>
          <w:sz w:val="24"/>
          <w:szCs w:val="24"/>
        </w:rPr>
        <w:t>IL RESPONSABILE DEL SERVIZIO FINANZIARIO HA COMPITI DELICATISSIMI:</w:t>
      </w:r>
    </w:p>
    <w:p w:rsidR="00B02C6C" w:rsidRPr="004A10D6" w:rsidRDefault="00B02C6C" w:rsidP="00DB3112">
      <w:pPr>
        <w:tabs>
          <w:tab w:val="left" w:pos="720"/>
        </w:tabs>
        <w:suppressAutoHyphens/>
        <w:autoSpaceDE w:val="0"/>
        <w:autoSpaceDN/>
        <w:adjustRightInd/>
        <w:spacing w:after="0" w:line="240" w:lineRule="auto"/>
        <w:ind w:left="360" w:right="675"/>
        <w:rPr>
          <w:rFonts w:ascii="Arial" w:hAnsi="Arial" w:cs="Arial"/>
          <w:sz w:val="24"/>
          <w:szCs w:val="24"/>
        </w:rPr>
      </w:pPr>
      <w:r w:rsidRPr="004A10D6">
        <w:rPr>
          <w:rFonts w:ascii="Arial" w:hAnsi="Arial" w:cs="Arial"/>
          <w:sz w:val="24"/>
          <w:szCs w:val="24"/>
        </w:rPr>
        <w:t>verifica la veridicità delle previsioni di entrata e di spesa in sede di predisposizione del bilancio di previsione annuale</w:t>
      </w:r>
    </w:p>
    <w:p w:rsidR="00B02C6C" w:rsidRPr="004A10D6" w:rsidRDefault="00B02C6C" w:rsidP="00DB3112">
      <w:pPr>
        <w:tabs>
          <w:tab w:val="left" w:pos="720"/>
        </w:tabs>
        <w:suppressAutoHyphens/>
        <w:autoSpaceDE w:val="0"/>
        <w:autoSpaceDN/>
        <w:adjustRightInd/>
        <w:spacing w:after="0" w:line="240" w:lineRule="auto"/>
        <w:ind w:left="360" w:right="675"/>
        <w:rPr>
          <w:rFonts w:ascii="Arial" w:hAnsi="Arial" w:cs="Arial"/>
          <w:sz w:val="24"/>
          <w:szCs w:val="24"/>
        </w:rPr>
      </w:pPr>
      <w:r w:rsidRPr="004A10D6">
        <w:rPr>
          <w:rFonts w:ascii="Arial" w:hAnsi="Arial" w:cs="Arial"/>
          <w:sz w:val="24"/>
          <w:szCs w:val="24"/>
        </w:rPr>
        <w:t>durante il corso della gestione attesta la copertura finanziaria delle spese</w:t>
      </w:r>
    </w:p>
    <w:p w:rsidR="00B02C6C" w:rsidRPr="004A10D6" w:rsidRDefault="00B02C6C" w:rsidP="00DB3112">
      <w:pPr>
        <w:tabs>
          <w:tab w:val="left" w:pos="720"/>
        </w:tabs>
        <w:suppressAutoHyphens/>
        <w:autoSpaceDE w:val="0"/>
        <w:autoSpaceDN/>
        <w:adjustRightInd/>
        <w:spacing w:after="0" w:line="240" w:lineRule="auto"/>
        <w:ind w:left="360" w:right="675"/>
        <w:rPr>
          <w:rFonts w:ascii="Arial" w:hAnsi="Arial" w:cs="Arial"/>
          <w:sz w:val="24"/>
          <w:szCs w:val="24"/>
        </w:rPr>
      </w:pPr>
      <w:r w:rsidRPr="004A10D6">
        <w:rPr>
          <w:rFonts w:ascii="Arial" w:hAnsi="Arial" w:cs="Arial"/>
          <w:sz w:val="24"/>
          <w:szCs w:val="24"/>
        </w:rPr>
        <w:t>in sede di salvaguardia degli equilibri di bilancio fornisce indicazioni dulla effettiva situazione economica del comune.</w:t>
      </w:r>
    </w:p>
    <w:p w:rsidR="00A22492" w:rsidRPr="004A10D6" w:rsidRDefault="00A22492" w:rsidP="00DB3112">
      <w:pPr>
        <w:ind w:left="360" w:right="375"/>
        <w:rPr>
          <w:rFonts w:ascii="Arial" w:hAnsi="Arial" w:cs="Arial"/>
          <w:sz w:val="24"/>
          <w:szCs w:val="24"/>
        </w:rPr>
      </w:pPr>
    </w:p>
    <w:p w:rsidR="00A22492" w:rsidRPr="004A10D6" w:rsidRDefault="00A22492" w:rsidP="00DB3112">
      <w:pPr>
        <w:ind w:left="360" w:right="375"/>
        <w:rPr>
          <w:rFonts w:ascii="Arial" w:hAnsi="Arial" w:cs="Arial"/>
          <w:sz w:val="24"/>
          <w:szCs w:val="24"/>
        </w:rPr>
      </w:pPr>
      <w:r w:rsidRPr="004A10D6">
        <w:rPr>
          <w:rFonts w:ascii="Arial" w:hAnsi="Arial" w:cs="Arial"/>
          <w:sz w:val="24"/>
          <w:szCs w:val="24"/>
        </w:rPr>
        <w:t>ESECUTIVITA’ DELLE DELIBERAZIONI</w:t>
      </w:r>
    </w:p>
    <w:p w:rsidR="00B02C6C" w:rsidRPr="004A10D6" w:rsidRDefault="00B02C6C" w:rsidP="00DB3112">
      <w:pPr>
        <w:ind w:left="360" w:right="375"/>
        <w:rPr>
          <w:rFonts w:ascii="Arial" w:hAnsi="Arial" w:cs="Arial"/>
          <w:sz w:val="24"/>
          <w:szCs w:val="24"/>
        </w:rPr>
      </w:pPr>
      <w:r w:rsidRPr="004A10D6">
        <w:rPr>
          <w:rFonts w:ascii="Arial" w:hAnsi="Arial" w:cs="Arial"/>
          <w:sz w:val="24"/>
          <w:szCs w:val="24"/>
        </w:rPr>
        <w:t xml:space="preserve">La deliberazione soggetta al controllo necessario di legittimità deve essere trasmessa </w:t>
      </w:r>
      <w:r w:rsidRPr="004A10D6">
        <w:rPr>
          <w:rFonts w:ascii="Arial" w:hAnsi="Arial" w:cs="Arial"/>
          <w:sz w:val="24"/>
          <w:szCs w:val="24"/>
        </w:rPr>
        <w:lastRenderedPageBreak/>
        <w:t xml:space="preserve">a pena di decadenza entro </w:t>
      </w:r>
      <w:r w:rsidRPr="004A10D6">
        <w:rPr>
          <w:rFonts w:ascii="Arial" w:hAnsi="Arial" w:cs="Arial"/>
          <w:b/>
          <w:bCs/>
          <w:sz w:val="24"/>
          <w:szCs w:val="24"/>
        </w:rPr>
        <w:t xml:space="preserve">5 giorni </w:t>
      </w:r>
      <w:r w:rsidRPr="004A10D6">
        <w:rPr>
          <w:rFonts w:ascii="Arial" w:hAnsi="Arial" w:cs="Arial"/>
          <w:sz w:val="24"/>
          <w:szCs w:val="24"/>
        </w:rPr>
        <w:t xml:space="preserve">successivo all'adozione. </w:t>
      </w:r>
    </w:p>
    <w:p w:rsidR="00B02C6C" w:rsidRPr="004A10D6" w:rsidRDefault="00B02C6C" w:rsidP="00DB3112">
      <w:pPr>
        <w:ind w:left="360" w:right="375"/>
        <w:rPr>
          <w:rFonts w:ascii="Arial" w:hAnsi="Arial" w:cs="Arial"/>
          <w:sz w:val="24"/>
          <w:szCs w:val="24"/>
        </w:rPr>
      </w:pPr>
      <w:r w:rsidRPr="004A10D6">
        <w:rPr>
          <w:rFonts w:ascii="Arial" w:hAnsi="Arial" w:cs="Arial"/>
          <w:sz w:val="24"/>
          <w:szCs w:val="24"/>
        </w:rPr>
        <w:t xml:space="preserve">Essa diventa esecutiva se entro </w:t>
      </w:r>
      <w:r w:rsidRPr="004A10D6">
        <w:rPr>
          <w:rFonts w:ascii="Arial" w:hAnsi="Arial" w:cs="Arial"/>
          <w:b/>
          <w:bCs/>
          <w:sz w:val="24"/>
          <w:szCs w:val="24"/>
        </w:rPr>
        <w:t xml:space="preserve">30 giorni </w:t>
      </w:r>
      <w:r w:rsidRPr="004A10D6">
        <w:rPr>
          <w:rFonts w:ascii="Arial" w:hAnsi="Arial" w:cs="Arial"/>
          <w:sz w:val="24"/>
          <w:szCs w:val="24"/>
        </w:rPr>
        <w:t>dalla trasmissione della stessa il comitato regionale di controllo non trasmetta all'ente interessato un provvedimento motivato di annullamento. Le deliberazioni diventano comunque esecutive qualora prima del decorso dello stesso termine il comitato regionale di controllo dia comunicazione di non aver riscontrato vizi di legittimità.</w:t>
      </w:r>
    </w:p>
    <w:p w:rsidR="00B02C6C" w:rsidRPr="004A10D6" w:rsidRDefault="00B02C6C" w:rsidP="00DB3112">
      <w:pPr>
        <w:ind w:left="360" w:right="375"/>
        <w:rPr>
          <w:rFonts w:ascii="Arial" w:hAnsi="Arial" w:cs="Arial"/>
          <w:sz w:val="24"/>
          <w:szCs w:val="24"/>
        </w:rPr>
      </w:pPr>
      <w:r w:rsidRPr="004A10D6">
        <w:rPr>
          <w:rFonts w:ascii="Arial" w:hAnsi="Arial" w:cs="Arial"/>
          <w:sz w:val="24"/>
          <w:szCs w:val="24"/>
        </w:rPr>
        <w:t>Nel caso delle deliberazioni soggette a controllo eventuale la richiesta di controllo sospende l'esecutività delle stesse fino all'avvenuto esito del controllo.</w:t>
      </w:r>
    </w:p>
    <w:p w:rsidR="00B02C6C" w:rsidRPr="004A10D6" w:rsidRDefault="00B02C6C" w:rsidP="00DB3112">
      <w:pPr>
        <w:ind w:left="360" w:right="375"/>
        <w:rPr>
          <w:rFonts w:ascii="Arial" w:hAnsi="Arial" w:cs="Arial"/>
          <w:sz w:val="24"/>
          <w:szCs w:val="24"/>
        </w:rPr>
      </w:pPr>
      <w:r w:rsidRPr="004A10D6">
        <w:rPr>
          <w:rFonts w:ascii="Arial" w:hAnsi="Arial" w:cs="Arial"/>
          <w:sz w:val="24"/>
          <w:szCs w:val="24"/>
        </w:rPr>
        <w:t xml:space="preserve">Le deliberazioni non soggette a controllo necessario o non sottoposte a controllo eventuale diventano esecutive dopo </w:t>
      </w:r>
      <w:r w:rsidRPr="004A10D6">
        <w:rPr>
          <w:rFonts w:ascii="Arial" w:hAnsi="Arial" w:cs="Arial"/>
          <w:b/>
          <w:bCs/>
          <w:sz w:val="24"/>
          <w:szCs w:val="24"/>
        </w:rPr>
        <w:t>il giorno successivo alla compiuta pubblicazione</w:t>
      </w:r>
      <w:r w:rsidRPr="004A10D6">
        <w:rPr>
          <w:rFonts w:ascii="Arial" w:hAnsi="Arial" w:cs="Arial"/>
          <w:sz w:val="24"/>
          <w:szCs w:val="24"/>
        </w:rPr>
        <w:t>.</w:t>
      </w:r>
    </w:p>
    <w:p w:rsidR="00B02C6C" w:rsidRPr="004A10D6" w:rsidRDefault="00B02C6C" w:rsidP="00DB3112">
      <w:pPr>
        <w:ind w:left="360" w:right="375"/>
        <w:rPr>
          <w:rFonts w:ascii="Arial" w:hAnsi="Arial" w:cs="Arial"/>
          <w:sz w:val="24"/>
          <w:szCs w:val="24"/>
        </w:rPr>
      </w:pPr>
      <w:r w:rsidRPr="004A10D6">
        <w:rPr>
          <w:rFonts w:ascii="Arial" w:hAnsi="Arial" w:cs="Arial"/>
          <w:sz w:val="24"/>
          <w:szCs w:val="24"/>
        </w:rPr>
        <w:t>Nel caso di urgenza le deliberazioni del consiglio o della giunta possono essere dichiarate immediatamente eseguibili con il voto espresso dalla maggioranza dei componenti.</w:t>
      </w:r>
    </w:p>
    <w:p w:rsidR="00A22492" w:rsidRPr="004A10D6" w:rsidRDefault="00A22492" w:rsidP="00DB3112">
      <w:pPr>
        <w:ind w:left="360" w:right="49"/>
        <w:rPr>
          <w:rFonts w:ascii="Arial" w:hAnsi="Arial" w:cs="Arial"/>
          <w:sz w:val="24"/>
          <w:szCs w:val="24"/>
        </w:rPr>
      </w:pPr>
    </w:p>
    <w:p w:rsidR="00A22492" w:rsidRPr="004A10D6" w:rsidRDefault="00A22492" w:rsidP="00DB3112">
      <w:pPr>
        <w:ind w:left="360" w:right="49"/>
        <w:rPr>
          <w:rFonts w:ascii="Arial" w:hAnsi="Arial" w:cs="Arial"/>
          <w:sz w:val="24"/>
          <w:szCs w:val="24"/>
        </w:rPr>
      </w:pPr>
      <w:r w:rsidRPr="004A10D6">
        <w:rPr>
          <w:rFonts w:ascii="Arial" w:hAnsi="Arial" w:cs="Arial"/>
          <w:sz w:val="24"/>
          <w:szCs w:val="24"/>
        </w:rPr>
        <w:t>TESORERIA</w:t>
      </w:r>
    </w:p>
    <w:p w:rsidR="00952BFA" w:rsidRPr="004A10D6" w:rsidRDefault="00B02C6C" w:rsidP="00DB3112">
      <w:pPr>
        <w:ind w:left="360" w:right="49"/>
        <w:rPr>
          <w:rFonts w:ascii="Arial" w:hAnsi="Arial" w:cs="Arial"/>
          <w:sz w:val="24"/>
          <w:szCs w:val="24"/>
        </w:rPr>
      </w:pPr>
      <w:r w:rsidRPr="004A10D6">
        <w:rPr>
          <w:rFonts w:ascii="Arial" w:hAnsi="Arial" w:cs="Arial"/>
          <w:sz w:val="24"/>
          <w:szCs w:val="24"/>
        </w:rPr>
        <w:t>Il  servizio di tesoreria</w:t>
      </w:r>
      <w:r w:rsidR="00952BFA" w:rsidRPr="004A10D6">
        <w:rPr>
          <w:rFonts w:ascii="Arial" w:hAnsi="Arial" w:cs="Arial"/>
          <w:sz w:val="24"/>
          <w:szCs w:val="24"/>
        </w:rPr>
        <w:t xml:space="preserve"> è quel complesso di atti e operazioni mediante i quali i mezzi finanziari del comune sono raccolti, conservati e impiegati per i pagamenti.</w:t>
      </w:r>
    </w:p>
    <w:p w:rsidR="00B02C6C" w:rsidRPr="004A10D6" w:rsidRDefault="00952BFA" w:rsidP="00DB3112">
      <w:pPr>
        <w:ind w:left="360" w:right="49"/>
        <w:rPr>
          <w:rFonts w:ascii="Arial" w:hAnsi="Arial" w:cs="Arial"/>
          <w:sz w:val="24"/>
          <w:szCs w:val="24"/>
        </w:rPr>
      </w:pPr>
      <w:r w:rsidRPr="004A10D6">
        <w:rPr>
          <w:rFonts w:ascii="Arial" w:hAnsi="Arial" w:cs="Arial"/>
          <w:sz w:val="24"/>
          <w:szCs w:val="24"/>
        </w:rPr>
        <w:t>I</w:t>
      </w:r>
      <w:r w:rsidR="00B02C6C" w:rsidRPr="004A10D6">
        <w:rPr>
          <w:rFonts w:ascii="Arial" w:hAnsi="Arial" w:cs="Arial"/>
          <w:sz w:val="24"/>
          <w:szCs w:val="24"/>
        </w:rPr>
        <w:t>n base alle disposizioni del TUEL può esser affidato a :</w:t>
      </w:r>
    </w:p>
    <w:p w:rsidR="00B02C6C" w:rsidRPr="004A10D6" w:rsidRDefault="00B02C6C" w:rsidP="00DB3112">
      <w:pPr>
        <w:tabs>
          <w:tab w:val="left" w:pos="1470"/>
        </w:tabs>
        <w:suppressAutoHyphens/>
        <w:autoSpaceDE w:val="0"/>
        <w:autoSpaceDN/>
        <w:adjustRightInd/>
        <w:spacing w:after="0" w:line="240" w:lineRule="auto"/>
        <w:ind w:left="360" w:right="49"/>
        <w:rPr>
          <w:rFonts w:ascii="Arial" w:hAnsi="Arial" w:cs="Arial"/>
          <w:sz w:val="24"/>
          <w:szCs w:val="24"/>
        </w:rPr>
      </w:pPr>
      <w:r w:rsidRPr="004A10D6">
        <w:rPr>
          <w:rFonts w:ascii="Arial" w:hAnsi="Arial" w:cs="Arial"/>
          <w:sz w:val="24"/>
          <w:szCs w:val="24"/>
        </w:rPr>
        <w:t xml:space="preserve">per i comuni capoluoghi di provincia, le province, le città metropolitane, ad una banca autorizzata a svolgere l'attività </w:t>
      </w:r>
    </w:p>
    <w:p w:rsidR="00B02C6C" w:rsidRPr="004A10D6" w:rsidRDefault="00B02C6C" w:rsidP="00DB3112">
      <w:pPr>
        <w:tabs>
          <w:tab w:val="left" w:pos="1470"/>
        </w:tabs>
        <w:suppressAutoHyphens/>
        <w:autoSpaceDE w:val="0"/>
        <w:autoSpaceDN/>
        <w:adjustRightInd/>
        <w:spacing w:after="0" w:line="240" w:lineRule="auto"/>
        <w:ind w:left="360" w:right="49"/>
        <w:rPr>
          <w:rFonts w:ascii="Arial" w:hAnsi="Arial" w:cs="Arial"/>
          <w:sz w:val="24"/>
          <w:szCs w:val="24"/>
        </w:rPr>
      </w:pPr>
      <w:r w:rsidRPr="004A10D6">
        <w:rPr>
          <w:rFonts w:ascii="Arial" w:hAnsi="Arial" w:cs="Arial"/>
          <w:sz w:val="24"/>
          <w:szCs w:val="24"/>
        </w:rPr>
        <w:t xml:space="preserve">per i comuni non capoluoghi di provincia, le comunità montane e le unioni di comuni, anche a società per azioni regolarmente costituite con capitale sociale interamente versato non inferiore a </w:t>
      </w:r>
      <w:r w:rsidR="00952BFA" w:rsidRPr="004A10D6">
        <w:rPr>
          <w:rFonts w:ascii="Arial" w:hAnsi="Arial" w:cs="Arial"/>
          <w:sz w:val="24"/>
          <w:szCs w:val="24"/>
        </w:rPr>
        <w:t>e 500000</w:t>
      </w:r>
      <w:r w:rsidRPr="004A10D6">
        <w:rPr>
          <w:rFonts w:ascii="Arial" w:hAnsi="Arial" w:cs="Arial"/>
          <w:sz w:val="24"/>
          <w:szCs w:val="24"/>
        </w:rPr>
        <w:t xml:space="preserve"> </w:t>
      </w:r>
    </w:p>
    <w:p w:rsidR="00B02C6C" w:rsidRPr="004A10D6" w:rsidRDefault="00B02C6C" w:rsidP="00DB3112">
      <w:pPr>
        <w:tabs>
          <w:tab w:val="left" w:pos="1470"/>
        </w:tabs>
        <w:suppressAutoHyphens/>
        <w:autoSpaceDE w:val="0"/>
        <w:autoSpaceDN/>
        <w:adjustRightInd/>
        <w:spacing w:after="0" w:line="240" w:lineRule="auto"/>
        <w:ind w:left="360" w:right="49"/>
        <w:rPr>
          <w:rFonts w:ascii="Arial" w:hAnsi="Arial" w:cs="Arial"/>
          <w:sz w:val="24"/>
          <w:szCs w:val="24"/>
        </w:rPr>
      </w:pPr>
      <w:r w:rsidRPr="004A10D6">
        <w:rPr>
          <w:rFonts w:ascii="Arial" w:hAnsi="Arial" w:cs="Arial"/>
          <w:sz w:val="24"/>
          <w:szCs w:val="24"/>
        </w:rPr>
        <w:t>altri soggetti abilitati per legge.</w:t>
      </w:r>
    </w:p>
    <w:p w:rsidR="00B02C6C" w:rsidRPr="004A10D6" w:rsidRDefault="00B02C6C" w:rsidP="00DB3112">
      <w:pPr>
        <w:ind w:left="360" w:right="49"/>
        <w:rPr>
          <w:rFonts w:ascii="Arial" w:hAnsi="Arial" w:cs="Arial"/>
          <w:sz w:val="24"/>
          <w:szCs w:val="24"/>
        </w:rPr>
      </w:pPr>
      <w:r w:rsidRPr="004A10D6">
        <w:rPr>
          <w:rFonts w:ascii="Arial" w:hAnsi="Arial" w:cs="Arial"/>
          <w:sz w:val="24"/>
          <w:szCs w:val="24"/>
        </w:rPr>
        <w:t>L’affidamento al servizio di tesoreria avviene mediante procedura ad evidenza pubblica stabilita dal regolamento di contabilità dell’ente</w:t>
      </w:r>
      <w:r w:rsidR="00952BFA" w:rsidRPr="004A10D6">
        <w:rPr>
          <w:rFonts w:ascii="Arial" w:hAnsi="Arial" w:cs="Arial"/>
          <w:sz w:val="24"/>
          <w:szCs w:val="24"/>
        </w:rPr>
        <w:t>. Il rapporto tra ente e affidatario viene regolato attraverso convenzione deliberata dal CC, con eventuale possibilità di rinnovo.</w:t>
      </w:r>
      <w:r w:rsidRPr="004A10D6">
        <w:rPr>
          <w:rFonts w:ascii="Arial" w:hAnsi="Arial" w:cs="Arial"/>
          <w:sz w:val="24"/>
          <w:szCs w:val="24"/>
        </w:rPr>
        <w:t>. Il Testo unico prevede una responsabilità totale del tesoriere nell’esercizio delle sue funzioni , rispondendo con tutta la propria attività e con il suo patrimonio.</w:t>
      </w:r>
    </w:p>
    <w:p w:rsidR="00B02C6C" w:rsidRPr="004A10D6" w:rsidRDefault="00B02C6C" w:rsidP="00DB3112">
      <w:pPr>
        <w:tabs>
          <w:tab w:val="left" w:pos="720"/>
        </w:tabs>
        <w:suppressAutoHyphens/>
        <w:autoSpaceDE w:val="0"/>
        <w:autoSpaceDN/>
        <w:adjustRightInd/>
        <w:spacing w:after="0" w:line="240" w:lineRule="auto"/>
        <w:ind w:left="360" w:right="49"/>
        <w:rPr>
          <w:rFonts w:ascii="Arial" w:hAnsi="Arial" w:cs="Arial"/>
          <w:sz w:val="24"/>
          <w:szCs w:val="24"/>
        </w:rPr>
      </w:pPr>
      <w:r w:rsidRPr="004A10D6">
        <w:rPr>
          <w:rFonts w:ascii="Arial" w:hAnsi="Arial" w:cs="Arial"/>
          <w:sz w:val="24"/>
          <w:szCs w:val="24"/>
        </w:rPr>
        <w:t>Riscossione entrate: il tesoriere deve ogni volta rilasciare una quietanza per ogni somma incassata, numerata cronologicamente</w:t>
      </w:r>
    </w:p>
    <w:p w:rsidR="00B02C6C" w:rsidRPr="004A10D6" w:rsidRDefault="00B02C6C" w:rsidP="00DB3112">
      <w:pPr>
        <w:tabs>
          <w:tab w:val="left" w:pos="720"/>
        </w:tabs>
        <w:suppressAutoHyphens/>
        <w:autoSpaceDE w:val="0"/>
        <w:autoSpaceDN/>
        <w:adjustRightInd/>
        <w:spacing w:after="0" w:line="240" w:lineRule="auto"/>
        <w:ind w:left="360" w:right="49"/>
        <w:rPr>
          <w:rFonts w:ascii="Arial" w:hAnsi="Arial" w:cs="Arial"/>
          <w:sz w:val="24"/>
          <w:szCs w:val="24"/>
        </w:rPr>
      </w:pPr>
      <w:r w:rsidRPr="004A10D6">
        <w:rPr>
          <w:rFonts w:ascii="Arial" w:hAnsi="Arial" w:cs="Arial"/>
          <w:sz w:val="24"/>
          <w:szCs w:val="24"/>
        </w:rPr>
        <w:t xml:space="preserve">Pagamento delle spese:  il tesoriere verifica la presenza dei requisiti richiesti dalla legge. Per i mandati di pagamento in conto competenza dovrà verificare se essi sono stati emessi entro i limiti degli stanziamenti del bilancio. Per i mandati di pagamento in conto </w:t>
      </w:r>
      <w:r w:rsidRPr="004A10D6">
        <w:rPr>
          <w:rFonts w:ascii="Arial" w:hAnsi="Arial" w:cs="Arial"/>
          <w:sz w:val="24"/>
          <w:szCs w:val="24"/>
        </w:rPr>
        <w:lastRenderedPageBreak/>
        <w:t>residui, il tesoriere dovrà cercarne il riscontro nell’elenco dei residui. I mandati non ancora estinti al 31 dicembre, sono eseguiti dal tesoriere mediante conversione in assegni o altri mezzi.</w:t>
      </w:r>
    </w:p>
    <w:p w:rsidR="00B02C6C" w:rsidRPr="004A10D6" w:rsidRDefault="00B02C6C" w:rsidP="00DB3112">
      <w:pPr>
        <w:tabs>
          <w:tab w:val="left" w:pos="720"/>
        </w:tabs>
        <w:suppressAutoHyphens/>
        <w:autoSpaceDE w:val="0"/>
        <w:autoSpaceDN/>
        <w:adjustRightInd/>
        <w:spacing w:after="0" w:line="240" w:lineRule="auto"/>
        <w:ind w:left="360" w:right="49"/>
        <w:rPr>
          <w:rFonts w:ascii="Arial" w:hAnsi="Arial" w:cs="Arial"/>
          <w:sz w:val="24"/>
          <w:szCs w:val="24"/>
        </w:rPr>
      </w:pPr>
      <w:r w:rsidRPr="004A10D6">
        <w:rPr>
          <w:rFonts w:ascii="Arial" w:hAnsi="Arial" w:cs="Arial"/>
          <w:sz w:val="24"/>
          <w:szCs w:val="24"/>
        </w:rPr>
        <w:t>Il Tesoriere è inoltre custode di titoli e valori del comune e ne ha la gestione</w:t>
      </w:r>
    </w:p>
    <w:p w:rsidR="00B02C6C" w:rsidRPr="004A10D6" w:rsidRDefault="00B02C6C" w:rsidP="00DB3112">
      <w:pPr>
        <w:tabs>
          <w:tab w:val="left" w:pos="720"/>
        </w:tabs>
        <w:suppressAutoHyphens/>
        <w:autoSpaceDE w:val="0"/>
        <w:autoSpaceDN/>
        <w:adjustRightInd/>
        <w:spacing w:after="0" w:line="240" w:lineRule="auto"/>
        <w:ind w:left="360" w:right="49"/>
        <w:rPr>
          <w:rFonts w:ascii="Arial" w:hAnsi="Arial" w:cs="Arial"/>
          <w:sz w:val="24"/>
          <w:szCs w:val="24"/>
        </w:rPr>
      </w:pPr>
      <w:r w:rsidRPr="004A10D6">
        <w:rPr>
          <w:rFonts w:ascii="Arial" w:hAnsi="Arial" w:cs="Arial"/>
          <w:sz w:val="24"/>
          <w:szCs w:val="24"/>
        </w:rPr>
        <w:t>Trasmette periodicamente alla regione i dati inerenti alla gestione di cassa  e gli elementi revisionali</w:t>
      </w:r>
    </w:p>
    <w:p w:rsidR="00B02C6C" w:rsidRPr="004A10D6" w:rsidRDefault="00B02C6C" w:rsidP="00DB3112">
      <w:pPr>
        <w:tabs>
          <w:tab w:val="left" w:pos="720"/>
        </w:tabs>
        <w:suppressAutoHyphens/>
        <w:autoSpaceDE w:val="0"/>
        <w:autoSpaceDN/>
        <w:adjustRightInd/>
        <w:spacing w:after="0" w:line="240" w:lineRule="auto"/>
        <w:ind w:left="360" w:right="49"/>
        <w:rPr>
          <w:rFonts w:ascii="Arial" w:hAnsi="Arial" w:cs="Arial"/>
          <w:sz w:val="24"/>
          <w:szCs w:val="24"/>
        </w:rPr>
      </w:pPr>
      <w:r w:rsidRPr="004A10D6">
        <w:rPr>
          <w:rFonts w:ascii="Arial" w:hAnsi="Arial" w:cs="Arial"/>
          <w:sz w:val="24"/>
          <w:szCs w:val="24"/>
        </w:rPr>
        <w:t>Aggiorna il giornale di cassa</w:t>
      </w:r>
    </w:p>
    <w:p w:rsidR="00B02C6C" w:rsidRPr="004A10D6" w:rsidRDefault="00B02C6C" w:rsidP="00DB3112">
      <w:pPr>
        <w:tabs>
          <w:tab w:val="left" w:pos="720"/>
        </w:tabs>
        <w:suppressAutoHyphens/>
        <w:autoSpaceDE w:val="0"/>
        <w:autoSpaceDN/>
        <w:adjustRightInd/>
        <w:spacing w:after="0" w:line="240" w:lineRule="auto"/>
        <w:ind w:left="360" w:right="49"/>
        <w:rPr>
          <w:rFonts w:ascii="Arial" w:hAnsi="Arial" w:cs="Arial"/>
          <w:sz w:val="24"/>
          <w:szCs w:val="24"/>
        </w:rPr>
      </w:pPr>
      <w:r w:rsidRPr="004A10D6">
        <w:rPr>
          <w:rFonts w:ascii="Arial" w:hAnsi="Arial" w:cs="Arial"/>
          <w:sz w:val="24"/>
          <w:szCs w:val="24"/>
        </w:rPr>
        <w:t>Conserva le rilevazione periodiche di cassa previste dalla legge</w:t>
      </w:r>
    </w:p>
    <w:p w:rsidR="00B02C6C" w:rsidRPr="004A10D6" w:rsidRDefault="00B02C6C" w:rsidP="00DB3112">
      <w:pPr>
        <w:tabs>
          <w:tab w:val="left" w:pos="720"/>
        </w:tabs>
        <w:suppressAutoHyphens/>
        <w:autoSpaceDE w:val="0"/>
        <w:autoSpaceDN/>
        <w:adjustRightInd/>
        <w:spacing w:after="0" w:line="240" w:lineRule="auto"/>
        <w:ind w:left="360" w:right="49"/>
        <w:rPr>
          <w:rFonts w:ascii="Arial" w:hAnsi="Arial" w:cs="Arial"/>
          <w:sz w:val="24"/>
          <w:szCs w:val="24"/>
        </w:rPr>
      </w:pPr>
      <w:r w:rsidRPr="004A10D6">
        <w:rPr>
          <w:rFonts w:ascii="Arial" w:hAnsi="Arial" w:cs="Arial"/>
          <w:sz w:val="24"/>
          <w:szCs w:val="24"/>
        </w:rPr>
        <w:t>Conserva i verbali delle verifiche di cassa</w:t>
      </w:r>
    </w:p>
    <w:p w:rsidR="00952BFA" w:rsidRPr="004A10D6" w:rsidRDefault="00952BFA" w:rsidP="00DB3112">
      <w:pPr>
        <w:tabs>
          <w:tab w:val="left" w:pos="720"/>
        </w:tabs>
        <w:suppressAutoHyphens/>
        <w:autoSpaceDE w:val="0"/>
        <w:autoSpaceDN/>
        <w:adjustRightInd/>
        <w:spacing w:after="0" w:line="240" w:lineRule="auto"/>
        <w:ind w:left="360" w:right="49"/>
        <w:rPr>
          <w:rFonts w:ascii="Arial" w:hAnsi="Arial" w:cs="Arial"/>
          <w:sz w:val="24"/>
          <w:szCs w:val="24"/>
        </w:rPr>
      </w:pPr>
      <w:r w:rsidRPr="004A10D6">
        <w:rPr>
          <w:rFonts w:ascii="Arial" w:hAnsi="Arial" w:cs="Arial"/>
          <w:sz w:val="24"/>
          <w:szCs w:val="24"/>
        </w:rPr>
        <w:t>Anticipazioni di tesoreria: su richiesta del comune , con delibera di Giunta, il tesoriere può concedere anticipazioni di tesoreria nel limite del 3/12 delle entrate accer</w:t>
      </w:r>
      <w:r w:rsidR="00C661E9" w:rsidRPr="004A10D6">
        <w:rPr>
          <w:rFonts w:ascii="Arial" w:hAnsi="Arial" w:cs="Arial"/>
          <w:sz w:val="24"/>
          <w:szCs w:val="24"/>
        </w:rPr>
        <w:t>t</w:t>
      </w:r>
      <w:r w:rsidRPr="004A10D6">
        <w:rPr>
          <w:rFonts w:ascii="Arial" w:hAnsi="Arial" w:cs="Arial"/>
          <w:sz w:val="24"/>
          <w:szCs w:val="24"/>
        </w:rPr>
        <w:t>ate nel penultimo anno</w:t>
      </w:r>
    </w:p>
    <w:p w:rsidR="00B02C6C" w:rsidRPr="004A10D6" w:rsidRDefault="00B02C6C" w:rsidP="00DB3112">
      <w:pPr>
        <w:tabs>
          <w:tab w:val="left" w:pos="720"/>
        </w:tabs>
        <w:suppressAutoHyphens/>
        <w:autoSpaceDE w:val="0"/>
        <w:autoSpaceDN/>
        <w:adjustRightInd/>
        <w:spacing w:after="0" w:line="240" w:lineRule="auto"/>
        <w:ind w:left="360" w:right="49"/>
        <w:rPr>
          <w:rFonts w:ascii="Arial" w:hAnsi="Arial" w:cs="Arial"/>
          <w:sz w:val="24"/>
          <w:szCs w:val="24"/>
        </w:rPr>
      </w:pPr>
      <w:r w:rsidRPr="004A10D6">
        <w:rPr>
          <w:rFonts w:ascii="Arial" w:hAnsi="Arial" w:cs="Arial"/>
          <w:sz w:val="24"/>
          <w:szCs w:val="24"/>
        </w:rPr>
        <w:t xml:space="preserve">Rende il conto della gestione di cassa la comune nel termine di </w:t>
      </w:r>
      <w:r w:rsidR="009A68B6" w:rsidRPr="004A10D6">
        <w:rPr>
          <w:rFonts w:ascii="Arial" w:hAnsi="Arial" w:cs="Arial"/>
          <w:sz w:val="24"/>
          <w:szCs w:val="24"/>
        </w:rPr>
        <w:t>30 g</w:t>
      </w:r>
      <w:r w:rsidRPr="004A10D6">
        <w:rPr>
          <w:rFonts w:ascii="Arial" w:hAnsi="Arial" w:cs="Arial"/>
          <w:sz w:val="24"/>
          <w:szCs w:val="24"/>
        </w:rPr>
        <w:t xml:space="preserve"> dalla chiusura dell’esercizio finanziario, il quale la trasmetterà alla corte dei conti entro </w:t>
      </w:r>
      <w:r w:rsidR="009A68B6" w:rsidRPr="004A10D6">
        <w:rPr>
          <w:rFonts w:ascii="Arial" w:hAnsi="Arial" w:cs="Arial"/>
          <w:sz w:val="24"/>
          <w:szCs w:val="24"/>
        </w:rPr>
        <w:t>60 g</w:t>
      </w:r>
      <w:r w:rsidRPr="004A10D6">
        <w:rPr>
          <w:rFonts w:ascii="Arial" w:hAnsi="Arial" w:cs="Arial"/>
          <w:sz w:val="24"/>
          <w:szCs w:val="24"/>
        </w:rPr>
        <w:t xml:space="preserve"> dall’approvazione del rendiconto- L’operato del tesoriere viene controllato attraverso verifiche di cassa che possono essere:</w:t>
      </w:r>
    </w:p>
    <w:p w:rsidR="00B02C6C" w:rsidRPr="004A10D6" w:rsidRDefault="00B02C6C" w:rsidP="00DB3112">
      <w:pPr>
        <w:tabs>
          <w:tab w:val="left" w:pos="720"/>
        </w:tabs>
        <w:suppressAutoHyphens/>
        <w:autoSpaceDE w:val="0"/>
        <w:autoSpaceDN/>
        <w:adjustRightInd/>
        <w:spacing w:after="0" w:line="240" w:lineRule="auto"/>
        <w:ind w:left="360" w:right="49"/>
        <w:rPr>
          <w:rFonts w:ascii="Arial" w:hAnsi="Arial" w:cs="Arial"/>
          <w:sz w:val="24"/>
          <w:szCs w:val="24"/>
        </w:rPr>
      </w:pPr>
      <w:r w:rsidRPr="004A10D6">
        <w:rPr>
          <w:rFonts w:ascii="Arial" w:hAnsi="Arial" w:cs="Arial"/>
          <w:sz w:val="24"/>
          <w:szCs w:val="24"/>
        </w:rPr>
        <w:t>Ordinarie: trimestrali eseguite dall’organo i revisione con le quali si verifica la gestione del servizio di tesoreria, l’omissione di queste verifiche comporta una diretta responsabilità dell’amministrazione e dell’organo di revisione.</w:t>
      </w:r>
    </w:p>
    <w:p w:rsidR="00A22492" w:rsidRPr="004A10D6" w:rsidRDefault="00B02C6C" w:rsidP="00DB3112">
      <w:pPr>
        <w:tabs>
          <w:tab w:val="left" w:pos="720"/>
        </w:tabs>
        <w:suppressAutoHyphens/>
        <w:autoSpaceDE w:val="0"/>
        <w:autoSpaceDN/>
        <w:adjustRightInd/>
        <w:spacing w:after="0" w:line="240" w:lineRule="auto"/>
        <w:ind w:left="360" w:right="49"/>
        <w:rPr>
          <w:rFonts w:ascii="Arial" w:hAnsi="Arial" w:cs="Arial"/>
          <w:sz w:val="24"/>
          <w:szCs w:val="24"/>
        </w:rPr>
      </w:pPr>
      <w:r w:rsidRPr="004A10D6">
        <w:rPr>
          <w:rFonts w:ascii="Arial" w:hAnsi="Arial" w:cs="Arial"/>
          <w:sz w:val="24"/>
          <w:szCs w:val="24"/>
        </w:rPr>
        <w:t xml:space="preserve">Straordinarie: quando viene mutata la persona del sindaco; a questa verifica intervengono tutti glia amministratori precedenti e quelli nuovi, il segretario, il responsabile del servizio finanziario, e l’organo di revisione del comune. </w:t>
      </w:r>
    </w:p>
    <w:p w:rsidR="00A22492" w:rsidRPr="004A10D6" w:rsidRDefault="00A22492" w:rsidP="00DB3112">
      <w:pPr>
        <w:tabs>
          <w:tab w:val="left" w:pos="720"/>
        </w:tabs>
        <w:suppressAutoHyphens/>
        <w:autoSpaceDE w:val="0"/>
        <w:autoSpaceDN/>
        <w:adjustRightInd/>
        <w:spacing w:after="0" w:line="240" w:lineRule="auto"/>
        <w:ind w:left="360" w:right="49"/>
        <w:rPr>
          <w:rFonts w:ascii="Arial" w:hAnsi="Arial" w:cs="Arial"/>
          <w:sz w:val="24"/>
          <w:szCs w:val="24"/>
        </w:rPr>
      </w:pPr>
    </w:p>
    <w:p w:rsidR="00A22492" w:rsidRPr="004A10D6" w:rsidRDefault="00A22492" w:rsidP="00DB3112">
      <w:pPr>
        <w:tabs>
          <w:tab w:val="left" w:pos="720"/>
        </w:tabs>
        <w:suppressAutoHyphens/>
        <w:autoSpaceDE w:val="0"/>
        <w:autoSpaceDN/>
        <w:adjustRightInd/>
        <w:spacing w:after="0" w:line="240" w:lineRule="auto"/>
        <w:ind w:left="360" w:right="49"/>
        <w:rPr>
          <w:rFonts w:ascii="Arial" w:hAnsi="Arial" w:cs="Arial"/>
          <w:sz w:val="24"/>
          <w:szCs w:val="24"/>
        </w:rPr>
      </w:pPr>
      <w:r w:rsidRPr="004A10D6">
        <w:rPr>
          <w:rFonts w:ascii="Arial" w:hAnsi="Arial" w:cs="Arial"/>
          <w:sz w:val="24"/>
          <w:szCs w:val="24"/>
        </w:rPr>
        <w:t>RENDICONTO DI GESTIONE</w:t>
      </w:r>
    </w:p>
    <w:p w:rsidR="009A68B6" w:rsidRPr="004A10D6" w:rsidRDefault="00B02C6C" w:rsidP="00DB3112">
      <w:pPr>
        <w:tabs>
          <w:tab w:val="left" w:pos="720"/>
        </w:tabs>
        <w:suppressAutoHyphens/>
        <w:autoSpaceDE w:val="0"/>
        <w:autoSpaceDN/>
        <w:adjustRightInd/>
        <w:spacing w:after="0" w:line="240" w:lineRule="auto"/>
        <w:ind w:left="360" w:right="49"/>
        <w:rPr>
          <w:rFonts w:ascii="Arial" w:hAnsi="Arial" w:cs="Arial"/>
          <w:sz w:val="24"/>
          <w:szCs w:val="24"/>
        </w:rPr>
      </w:pPr>
      <w:r w:rsidRPr="004A10D6">
        <w:rPr>
          <w:rFonts w:ascii="Arial" w:hAnsi="Arial" w:cs="Arial"/>
          <w:sz w:val="24"/>
          <w:szCs w:val="24"/>
        </w:rPr>
        <w:t xml:space="preserve">Il Rendiconto di Gestione e' lo strumento di Sintesi per la dimostrazione dei risultati di Gestione: attraverso opportune analisi, documenta i risultati ottenuti in termini di efficienza e di proficuità dell'intervento. Ha una duplice funzione: dare la dimostrazione riassuntiva delle operazioni effettuate nell'ambito della gestione e dei risultati conseguiti, nonché consentire il controllo da parte degli organi che hanno conferito il potere di gestione (Consiglio e Giunta). </w:t>
      </w:r>
    </w:p>
    <w:p w:rsidR="009A68B6" w:rsidRPr="004A10D6" w:rsidRDefault="009A68B6" w:rsidP="00DB3112">
      <w:pPr>
        <w:ind w:left="360"/>
        <w:rPr>
          <w:rFonts w:ascii="Arial" w:hAnsi="Arial" w:cs="Arial"/>
          <w:sz w:val="24"/>
          <w:szCs w:val="24"/>
        </w:rPr>
      </w:pPr>
      <w:r w:rsidRPr="004A10D6">
        <w:rPr>
          <w:rFonts w:ascii="Arial" w:hAnsi="Arial" w:cs="Arial"/>
          <w:sz w:val="24"/>
          <w:szCs w:val="24"/>
        </w:rPr>
        <w:t>L’organo politico è messo nelle condizioni di esercitare il controllo sull’operato dei responsabili dei servizi e sugli organi di controllo.</w:t>
      </w:r>
    </w:p>
    <w:p w:rsidR="00B02C6C" w:rsidRPr="004A10D6" w:rsidRDefault="00B02C6C" w:rsidP="00DB3112">
      <w:pPr>
        <w:ind w:left="360"/>
        <w:rPr>
          <w:rFonts w:ascii="Arial" w:hAnsi="Arial" w:cs="Arial"/>
          <w:sz w:val="24"/>
          <w:szCs w:val="24"/>
        </w:rPr>
      </w:pPr>
      <w:r w:rsidRPr="004A10D6">
        <w:rPr>
          <w:rFonts w:ascii="Arial" w:hAnsi="Arial" w:cs="Arial"/>
          <w:sz w:val="24"/>
          <w:szCs w:val="24"/>
        </w:rPr>
        <w:t xml:space="preserve">E' l'ultima fase di un più ampio processo di attività presidiato dal Sistema Contabile dell'Ente. Nell'impresa privata la contabilità assolve principalmente alla funzione di rappresentazione dei risultati prodotti dalla gestione; nel Comune la funzione della contabilità ha compiti molto più vasti.  </w:t>
      </w:r>
    </w:p>
    <w:p w:rsidR="00B02C6C" w:rsidRPr="004A10D6" w:rsidRDefault="00B02C6C" w:rsidP="00DB3112">
      <w:pPr>
        <w:ind w:left="360"/>
        <w:rPr>
          <w:rFonts w:ascii="Arial" w:hAnsi="Arial" w:cs="Arial"/>
          <w:sz w:val="24"/>
          <w:szCs w:val="24"/>
        </w:rPr>
      </w:pPr>
      <w:r w:rsidRPr="004A10D6">
        <w:rPr>
          <w:rFonts w:ascii="Arial" w:hAnsi="Arial" w:cs="Arial"/>
          <w:sz w:val="24"/>
          <w:szCs w:val="24"/>
        </w:rPr>
        <w:t>L'insieme degli strumenti contabili previsti dall'ordinamento per cogliere la peculiarita' della rappresentazione dei risultati</w:t>
      </w:r>
      <w:r w:rsidR="009A68B6" w:rsidRPr="004A10D6">
        <w:rPr>
          <w:rFonts w:ascii="Arial" w:hAnsi="Arial" w:cs="Arial"/>
          <w:sz w:val="24"/>
          <w:szCs w:val="24"/>
        </w:rPr>
        <w:t xml:space="preserve"> d</w:t>
      </w:r>
      <w:r w:rsidR="00C661E9" w:rsidRPr="004A10D6">
        <w:rPr>
          <w:rFonts w:ascii="Arial" w:hAnsi="Arial" w:cs="Arial"/>
          <w:sz w:val="24"/>
          <w:szCs w:val="24"/>
        </w:rPr>
        <w:t>e</w:t>
      </w:r>
      <w:r w:rsidR="009A68B6" w:rsidRPr="004A10D6">
        <w:rPr>
          <w:rFonts w:ascii="Arial" w:hAnsi="Arial" w:cs="Arial"/>
          <w:sz w:val="24"/>
          <w:szCs w:val="24"/>
        </w:rPr>
        <w:t>ve esser approvato entro il 30 aprile dell’anno successivo a cui si riferisce ed</w:t>
      </w:r>
      <w:r w:rsidRPr="004A10D6">
        <w:rPr>
          <w:rFonts w:ascii="Arial" w:hAnsi="Arial" w:cs="Arial"/>
          <w:sz w:val="24"/>
          <w:szCs w:val="24"/>
        </w:rPr>
        <w:t xml:space="preserve"> e' composto da: </w:t>
      </w:r>
    </w:p>
    <w:p w:rsidR="00B02C6C" w:rsidRPr="004A10D6" w:rsidRDefault="00B02C6C" w:rsidP="00DB3112">
      <w:pPr>
        <w:tabs>
          <w:tab w:val="left" w:pos="720"/>
        </w:tabs>
        <w:suppressAutoHyphens/>
        <w:autoSpaceDE w:val="0"/>
        <w:autoSpaceDN/>
        <w:adjustRightInd/>
        <w:spacing w:after="0" w:line="240" w:lineRule="auto"/>
        <w:ind w:left="360"/>
        <w:rPr>
          <w:rFonts w:ascii="Arial" w:hAnsi="Arial" w:cs="Arial"/>
          <w:sz w:val="24"/>
          <w:szCs w:val="24"/>
        </w:rPr>
      </w:pPr>
      <w:r w:rsidRPr="004A10D6">
        <w:rPr>
          <w:rFonts w:ascii="Arial" w:hAnsi="Arial" w:cs="Arial"/>
          <w:sz w:val="24"/>
          <w:szCs w:val="24"/>
        </w:rPr>
        <w:t xml:space="preserve">Conto di Bilancio (ex Consuntivo) </w:t>
      </w:r>
    </w:p>
    <w:p w:rsidR="00B02C6C" w:rsidRPr="004A10D6" w:rsidRDefault="00B02C6C" w:rsidP="00DB3112">
      <w:pPr>
        <w:tabs>
          <w:tab w:val="left" w:pos="720"/>
        </w:tabs>
        <w:suppressAutoHyphens/>
        <w:autoSpaceDE w:val="0"/>
        <w:autoSpaceDN/>
        <w:adjustRightInd/>
        <w:spacing w:after="0" w:line="240" w:lineRule="auto"/>
        <w:ind w:left="360"/>
        <w:rPr>
          <w:rFonts w:ascii="Arial" w:hAnsi="Arial" w:cs="Arial"/>
          <w:sz w:val="24"/>
          <w:szCs w:val="24"/>
        </w:rPr>
      </w:pPr>
      <w:r w:rsidRPr="004A10D6">
        <w:rPr>
          <w:rFonts w:ascii="Arial" w:hAnsi="Arial" w:cs="Arial"/>
          <w:sz w:val="24"/>
          <w:szCs w:val="24"/>
        </w:rPr>
        <w:t xml:space="preserve">Conto Economico </w:t>
      </w:r>
    </w:p>
    <w:p w:rsidR="00B02C6C" w:rsidRPr="004A10D6" w:rsidRDefault="00B02C6C" w:rsidP="00DB3112">
      <w:pPr>
        <w:tabs>
          <w:tab w:val="left" w:pos="720"/>
        </w:tabs>
        <w:suppressAutoHyphens/>
        <w:autoSpaceDE w:val="0"/>
        <w:autoSpaceDN/>
        <w:adjustRightInd/>
        <w:spacing w:after="0" w:line="240" w:lineRule="auto"/>
        <w:ind w:left="360"/>
        <w:rPr>
          <w:rFonts w:ascii="Arial" w:hAnsi="Arial" w:cs="Arial"/>
          <w:sz w:val="24"/>
          <w:szCs w:val="24"/>
        </w:rPr>
      </w:pPr>
      <w:r w:rsidRPr="004A10D6">
        <w:rPr>
          <w:rFonts w:ascii="Arial" w:hAnsi="Arial" w:cs="Arial"/>
          <w:sz w:val="24"/>
          <w:szCs w:val="24"/>
        </w:rPr>
        <w:t xml:space="preserve">Conto del Patrimonio </w:t>
      </w:r>
    </w:p>
    <w:p w:rsidR="00B02C6C" w:rsidRPr="004A10D6" w:rsidRDefault="00B02C6C" w:rsidP="00DB3112">
      <w:pPr>
        <w:tabs>
          <w:tab w:val="left" w:pos="720"/>
        </w:tabs>
        <w:ind w:left="360"/>
        <w:rPr>
          <w:rFonts w:ascii="Arial" w:hAnsi="Arial" w:cs="Arial"/>
          <w:sz w:val="24"/>
          <w:szCs w:val="24"/>
        </w:rPr>
      </w:pPr>
    </w:p>
    <w:p w:rsidR="009A68B6" w:rsidRPr="004A10D6" w:rsidRDefault="00B02C6C" w:rsidP="00DB3112">
      <w:pPr>
        <w:ind w:left="360" w:right="49"/>
        <w:rPr>
          <w:rFonts w:ascii="Arial" w:hAnsi="Arial" w:cs="Arial"/>
          <w:b/>
          <w:bCs/>
          <w:sz w:val="24"/>
          <w:szCs w:val="24"/>
        </w:rPr>
      </w:pPr>
      <w:r w:rsidRPr="004A10D6">
        <w:rPr>
          <w:rFonts w:ascii="Arial" w:hAnsi="Arial" w:cs="Arial"/>
          <w:b/>
          <w:bCs/>
          <w:sz w:val="24"/>
          <w:szCs w:val="24"/>
          <w:u w:val="single"/>
        </w:rPr>
        <w:t>CONTO DI BILANCIO (ex Consuntivo</w:t>
      </w:r>
      <w:r w:rsidRPr="004A10D6">
        <w:rPr>
          <w:rFonts w:ascii="Arial" w:hAnsi="Arial" w:cs="Arial"/>
          <w:b/>
          <w:bCs/>
          <w:sz w:val="24"/>
          <w:szCs w:val="24"/>
        </w:rPr>
        <w:t xml:space="preserve">):entro 30 aprile </w:t>
      </w:r>
      <w:r w:rsidRPr="004A10D6">
        <w:rPr>
          <w:rFonts w:ascii="Arial" w:hAnsi="Arial" w:cs="Arial"/>
          <w:sz w:val="24"/>
          <w:szCs w:val="24"/>
        </w:rPr>
        <w:br/>
        <w:t xml:space="preserve">Il Conto del Bilancio dimostra i risultati finali della gestione autorizzatoria contenuta nel bilancio annuale rispetto alle previsioni. Per ciascuna risorsa dell'Entrata e per ciascun intervento della Spesa, nonché per ciascun capitolo dei servizi per conto di terzi, il conto di bilancio comprende, distintamente per Residui e Competenza: per l'Entrata le somme accertate, con distinzione della parte riscossa e di quella ancora da riscuotere; per la Spesa le somme impegnate, con distinzione della parte pagata e di quella ancora da pagare. Il Conto di Bilancio si conclude con la dimostrazione del </w:t>
      </w:r>
      <w:r w:rsidRPr="004A10D6">
        <w:rPr>
          <w:rFonts w:ascii="Arial" w:hAnsi="Arial" w:cs="Arial"/>
          <w:b/>
          <w:bCs/>
          <w:sz w:val="24"/>
          <w:szCs w:val="24"/>
        </w:rPr>
        <w:t xml:space="preserve">Risultato Contabile di gestione </w:t>
      </w:r>
      <w:r w:rsidR="009A68B6" w:rsidRPr="004A10D6">
        <w:rPr>
          <w:rFonts w:ascii="Arial" w:hAnsi="Arial" w:cs="Arial"/>
          <w:bCs/>
          <w:sz w:val="24"/>
          <w:szCs w:val="24"/>
        </w:rPr>
        <w:t xml:space="preserve"> (è pari alla differenza tra entrate accertate e spese impegnate nel corso dell’esercizio</w:t>
      </w:r>
      <w:r w:rsidR="009A68B6" w:rsidRPr="004A10D6">
        <w:rPr>
          <w:rFonts w:ascii="Arial" w:hAnsi="Arial" w:cs="Arial"/>
          <w:b/>
          <w:bCs/>
          <w:sz w:val="24"/>
          <w:szCs w:val="24"/>
        </w:rPr>
        <w:t>)</w:t>
      </w:r>
      <w:r w:rsidRPr="004A10D6">
        <w:rPr>
          <w:rFonts w:ascii="Arial" w:hAnsi="Arial" w:cs="Arial"/>
          <w:b/>
          <w:bCs/>
          <w:sz w:val="24"/>
          <w:szCs w:val="24"/>
        </w:rPr>
        <w:t>e con quello Contabile di Amministrazione</w:t>
      </w:r>
      <w:r w:rsidRPr="004A10D6">
        <w:rPr>
          <w:rFonts w:ascii="Arial" w:hAnsi="Arial" w:cs="Arial"/>
          <w:bCs/>
          <w:sz w:val="24"/>
          <w:szCs w:val="24"/>
        </w:rPr>
        <w:t>,</w:t>
      </w:r>
      <w:r w:rsidR="009A68B6" w:rsidRPr="004A10D6">
        <w:rPr>
          <w:rFonts w:ascii="Arial" w:hAnsi="Arial" w:cs="Arial"/>
          <w:bCs/>
          <w:sz w:val="24"/>
          <w:szCs w:val="24"/>
        </w:rPr>
        <w:t>( pari al fondo di cassa esistente alla chiusura</w:t>
      </w:r>
      <w:r w:rsidR="00C661E9" w:rsidRPr="004A10D6">
        <w:rPr>
          <w:rFonts w:ascii="Arial" w:hAnsi="Arial" w:cs="Arial"/>
          <w:bCs/>
          <w:sz w:val="24"/>
          <w:szCs w:val="24"/>
        </w:rPr>
        <w:t xml:space="preserve"> </w:t>
      </w:r>
      <w:r w:rsidR="009A68B6" w:rsidRPr="004A10D6">
        <w:rPr>
          <w:rFonts w:ascii="Arial" w:hAnsi="Arial" w:cs="Arial"/>
          <w:bCs/>
          <w:sz w:val="24"/>
          <w:szCs w:val="24"/>
        </w:rPr>
        <w:t>dell’esercizio aumentato dei residui attivi e diminuito dei residui passivi)</w:t>
      </w:r>
      <w:r w:rsidRPr="004A10D6">
        <w:rPr>
          <w:rFonts w:ascii="Arial" w:hAnsi="Arial" w:cs="Arial"/>
          <w:b/>
          <w:bCs/>
          <w:sz w:val="24"/>
          <w:szCs w:val="24"/>
        </w:rPr>
        <w:t xml:space="preserve"> </w:t>
      </w:r>
      <w:r w:rsidRPr="004A10D6">
        <w:rPr>
          <w:rFonts w:ascii="Arial" w:hAnsi="Arial" w:cs="Arial"/>
          <w:bCs/>
          <w:sz w:val="24"/>
          <w:szCs w:val="24"/>
        </w:rPr>
        <w:t>in termini di Avanzo, Pareggio o Disavanzo</w:t>
      </w:r>
      <w:r w:rsidRPr="004A10D6">
        <w:rPr>
          <w:rFonts w:ascii="Arial" w:hAnsi="Arial" w:cs="Arial"/>
          <w:b/>
          <w:bCs/>
          <w:sz w:val="24"/>
          <w:szCs w:val="24"/>
        </w:rPr>
        <w:t xml:space="preserve">. </w:t>
      </w:r>
    </w:p>
    <w:p w:rsidR="009A68B6" w:rsidRPr="004A10D6" w:rsidRDefault="009A68B6" w:rsidP="00DB3112">
      <w:pPr>
        <w:ind w:left="360" w:right="49"/>
        <w:rPr>
          <w:rFonts w:ascii="Arial" w:hAnsi="Arial" w:cs="Arial"/>
          <w:b/>
          <w:bCs/>
          <w:sz w:val="24"/>
          <w:szCs w:val="24"/>
        </w:rPr>
      </w:pPr>
      <w:r w:rsidRPr="004A10D6">
        <w:rPr>
          <w:rFonts w:ascii="Arial" w:hAnsi="Arial" w:cs="Arial"/>
          <w:sz w:val="24"/>
          <w:szCs w:val="24"/>
        </w:rPr>
        <w:t>Per le entrate distingue tra somme accertate e riscosse da quelle ancora da riscuotere e per le spese, in somme impegnate e pagate e quelle ancora da pagare</w:t>
      </w:r>
    </w:p>
    <w:p w:rsidR="009A68B6" w:rsidRPr="004A10D6" w:rsidRDefault="009A68B6" w:rsidP="00DB3112">
      <w:pPr>
        <w:ind w:left="360" w:right="49"/>
        <w:rPr>
          <w:rFonts w:ascii="Arial" w:hAnsi="Arial" w:cs="Arial"/>
          <w:sz w:val="24"/>
          <w:szCs w:val="24"/>
        </w:rPr>
      </w:pPr>
      <w:r w:rsidRPr="004A10D6">
        <w:rPr>
          <w:rFonts w:ascii="Arial" w:hAnsi="Arial" w:cs="Arial"/>
          <w:sz w:val="24"/>
          <w:szCs w:val="24"/>
        </w:rPr>
        <w:t>D</w:t>
      </w:r>
      <w:r w:rsidR="00B02C6C" w:rsidRPr="004A10D6">
        <w:rPr>
          <w:rFonts w:ascii="Arial" w:hAnsi="Arial" w:cs="Arial"/>
          <w:sz w:val="24"/>
          <w:szCs w:val="24"/>
        </w:rPr>
        <w:t xml:space="preserve">imostra se le previsioni del bilancio annuale sono state realizzate o meno. In questo documento sono evidenziate le entrate a accertate e le spese impegnate rispetto alla previsione del bilancio annuale, le riscossioni e i pagamenti, le somme residue, il fondo di cassa finale, aumentato dai residui attivi e diminuito da quelli passivi dà il risultato di amministrazione. </w:t>
      </w:r>
    </w:p>
    <w:p w:rsidR="00B02C6C" w:rsidRPr="004A10D6" w:rsidRDefault="009A68B6" w:rsidP="00DB3112">
      <w:pPr>
        <w:ind w:left="360" w:right="49"/>
        <w:rPr>
          <w:rFonts w:ascii="Arial" w:hAnsi="Arial" w:cs="Arial"/>
          <w:sz w:val="24"/>
          <w:szCs w:val="24"/>
        </w:rPr>
      </w:pPr>
      <w:r w:rsidRPr="004A10D6">
        <w:rPr>
          <w:rFonts w:ascii="Arial" w:hAnsi="Arial" w:cs="Arial"/>
          <w:sz w:val="24"/>
          <w:szCs w:val="24"/>
        </w:rPr>
        <w:t>L</w:t>
      </w:r>
      <w:r w:rsidR="00B02C6C" w:rsidRPr="004A10D6">
        <w:rPr>
          <w:rFonts w:ascii="Arial" w:hAnsi="Arial" w:cs="Arial"/>
          <w:sz w:val="24"/>
          <w:szCs w:val="24"/>
        </w:rPr>
        <w:t>’eventuale avanzo di amministrazione prevede una scaletta di priorità poste dal legislatore , previste dall’art. 187.TUEL:</w:t>
      </w:r>
    </w:p>
    <w:p w:rsidR="00B02C6C" w:rsidRPr="004A10D6" w:rsidRDefault="00B02C6C" w:rsidP="00DB3112">
      <w:pPr>
        <w:tabs>
          <w:tab w:val="left" w:pos="360"/>
        </w:tabs>
        <w:suppressAutoHyphens/>
        <w:autoSpaceDE w:val="0"/>
        <w:autoSpaceDN/>
        <w:adjustRightInd/>
        <w:spacing w:after="0" w:line="240" w:lineRule="auto"/>
        <w:ind w:left="360" w:right="49"/>
        <w:rPr>
          <w:rFonts w:ascii="Arial" w:hAnsi="Arial" w:cs="Arial"/>
          <w:sz w:val="24"/>
          <w:szCs w:val="24"/>
        </w:rPr>
      </w:pPr>
      <w:r w:rsidRPr="004A10D6">
        <w:rPr>
          <w:rFonts w:ascii="Arial" w:hAnsi="Arial" w:cs="Arial"/>
          <w:sz w:val="24"/>
          <w:szCs w:val="24"/>
        </w:rPr>
        <w:t>per il reinvestimento delle quote accantonate per ammortamento, provvedendo, ove l'avanzo non sia sufficiente, ad applicare nella parte passiva del bilancio un importo pari alla differenza;</w:t>
      </w:r>
    </w:p>
    <w:p w:rsidR="00B02C6C" w:rsidRPr="004A10D6" w:rsidRDefault="00B02C6C" w:rsidP="00DB3112">
      <w:pPr>
        <w:tabs>
          <w:tab w:val="left" w:pos="360"/>
        </w:tabs>
        <w:suppressAutoHyphens/>
        <w:autoSpaceDE w:val="0"/>
        <w:autoSpaceDN/>
        <w:adjustRightInd/>
        <w:spacing w:after="0" w:line="240" w:lineRule="auto"/>
        <w:ind w:left="360" w:right="49"/>
        <w:rPr>
          <w:rFonts w:ascii="Arial" w:hAnsi="Arial" w:cs="Arial"/>
          <w:sz w:val="24"/>
          <w:szCs w:val="24"/>
        </w:rPr>
      </w:pPr>
      <w:r w:rsidRPr="004A10D6">
        <w:rPr>
          <w:rFonts w:ascii="Arial" w:hAnsi="Arial" w:cs="Arial"/>
          <w:sz w:val="24"/>
          <w:szCs w:val="24"/>
        </w:rPr>
        <w:t>per la copertura dei debiti fuori bilancio riconoscibili a norma dell'articolo 194;</w:t>
      </w:r>
    </w:p>
    <w:p w:rsidR="00B02C6C" w:rsidRPr="004A10D6" w:rsidRDefault="00B02C6C" w:rsidP="00DB3112">
      <w:pPr>
        <w:tabs>
          <w:tab w:val="left" w:pos="360"/>
        </w:tabs>
        <w:suppressAutoHyphens/>
        <w:autoSpaceDE w:val="0"/>
        <w:autoSpaceDN/>
        <w:adjustRightInd/>
        <w:spacing w:after="0" w:line="240" w:lineRule="auto"/>
        <w:ind w:left="360" w:right="49"/>
        <w:rPr>
          <w:rFonts w:ascii="Arial" w:hAnsi="Arial" w:cs="Arial"/>
          <w:sz w:val="24"/>
          <w:szCs w:val="24"/>
        </w:rPr>
      </w:pPr>
      <w:r w:rsidRPr="004A10D6">
        <w:rPr>
          <w:rFonts w:ascii="Arial" w:hAnsi="Arial" w:cs="Arial"/>
          <w:sz w:val="24"/>
          <w:szCs w:val="24"/>
        </w:rPr>
        <w:t>per i provvedimenti necessari per la salvaguardia degli equilibri di bilancio di cui all'articolo 193 ove non possa provvedersi con mezzi ordinari, per il finanziamento delle spese di funzionamento non ripetitive in qualsiasi periodo dell'esercizio e per le altre spese correnti solo in sede di assestamento;</w:t>
      </w:r>
    </w:p>
    <w:p w:rsidR="00B02C6C" w:rsidRPr="004A10D6" w:rsidRDefault="00B02C6C" w:rsidP="00DB3112">
      <w:pPr>
        <w:tabs>
          <w:tab w:val="left" w:pos="360"/>
        </w:tabs>
        <w:suppressAutoHyphens/>
        <w:autoSpaceDE w:val="0"/>
        <w:autoSpaceDN/>
        <w:adjustRightInd/>
        <w:spacing w:after="0" w:line="240" w:lineRule="auto"/>
        <w:ind w:left="360" w:right="49"/>
        <w:rPr>
          <w:rFonts w:ascii="Arial" w:hAnsi="Arial" w:cs="Arial"/>
          <w:sz w:val="24"/>
          <w:szCs w:val="24"/>
        </w:rPr>
      </w:pPr>
      <w:r w:rsidRPr="004A10D6">
        <w:rPr>
          <w:rFonts w:ascii="Arial" w:hAnsi="Arial" w:cs="Arial"/>
          <w:sz w:val="24"/>
          <w:szCs w:val="24"/>
        </w:rPr>
        <w:t>per il finanziamento di spese di investimento</w:t>
      </w:r>
    </w:p>
    <w:p w:rsidR="009A68B6" w:rsidRPr="004A10D6" w:rsidRDefault="009A68B6" w:rsidP="00DB3112">
      <w:pPr>
        <w:tabs>
          <w:tab w:val="left" w:pos="360"/>
        </w:tabs>
        <w:suppressAutoHyphens/>
        <w:autoSpaceDE w:val="0"/>
        <w:autoSpaceDN/>
        <w:adjustRightInd/>
        <w:spacing w:after="0" w:line="240" w:lineRule="auto"/>
        <w:ind w:left="180" w:right="49"/>
        <w:rPr>
          <w:rFonts w:ascii="Arial" w:hAnsi="Arial" w:cs="Arial"/>
          <w:sz w:val="24"/>
          <w:szCs w:val="24"/>
        </w:rPr>
      </w:pPr>
    </w:p>
    <w:p w:rsidR="00B02C6C" w:rsidRPr="004A10D6" w:rsidRDefault="00B02C6C" w:rsidP="00DB3112">
      <w:pPr>
        <w:ind w:right="49"/>
        <w:rPr>
          <w:rFonts w:ascii="Arial" w:hAnsi="Arial" w:cs="Arial"/>
          <w:sz w:val="24"/>
          <w:szCs w:val="24"/>
        </w:rPr>
      </w:pPr>
    </w:p>
    <w:p w:rsidR="000D16F1" w:rsidRPr="004A10D6" w:rsidRDefault="00B02C6C" w:rsidP="00DB3112">
      <w:pPr>
        <w:ind w:left="360" w:right="49"/>
        <w:rPr>
          <w:rFonts w:ascii="Arial" w:hAnsi="Arial" w:cs="Arial"/>
          <w:sz w:val="24"/>
          <w:szCs w:val="24"/>
        </w:rPr>
      </w:pPr>
      <w:r w:rsidRPr="004A10D6">
        <w:rPr>
          <w:rFonts w:ascii="Arial" w:hAnsi="Arial" w:cs="Arial"/>
          <w:b/>
          <w:bCs/>
          <w:sz w:val="24"/>
          <w:szCs w:val="24"/>
          <w:u w:val="single"/>
        </w:rPr>
        <w:t>CONTO ECONOMICO:</w:t>
      </w:r>
      <w:r w:rsidRPr="004A10D6">
        <w:rPr>
          <w:rFonts w:ascii="Arial" w:hAnsi="Arial" w:cs="Arial"/>
          <w:sz w:val="24"/>
          <w:szCs w:val="24"/>
        </w:rPr>
        <w:br/>
        <w:t xml:space="preserve">Il Conto Economico evidenzia i componenti positivi e negativi dell'attivita' dell'ente secondo criteri di competenza economica. </w:t>
      </w:r>
      <w:r w:rsidR="000D16F1" w:rsidRPr="004A10D6">
        <w:rPr>
          <w:rFonts w:ascii="Arial" w:hAnsi="Arial" w:cs="Arial"/>
          <w:sz w:val="24"/>
          <w:szCs w:val="24"/>
        </w:rPr>
        <w:t>La differenza tra costi e ricavi origina il risultato economico che se positivo sarà detto reddito, in caso negativo perdita di esercizio.</w:t>
      </w:r>
    </w:p>
    <w:p w:rsidR="00B02C6C" w:rsidRPr="004A10D6" w:rsidRDefault="00B02C6C" w:rsidP="00DB3112">
      <w:pPr>
        <w:ind w:left="360" w:right="49"/>
        <w:rPr>
          <w:rFonts w:ascii="Arial" w:hAnsi="Arial" w:cs="Arial"/>
          <w:sz w:val="24"/>
          <w:szCs w:val="24"/>
        </w:rPr>
      </w:pPr>
      <w:r w:rsidRPr="004A10D6">
        <w:rPr>
          <w:rFonts w:ascii="Arial" w:hAnsi="Arial" w:cs="Arial"/>
          <w:sz w:val="24"/>
          <w:szCs w:val="24"/>
        </w:rPr>
        <w:lastRenderedPageBreak/>
        <w:t>Comprende gli accertamenti e gli impegni del Conto di Bilancio, rettificati al fine di costituire la dimensione finanziaria dei valori economici riferiti alla gestione di competenza, le insussistenze e sopravvenienze derivanti dalla gestione dei residui e gli elementi economici non rilevati nel conto di Bilancio. E' redatto secondo uno schema a struttura scalare, con le voci classificate secondo la loro natura e con la rilevazione di risultati parziali e del risultato economico finale.  Costituiscono componenti positivi i tributi, i trasferimenti correnti, i proventi dei servizi pubblici, i proventi derivanti dalla gestione del patrimonio, i proventi finanziari, le insussistenze del passivo, le sopravvenienze attive e le plusvalenze da alienazioni. E' espresso, ai fini del pareggio, il risultato economico negativo. </w:t>
      </w:r>
    </w:p>
    <w:p w:rsidR="00B02C6C" w:rsidRPr="004A10D6" w:rsidRDefault="00B02C6C" w:rsidP="00DB3112">
      <w:pPr>
        <w:ind w:right="49"/>
        <w:rPr>
          <w:rFonts w:ascii="Arial" w:hAnsi="Arial" w:cs="Arial"/>
          <w:sz w:val="24"/>
          <w:szCs w:val="24"/>
        </w:rPr>
      </w:pPr>
    </w:p>
    <w:p w:rsidR="00B02C6C" w:rsidRPr="004A10D6" w:rsidRDefault="00B02C6C" w:rsidP="00DB3112">
      <w:pPr>
        <w:ind w:left="360" w:right="49"/>
        <w:rPr>
          <w:rFonts w:ascii="Arial" w:hAnsi="Arial" w:cs="Arial"/>
          <w:sz w:val="24"/>
          <w:szCs w:val="24"/>
        </w:rPr>
      </w:pPr>
      <w:r w:rsidRPr="004A10D6">
        <w:rPr>
          <w:rFonts w:ascii="Arial" w:hAnsi="Arial" w:cs="Arial"/>
          <w:b/>
          <w:bCs/>
          <w:sz w:val="24"/>
          <w:szCs w:val="24"/>
          <w:u w:val="single"/>
        </w:rPr>
        <w:t>CONTO DEL PATRIMONIO:</w:t>
      </w:r>
      <w:r w:rsidRPr="004A10D6">
        <w:rPr>
          <w:rFonts w:ascii="Arial" w:hAnsi="Arial" w:cs="Arial"/>
          <w:sz w:val="24"/>
          <w:szCs w:val="24"/>
        </w:rPr>
        <w:t xml:space="preserve"> </w:t>
      </w:r>
      <w:r w:rsidRPr="004A10D6">
        <w:rPr>
          <w:rFonts w:ascii="Arial" w:hAnsi="Arial" w:cs="Arial"/>
          <w:sz w:val="24"/>
          <w:szCs w:val="24"/>
        </w:rPr>
        <w:br/>
        <w:t>Il Conto del Patrimonio rileva i risultati della gestione patrimoniale e riassume la consistenza del patrimonio al termine dell'esercizio, evidenziando le variazioni intervenute nel corso dello stesso, rispetto alla consistenza iniziale. Il patrimonio degli enti locali e' costituito dal complesso dei beni e dei rapporti giuridici, attivi e passivi, di pertinenza di ciascun ente, suscettibili di valutazione ed attraverso la cui rappresentazione contabile ed il relativo risultato finale differenziale e' determinata la consistenza netta della dotazione patrimoniale. Vengono inclusi anche i beni del demanio, con specifica destinazione, ferme restando le caratteristiche proprie, in relazione alle disposizioni del codice civile.Il rendiconto della gestione deve esser deliberato dal Consiglio comunale entro il 30 giugno dell’anno successivo a quello in cui la gestione ha avuto attuazione; in caso di inadempienza non è prevista nessuna sanzione. In caso di inottemperanza prolungata nel tempo viene nominato in via sostitutiva un commissario ad acta. Entro 5 giorni dalla sua approvazione va trasmesso  al CORECO per l’esame di legittimità necessario sugli atti. Per le province, le città metropolitane, i comuni con popolazione superiore ad 8.000 abitanti e quelli i cui rendiconti si chiudono in disavanzo ovvero rechino la indicazione di debiti fuori bilancio, il rendiconto è presentato alla Sezione Enti locali della Corte dei conti per il referto di cui all'articolo 13 del decreto-legge 22 dicembre 1981, n. 786, convertito, con modificazioni, dalla legge 26 febbraio 1982, n. 51, e successive modifiche ed integrazioni.</w:t>
      </w:r>
    </w:p>
    <w:p w:rsidR="00B02C6C" w:rsidRPr="004A10D6" w:rsidRDefault="00B02C6C" w:rsidP="00DB3112">
      <w:pPr>
        <w:ind w:left="360" w:right="49"/>
        <w:rPr>
          <w:rFonts w:ascii="Arial" w:hAnsi="Arial" w:cs="Arial"/>
          <w:sz w:val="24"/>
          <w:szCs w:val="24"/>
        </w:rPr>
      </w:pPr>
      <w:r w:rsidRPr="004A10D6">
        <w:rPr>
          <w:rFonts w:ascii="Arial" w:hAnsi="Arial" w:cs="Arial"/>
          <w:sz w:val="24"/>
          <w:szCs w:val="24"/>
        </w:rPr>
        <w:t xml:space="preserve">Sono allegati al rendiconto: </w:t>
      </w:r>
    </w:p>
    <w:p w:rsidR="00B02C6C" w:rsidRPr="004A10D6" w:rsidRDefault="00B02C6C" w:rsidP="00DB3112">
      <w:pPr>
        <w:tabs>
          <w:tab w:val="left" w:pos="720"/>
        </w:tabs>
        <w:suppressAutoHyphens/>
        <w:autoSpaceDE w:val="0"/>
        <w:autoSpaceDN/>
        <w:adjustRightInd/>
        <w:spacing w:after="0" w:line="240" w:lineRule="auto"/>
        <w:ind w:left="360" w:right="49"/>
        <w:rPr>
          <w:rFonts w:ascii="Arial" w:hAnsi="Arial" w:cs="Arial"/>
          <w:sz w:val="24"/>
          <w:szCs w:val="24"/>
        </w:rPr>
      </w:pPr>
      <w:r w:rsidRPr="004A10D6">
        <w:rPr>
          <w:rFonts w:ascii="Arial" w:hAnsi="Arial" w:cs="Arial"/>
          <w:sz w:val="24"/>
          <w:szCs w:val="24"/>
        </w:rPr>
        <w:t xml:space="preserve">la relazione dell'organo esecutivo </w:t>
      </w:r>
      <w:r w:rsidR="009A68B6" w:rsidRPr="004A10D6">
        <w:rPr>
          <w:rFonts w:ascii="Arial" w:hAnsi="Arial" w:cs="Arial"/>
          <w:sz w:val="24"/>
          <w:szCs w:val="24"/>
        </w:rPr>
        <w:t>sul rendiconto stesso</w:t>
      </w:r>
    </w:p>
    <w:p w:rsidR="00B02C6C" w:rsidRPr="004A10D6" w:rsidRDefault="00B02C6C" w:rsidP="00DB3112">
      <w:pPr>
        <w:tabs>
          <w:tab w:val="left" w:pos="720"/>
        </w:tabs>
        <w:suppressAutoHyphens/>
        <w:autoSpaceDE w:val="0"/>
        <w:autoSpaceDN/>
        <w:adjustRightInd/>
        <w:spacing w:after="0" w:line="240" w:lineRule="auto"/>
        <w:ind w:left="360" w:right="49"/>
        <w:rPr>
          <w:rFonts w:ascii="Arial" w:hAnsi="Arial" w:cs="Arial"/>
          <w:sz w:val="24"/>
          <w:szCs w:val="24"/>
        </w:rPr>
      </w:pPr>
      <w:r w:rsidRPr="004A10D6">
        <w:rPr>
          <w:rFonts w:ascii="Arial" w:hAnsi="Arial" w:cs="Arial"/>
          <w:sz w:val="24"/>
          <w:szCs w:val="24"/>
        </w:rPr>
        <w:t>la relazione dei revisori dei conti di cui all'articolo 239, comma 1, lettera d);</w:t>
      </w:r>
    </w:p>
    <w:p w:rsidR="00B02C6C" w:rsidRPr="004A10D6" w:rsidRDefault="00B02C6C" w:rsidP="00DB3112">
      <w:pPr>
        <w:tabs>
          <w:tab w:val="left" w:pos="720"/>
        </w:tabs>
        <w:suppressAutoHyphens/>
        <w:autoSpaceDE w:val="0"/>
        <w:autoSpaceDN/>
        <w:adjustRightInd/>
        <w:spacing w:after="0" w:line="240" w:lineRule="auto"/>
        <w:ind w:left="360" w:right="49"/>
        <w:rPr>
          <w:rFonts w:ascii="Arial" w:hAnsi="Arial" w:cs="Arial"/>
          <w:sz w:val="24"/>
          <w:szCs w:val="24"/>
        </w:rPr>
      </w:pPr>
      <w:r w:rsidRPr="004A10D6">
        <w:rPr>
          <w:rFonts w:ascii="Arial" w:hAnsi="Arial" w:cs="Arial"/>
          <w:sz w:val="24"/>
          <w:szCs w:val="24"/>
        </w:rPr>
        <w:t>l'elenco dei residui attivi e passivi distinti per anno di provenienza</w:t>
      </w:r>
    </w:p>
    <w:p w:rsidR="009A68B6" w:rsidRPr="004A10D6" w:rsidRDefault="009A68B6" w:rsidP="00DB3112">
      <w:pPr>
        <w:tabs>
          <w:tab w:val="left" w:pos="720"/>
        </w:tabs>
        <w:suppressAutoHyphens/>
        <w:autoSpaceDE w:val="0"/>
        <w:autoSpaceDN/>
        <w:adjustRightInd/>
        <w:spacing w:after="0" w:line="240" w:lineRule="auto"/>
        <w:ind w:left="360" w:right="49"/>
        <w:rPr>
          <w:rFonts w:ascii="Arial" w:hAnsi="Arial" w:cs="Arial"/>
          <w:sz w:val="24"/>
          <w:szCs w:val="24"/>
        </w:rPr>
      </w:pPr>
      <w:r w:rsidRPr="004A10D6">
        <w:rPr>
          <w:rFonts w:ascii="Arial" w:hAnsi="Arial" w:cs="Arial"/>
          <w:sz w:val="24"/>
          <w:szCs w:val="24"/>
        </w:rPr>
        <w:t>i pros</w:t>
      </w:r>
      <w:r w:rsidR="00C661E9" w:rsidRPr="004A10D6">
        <w:rPr>
          <w:rFonts w:ascii="Arial" w:hAnsi="Arial" w:cs="Arial"/>
          <w:sz w:val="24"/>
          <w:szCs w:val="24"/>
        </w:rPr>
        <w:t>p</w:t>
      </w:r>
      <w:r w:rsidRPr="004A10D6">
        <w:rPr>
          <w:rFonts w:ascii="Arial" w:hAnsi="Arial" w:cs="Arial"/>
          <w:sz w:val="24"/>
          <w:szCs w:val="24"/>
        </w:rPr>
        <w:t>etti dei dati SIOPE e delle disponibilità liquide.</w:t>
      </w:r>
    </w:p>
    <w:p w:rsidR="00B02C6C" w:rsidRPr="004A10D6" w:rsidRDefault="00B02C6C" w:rsidP="00DB3112">
      <w:pPr>
        <w:tabs>
          <w:tab w:val="left" w:pos="720"/>
        </w:tabs>
        <w:ind w:right="49"/>
        <w:rPr>
          <w:rFonts w:ascii="Arial" w:hAnsi="Arial" w:cs="Arial"/>
          <w:sz w:val="24"/>
          <w:szCs w:val="24"/>
        </w:rPr>
      </w:pPr>
    </w:p>
    <w:p w:rsidR="00B02C6C" w:rsidRPr="004A10D6" w:rsidRDefault="00B02C6C" w:rsidP="00DB3112">
      <w:pPr>
        <w:widowControl/>
        <w:shd w:val="clear" w:color="auto" w:fill="FFFFFF"/>
        <w:spacing w:before="120" w:after="300" w:line="336" w:lineRule="auto"/>
        <w:ind w:left="360"/>
        <w:rPr>
          <w:rFonts w:ascii="Arial" w:hAnsi="Arial" w:cs="Arial"/>
          <w:b/>
          <w:bCs/>
          <w:caps/>
          <w:color w:val="00BEA8"/>
          <w:kern w:val="1"/>
          <w:sz w:val="24"/>
          <w:szCs w:val="24"/>
        </w:rPr>
      </w:pPr>
      <w:r w:rsidRPr="004A10D6">
        <w:rPr>
          <w:rFonts w:ascii="Arial" w:hAnsi="Arial" w:cs="Arial"/>
          <w:b/>
          <w:bCs/>
          <w:caps/>
          <w:color w:val="00BEA8"/>
          <w:kern w:val="1"/>
          <w:sz w:val="24"/>
          <w:szCs w:val="24"/>
        </w:rPr>
        <w:lastRenderedPageBreak/>
        <w:t>Che cos'è un Bilancio Sociale?</w:t>
      </w:r>
    </w:p>
    <w:p w:rsidR="00B02C6C" w:rsidRPr="004A10D6" w:rsidRDefault="00B02C6C" w:rsidP="00DB3112">
      <w:pPr>
        <w:widowControl/>
        <w:shd w:val="clear" w:color="auto" w:fill="FFFFFF"/>
        <w:spacing w:after="100" w:line="336" w:lineRule="auto"/>
        <w:ind w:left="360"/>
        <w:rPr>
          <w:rFonts w:ascii="Arial" w:hAnsi="Arial" w:cs="Arial"/>
          <w:color w:val="2F3531"/>
          <w:sz w:val="24"/>
          <w:szCs w:val="24"/>
        </w:rPr>
      </w:pPr>
      <w:r w:rsidRPr="004A10D6">
        <w:rPr>
          <w:rFonts w:ascii="Arial" w:hAnsi="Arial" w:cs="Arial"/>
          <w:color w:val="2F3531"/>
          <w:sz w:val="24"/>
          <w:szCs w:val="24"/>
        </w:rPr>
        <w:t>Il Bilancio Sociale rappresenta un'innovativa modalità di comunicazione, che permette di rendere trasparente l'attività del Comune agli occhi del cittadino, costruendo con esso un rapporto di fiducia e di dialogo permanente. </w:t>
      </w:r>
    </w:p>
    <w:p w:rsidR="00B02C6C" w:rsidRPr="004A10D6" w:rsidRDefault="00B02C6C" w:rsidP="00DB3112">
      <w:pPr>
        <w:widowControl/>
        <w:shd w:val="clear" w:color="auto" w:fill="FFFFFF"/>
        <w:spacing w:after="100" w:line="336" w:lineRule="auto"/>
        <w:ind w:left="360"/>
        <w:rPr>
          <w:rFonts w:ascii="Arial" w:hAnsi="Arial" w:cs="Arial"/>
          <w:color w:val="2F3531"/>
          <w:sz w:val="24"/>
          <w:szCs w:val="24"/>
        </w:rPr>
      </w:pPr>
      <w:r w:rsidRPr="004A10D6">
        <w:rPr>
          <w:rFonts w:ascii="Arial" w:hAnsi="Arial" w:cs="Arial"/>
          <w:color w:val="2F3531"/>
          <w:sz w:val="24"/>
          <w:szCs w:val="24"/>
        </w:rPr>
        <w:t>Il Bilancio Sociale è "uno strumento per riaffermare e legittimare il ruolo delle amministrazioni pubbliche nella società, per esplicitare il rapporto esistente tra il processo di formulazione ed attuazione delle politiche pubbliche o di erogazione di servizi ed il valore prodotto per i cittadini". Questa la definizione data dal Ministero della Funziona Pubblica.</w:t>
      </w:r>
    </w:p>
    <w:p w:rsidR="00B02C6C" w:rsidRPr="004A10D6" w:rsidRDefault="00B02C6C" w:rsidP="00DB3112">
      <w:pPr>
        <w:widowControl/>
        <w:shd w:val="clear" w:color="auto" w:fill="FFFFFF"/>
        <w:spacing w:after="100" w:line="336" w:lineRule="auto"/>
        <w:ind w:left="360"/>
        <w:rPr>
          <w:rFonts w:ascii="Arial" w:hAnsi="Arial" w:cs="Arial"/>
          <w:color w:val="2F3531"/>
          <w:sz w:val="24"/>
          <w:szCs w:val="24"/>
        </w:rPr>
      </w:pPr>
      <w:r w:rsidRPr="004A10D6">
        <w:rPr>
          <w:rFonts w:ascii="Arial" w:hAnsi="Arial" w:cs="Arial"/>
          <w:b/>
          <w:bCs/>
          <w:color w:val="2F3531"/>
          <w:sz w:val="24"/>
          <w:szCs w:val="24"/>
        </w:rPr>
        <w:t>Questo strumento</w:t>
      </w:r>
      <w:r w:rsidRPr="004A10D6">
        <w:rPr>
          <w:rFonts w:ascii="Arial" w:hAnsi="Arial" w:cs="Arial"/>
          <w:color w:val="2F3531"/>
          <w:sz w:val="24"/>
          <w:szCs w:val="24"/>
        </w:rPr>
        <w:t xml:space="preserve">   </w:t>
      </w:r>
      <w:r w:rsidRPr="004A10D6">
        <w:rPr>
          <w:rFonts w:ascii="Arial" w:hAnsi="Arial" w:cs="Arial"/>
          <w:b/>
          <w:bCs/>
          <w:color w:val="2F3531"/>
          <w:sz w:val="24"/>
          <w:szCs w:val="24"/>
        </w:rPr>
        <w:t>ha il compito di spiegare al cittadino come sono state impiegate le  risorse, come sono stati fatti gli   investimenti, quali progetti si sono realizzati e con quali risultati. Tutto questo andando oltre la semplice elencazione di cifre e numeri</w:t>
      </w:r>
      <w:r w:rsidRPr="004A10D6">
        <w:rPr>
          <w:rFonts w:ascii="Arial" w:hAnsi="Arial" w:cs="Arial"/>
          <w:color w:val="2F3531"/>
          <w:sz w:val="24"/>
          <w:szCs w:val="24"/>
        </w:rPr>
        <w:t xml:space="preserve"> . Una fotografia dinamica dei risultati ottenuti e delle sfide future.</w:t>
      </w:r>
    </w:p>
    <w:p w:rsidR="00B02C6C" w:rsidRPr="004A10D6" w:rsidRDefault="00B02C6C" w:rsidP="00DB3112">
      <w:pPr>
        <w:widowControl/>
        <w:shd w:val="clear" w:color="auto" w:fill="FFFFFF"/>
        <w:spacing w:after="100" w:line="336" w:lineRule="auto"/>
        <w:ind w:left="360"/>
        <w:rPr>
          <w:rFonts w:ascii="Arial" w:hAnsi="Arial" w:cs="Arial"/>
          <w:color w:val="2F3531"/>
          <w:sz w:val="24"/>
          <w:szCs w:val="24"/>
        </w:rPr>
      </w:pPr>
      <w:r w:rsidRPr="004A10D6">
        <w:rPr>
          <w:rFonts w:ascii="Arial" w:hAnsi="Arial" w:cs="Arial"/>
          <w:color w:val="2F3531"/>
          <w:sz w:val="24"/>
          <w:szCs w:val="24"/>
        </w:rPr>
        <w:t>Per aumentare il grado di partecipazione democratica, e  mettere il cittadino in condizione esprimere la sua valutazione sull'attività amministrativa dell'Ente e di intervenire con commenti, opinioni e proposte, è stato allestito il forum e messo a disposizione un indirizzo e-mail.</w:t>
      </w:r>
    </w:p>
    <w:p w:rsidR="00A22492" w:rsidRPr="004A10D6" w:rsidRDefault="00B02C6C" w:rsidP="00DB3112">
      <w:pPr>
        <w:widowControl/>
        <w:shd w:val="clear" w:color="auto" w:fill="FFFFFF"/>
        <w:spacing w:after="100" w:line="336" w:lineRule="auto"/>
        <w:ind w:left="360"/>
        <w:rPr>
          <w:rFonts w:ascii="Arial" w:hAnsi="Arial" w:cs="Arial"/>
          <w:color w:val="2F3531"/>
          <w:sz w:val="24"/>
          <w:szCs w:val="24"/>
        </w:rPr>
      </w:pPr>
      <w:r w:rsidRPr="004A10D6">
        <w:rPr>
          <w:rFonts w:ascii="Arial" w:hAnsi="Arial" w:cs="Arial"/>
          <w:color w:val="2F3531"/>
          <w:sz w:val="24"/>
          <w:szCs w:val="24"/>
        </w:rPr>
        <w:t>Per avere finalmente una Pubblica Amministrazione di qualità, trasparente e partecipata</w:t>
      </w:r>
    </w:p>
    <w:p w:rsidR="00A22492" w:rsidRPr="004A10D6" w:rsidRDefault="00A22492" w:rsidP="00DB3112">
      <w:pPr>
        <w:widowControl/>
        <w:shd w:val="clear" w:color="auto" w:fill="FFFFFF"/>
        <w:spacing w:after="100" w:line="336" w:lineRule="auto"/>
        <w:ind w:left="360"/>
        <w:rPr>
          <w:rFonts w:ascii="Arial" w:hAnsi="Arial" w:cs="Arial"/>
          <w:color w:val="2F3531"/>
          <w:sz w:val="24"/>
          <w:szCs w:val="24"/>
        </w:rPr>
      </w:pPr>
      <w:r w:rsidRPr="004A10D6">
        <w:rPr>
          <w:rFonts w:ascii="Arial" w:hAnsi="Arial" w:cs="Arial"/>
          <w:color w:val="2F3531"/>
          <w:sz w:val="24"/>
          <w:szCs w:val="24"/>
        </w:rPr>
        <w:t>FUNZIONE DI REVISIONE DEI CONTI</w:t>
      </w:r>
    </w:p>
    <w:p w:rsidR="00B02C6C" w:rsidRPr="004A10D6" w:rsidRDefault="00B02C6C" w:rsidP="00DB3112">
      <w:pPr>
        <w:widowControl/>
        <w:shd w:val="clear" w:color="auto" w:fill="FFFFFF"/>
        <w:spacing w:after="100" w:line="336" w:lineRule="auto"/>
        <w:ind w:left="360"/>
        <w:rPr>
          <w:rFonts w:ascii="Arial" w:hAnsi="Arial" w:cs="Arial"/>
          <w:sz w:val="24"/>
          <w:szCs w:val="24"/>
        </w:rPr>
      </w:pPr>
      <w:r w:rsidRPr="004A10D6">
        <w:rPr>
          <w:rFonts w:ascii="Arial" w:hAnsi="Arial" w:cs="Arial"/>
          <w:sz w:val="24"/>
          <w:szCs w:val="24"/>
        </w:rPr>
        <w:t>E ’l’organo di revisione economico finanziaria composto da 3 membri:</w:t>
      </w:r>
    </w:p>
    <w:p w:rsidR="00B02C6C" w:rsidRPr="004A10D6" w:rsidRDefault="00B02C6C" w:rsidP="00DB3112">
      <w:pPr>
        <w:tabs>
          <w:tab w:val="left" w:pos="720"/>
        </w:tabs>
        <w:suppressAutoHyphens/>
        <w:autoSpaceDE w:val="0"/>
        <w:autoSpaceDN/>
        <w:adjustRightInd/>
        <w:spacing w:after="0" w:line="240" w:lineRule="auto"/>
        <w:ind w:left="360" w:right="113"/>
        <w:rPr>
          <w:rFonts w:ascii="Arial" w:hAnsi="Arial" w:cs="Arial"/>
          <w:sz w:val="24"/>
          <w:szCs w:val="24"/>
        </w:rPr>
      </w:pPr>
      <w:r w:rsidRPr="004A10D6">
        <w:rPr>
          <w:rFonts w:ascii="Arial" w:hAnsi="Arial" w:cs="Arial"/>
          <w:sz w:val="24"/>
          <w:szCs w:val="24"/>
        </w:rPr>
        <w:t>Presidente del collegio iscritto nel registro dei revisori contabili</w:t>
      </w:r>
    </w:p>
    <w:p w:rsidR="00B02C6C" w:rsidRPr="004A10D6" w:rsidRDefault="00B02C6C" w:rsidP="00DB3112">
      <w:pPr>
        <w:tabs>
          <w:tab w:val="left" w:pos="720"/>
        </w:tabs>
        <w:suppressAutoHyphens/>
        <w:autoSpaceDE w:val="0"/>
        <w:autoSpaceDN/>
        <w:adjustRightInd/>
        <w:spacing w:after="0" w:line="240" w:lineRule="auto"/>
        <w:ind w:left="360" w:right="113"/>
        <w:rPr>
          <w:rFonts w:ascii="Arial" w:hAnsi="Arial" w:cs="Arial"/>
          <w:sz w:val="24"/>
          <w:szCs w:val="24"/>
        </w:rPr>
      </w:pPr>
      <w:r w:rsidRPr="004A10D6">
        <w:rPr>
          <w:rFonts w:ascii="Arial" w:hAnsi="Arial" w:cs="Arial"/>
          <w:sz w:val="24"/>
          <w:szCs w:val="24"/>
        </w:rPr>
        <w:t>Un membro scelto tra  gli iscritti all’albo dei dottori commercialisti</w:t>
      </w:r>
    </w:p>
    <w:p w:rsidR="00B02C6C" w:rsidRPr="004A10D6" w:rsidRDefault="00B02C6C" w:rsidP="00DB3112">
      <w:pPr>
        <w:tabs>
          <w:tab w:val="left" w:pos="720"/>
        </w:tabs>
        <w:suppressAutoHyphens/>
        <w:autoSpaceDE w:val="0"/>
        <w:autoSpaceDN/>
        <w:adjustRightInd/>
        <w:spacing w:after="0" w:line="240" w:lineRule="auto"/>
        <w:ind w:left="360" w:right="113"/>
        <w:rPr>
          <w:rFonts w:ascii="Arial" w:hAnsi="Arial" w:cs="Arial"/>
          <w:sz w:val="24"/>
          <w:szCs w:val="24"/>
        </w:rPr>
      </w:pPr>
      <w:r w:rsidRPr="004A10D6">
        <w:rPr>
          <w:rFonts w:ascii="Arial" w:hAnsi="Arial" w:cs="Arial"/>
          <w:sz w:val="24"/>
          <w:szCs w:val="24"/>
        </w:rPr>
        <w:t>Un membro iscritto all’albo dei ragionieri</w:t>
      </w:r>
    </w:p>
    <w:p w:rsidR="00B02C6C" w:rsidRPr="004A10D6" w:rsidRDefault="00B02C6C" w:rsidP="00DB3112">
      <w:pPr>
        <w:ind w:left="360" w:right="113"/>
        <w:rPr>
          <w:rFonts w:ascii="Arial" w:hAnsi="Arial" w:cs="Arial"/>
          <w:sz w:val="24"/>
          <w:szCs w:val="24"/>
        </w:rPr>
      </w:pPr>
      <w:r w:rsidRPr="004A10D6">
        <w:rPr>
          <w:rFonts w:ascii="Arial" w:hAnsi="Arial" w:cs="Arial"/>
          <w:sz w:val="24"/>
          <w:szCs w:val="24"/>
        </w:rPr>
        <w:t>Nei comuni con popolazione &lt;15000 abitanti , nelle Unioni di Comuni tale organo è limitato ad un solo soggetto eletto dal C.c. a maggioranza assoluta.</w:t>
      </w:r>
    </w:p>
    <w:p w:rsidR="00B02C6C" w:rsidRPr="004A10D6" w:rsidRDefault="00B02C6C" w:rsidP="00DB3112">
      <w:pPr>
        <w:ind w:left="360" w:right="113"/>
        <w:rPr>
          <w:rFonts w:ascii="Arial" w:hAnsi="Arial" w:cs="Arial"/>
          <w:sz w:val="24"/>
          <w:szCs w:val="24"/>
        </w:rPr>
      </w:pPr>
      <w:r w:rsidRPr="004A10D6">
        <w:rPr>
          <w:rFonts w:ascii="Arial" w:hAnsi="Arial" w:cs="Arial"/>
          <w:sz w:val="24"/>
          <w:szCs w:val="24"/>
        </w:rPr>
        <w:t>Non può esser nominato membro né l’interdetto, il fallito, inabilitato o chi è stato condannato ad una pena che comporta l’interdizione anche temporanea dai pubblici uffici e l’incapacità a esercitare uffici direttivi, coniugi, parenti ed affini ai membri della Giunta comunale. Sono inoltre previste altre incompatibilità per coloro che hanno ricoperto altri incarichi nei due anni precedenti.</w:t>
      </w:r>
    </w:p>
    <w:p w:rsidR="00B02C6C" w:rsidRPr="004A10D6" w:rsidRDefault="00B02C6C" w:rsidP="00DB3112">
      <w:pPr>
        <w:ind w:left="360" w:right="113"/>
        <w:rPr>
          <w:rFonts w:ascii="Arial" w:hAnsi="Arial" w:cs="Arial"/>
          <w:sz w:val="24"/>
          <w:szCs w:val="24"/>
        </w:rPr>
      </w:pPr>
      <w:r w:rsidRPr="004A10D6">
        <w:rPr>
          <w:rFonts w:ascii="Arial" w:hAnsi="Arial" w:cs="Arial"/>
          <w:sz w:val="24"/>
          <w:szCs w:val="24"/>
        </w:rPr>
        <w:t>La nomina è del Consiglio che entro 20 giorni dalla delibera di nomina deve comunicare i nomi al ministero interno e CNEL.</w:t>
      </w:r>
    </w:p>
    <w:p w:rsidR="00B02C6C" w:rsidRPr="004A10D6" w:rsidRDefault="00B02C6C" w:rsidP="00DB3112">
      <w:pPr>
        <w:ind w:left="360" w:right="113"/>
        <w:rPr>
          <w:rFonts w:ascii="Arial" w:hAnsi="Arial" w:cs="Arial"/>
          <w:sz w:val="24"/>
          <w:szCs w:val="24"/>
        </w:rPr>
      </w:pPr>
      <w:r w:rsidRPr="004A10D6">
        <w:rPr>
          <w:rFonts w:ascii="Arial" w:hAnsi="Arial" w:cs="Arial"/>
          <w:sz w:val="24"/>
          <w:szCs w:val="24"/>
        </w:rPr>
        <w:lastRenderedPageBreak/>
        <w:t>Durata tre anni rieleggibile una sola volta</w:t>
      </w:r>
    </w:p>
    <w:p w:rsidR="00B02C6C" w:rsidRPr="004A10D6" w:rsidRDefault="00B02C6C" w:rsidP="00DB3112">
      <w:pPr>
        <w:ind w:left="360" w:right="113"/>
        <w:rPr>
          <w:rFonts w:ascii="Arial" w:hAnsi="Arial" w:cs="Arial"/>
          <w:sz w:val="24"/>
          <w:szCs w:val="24"/>
        </w:rPr>
      </w:pPr>
      <w:r w:rsidRPr="004A10D6">
        <w:rPr>
          <w:rFonts w:ascii="Arial" w:hAnsi="Arial" w:cs="Arial"/>
          <w:sz w:val="24"/>
          <w:szCs w:val="24"/>
        </w:rPr>
        <w:t>Revocabile solo in caso di grave inadempienza o mancata presentazione della relazione sulla proposta del Consiglio sul rendiconto .</w:t>
      </w:r>
    </w:p>
    <w:p w:rsidR="00B02C6C" w:rsidRPr="004A10D6" w:rsidRDefault="00B02C6C" w:rsidP="00DB3112">
      <w:pPr>
        <w:ind w:left="360" w:right="113"/>
        <w:rPr>
          <w:rFonts w:ascii="Arial" w:hAnsi="Arial" w:cs="Arial"/>
          <w:sz w:val="24"/>
          <w:szCs w:val="24"/>
        </w:rPr>
      </w:pPr>
      <w:r w:rsidRPr="004A10D6">
        <w:rPr>
          <w:rFonts w:ascii="Arial" w:hAnsi="Arial" w:cs="Arial"/>
          <w:sz w:val="24"/>
          <w:szCs w:val="24"/>
        </w:rPr>
        <w:t xml:space="preserve">Anche se la disciplina generale della materia è prevista dall’art. 239 TUEL, le norme che specificano le modalità e i compiti dei revisori  sono previste dallo statuto e dai regolamenti. </w:t>
      </w:r>
    </w:p>
    <w:p w:rsidR="00B02C6C" w:rsidRPr="004A10D6" w:rsidRDefault="00B02C6C" w:rsidP="00DB3112">
      <w:pPr>
        <w:ind w:left="360" w:right="113"/>
        <w:rPr>
          <w:rFonts w:ascii="Arial" w:hAnsi="Arial" w:cs="Arial"/>
          <w:sz w:val="24"/>
          <w:szCs w:val="24"/>
        </w:rPr>
      </w:pPr>
      <w:r w:rsidRPr="004A10D6">
        <w:rPr>
          <w:rFonts w:ascii="Arial" w:hAnsi="Arial" w:cs="Arial"/>
          <w:sz w:val="24"/>
          <w:szCs w:val="24"/>
        </w:rPr>
        <w:t xml:space="preserve">Questo organo esercita  una vigilanza generale e continua sull’adeguatezza economico-aziendale della gestione e sulla veridicità sostanziale degli atti di programmazione e dei documenti consuntivi. </w:t>
      </w:r>
    </w:p>
    <w:p w:rsidR="00B02C6C" w:rsidRPr="004A10D6" w:rsidRDefault="00B02C6C" w:rsidP="00DB3112">
      <w:pPr>
        <w:ind w:left="360" w:right="113"/>
        <w:rPr>
          <w:rFonts w:ascii="Arial" w:hAnsi="Arial" w:cs="Arial"/>
          <w:sz w:val="24"/>
          <w:szCs w:val="24"/>
        </w:rPr>
      </w:pPr>
      <w:r w:rsidRPr="004A10D6">
        <w:rPr>
          <w:rFonts w:ascii="Arial" w:hAnsi="Arial" w:cs="Arial"/>
          <w:sz w:val="24"/>
          <w:szCs w:val="24"/>
        </w:rPr>
        <w:t>In linea di massima, escluse eventuali funzioni direttamente previste da questi, le funzioni dei revisori sono:</w:t>
      </w:r>
    </w:p>
    <w:p w:rsidR="00B02C6C" w:rsidRPr="004A10D6" w:rsidRDefault="00B02C6C" w:rsidP="00DB3112">
      <w:pPr>
        <w:tabs>
          <w:tab w:val="left" w:pos="990"/>
        </w:tabs>
        <w:suppressAutoHyphens/>
        <w:autoSpaceDE w:val="0"/>
        <w:autoSpaceDN/>
        <w:adjustRightInd/>
        <w:spacing w:after="0" w:line="240" w:lineRule="auto"/>
        <w:ind w:left="360" w:right="113"/>
        <w:rPr>
          <w:rFonts w:ascii="Arial" w:hAnsi="Arial" w:cs="Arial"/>
          <w:sz w:val="24"/>
          <w:szCs w:val="24"/>
        </w:rPr>
      </w:pPr>
      <w:r w:rsidRPr="004A10D6">
        <w:rPr>
          <w:rFonts w:ascii="Arial" w:hAnsi="Arial" w:cs="Arial"/>
          <w:sz w:val="24"/>
          <w:szCs w:val="24"/>
        </w:rPr>
        <w:t xml:space="preserve">Collaborano con il C. c. </w:t>
      </w:r>
    </w:p>
    <w:p w:rsidR="00B02C6C" w:rsidRPr="004A10D6" w:rsidRDefault="00B02C6C" w:rsidP="00DB3112">
      <w:pPr>
        <w:tabs>
          <w:tab w:val="left" w:pos="990"/>
        </w:tabs>
        <w:suppressAutoHyphens/>
        <w:autoSpaceDE w:val="0"/>
        <w:autoSpaceDN/>
        <w:adjustRightInd/>
        <w:spacing w:after="0" w:line="240" w:lineRule="auto"/>
        <w:ind w:left="360" w:right="113"/>
        <w:rPr>
          <w:rFonts w:ascii="Arial" w:hAnsi="Arial" w:cs="Arial"/>
          <w:sz w:val="24"/>
          <w:szCs w:val="24"/>
        </w:rPr>
      </w:pPr>
      <w:r w:rsidRPr="004A10D6">
        <w:rPr>
          <w:rFonts w:ascii="Arial" w:hAnsi="Arial" w:cs="Arial"/>
          <w:sz w:val="24"/>
          <w:szCs w:val="24"/>
        </w:rPr>
        <w:t>Rilascio dei pareri sulla proposta di bilancio di previsione, documenti allegati e variazioni di bilancio. I pareri sono obbligatori</w:t>
      </w:r>
    </w:p>
    <w:p w:rsidR="00B02C6C" w:rsidRPr="004A10D6" w:rsidRDefault="00B02C6C" w:rsidP="00DB3112">
      <w:pPr>
        <w:tabs>
          <w:tab w:val="left" w:pos="990"/>
        </w:tabs>
        <w:suppressAutoHyphens/>
        <w:autoSpaceDE w:val="0"/>
        <w:autoSpaceDN/>
        <w:adjustRightInd/>
        <w:spacing w:after="0" w:line="240" w:lineRule="auto"/>
        <w:ind w:left="360" w:right="113"/>
        <w:rPr>
          <w:rFonts w:ascii="Arial" w:hAnsi="Arial" w:cs="Arial"/>
          <w:sz w:val="24"/>
          <w:szCs w:val="24"/>
        </w:rPr>
      </w:pPr>
      <w:r w:rsidRPr="004A10D6">
        <w:rPr>
          <w:rFonts w:ascii="Arial" w:hAnsi="Arial" w:cs="Arial"/>
          <w:sz w:val="24"/>
          <w:szCs w:val="24"/>
        </w:rPr>
        <w:t>Vigilanza sulla regolarità contabile finanziaria della gestione, in relazione anche all’operato del singolo dirigente.</w:t>
      </w:r>
    </w:p>
    <w:p w:rsidR="00B02C6C" w:rsidRPr="004A10D6" w:rsidRDefault="00B02C6C" w:rsidP="00DB3112">
      <w:pPr>
        <w:tabs>
          <w:tab w:val="left" w:pos="990"/>
        </w:tabs>
        <w:suppressAutoHyphens/>
        <w:autoSpaceDE w:val="0"/>
        <w:autoSpaceDN/>
        <w:adjustRightInd/>
        <w:spacing w:after="0" w:line="240" w:lineRule="auto"/>
        <w:ind w:left="360" w:right="113"/>
        <w:rPr>
          <w:rFonts w:ascii="Arial" w:hAnsi="Arial" w:cs="Arial"/>
          <w:sz w:val="24"/>
          <w:szCs w:val="24"/>
        </w:rPr>
      </w:pPr>
      <w:r w:rsidRPr="004A10D6">
        <w:rPr>
          <w:rFonts w:ascii="Arial" w:hAnsi="Arial" w:cs="Arial"/>
          <w:sz w:val="24"/>
          <w:szCs w:val="24"/>
        </w:rPr>
        <w:t>Relazione sulla proposta di deliberazione del C.c. sul rendiconto della gestione e sullo schema di rendiconto</w:t>
      </w:r>
    </w:p>
    <w:p w:rsidR="00B02C6C" w:rsidRPr="004A10D6" w:rsidRDefault="00B02C6C" w:rsidP="00DB3112">
      <w:pPr>
        <w:tabs>
          <w:tab w:val="left" w:pos="990"/>
        </w:tabs>
        <w:suppressAutoHyphens/>
        <w:autoSpaceDE w:val="0"/>
        <w:autoSpaceDN/>
        <w:adjustRightInd/>
        <w:spacing w:after="0" w:line="240" w:lineRule="auto"/>
        <w:ind w:left="360" w:right="113"/>
        <w:rPr>
          <w:rFonts w:ascii="Arial" w:hAnsi="Arial" w:cs="Arial"/>
          <w:sz w:val="24"/>
          <w:szCs w:val="24"/>
        </w:rPr>
      </w:pPr>
      <w:r w:rsidRPr="004A10D6">
        <w:rPr>
          <w:rFonts w:ascii="Arial" w:hAnsi="Arial" w:cs="Arial"/>
          <w:sz w:val="24"/>
          <w:szCs w:val="24"/>
        </w:rPr>
        <w:t xml:space="preserve">Riferisce al C.c. su  gravi irregolarità di gestione </w:t>
      </w:r>
    </w:p>
    <w:p w:rsidR="00B02C6C" w:rsidRPr="004A10D6" w:rsidRDefault="00B02C6C" w:rsidP="00DB3112">
      <w:pPr>
        <w:tabs>
          <w:tab w:val="left" w:pos="990"/>
        </w:tabs>
        <w:suppressAutoHyphens/>
        <w:autoSpaceDE w:val="0"/>
        <w:autoSpaceDN/>
        <w:adjustRightInd/>
        <w:spacing w:after="0" w:line="240" w:lineRule="auto"/>
        <w:ind w:left="360" w:right="113"/>
        <w:rPr>
          <w:rFonts w:ascii="Arial" w:hAnsi="Arial" w:cs="Arial"/>
          <w:sz w:val="24"/>
          <w:szCs w:val="24"/>
        </w:rPr>
      </w:pPr>
      <w:r w:rsidRPr="004A10D6">
        <w:rPr>
          <w:rFonts w:ascii="Arial" w:hAnsi="Arial" w:cs="Arial"/>
          <w:sz w:val="24"/>
          <w:szCs w:val="24"/>
        </w:rPr>
        <w:t>Effettua verifiche di cassa e gestione dei servizi di tesoreria e degli agenti contabili interni</w:t>
      </w:r>
    </w:p>
    <w:p w:rsidR="00A22492" w:rsidRPr="004A10D6" w:rsidRDefault="00A22492" w:rsidP="00DB3112">
      <w:pPr>
        <w:ind w:left="360" w:right="113"/>
        <w:rPr>
          <w:rFonts w:ascii="Arial" w:hAnsi="Arial" w:cs="Arial"/>
          <w:sz w:val="24"/>
          <w:szCs w:val="24"/>
        </w:rPr>
      </w:pPr>
      <w:r w:rsidRPr="004A10D6">
        <w:rPr>
          <w:rFonts w:ascii="Arial" w:hAnsi="Arial" w:cs="Arial"/>
          <w:sz w:val="24"/>
          <w:szCs w:val="24"/>
        </w:rPr>
        <w:t>COMUNI DEFICITARI E DISSESTATI</w:t>
      </w:r>
    </w:p>
    <w:p w:rsidR="00B02C6C" w:rsidRPr="004A10D6" w:rsidRDefault="00B02C6C" w:rsidP="00DB3112">
      <w:pPr>
        <w:ind w:left="360" w:right="113"/>
        <w:rPr>
          <w:rFonts w:ascii="Arial" w:hAnsi="Arial" w:cs="Arial"/>
          <w:sz w:val="24"/>
          <w:szCs w:val="24"/>
        </w:rPr>
      </w:pPr>
      <w:r w:rsidRPr="004A10D6">
        <w:rPr>
          <w:rFonts w:ascii="Arial" w:hAnsi="Arial" w:cs="Arial"/>
          <w:sz w:val="24"/>
          <w:szCs w:val="24"/>
        </w:rPr>
        <w:t xml:space="preserve">Sono da considerarsi in condizioni strutturalmente </w:t>
      </w:r>
      <w:r w:rsidRPr="004A10D6">
        <w:rPr>
          <w:rFonts w:ascii="Arial" w:hAnsi="Arial" w:cs="Arial"/>
          <w:b/>
          <w:bCs/>
          <w:sz w:val="24"/>
          <w:szCs w:val="24"/>
        </w:rPr>
        <w:t>deficitarie</w:t>
      </w:r>
      <w:r w:rsidRPr="004A10D6">
        <w:rPr>
          <w:rFonts w:ascii="Arial" w:hAnsi="Arial" w:cs="Arial"/>
          <w:sz w:val="24"/>
          <w:szCs w:val="24"/>
        </w:rPr>
        <w:t xml:space="preserve"> gli enti locali che presentano gravi ed incontrovertibili condizioni di squilibrio, rilevabili da una apposita tabella, da allegare al certificato sul rendiconto della gestione, contenente parametri obiettivi dei quali almeno la metà presentino valori deficitari. Il certificato è quello relativo al rendiconto della gestione del penultimo esercizio precedente quello di riferimento.</w:t>
      </w:r>
    </w:p>
    <w:p w:rsidR="00B02C6C" w:rsidRPr="004A10D6" w:rsidRDefault="00B02C6C" w:rsidP="00DB3112">
      <w:pPr>
        <w:ind w:left="360" w:right="113"/>
        <w:rPr>
          <w:rFonts w:ascii="Arial" w:hAnsi="Arial" w:cs="Arial"/>
          <w:sz w:val="24"/>
          <w:szCs w:val="24"/>
        </w:rPr>
      </w:pPr>
      <w:r w:rsidRPr="004A10D6">
        <w:rPr>
          <w:rFonts w:ascii="Arial" w:hAnsi="Arial" w:cs="Arial"/>
          <w:sz w:val="24"/>
          <w:szCs w:val="24"/>
        </w:rPr>
        <w:t>E’ IL Ministero dell’Interno, sentite le Conferenze Stato-città e autonomie locali, che deve stabilire gli indicatori per l’esistenza della deficitarietà con possibilità di modifica triennale.</w:t>
      </w:r>
    </w:p>
    <w:p w:rsidR="00B02C6C" w:rsidRPr="004A10D6" w:rsidRDefault="00B02C6C" w:rsidP="00DB3112">
      <w:pPr>
        <w:ind w:left="360" w:right="113"/>
        <w:rPr>
          <w:rFonts w:ascii="Arial" w:hAnsi="Arial" w:cs="Arial"/>
          <w:sz w:val="24"/>
          <w:szCs w:val="24"/>
        </w:rPr>
      </w:pPr>
      <w:r w:rsidRPr="004A10D6">
        <w:rPr>
          <w:rFonts w:ascii="Arial" w:hAnsi="Arial" w:cs="Arial"/>
          <w:sz w:val="24"/>
          <w:szCs w:val="24"/>
        </w:rPr>
        <w:t>I comuni che si trovano in questo stato sono soggetti al controllo centrale della Commissione per la finanza e gli organici degli enti locali, presso il Ministero dell’Interno, la quale verifica la compatibilità finanziaria.</w:t>
      </w:r>
    </w:p>
    <w:p w:rsidR="00B02C6C" w:rsidRPr="004A10D6" w:rsidRDefault="00B02C6C" w:rsidP="00DB3112">
      <w:pPr>
        <w:ind w:left="360" w:right="113"/>
        <w:rPr>
          <w:rFonts w:ascii="Arial" w:hAnsi="Arial" w:cs="Arial"/>
          <w:sz w:val="24"/>
          <w:szCs w:val="24"/>
        </w:rPr>
      </w:pPr>
      <w:r w:rsidRPr="004A10D6">
        <w:rPr>
          <w:rFonts w:ascii="Arial" w:hAnsi="Arial" w:cs="Arial"/>
          <w:sz w:val="24"/>
          <w:szCs w:val="24"/>
        </w:rPr>
        <w:t xml:space="preserve">Si ha stato di </w:t>
      </w:r>
      <w:r w:rsidRPr="004A10D6">
        <w:rPr>
          <w:rFonts w:ascii="Arial" w:hAnsi="Arial" w:cs="Arial"/>
          <w:b/>
          <w:bCs/>
          <w:sz w:val="24"/>
          <w:szCs w:val="24"/>
        </w:rPr>
        <w:t>dissesto finanziario</w:t>
      </w:r>
      <w:r w:rsidRPr="004A10D6">
        <w:rPr>
          <w:rFonts w:ascii="Arial" w:hAnsi="Arial" w:cs="Arial"/>
          <w:sz w:val="24"/>
          <w:szCs w:val="24"/>
        </w:rPr>
        <w:t xml:space="preserve"> se l'ente non può garantire l'assolvimento delle funzioni e dei servizi indispensabili ovvero esistono nei confronti dell'ente locale crediti liquidi ed esigibili di terzi cui non si possa fare validamente fronte con le modalità di cui all'articolo 193, nonché con le modalità di cui all'articolo 194 per le fattispecie ivi previste. Dunque 2 sono le tipologie previste dal TUEL:</w:t>
      </w:r>
    </w:p>
    <w:p w:rsidR="00B02C6C" w:rsidRPr="004A10D6" w:rsidRDefault="00B02C6C" w:rsidP="00DB3112">
      <w:pPr>
        <w:tabs>
          <w:tab w:val="left" w:pos="720"/>
        </w:tabs>
        <w:suppressAutoHyphens/>
        <w:autoSpaceDE w:val="0"/>
        <w:autoSpaceDN/>
        <w:adjustRightInd/>
        <w:spacing w:after="0" w:line="240" w:lineRule="auto"/>
        <w:ind w:left="360" w:right="113"/>
        <w:rPr>
          <w:rFonts w:ascii="Arial" w:hAnsi="Arial" w:cs="Arial"/>
          <w:sz w:val="24"/>
          <w:szCs w:val="24"/>
        </w:rPr>
      </w:pPr>
      <w:r w:rsidRPr="004A10D6">
        <w:rPr>
          <w:rFonts w:ascii="Arial" w:hAnsi="Arial" w:cs="Arial"/>
          <w:sz w:val="24"/>
          <w:szCs w:val="24"/>
        </w:rPr>
        <w:lastRenderedPageBreak/>
        <w:t>Incapacità economico finanziaria di garantire l’erogazione dei servizi indispensabili previsti dalla legge</w:t>
      </w:r>
    </w:p>
    <w:p w:rsidR="00B02C6C" w:rsidRPr="004A10D6" w:rsidRDefault="00B02C6C" w:rsidP="00DB3112">
      <w:pPr>
        <w:tabs>
          <w:tab w:val="left" w:pos="720"/>
        </w:tabs>
        <w:suppressAutoHyphens/>
        <w:autoSpaceDE w:val="0"/>
        <w:autoSpaceDN/>
        <w:adjustRightInd/>
        <w:spacing w:after="0" w:line="240" w:lineRule="auto"/>
        <w:ind w:left="360" w:right="113"/>
        <w:rPr>
          <w:rFonts w:ascii="Arial" w:hAnsi="Arial" w:cs="Arial"/>
          <w:sz w:val="24"/>
          <w:szCs w:val="24"/>
        </w:rPr>
      </w:pPr>
      <w:r w:rsidRPr="004A10D6">
        <w:rPr>
          <w:rFonts w:ascii="Arial" w:hAnsi="Arial" w:cs="Arial"/>
          <w:sz w:val="24"/>
          <w:szCs w:val="24"/>
        </w:rPr>
        <w:t xml:space="preserve">Esistenza di debiti del comune, liquidi ed esigibili ai quali non è possibile far fronte né con la salvaguardia degli equilibri di bilancio, né con il riconoscimento di legittimità di debiti fuori bilancio.. </w:t>
      </w:r>
    </w:p>
    <w:p w:rsidR="00B02C6C" w:rsidRPr="004A10D6" w:rsidRDefault="00B02C6C" w:rsidP="00DB3112">
      <w:pPr>
        <w:ind w:left="360" w:right="113"/>
        <w:rPr>
          <w:rFonts w:ascii="Arial" w:hAnsi="Arial" w:cs="Arial"/>
          <w:sz w:val="24"/>
          <w:szCs w:val="24"/>
        </w:rPr>
      </w:pPr>
      <w:r w:rsidRPr="004A10D6">
        <w:rPr>
          <w:rFonts w:ascii="Arial" w:hAnsi="Arial" w:cs="Arial"/>
          <w:sz w:val="24"/>
          <w:szCs w:val="24"/>
        </w:rPr>
        <w:t>Qualora vi siano condizioni deficitarie o di dissesto il C.c. dichiara lo stato di dissesto con delibera no revocabile alla quale è allegata una relazione dell’organo di revisione che analizza dettagliatamente le cause del dissesto. La delibera è trasmessa entro 5 giorni al Ministero Interno e alla procura regionale presso la Corte dei conti e va pubblicata sulla Gazzetta Ufficiale insieme al decreto del presidente della Repubblica di nomina dell’organo straordinario di liquidazione.</w:t>
      </w:r>
    </w:p>
    <w:p w:rsidR="00B02C6C" w:rsidRPr="004A10D6" w:rsidRDefault="00B02C6C" w:rsidP="00DB3112">
      <w:pPr>
        <w:ind w:left="360" w:right="113"/>
        <w:rPr>
          <w:rFonts w:ascii="Arial" w:hAnsi="Arial" w:cs="Arial"/>
          <w:sz w:val="24"/>
          <w:szCs w:val="24"/>
        </w:rPr>
      </w:pPr>
      <w:r w:rsidRPr="004A10D6">
        <w:rPr>
          <w:rFonts w:ascii="Arial" w:hAnsi="Arial" w:cs="Arial"/>
          <w:sz w:val="24"/>
          <w:szCs w:val="24"/>
        </w:rPr>
        <w:t>Una volta deliberato lo stato di dissesto il comune è soggetto ad un regime normativo specifico.</w:t>
      </w:r>
    </w:p>
    <w:p w:rsidR="00B02C6C" w:rsidRPr="004A10D6" w:rsidRDefault="00B02C6C" w:rsidP="00DB3112">
      <w:pPr>
        <w:tabs>
          <w:tab w:val="left" w:pos="720"/>
        </w:tabs>
        <w:suppressAutoHyphens/>
        <w:autoSpaceDE w:val="0"/>
        <w:autoSpaceDN/>
        <w:adjustRightInd/>
        <w:spacing w:after="0" w:line="240" w:lineRule="auto"/>
        <w:ind w:left="360" w:right="113"/>
        <w:rPr>
          <w:rFonts w:ascii="Arial" w:hAnsi="Arial" w:cs="Arial"/>
          <w:sz w:val="24"/>
          <w:szCs w:val="24"/>
        </w:rPr>
      </w:pPr>
      <w:r w:rsidRPr="004A10D6">
        <w:rPr>
          <w:rFonts w:ascii="Arial" w:hAnsi="Arial" w:cs="Arial"/>
          <w:sz w:val="24"/>
          <w:szCs w:val="24"/>
        </w:rPr>
        <w:t xml:space="preserve">Se ha già approvato il bilancio di esercizio nel quale è stato deliberato il dissesto il bilancio produce i suoi effetti per la durata dell’anno solare. Agli enti locali che presentino, nell'ultimo rendiconto deliberato, disavanzo di amministrazione ovvero indichino debiti fuori bilancio per i quali non sono stati validamente adottati i provvedimenti di cui all'articolo 193, è fatto divieto di assumere impegni e pagare spese per servizi non espressamente previsti per legge. Sono fatte salve le spese da sostenere a fronte di impegni già assunti nei precedenti esercizi. </w:t>
      </w:r>
    </w:p>
    <w:p w:rsidR="00B02C6C" w:rsidRPr="004A10D6" w:rsidRDefault="00B02C6C" w:rsidP="00DB3112">
      <w:pPr>
        <w:tabs>
          <w:tab w:val="left" w:pos="720"/>
        </w:tabs>
        <w:suppressAutoHyphens/>
        <w:autoSpaceDE w:val="0"/>
        <w:autoSpaceDN/>
        <w:adjustRightInd/>
        <w:spacing w:after="0" w:line="240" w:lineRule="auto"/>
        <w:ind w:left="360" w:right="113"/>
        <w:rPr>
          <w:rFonts w:ascii="Arial" w:hAnsi="Arial" w:cs="Arial"/>
          <w:sz w:val="24"/>
          <w:szCs w:val="24"/>
        </w:rPr>
      </w:pPr>
      <w:r w:rsidRPr="004A10D6">
        <w:rPr>
          <w:rFonts w:ascii="Arial" w:hAnsi="Arial" w:cs="Arial"/>
          <w:sz w:val="24"/>
          <w:szCs w:val="24"/>
        </w:rPr>
        <w:t>Se ha già approvato il bilancio per l’ esercizio finanziario successivo a quello in cui è stato deliberato il dissesto, la delibera di approvazione del bilancio deve esser revocata.</w:t>
      </w:r>
    </w:p>
    <w:p w:rsidR="00B02C6C" w:rsidRPr="004A10D6" w:rsidRDefault="00B02C6C" w:rsidP="00DB3112">
      <w:pPr>
        <w:ind w:left="360" w:right="49"/>
        <w:rPr>
          <w:rFonts w:ascii="Arial" w:hAnsi="Arial" w:cs="Arial"/>
          <w:sz w:val="24"/>
          <w:szCs w:val="24"/>
        </w:rPr>
      </w:pPr>
      <w:r w:rsidRPr="004A10D6">
        <w:rPr>
          <w:rFonts w:ascii="Arial" w:hAnsi="Arial" w:cs="Arial"/>
          <w:sz w:val="24"/>
          <w:szCs w:val="24"/>
        </w:rPr>
        <w:t xml:space="preserve">Dalla data di deliberazione del dissesto finanziario e sino alla data di approvazione dell'ipotesi di bilancio riequilibrato di cui all'articolo 261 l'ente locale non può impegnare per ciascun intervento somme complessivamente superiori a quelle definitivamente previste nell'ultimo bilancio approvato, comunque nei limiti delle entrate accertate. I relativi pagamenti in conto competenza non possono mensilmente superare un dodicesimo delle rispettive somme impegnabili, con esclusione delle spese non suscettibili di pagamento frazionato in dodicesimi. L'ente applica principi di buona amministrazione al fine di non aggravare la posizione debitoria e mantenere la coerenza con l'ipotesi di bilancio riequilibrato predisposta dallo stesso. Per le spese disposte dalla legge e per quelle relative ai servizi locali indispensabili, nei casi in cui nell'ultimo bilancio approvato mancano del tutto gli stanziamenti ovvero gli stessi sono previsti per importi insufficienti, il consiglio o la giunta con i poteri del primo, salvo ratifica, individua con deliberazione le spese da finanziare, con gli interventi relativi, motiva nel dettaglio le ragioni per le quali mancano o sono insufficienti gli stanziamenti nell'ultimo bilancio approvato e determina le fonti di finanziamento. Sulla base di tali deliberazioni possono essere assunti gli impegni corrispondenti. Le deliberazioni, da sottoporre all'esame dell'organo regionale di controllo, sono notificate al tesoriere. A seguito della dichiarazione di dissesto, e sino all'emanazione del decreto di cui all'articolo 261, sono sospesi i termini per la deliberazione del bilancio. Dalla data della dichiarazione di </w:t>
      </w:r>
      <w:r w:rsidRPr="004A10D6">
        <w:rPr>
          <w:rFonts w:ascii="Arial" w:hAnsi="Arial" w:cs="Arial"/>
          <w:sz w:val="24"/>
          <w:szCs w:val="24"/>
        </w:rPr>
        <w:lastRenderedPageBreak/>
        <w:t>dissesto e sino all'approvazione del rendiconto di cui all'articolo 256 non possono essere intraprese o proseguite azioni esecutive nei confronti dell'ente per i debiti che rientrano nella competenza dell'organo straordinario di liquidazione. Le procedure esecutive pendenti alla data della dichiarazione di dissesto, nelle quali sono scaduti i termini per l'opposizione giudiziale da parte dell'ente, o la stessa benché proposta è stata rigettata, sono dichiarate estinte d'ufficio dal giudice con inserimento nella massa passiva dell'importo dovuto a titolo di capitale, accessori e spese. I pignoramenti eventualmente eseguiti dopo la deliberazione dello stato di dissesto non vincolano l'ente ed il tesoriere, i quali possono disporre delle somme per i fini dell'ente e le finalità di legge. Dalla data della deliberazione di dissesto e sino all'approvazione del rendiconto di cui all'articolo 256 i debiti insoluti a tale data e le somme dovute per anticipazioni di cassa già erogate non producono più interessi né sono soggetti a rivalutazione monetaria. Uguale disciplina si applica ai crediti nei confronti dell'ente che rientrano nella competenza dell'organo straordinario di liquidazione a decorrere dal momento della loro liquidità ed esigibilità. Fermo restando quanto previsto dall'art. 1 della legge 14 gennaio 1994 n. 20, gli amministratori che la Corte dei Conti ha riconosciuto responsabili, anche in primo grado, di danni da loro prodotti, con dolo o colpa grave, nei cinque anni precedenti il verificarsi del dissesto finanziario, non possono ricoprire, per un periodo di cinque anni, incarichi di assessore, di revisore dei conti di enti locali e di rappresentante di enti locali presso altri enti, istituzioni ed organismi pubblici e privati, ove la Corte, valutate le circostanze e le cause che hanno determinato il dissesto, accerti che questo è diretta conseguenza delle azioni od omissioni per le quali l'amministratore è stato riconosciuto responsabile.</w:t>
      </w:r>
    </w:p>
    <w:p w:rsidR="00B02C6C" w:rsidRPr="004A10D6" w:rsidRDefault="00B02C6C" w:rsidP="00DB3112">
      <w:pPr>
        <w:ind w:left="360" w:right="49"/>
        <w:rPr>
          <w:rFonts w:ascii="Arial" w:hAnsi="Arial" w:cs="Arial"/>
          <w:sz w:val="24"/>
          <w:szCs w:val="24"/>
        </w:rPr>
      </w:pPr>
      <w:r w:rsidRPr="004A10D6">
        <w:rPr>
          <w:rFonts w:ascii="Arial" w:hAnsi="Arial" w:cs="Arial"/>
          <w:sz w:val="24"/>
          <w:szCs w:val="24"/>
        </w:rPr>
        <w:t>Un’ulteriore conseguenza del dissesto riguarda gli amministratori che la Corte dei Conti ha riconosciuto responsabili dei danni con dolo o colpa graverei 5 anni precedenti a quelli del dissesto finanziario. Questi infatti non potranno ricoprire per un periodo di 5 anni incarichi di assessore, revisori dei conti, rappresentante enti locali.Dalla data di deliberazione di dissesto e sino all'emanazione del decreto di cui all'articolo 261, comma 3, gli enti locali non possono contrarre nuovi mutui, con eccezione dei mutui previsti dall'articolo 255 e dei mutui con oneri a totale carico dello Stato o delle regioni. Nella prima riunione successiva alla dichiarazione di dissesto e comunque entro trenta giorni dalla data di esecutività della delibera, il consiglio dell'ente, o il commissario nominato ai sensi dell'articolo 247, comma 3, è tenuto a deliberare per le imposte e tasse locali di spettanza dell'ente dissestato, diverse dalla tassa per lo smaltimento dei rifiuti solidi urbani, le aliquote e le tariffe di base nella misura massima consentita, nonché i limiti reddituali, agli effetti dell'applicazione dell'imposta comunale per l'esercizio di imprese, arti e professioni, che determinano gli importi massimi del tributo dovuto.</w:t>
      </w:r>
    </w:p>
    <w:p w:rsidR="00B02C6C" w:rsidRPr="004A10D6" w:rsidRDefault="00B02C6C" w:rsidP="00DB3112">
      <w:pPr>
        <w:ind w:right="49"/>
        <w:rPr>
          <w:rFonts w:ascii="Arial" w:hAnsi="Arial" w:cs="Arial"/>
          <w:sz w:val="24"/>
          <w:szCs w:val="24"/>
        </w:rPr>
      </w:pPr>
    </w:p>
    <w:p w:rsidR="00B02C6C" w:rsidRPr="004A10D6" w:rsidRDefault="00B02C6C" w:rsidP="00DB3112">
      <w:pPr>
        <w:widowControl/>
        <w:ind w:left="360"/>
        <w:rPr>
          <w:rFonts w:ascii="Arial" w:hAnsi="Arial" w:cs="Arial"/>
          <w:b/>
          <w:bCs/>
          <w:sz w:val="24"/>
          <w:szCs w:val="24"/>
        </w:rPr>
      </w:pPr>
      <w:r w:rsidRPr="004A10D6">
        <w:rPr>
          <w:rFonts w:ascii="Arial" w:hAnsi="Arial" w:cs="Arial"/>
          <w:b/>
          <w:bCs/>
          <w:sz w:val="24"/>
          <w:szCs w:val="24"/>
        </w:rPr>
        <w:t>i mutui (artt. 199-207)</w:t>
      </w:r>
    </w:p>
    <w:p w:rsidR="00B02C6C" w:rsidRPr="004A10D6" w:rsidRDefault="00B02C6C" w:rsidP="00DB3112">
      <w:pPr>
        <w:widowControl/>
        <w:ind w:left="360"/>
        <w:rPr>
          <w:rFonts w:ascii="Arial" w:hAnsi="Arial" w:cs="Arial"/>
          <w:sz w:val="24"/>
          <w:szCs w:val="24"/>
        </w:rPr>
      </w:pPr>
      <w:r w:rsidRPr="004A10D6">
        <w:rPr>
          <w:rFonts w:ascii="Arial" w:hAnsi="Arial" w:cs="Arial"/>
          <w:sz w:val="24"/>
          <w:szCs w:val="24"/>
        </w:rPr>
        <w:lastRenderedPageBreak/>
        <w:t>È possibile contrarre indebitamento solo per:</w:t>
      </w:r>
    </w:p>
    <w:p w:rsidR="00B02C6C" w:rsidRPr="004A10D6" w:rsidRDefault="00B02C6C" w:rsidP="00DB3112">
      <w:pPr>
        <w:widowControl/>
        <w:ind w:left="2520"/>
        <w:rPr>
          <w:rFonts w:ascii="Arial" w:hAnsi="Arial" w:cs="Arial"/>
          <w:sz w:val="24"/>
          <w:szCs w:val="24"/>
        </w:rPr>
      </w:pPr>
      <w:r w:rsidRPr="004A10D6">
        <w:rPr>
          <w:rFonts w:ascii="Arial" w:hAnsi="Arial" w:cs="Arial"/>
          <w:sz w:val="24"/>
          <w:szCs w:val="24"/>
        </w:rPr>
        <w:t>investimenti;</w:t>
      </w:r>
    </w:p>
    <w:p w:rsidR="00B02C6C" w:rsidRPr="004A10D6" w:rsidRDefault="00B02C6C" w:rsidP="00DB3112">
      <w:pPr>
        <w:widowControl/>
        <w:ind w:left="2520"/>
        <w:rPr>
          <w:rFonts w:ascii="Arial" w:hAnsi="Arial" w:cs="Arial"/>
          <w:sz w:val="24"/>
          <w:szCs w:val="24"/>
        </w:rPr>
      </w:pPr>
      <w:r w:rsidRPr="004A10D6">
        <w:rPr>
          <w:rFonts w:ascii="Arial" w:hAnsi="Arial" w:cs="Arial"/>
          <w:sz w:val="24"/>
          <w:szCs w:val="24"/>
        </w:rPr>
        <w:t>finanziamento di debiti fuori bilancio, se non diversamente realizzabile (art.</w:t>
      </w:r>
    </w:p>
    <w:p w:rsidR="00B02C6C" w:rsidRPr="004A10D6" w:rsidRDefault="00B02C6C" w:rsidP="00DB3112">
      <w:pPr>
        <w:widowControl/>
        <w:ind w:left="360"/>
        <w:rPr>
          <w:rFonts w:ascii="Arial" w:hAnsi="Arial" w:cs="Arial"/>
          <w:sz w:val="24"/>
          <w:szCs w:val="24"/>
        </w:rPr>
      </w:pPr>
      <w:r w:rsidRPr="004A10D6">
        <w:rPr>
          <w:rFonts w:ascii="Arial" w:hAnsi="Arial" w:cs="Arial"/>
          <w:sz w:val="24"/>
          <w:szCs w:val="24"/>
        </w:rPr>
        <w:t>194);</w:t>
      </w:r>
    </w:p>
    <w:p w:rsidR="00B02C6C" w:rsidRPr="004A10D6" w:rsidRDefault="00B02C6C" w:rsidP="00DB3112">
      <w:pPr>
        <w:widowControl/>
        <w:ind w:left="2520"/>
        <w:rPr>
          <w:rFonts w:ascii="Arial" w:hAnsi="Arial" w:cs="Arial"/>
          <w:sz w:val="24"/>
          <w:szCs w:val="24"/>
        </w:rPr>
      </w:pPr>
      <w:r w:rsidRPr="004A10D6">
        <w:rPr>
          <w:rFonts w:ascii="Arial" w:hAnsi="Arial" w:cs="Arial"/>
          <w:sz w:val="24"/>
          <w:szCs w:val="24"/>
        </w:rPr>
        <w:t>altre destinazioni di legge (per esempio: il «Fondo rotativo per la progettualità</w:t>
      </w:r>
    </w:p>
    <w:p w:rsidR="00B02C6C" w:rsidRPr="004A10D6" w:rsidRDefault="00B02C6C" w:rsidP="00DB3112">
      <w:pPr>
        <w:widowControl/>
        <w:ind w:left="360"/>
        <w:rPr>
          <w:rFonts w:ascii="Arial" w:hAnsi="Arial" w:cs="Arial"/>
          <w:sz w:val="24"/>
          <w:szCs w:val="24"/>
        </w:rPr>
      </w:pPr>
      <w:r w:rsidRPr="004A10D6">
        <w:rPr>
          <w:rFonts w:ascii="Arial" w:hAnsi="Arial" w:cs="Arial"/>
          <w:sz w:val="24"/>
          <w:szCs w:val="24"/>
        </w:rPr>
        <w:t>», istituito dalla L. n. 549/1995).</w:t>
      </w:r>
    </w:p>
    <w:p w:rsidR="00B02C6C" w:rsidRPr="004A10D6" w:rsidRDefault="00B02C6C" w:rsidP="00DB3112">
      <w:pPr>
        <w:widowControl/>
        <w:ind w:left="360"/>
        <w:rPr>
          <w:rFonts w:ascii="Arial" w:hAnsi="Arial" w:cs="Arial"/>
          <w:sz w:val="24"/>
          <w:szCs w:val="24"/>
        </w:rPr>
      </w:pPr>
      <w:r w:rsidRPr="004A10D6">
        <w:rPr>
          <w:rFonts w:ascii="Arial" w:hAnsi="Arial" w:cs="Arial"/>
          <w:sz w:val="24"/>
          <w:szCs w:val="24"/>
        </w:rPr>
        <w:t>È inoltre possibile attivare una anticipazione di tesoreria nelle forme e nei limiti</w:t>
      </w:r>
    </w:p>
    <w:p w:rsidR="00B02C6C" w:rsidRPr="004A10D6" w:rsidRDefault="00B02C6C" w:rsidP="00DB3112">
      <w:pPr>
        <w:widowControl/>
        <w:ind w:left="360"/>
        <w:rPr>
          <w:rFonts w:ascii="Arial" w:hAnsi="Arial" w:cs="Arial"/>
          <w:sz w:val="24"/>
          <w:szCs w:val="24"/>
        </w:rPr>
      </w:pPr>
      <w:r w:rsidRPr="004A10D6">
        <w:rPr>
          <w:rFonts w:ascii="Arial" w:hAnsi="Arial" w:cs="Arial"/>
          <w:sz w:val="24"/>
          <w:szCs w:val="24"/>
        </w:rPr>
        <w:t>previsti dall’art. 222.</w:t>
      </w:r>
    </w:p>
    <w:p w:rsidR="00B02C6C" w:rsidRPr="004A10D6" w:rsidRDefault="00B02C6C" w:rsidP="00DB3112">
      <w:pPr>
        <w:widowControl/>
        <w:ind w:left="360"/>
        <w:rPr>
          <w:rFonts w:ascii="Arial" w:hAnsi="Arial" w:cs="Arial"/>
          <w:sz w:val="24"/>
          <w:szCs w:val="24"/>
        </w:rPr>
      </w:pPr>
      <w:r w:rsidRPr="004A10D6">
        <w:rPr>
          <w:rFonts w:ascii="Arial" w:hAnsi="Arial" w:cs="Arial"/>
          <w:sz w:val="24"/>
          <w:szCs w:val="24"/>
        </w:rPr>
        <w:t>Il mutuo va deliberato dalla giunta purché previsto in atti fondamentali del consiglio</w:t>
      </w:r>
    </w:p>
    <w:p w:rsidR="00B02C6C" w:rsidRPr="004A10D6" w:rsidRDefault="00B02C6C" w:rsidP="00DB3112">
      <w:pPr>
        <w:widowControl/>
        <w:ind w:left="360"/>
        <w:rPr>
          <w:rFonts w:ascii="Arial" w:hAnsi="Arial" w:cs="Arial"/>
          <w:sz w:val="24"/>
          <w:szCs w:val="24"/>
        </w:rPr>
      </w:pPr>
      <w:r w:rsidRPr="004A10D6">
        <w:rPr>
          <w:rFonts w:ascii="Arial" w:hAnsi="Arial" w:cs="Arial"/>
          <w:sz w:val="24"/>
          <w:szCs w:val="24"/>
        </w:rPr>
        <w:t>(quali sono il bilancio annuale e pluriennale e il programma degli investimenti</w:t>
      </w:r>
    </w:p>
    <w:p w:rsidR="00B02C6C" w:rsidRPr="004A10D6" w:rsidRDefault="00B02C6C" w:rsidP="00DB3112">
      <w:pPr>
        <w:widowControl/>
        <w:ind w:left="360"/>
        <w:rPr>
          <w:rFonts w:ascii="Arial" w:hAnsi="Arial" w:cs="Arial"/>
          <w:sz w:val="24"/>
          <w:szCs w:val="24"/>
        </w:rPr>
      </w:pPr>
      <w:r w:rsidRPr="004A10D6">
        <w:rPr>
          <w:rFonts w:ascii="Arial" w:hAnsi="Arial" w:cs="Arial"/>
          <w:sz w:val="24"/>
          <w:szCs w:val="24"/>
        </w:rPr>
        <w:t>del triennio) e a condizione che:</w:t>
      </w:r>
    </w:p>
    <w:p w:rsidR="00B02C6C" w:rsidRPr="004A10D6" w:rsidRDefault="00B02C6C" w:rsidP="00DB3112">
      <w:pPr>
        <w:widowControl/>
        <w:ind w:left="2520"/>
        <w:rPr>
          <w:rFonts w:ascii="Arial" w:hAnsi="Arial" w:cs="Arial"/>
          <w:sz w:val="24"/>
          <w:szCs w:val="24"/>
        </w:rPr>
      </w:pPr>
      <w:r w:rsidRPr="004A10D6">
        <w:rPr>
          <w:rFonts w:ascii="Arial" w:hAnsi="Arial" w:cs="Arial"/>
          <w:sz w:val="24"/>
          <w:szCs w:val="24"/>
        </w:rPr>
        <w:t>sia approvato il rendiconto del penultimo esercizio;</w:t>
      </w:r>
    </w:p>
    <w:p w:rsidR="00B02C6C" w:rsidRPr="004A10D6" w:rsidRDefault="00B02C6C" w:rsidP="00DB3112">
      <w:pPr>
        <w:widowControl/>
        <w:ind w:left="2520"/>
        <w:rPr>
          <w:rFonts w:ascii="Arial" w:hAnsi="Arial" w:cs="Arial"/>
          <w:sz w:val="24"/>
          <w:szCs w:val="24"/>
        </w:rPr>
      </w:pPr>
      <w:r w:rsidRPr="004A10D6">
        <w:rPr>
          <w:rFonts w:ascii="Arial" w:hAnsi="Arial" w:cs="Arial"/>
          <w:sz w:val="24"/>
          <w:szCs w:val="24"/>
        </w:rPr>
        <w:t>sia approvato il bilancio annuale che include la previsione del mutuo.</w:t>
      </w:r>
    </w:p>
    <w:p w:rsidR="00B02C6C" w:rsidRPr="004A10D6" w:rsidRDefault="00B02C6C" w:rsidP="00DB3112">
      <w:pPr>
        <w:widowControl/>
        <w:ind w:left="360"/>
        <w:rPr>
          <w:rFonts w:ascii="Arial" w:hAnsi="Arial" w:cs="Arial"/>
          <w:sz w:val="24"/>
          <w:szCs w:val="24"/>
        </w:rPr>
      </w:pPr>
      <w:r w:rsidRPr="004A10D6">
        <w:rPr>
          <w:rFonts w:ascii="Arial" w:hAnsi="Arial" w:cs="Arial"/>
          <w:sz w:val="24"/>
          <w:szCs w:val="24"/>
        </w:rPr>
        <w:t>Le variazioni di bilancio relative alle previsioni di mutui devono essere approvate</w:t>
      </w:r>
    </w:p>
    <w:p w:rsidR="00B02C6C" w:rsidRPr="004A10D6" w:rsidRDefault="00B02C6C" w:rsidP="00DB3112">
      <w:pPr>
        <w:widowControl/>
        <w:ind w:left="360"/>
        <w:rPr>
          <w:rFonts w:ascii="Arial" w:hAnsi="Arial" w:cs="Arial"/>
          <w:sz w:val="24"/>
          <w:szCs w:val="24"/>
        </w:rPr>
      </w:pPr>
      <w:r w:rsidRPr="004A10D6">
        <w:rPr>
          <w:rFonts w:ascii="Arial" w:hAnsi="Arial" w:cs="Arial"/>
          <w:sz w:val="24"/>
          <w:szCs w:val="24"/>
        </w:rPr>
        <w:t>insieme con le modifiche del bilancio pluriennale e della relazione previsionale e</w:t>
      </w:r>
    </w:p>
    <w:p w:rsidR="00B02C6C" w:rsidRPr="004A10D6" w:rsidRDefault="00B02C6C" w:rsidP="00DB3112">
      <w:pPr>
        <w:widowControl/>
        <w:ind w:left="360"/>
        <w:rPr>
          <w:rFonts w:ascii="Arial" w:hAnsi="Arial" w:cs="Arial"/>
          <w:sz w:val="24"/>
          <w:szCs w:val="24"/>
        </w:rPr>
      </w:pPr>
      <w:r w:rsidRPr="004A10D6">
        <w:rPr>
          <w:rFonts w:ascii="Arial" w:hAnsi="Arial" w:cs="Arial"/>
          <w:sz w:val="24"/>
          <w:szCs w:val="24"/>
        </w:rPr>
        <w:t>programmatica, per tener conto degli oneri finanziari e gestionali indotti sugli anni</w:t>
      </w:r>
    </w:p>
    <w:p w:rsidR="00B02C6C" w:rsidRPr="004A10D6" w:rsidRDefault="00B02C6C" w:rsidP="00DB3112">
      <w:pPr>
        <w:widowControl/>
        <w:ind w:left="360"/>
        <w:rPr>
          <w:rFonts w:ascii="Arial" w:hAnsi="Arial" w:cs="Arial"/>
          <w:sz w:val="24"/>
          <w:szCs w:val="24"/>
        </w:rPr>
      </w:pPr>
      <w:r w:rsidRPr="004A10D6">
        <w:rPr>
          <w:rFonts w:ascii="Arial" w:hAnsi="Arial" w:cs="Arial"/>
          <w:sz w:val="24"/>
          <w:szCs w:val="24"/>
        </w:rPr>
        <w:t>successivi.</w:t>
      </w:r>
    </w:p>
    <w:p w:rsidR="00B02C6C" w:rsidRPr="004A10D6" w:rsidRDefault="00B02C6C" w:rsidP="00DB3112">
      <w:pPr>
        <w:widowControl/>
        <w:ind w:left="360"/>
        <w:rPr>
          <w:rFonts w:ascii="Arial" w:hAnsi="Arial" w:cs="Arial"/>
          <w:sz w:val="24"/>
          <w:szCs w:val="24"/>
        </w:rPr>
      </w:pPr>
      <w:r w:rsidRPr="004A10D6">
        <w:rPr>
          <w:rFonts w:ascii="Arial" w:hAnsi="Arial" w:cs="Arial"/>
          <w:sz w:val="24"/>
          <w:szCs w:val="24"/>
        </w:rPr>
        <w:t>Inoltre, per deliberare la contrazione di un mutuo occorre tener presente che la</w:t>
      </w:r>
    </w:p>
    <w:p w:rsidR="00B02C6C" w:rsidRPr="004A10D6" w:rsidRDefault="00B02C6C" w:rsidP="00DB3112">
      <w:pPr>
        <w:widowControl/>
        <w:ind w:left="360"/>
        <w:rPr>
          <w:rFonts w:ascii="Arial" w:hAnsi="Arial" w:cs="Arial"/>
          <w:sz w:val="24"/>
          <w:szCs w:val="24"/>
        </w:rPr>
      </w:pPr>
      <w:r w:rsidRPr="004A10D6">
        <w:rPr>
          <w:rFonts w:ascii="Arial" w:hAnsi="Arial" w:cs="Arial"/>
          <w:sz w:val="24"/>
          <w:szCs w:val="24"/>
        </w:rPr>
        <w:t>somma degli interessi del nuovo mutuo con quelli dei mutui già in essere non può</w:t>
      </w:r>
    </w:p>
    <w:p w:rsidR="00B02C6C" w:rsidRPr="004A10D6" w:rsidRDefault="00B02C6C" w:rsidP="00DB3112">
      <w:pPr>
        <w:widowControl/>
        <w:ind w:left="360"/>
        <w:rPr>
          <w:rFonts w:ascii="Arial" w:hAnsi="Arial" w:cs="Arial"/>
          <w:sz w:val="24"/>
          <w:szCs w:val="24"/>
        </w:rPr>
      </w:pPr>
      <w:r w:rsidRPr="004A10D6">
        <w:rPr>
          <w:rFonts w:ascii="Arial" w:hAnsi="Arial" w:cs="Arial"/>
          <w:sz w:val="24"/>
          <w:szCs w:val="24"/>
        </w:rPr>
        <w:t>superare il 25% delle entrate correnti accertate con il rendiconto del penultimo esercizio.</w:t>
      </w:r>
    </w:p>
    <w:p w:rsidR="00B02C6C" w:rsidRPr="004A10D6" w:rsidRDefault="00B02C6C" w:rsidP="00DB3112">
      <w:pPr>
        <w:widowControl/>
        <w:ind w:left="360"/>
        <w:rPr>
          <w:rFonts w:ascii="Arial" w:hAnsi="Arial" w:cs="Arial"/>
          <w:sz w:val="24"/>
          <w:szCs w:val="24"/>
        </w:rPr>
      </w:pPr>
      <w:r w:rsidRPr="004A10D6">
        <w:rPr>
          <w:rFonts w:ascii="Arial" w:hAnsi="Arial" w:cs="Arial"/>
          <w:sz w:val="24"/>
          <w:szCs w:val="24"/>
        </w:rPr>
        <w:t>Vanno aggiunte, ai fini del calcolo, le garanzie fideiussorie prestate e vanno</w:t>
      </w:r>
    </w:p>
    <w:p w:rsidR="00B02C6C" w:rsidRPr="004A10D6" w:rsidRDefault="00B02C6C" w:rsidP="00DB3112">
      <w:pPr>
        <w:widowControl/>
        <w:ind w:left="360"/>
        <w:rPr>
          <w:rFonts w:ascii="Arial" w:hAnsi="Arial" w:cs="Arial"/>
          <w:sz w:val="24"/>
          <w:szCs w:val="24"/>
        </w:rPr>
      </w:pPr>
      <w:r w:rsidRPr="004A10D6">
        <w:rPr>
          <w:rFonts w:ascii="Arial" w:hAnsi="Arial" w:cs="Arial"/>
          <w:sz w:val="24"/>
          <w:szCs w:val="24"/>
        </w:rPr>
        <w:t>detratti i contributi statali e regionali in conto interessi.</w:t>
      </w:r>
    </w:p>
    <w:p w:rsidR="00B02C6C" w:rsidRPr="004A10D6" w:rsidRDefault="00B02C6C" w:rsidP="00DB3112">
      <w:pPr>
        <w:widowControl/>
        <w:ind w:left="360"/>
        <w:rPr>
          <w:rFonts w:ascii="Arial" w:hAnsi="Arial" w:cs="Arial"/>
          <w:sz w:val="24"/>
          <w:szCs w:val="24"/>
        </w:rPr>
      </w:pPr>
      <w:r w:rsidRPr="004A10D6">
        <w:rPr>
          <w:rFonts w:ascii="Arial" w:hAnsi="Arial" w:cs="Arial"/>
          <w:sz w:val="24"/>
          <w:szCs w:val="24"/>
        </w:rPr>
        <w:t>I contratti di mutuo stipulati con le banche devono contenere, a pena di nullità,</w:t>
      </w:r>
    </w:p>
    <w:p w:rsidR="00B02C6C" w:rsidRPr="004A10D6" w:rsidRDefault="00B02C6C" w:rsidP="00DB3112">
      <w:pPr>
        <w:widowControl/>
        <w:ind w:left="360"/>
        <w:rPr>
          <w:rFonts w:ascii="Arial" w:hAnsi="Arial" w:cs="Arial"/>
          <w:sz w:val="24"/>
          <w:szCs w:val="24"/>
        </w:rPr>
      </w:pPr>
      <w:r w:rsidRPr="004A10D6">
        <w:rPr>
          <w:rFonts w:ascii="Arial" w:hAnsi="Arial" w:cs="Arial"/>
          <w:sz w:val="24"/>
          <w:szCs w:val="24"/>
        </w:rPr>
        <w:t>una serie di clausole, che l’art. 204 dettaglia accuratamente (durata minima 10 anni,</w:t>
      </w:r>
    </w:p>
    <w:p w:rsidR="00B02C6C" w:rsidRPr="004A10D6" w:rsidRDefault="00B02C6C" w:rsidP="00DB3112">
      <w:pPr>
        <w:widowControl/>
        <w:ind w:left="360"/>
        <w:rPr>
          <w:rFonts w:ascii="Arial" w:hAnsi="Arial" w:cs="Arial"/>
          <w:sz w:val="24"/>
          <w:szCs w:val="24"/>
        </w:rPr>
      </w:pPr>
      <w:r w:rsidRPr="004A10D6">
        <w:rPr>
          <w:rFonts w:ascii="Arial" w:hAnsi="Arial" w:cs="Arial"/>
          <w:sz w:val="24"/>
          <w:szCs w:val="24"/>
        </w:rPr>
        <w:lastRenderedPageBreak/>
        <w:t>ammortamento graduale, interessi di preammortamento ecc.).</w:t>
      </w:r>
    </w:p>
    <w:p w:rsidR="00B02C6C" w:rsidRPr="004A10D6" w:rsidRDefault="00B02C6C" w:rsidP="00DB3112">
      <w:pPr>
        <w:widowControl/>
        <w:ind w:left="360"/>
        <w:rPr>
          <w:rFonts w:ascii="Arial" w:hAnsi="Arial" w:cs="Arial"/>
          <w:b/>
          <w:bCs/>
          <w:sz w:val="24"/>
          <w:szCs w:val="24"/>
        </w:rPr>
      </w:pPr>
      <w:r w:rsidRPr="004A10D6">
        <w:rPr>
          <w:rFonts w:ascii="Arial" w:hAnsi="Arial" w:cs="Arial"/>
          <w:b/>
          <w:bCs/>
          <w:sz w:val="24"/>
          <w:szCs w:val="24"/>
        </w:rPr>
        <w:t>1.8.3 Le garanzie (artt. 206 e 207)</w:t>
      </w:r>
    </w:p>
    <w:p w:rsidR="00B02C6C" w:rsidRPr="004A10D6" w:rsidRDefault="00B02C6C" w:rsidP="00DB3112">
      <w:pPr>
        <w:widowControl/>
        <w:ind w:left="360"/>
        <w:rPr>
          <w:rFonts w:ascii="Arial" w:hAnsi="Arial" w:cs="Arial"/>
          <w:sz w:val="24"/>
          <w:szCs w:val="24"/>
        </w:rPr>
      </w:pPr>
      <w:r w:rsidRPr="004A10D6">
        <w:rPr>
          <w:rFonts w:ascii="Arial" w:hAnsi="Arial" w:cs="Arial"/>
          <w:sz w:val="24"/>
          <w:szCs w:val="24"/>
        </w:rPr>
        <w:t>Possono essere rilasciate a garanzia dei prestiti, delegazioni di pagamento sulle</w:t>
      </w:r>
    </w:p>
    <w:p w:rsidR="00B02C6C" w:rsidRPr="004A10D6" w:rsidRDefault="00B02C6C" w:rsidP="00DB3112">
      <w:pPr>
        <w:widowControl/>
        <w:ind w:left="360"/>
        <w:rPr>
          <w:rFonts w:ascii="Arial" w:hAnsi="Arial" w:cs="Arial"/>
          <w:sz w:val="24"/>
          <w:szCs w:val="24"/>
        </w:rPr>
      </w:pPr>
      <w:r w:rsidRPr="004A10D6">
        <w:rPr>
          <w:rFonts w:ascii="Arial" w:hAnsi="Arial" w:cs="Arial"/>
          <w:sz w:val="24"/>
          <w:szCs w:val="24"/>
        </w:rPr>
        <w:t>entrate correnti del bilancio, da notificare al tesoriere, che costituiscono titolo esecutivo.</w:t>
      </w:r>
    </w:p>
    <w:p w:rsidR="00B02C6C" w:rsidRPr="004A10D6" w:rsidRDefault="00B02C6C" w:rsidP="00DB3112">
      <w:pPr>
        <w:widowControl/>
        <w:ind w:left="360"/>
        <w:rPr>
          <w:rFonts w:ascii="Arial" w:hAnsi="Arial" w:cs="Arial"/>
          <w:sz w:val="24"/>
          <w:szCs w:val="24"/>
        </w:rPr>
      </w:pPr>
      <w:r w:rsidRPr="004A10D6">
        <w:rPr>
          <w:rFonts w:ascii="Arial" w:hAnsi="Arial" w:cs="Arial"/>
          <w:sz w:val="24"/>
          <w:szCs w:val="24"/>
        </w:rPr>
        <w:t>La norma non esclude la possibilità di iscrizione di garanzia ipotecaria su immobili</w:t>
      </w:r>
    </w:p>
    <w:p w:rsidR="00B02C6C" w:rsidRPr="004A10D6" w:rsidRDefault="00B02C6C" w:rsidP="00DB3112">
      <w:pPr>
        <w:widowControl/>
        <w:ind w:left="360"/>
        <w:rPr>
          <w:rFonts w:ascii="Arial" w:hAnsi="Arial" w:cs="Arial"/>
          <w:sz w:val="24"/>
          <w:szCs w:val="24"/>
        </w:rPr>
      </w:pPr>
      <w:r w:rsidRPr="004A10D6">
        <w:rPr>
          <w:rFonts w:ascii="Arial" w:hAnsi="Arial" w:cs="Arial"/>
          <w:sz w:val="24"/>
          <w:szCs w:val="24"/>
        </w:rPr>
        <w:t>del patrimonio disponibile.</w:t>
      </w:r>
    </w:p>
    <w:p w:rsidR="00B02C6C" w:rsidRPr="004A10D6" w:rsidRDefault="00B02C6C" w:rsidP="00DB3112">
      <w:pPr>
        <w:widowControl/>
        <w:ind w:left="360"/>
        <w:rPr>
          <w:rFonts w:ascii="Arial" w:hAnsi="Arial" w:cs="Arial"/>
          <w:sz w:val="24"/>
          <w:szCs w:val="24"/>
        </w:rPr>
      </w:pPr>
      <w:r w:rsidRPr="004A10D6">
        <w:rPr>
          <w:rFonts w:ascii="Arial" w:hAnsi="Arial" w:cs="Arial"/>
          <w:sz w:val="24"/>
          <w:szCs w:val="24"/>
        </w:rPr>
        <w:t>L’ente può altresì rilasciare fideiussione a favore di terzi, ma solo entro i limiti</w:t>
      </w:r>
    </w:p>
    <w:p w:rsidR="00B02C6C" w:rsidRPr="004A10D6" w:rsidRDefault="00B02C6C" w:rsidP="00DB3112">
      <w:pPr>
        <w:ind w:left="360" w:right="49"/>
        <w:rPr>
          <w:rFonts w:ascii="Arial" w:hAnsi="Arial" w:cs="Arial"/>
          <w:sz w:val="24"/>
          <w:szCs w:val="24"/>
        </w:rPr>
      </w:pPr>
      <w:r w:rsidRPr="004A10D6">
        <w:rPr>
          <w:rFonts w:ascii="Arial" w:hAnsi="Arial" w:cs="Arial"/>
          <w:sz w:val="24"/>
          <w:szCs w:val="24"/>
        </w:rPr>
        <w:t>tipologici e quantitativi previsti dall’art. 207 medesimo.</w:t>
      </w:r>
    </w:p>
    <w:p w:rsidR="00A22492" w:rsidRPr="004A10D6" w:rsidRDefault="00B02C6C" w:rsidP="00DB3112">
      <w:pPr>
        <w:tabs>
          <w:tab w:val="left" w:pos="720"/>
        </w:tabs>
        <w:suppressAutoHyphens/>
        <w:autoSpaceDE w:val="0"/>
        <w:autoSpaceDN/>
        <w:adjustRightInd/>
        <w:spacing w:after="0" w:line="240" w:lineRule="auto"/>
        <w:ind w:left="360"/>
        <w:rPr>
          <w:rFonts w:ascii="Arial" w:hAnsi="Arial" w:cs="Arial"/>
          <w:sz w:val="24"/>
          <w:szCs w:val="24"/>
        </w:rPr>
      </w:pPr>
      <w:r w:rsidRPr="004A10D6">
        <w:rPr>
          <w:rFonts w:ascii="Arial" w:hAnsi="Arial" w:cs="Arial"/>
          <w:sz w:val="24"/>
          <w:szCs w:val="24"/>
        </w:rPr>
        <w:t xml:space="preserve">Per i comuni con popolazione sino a 5.000 abitanti l'organo straordinario di liquidazione è </w:t>
      </w:r>
    </w:p>
    <w:p w:rsidR="00A22492" w:rsidRPr="004A10D6" w:rsidRDefault="00A22492" w:rsidP="00DB3112">
      <w:pPr>
        <w:tabs>
          <w:tab w:val="left" w:pos="720"/>
        </w:tabs>
        <w:suppressAutoHyphens/>
        <w:autoSpaceDE w:val="0"/>
        <w:autoSpaceDN/>
        <w:adjustRightInd/>
        <w:spacing w:after="0" w:line="240" w:lineRule="auto"/>
        <w:ind w:left="360"/>
        <w:rPr>
          <w:rFonts w:ascii="Arial" w:hAnsi="Arial" w:cs="Arial"/>
          <w:sz w:val="24"/>
          <w:szCs w:val="24"/>
        </w:rPr>
      </w:pPr>
      <w:r w:rsidRPr="004A10D6">
        <w:rPr>
          <w:rFonts w:ascii="Arial" w:hAnsi="Arial" w:cs="Arial"/>
          <w:sz w:val="24"/>
          <w:szCs w:val="24"/>
        </w:rPr>
        <w:t>ORGANO STRAORDINARIO DI LIQUIDAZIONE</w:t>
      </w:r>
    </w:p>
    <w:p w:rsidR="00B02C6C" w:rsidRPr="004A10D6" w:rsidRDefault="00B02C6C" w:rsidP="00DB3112">
      <w:pPr>
        <w:tabs>
          <w:tab w:val="left" w:pos="720"/>
        </w:tabs>
        <w:suppressAutoHyphens/>
        <w:autoSpaceDE w:val="0"/>
        <w:autoSpaceDN/>
        <w:adjustRightInd/>
        <w:spacing w:after="0" w:line="240" w:lineRule="auto"/>
        <w:ind w:left="360"/>
        <w:rPr>
          <w:rFonts w:ascii="Arial" w:hAnsi="Arial" w:cs="Arial"/>
          <w:sz w:val="24"/>
          <w:szCs w:val="24"/>
        </w:rPr>
      </w:pPr>
      <w:r w:rsidRPr="004A10D6">
        <w:rPr>
          <w:rFonts w:ascii="Arial" w:hAnsi="Arial" w:cs="Arial"/>
          <w:sz w:val="24"/>
          <w:szCs w:val="24"/>
        </w:rPr>
        <w:t>composto da un singolo commissario;</w:t>
      </w:r>
    </w:p>
    <w:p w:rsidR="00B02C6C" w:rsidRPr="004A10D6" w:rsidRDefault="00B02C6C" w:rsidP="00DB3112">
      <w:pPr>
        <w:tabs>
          <w:tab w:val="left" w:pos="720"/>
        </w:tabs>
        <w:suppressAutoHyphens/>
        <w:autoSpaceDE w:val="0"/>
        <w:autoSpaceDN/>
        <w:adjustRightInd/>
        <w:spacing w:after="0" w:line="240" w:lineRule="auto"/>
        <w:ind w:left="360"/>
        <w:rPr>
          <w:rFonts w:ascii="Arial" w:hAnsi="Arial" w:cs="Arial"/>
          <w:sz w:val="24"/>
          <w:szCs w:val="24"/>
        </w:rPr>
      </w:pPr>
      <w:r w:rsidRPr="004A10D6">
        <w:rPr>
          <w:rFonts w:ascii="Arial" w:hAnsi="Arial" w:cs="Arial"/>
          <w:sz w:val="24"/>
          <w:szCs w:val="24"/>
        </w:rPr>
        <w:t xml:space="preserve"> per i comuni con popolazione superiore ai 5.000 abitanti e per le province l'organo straordinario di liquidazione è composto da una commissione di tre membri. </w:t>
      </w:r>
    </w:p>
    <w:p w:rsidR="00B02C6C" w:rsidRPr="004A10D6" w:rsidRDefault="00B02C6C" w:rsidP="00DB3112">
      <w:pPr>
        <w:ind w:left="360"/>
        <w:rPr>
          <w:rFonts w:ascii="Arial" w:hAnsi="Arial" w:cs="Arial"/>
          <w:sz w:val="24"/>
          <w:szCs w:val="24"/>
        </w:rPr>
      </w:pPr>
      <w:r w:rsidRPr="004A10D6">
        <w:rPr>
          <w:rFonts w:ascii="Arial" w:hAnsi="Arial" w:cs="Arial"/>
          <w:sz w:val="24"/>
          <w:szCs w:val="24"/>
        </w:rPr>
        <w:t>Il commissario straordinario di liquidazione, per i comuni sino a 5.000 abitanti, o i componenti della commissione straordinaria di liquidazione, per i comuni con popolazione superiore a 5.000 abitanti e per le province, sono nominati fra magistrati a riposo della Corte dei Conti, della magistratura ordinaria, del Consiglio di Stato, fra funzionari dotati di un'idonea esperienza nel campo finanziario e contabile in servizio o in quiescenza degli uffici centrali o periferici del Ministero dell'interno, del Ministero del tesoro del bilancio e della programmazione economica, del Ministero delle finanze e di altre amministrazioni dello Stato, fra i segretari ed i ragionieri comunali e provinciali particolarmente esperti, anche in quiescenza, fra gli iscritti nel registro dei revisori contabili, gli iscritti nell'albo dei dottori commercialisti e gli iscritti nell'albo dei ragionieri. La commissione straordinaria di liquidazione è presieduta, se presente, dal magistrato a riposo della Corte dei Conti o della magistratura ordinaria o del Consiglio di Stato. Diversamente la stessa provvede ad eleggere nel suo seno il presidente. La commissione straordinaria di liquidazione delibera a maggioranza dei suoi componenti. La nomina dell'organo straordinario di liquidazione è disposta con decreto del Presidente della Repubblica su proposta del Ministro dell'interno. L'insediamento presso l'ente avviene entro 5 giorni dalla notifica del provvedimento di nomina.</w:t>
      </w:r>
      <w:r w:rsidR="00A22492" w:rsidRPr="004A10D6">
        <w:rPr>
          <w:rFonts w:ascii="Arial" w:hAnsi="Arial" w:cs="Arial"/>
          <w:sz w:val="24"/>
          <w:szCs w:val="24"/>
        </w:rPr>
        <w:t xml:space="preserve"> Funzioni:</w:t>
      </w:r>
    </w:p>
    <w:p w:rsidR="00B02C6C" w:rsidRPr="004A10D6" w:rsidRDefault="00B02C6C" w:rsidP="00DB3112">
      <w:pPr>
        <w:tabs>
          <w:tab w:val="left" w:pos="720"/>
        </w:tabs>
        <w:suppressAutoHyphens/>
        <w:autoSpaceDE w:val="0"/>
        <w:autoSpaceDN/>
        <w:adjustRightInd/>
        <w:spacing w:after="0" w:line="240" w:lineRule="auto"/>
        <w:ind w:left="360"/>
        <w:rPr>
          <w:rFonts w:ascii="Arial" w:hAnsi="Arial" w:cs="Arial"/>
          <w:sz w:val="24"/>
          <w:szCs w:val="24"/>
        </w:rPr>
      </w:pPr>
      <w:r w:rsidRPr="004A10D6">
        <w:rPr>
          <w:rFonts w:ascii="Arial" w:hAnsi="Arial" w:cs="Arial"/>
          <w:sz w:val="24"/>
          <w:szCs w:val="24"/>
        </w:rPr>
        <w:t xml:space="preserve">rilevazione della massa passiva; forma un piano di rilevazione nel quale entro 60 giorni chiunque ritenga di avere un credito nei confronti del comune, presenta domanda documentata </w:t>
      </w:r>
    </w:p>
    <w:p w:rsidR="00B02C6C" w:rsidRPr="004A10D6" w:rsidRDefault="00B02C6C" w:rsidP="00DB3112">
      <w:pPr>
        <w:tabs>
          <w:tab w:val="left" w:pos="720"/>
        </w:tabs>
        <w:suppressAutoHyphens/>
        <w:autoSpaceDE w:val="0"/>
        <w:autoSpaceDN/>
        <w:adjustRightInd/>
        <w:spacing w:after="0" w:line="240" w:lineRule="auto"/>
        <w:ind w:left="360"/>
        <w:rPr>
          <w:rFonts w:ascii="Arial" w:hAnsi="Arial" w:cs="Arial"/>
          <w:sz w:val="24"/>
          <w:szCs w:val="24"/>
        </w:rPr>
      </w:pPr>
      <w:r w:rsidRPr="004A10D6">
        <w:rPr>
          <w:rFonts w:ascii="Arial" w:hAnsi="Arial" w:cs="Arial"/>
          <w:sz w:val="24"/>
          <w:szCs w:val="24"/>
        </w:rPr>
        <w:t xml:space="preserve">rilevazione della massa attiva effettuando l’accertamento e la riscossione di entrate tributarie pregresse dà corso all’alienazione di beni patrimoniali disponibili e adottando qualsiasi misura atta al risanamento. </w:t>
      </w:r>
    </w:p>
    <w:p w:rsidR="00B02C6C" w:rsidRPr="004A10D6" w:rsidRDefault="00B02C6C" w:rsidP="00DB3112">
      <w:pPr>
        <w:tabs>
          <w:tab w:val="left" w:pos="720"/>
        </w:tabs>
        <w:suppressAutoHyphens/>
        <w:autoSpaceDE w:val="0"/>
        <w:autoSpaceDN/>
        <w:adjustRightInd/>
        <w:spacing w:after="0" w:line="240" w:lineRule="auto"/>
        <w:ind w:left="360"/>
        <w:rPr>
          <w:rFonts w:ascii="Arial" w:hAnsi="Arial" w:cs="Arial"/>
          <w:sz w:val="24"/>
          <w:szCs w:val="24"/>
        </w:rPr>
      </w:pPr>
      <w:r w:rsidRPr="004A10D6">
        <w:rPr>
          <w:rFonts w:ascii="Arial" w:hAnsi="Arial" w:cs="Arial"/>
          <w:sz w:val="24"/>
          <w:szCs w:val="24"/>
        </w:rPr>
        <w:lastRenderedPageBreak/>
        <w:t>acquisizione e gestione dei mezzi finanziari disponibili ai fini del risanamento anche mediante alienazione dei beni patrimoniali;</w:t>
      </w:r>
    </w:p>
    <w:p w:rsidR="00B02C6C" w:rsidRPr="004A10D6" w:rsidRDefault="00B02C6C" w:rsidP="00DB3112">
      <w:pPr>
        <w:tabs>
          <w:tab w:val="left" w:pos="720"/>
        </w:tabs>
        <w:suppressAutoHyphens/>
        <w:autoSpaceDE w:val="0"/>
        <w:autoSpaceDN/>
        <w:adjustRightInd/>
        <w:spacing w:after="0" w:line="240" w:lineRule="auto"/>
        <w:ind w:left="360"/>
        <w:rPr>
          <w:rFonts w:ascii="Arial" w:hAnsi="Arial" w:cs="Arial"/>
          <w:sz w:val="24"/>
          <w:szCs w:val="24"/>
        </w:rPr>
      </w:pPr>
      <w:r w:rsidRPr="004A10D6">
        <w:rPr>
          <w:rFonts w:ascii="Arial" w:hAnsi="Arial" w:cs="Arial"/>
          <w:sz w:val="24"/>
          <w:szCs w:val="24"/>
        </w:rPr>
        <w:t>liquidazione e pagamento della massa passiva</w:t>
      </w:r>
    </w:p>
    <w:p w:rsidR="00B02C6C" w:rsidRPr="004A10D6" w:rsidRDefault="00B02C6C" w:rsidP="00DB3112">
      <w:pPr>
        <w:tabs>
          <w:tab w:val="left" w:pos="720"/>
        </w:tabs>
        <w:suppressAutoHyphens/>
        <w:autoSpaceDE w:val="0"/>
        <w:autoSpaceDN/>
        <w:adjustRightInd/>
        <w:spacing w:after="0" w:line="240" w:lineRule="auto"/>
        <w:ind w:left="360"/>
        <w:rPr>
          <w:rFonts w:ascii="Arial" w:hAnsi="Arial" w:cs="Arial"/>
          <w:sz w:val="24"/>
          <w:szCs w:val="24"/>
        </w:rPr>
      </w:pPr>
      <w:r w:rsidRPr="004A10D6">
        <w:rPr>
          <w:rFonts w:ascii="Arial" w:hAnsi="Arial" w:cs="Arial"/>
          <w:sz w:val="24"/>
          <w:szCs w:val="24"/>
        </w:rPr>
        <w:t>denuncia alla procura presso la corte dei conti e al Ministero dell’interno eventuali danni patrimoniali causati dall’ente</w:t>
      </w:r>
    </w:p>
    <w:p w:rsidR="00B02C6C" w:rsidRPr="004A10D6" w:rsidRDefault="00B02C6C" w:rsidP="00DB3112">
      <w:pPr>
        <w:ind w:left="360"/>
        <w:rPr>
          <w:rFonts w:ascii="Arial" w:hAnsi="Arial" w:cs="Arial"/>
          <w:sz w:val="24"/>
          <w:szCs w:val="24"/>
        </w:rPr>
      </w:pPr>
      <w:r w:rsidRPr="004A10D6">
        <w:rPr>
          <w:rFonts w:ascii="Arial" w:hAnsi="Arial" w:cs="Arial"/>
          <w:sz w:val="24"/>
          <w:szCs w:val="24"/>
        </w:rPr>
        <w:t xml:space="preserve">L’organo ha accesso a tutti gli atti del comune e può utilizzare personale e mezzi dell’ente, con potere di emettere direttive nei confronti degli organi burocratici. Una volta approvato il piano di estinzione, l’organo straordinario provvede al pagamento della massa passiva fino a concorrenza della massa attiva realizzata, dopo l’approvazione di tale piano dal Ministero dell’interno, previo parere consultivo della commissione per la finanza e gli organici degli enti locali. Nel caso in cui l’organo straordinario non possa concludere entro i termini di legge la procedura di dissesto, il Ministro dell’Interno, d’intesa con il Sindaco, dispone con proprio decreto la chiusura anticipata e semplificata della procedura di dissesto Il consiglio dell'ente locale presenta al Ministro dell'interno, entro il termine perentorio di tre mesi dalla data di emanazione del decreto  un'ipotesi di bilancio di previsione stabilmente riequilibrato. L'ipotesi di bilancio realizza il riequilibrio mediante l'attivazione di entrate proprie e la riduzione delle spese correnti. Per l'attivazione delle entrate proprie il comune riorganizza anche i servizi relativi all'acquisizione delle entrate ed attivando ogni altro cespite. Per la riduzione delle spese correnti l'ente locale riorganizza con criteri di efficienza tutti i servizi, rivedendo le dotazioni finanziarie ed eliminando, o quanto meno riducendo ogni previsione di spesa che non abbia per fine l'esercizio di servizi pubblici indispensabili. L'ente locale emana i provvedimenti necessari per il risanamento economico-finanziario degli enti od organismi dipendenti nonché delle aziende speciali, nel rispetto della normativa specifica in materia; ridetermina la dotazione organica dichiarando eccedente il personale comunque in servizio in sovrannumero rispetto ai rapporti medi dipendenti-popolazione. La spesa per il personale a tempo determinato deve altresì essere ridotta a non oltre il 50 per cento. Il mancato rispetto di tali adempimenti comporta la denuncia dei fatti alla Procura regionale presso la Corte dei conti da parte del Ministero dell'interno. </w:t>
      </w:r>
    </w:p>
    <w:sectPr w:rsidR="00B02C6C" w:rsidRPr="004A10D6" w:rsidSect="0027045F">
      <w:headerReference w:type="default" r:id="rId8"/>
      <w:type w:val="continuous"/>
      <w:pgSz w:w="12240" w:h="15840"/>
      <w:pgMar w:top="1417" w:right="1134" w:bottom="1134" w:left="1134" w:header="720" w:footer="72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D79B4" w:rsidRDefault="008D79B4" w:rsidP="00A95465">
      <w:pPr>
        <w:spacing w:after="0" w:line="240" w:lineRule="auto"/>
      </w:pPr>
      <w:r>
        <w:separator/>
      </w:r>
    </w:p>
  </w:endnote>
  <w:endnote w:type="continuationSeparator" w:id="0">
    <w:p w:rsidR="008D79B4" w:rsidRDefault="008D79B4" w:rsidP="00A9546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altName w:val="Russo One"/>
    <w:panose1 w:val="02040503050203030202"/>
    <w:charset w:val="01"/>
    <w:family w:val="roman"/>
    <w:notTrueType/>
    <w:pitch w:val="variable"/>
    <w:sig w:usb0="00002000" w:usb1="00000000" w:usb2="00000000" w:usb3="00000000" w:csb0="00000000" w:csb1="00000000"/>
  </w:font>
  <w:font w:name="OpenSymbol">
    <w:panose1 w:val="05010000000000000000"/>
    <w:charset w:val="00"/>
    <w:family w:val="auto"/>
    <w:pitch w:val="variable"/>
    <w:sig w:usb0="800000AF" w:usb1="1001ECEA"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D79B4" w:rsidRDefault="008D79B4" w:rsidP="00A95465">
      <w:pPr>
        <w:spacing w:after="0" w:line="240" w:lineRule="auto"/>
      </w:pPr>
      <w:r>
        <w:separator/>
      </w:r>
    </w:p>
  </w:footnote>
  <w:footnote w:type="continuationSeparator" w:id="0">
    <w:p w:rsidR="008D79B4" w:rsidRDefault="008D79B4" w:rsidP="00A9546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62EF" w:rsidRDefault="003862EF">
    <w:pPr>
      <w:pStyle w:val="Intestazione"/>
    </w:pPr>
    <w:r>
      <w:rPr>
        <w:noProof/>
        <w:lang w:bidi="ar-SA"/>
      </w:rPr>
      <w:drawing>
        <wp:inline distT="0" distB="0" distL="0" distR="0">
          <wp:extent cx="6115050" cy="581025"/>
          <wp:effectExtent l="0" t="0" r="0" b="9525"/>
          <wp:docPr id="1" name="Immagine 1" descr="01-LogoSGF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01-LogoSGFG"/>
                  <pic:cNvPicPr>
                    <a:picLocks noChangeAspect="1" noChangeArrowheads="1"/>
                  </pic:cNvPicPr>
                </pic:nvPicPr>
                <pic:blipFill>
                  <a:blip r:embed="rId1">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xmlns:arto="http://schemas.microsoft.com/office/word/2006/arto" val="0"/>
                      </a:ext>
                    </a:extLst>
                  </a:blip>
                  <a:srcRect/>
                  <a:stretch>
                    <a:fillRect/>
                  </a:stretch>
                </pic:blipFill>
                <pic:spPr bwMode="auto">
                  <a:xfrm>
                    <a:off x="0" y="0"/>
                    <a:ext cx="6115050" cy="581025"/>
                  </a:xfrm>
                  <a:prstGeom prst="rect">
                    <a:avLst/>
                  </a:prstGeom>
                  <a:noFill/>
                  <a:ln>
                    <a:noFill/>
                  </a:ln>
                </pic:spPr>
              </pic:pic>
            </a:graphicData>
          </a:graphic>
        </wp:inline>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singleLevel"/>
    <w:tmpl w:val="00000001"/>
    <w:name w:val="RTF_Num 3"/>
    <w:lvl w:ilvl="0">
      <w:numFmt w:val="bullet"/>
      <w:lvlText w:val=""/>
      <w:lvlJc w:val="left"/>
      <w:rPr>
        <w:rFonts w:ascii="Symbol" w:hAnsi="Symbol"/>
      </w:rPr>
    </w:lvl>
  </w:abstractNum>
  <w:abstractNum w:abstractNumId="1">
    <w:nsid w:val="00000002"/>
    <w:multiLevelType w:val="singleLevel"/>
    <w:tmpl w:val="00000002"/>
    <w:name w:val="WW8Num4"/>
    <w:lvl w:ilvl="0">
      <w:start w:val="1"/>
      <w:numFmt w:val="decimal"/>
      <w:lvlText w:val="%1"/>
      <w:lvlJc w:val="left"/>
      <w:pPr>
        <w:tabs>
          <w:tab w:val="num" w:pos="0"/>
        </w:tabs>
        <w:ind w:left="0" w:firstLine="0"/>
      </w:pPr>
      <w:rPr>
        <w:rFonts w:ascii="Arial" w:hAnsi="Arial" w:cs="Arial"/>
      </w:rPr>
    </w:lvl>
  </w:abstractNum>
  <w:abstractNum w:abstractNumId="2">
    <w:nsid w:val="00000012"/>
    <w:multiLevelType w:val="singleLevel"/>
    <w:tmpl w:val="00000012"/>
    <w:name w:val="WW8Num23"/>
    <w:lvl w:ilvl="0">
      <w:start w:val="1"/>
      <w:numFmt w:val="decimal"/>
      <w:lvlText w:val="%1."/>
      <w:lvlJc w:val="left"/>
      <w:pPr>
        <w:tabs>
          <w:tab w:val="num" w:pos="0"/>
        </w:tabs>
        <w:ind w:left="0" w:firstLine="0"/>
      </w:pPr>
      <w:rPr>
        <w:rFonts w:ascii="Arial" w:hAnsi="Arial" w:cs="Arial"/>
      </w:rPr>
    </w:lvl>
  </w:abstractNum>
  <w:abstractNum w:abstractNumId="3">
    <w:nsid w:val="00000019"/>
    <w:multiLevelType w:val="singleLevel"/>
    <w:tmpl w:val="00000019"/>
    <w:name w:val="WW8Num32"/>
    <w:lvl w:ilvl="0">
      <w:start w:val="1"/>
      <w:numFmt w:val="decimal"/>
      <w:lvlText w:val="%1"/>
      <w:lvlJc w:val="left"/>
      <w:pPr>
        <w:tabs>
          <w:tab w:val="num" w:pos="0"/>
        </w:tabs>
        <w:ind w:left="0" w:firstLine="0"/>
      </w:pPr>
      <w:rPr>
        <w:rFonts w:ascii="Arial" w:hAnsi="Arial" w:cs="Arial"/>
      </w:rPr>
    </w:lvl>
  </w:abstractNum>
  <w:abstractNum w:abstractNumId="4">
    <w:nsid w:val="0000001C"/>
    <w:multiLevelType w:val="singleLevel"/>
    <w:tmpl w:val="0000001C"/>
    <w:name w:val="WW8Num35"/>
    <w:lvl w:ilvl="0">
      <w:start w:val="1"/>
      <w:numFmt w:val="decimal"/>
      <w:lvlText w:val="%1"/>
      <w:lvlJc w:val="left"/>
      <w:pPr>
        <w:tabs>
          <w:tab w:val="num" w:pos="0"/>
        </w:tabs>
        <w:ind w:left="0" w:firstLine="0"/>
      </w:pPr>
      <w:rPr>
        <w:rFonts w:ascii="Arial" w:hAnsi="Arial" w:cs="Arial"/>
      </w:rPr>
    </w:lvl>
  </w:abstractNum>
  <w:abstractNum w:abstractNumId="5">
    <w:nsid w:val="0000001F"/>
    <w:multiLevelType w:val="singleLevel"/>
    <w:tmpl w:val="0000001F"/>
    <w:name w:val="WW8Num38"/>
    <w:lvl w:ilvl="0">
      <w:start w:val="1"/>
      <w:numFmt w:val="decimal"/>
      <w:lvlText w:val="%1"/>
      <w:lvlJc w:val="left"/>
      <w:pPr>
        <w:tabs>
          <w:tab w:val="num" w:pos="0"/>
        </w:tabs>
        <w:ind w:left="0" w:firstLine="0"/>
      </w:pPr>
      <w:rPr>
        <w:rFonts w:ascii="Arial" w:hAnsi="Arial" w:cs="Arial"/>
      </w:rPr>
    </w:lvl>
  </w:abstractNum>
  <w:abstractNum w:abstractNumId="6">
    <w:nsid w:val="00000022"/>
    <w:multiLevelType w:val="singleLevel"/>
    <w:tmpl w:val="00000022"/>
    <w:name w:val="WW8Num42"/>
    <w:lvl w:ilvl="0">
      <w:start w:val="1"/>
      <w:numFmt w:val="bullet"/>
      <w:lvlText w:val=""/>
      <w:lvlJc w:val="left"/>
      <w:pPr>
        <w:tabs>
          <w:tab w:val="num" w:pos="0"/>
        </w:tabs>
        <w:ind w:left="1080" w:hanging="360"/>
      </w:pPr>
      <w:rPr>
        <w:rFonts w:ascii="Symbol" w:hAnsi="Symbol"/>
      </w:rPr>
    </w:lvl>
  </w:abstractNum>
  <w:abstractNum w:abstractNumId="7">
    <w:nsid w:val="0000002B"/>
    <w:multiLevelType w:val="singleLevel"/>
    <w:tmpl w:val="0000002B"/>
    <w:name w:val="WW8Num51"/>
    <w:lvl w:ilvl="0">
      <w:start w:val="1"/>
      <w:numFmt w:val="decimal"/>
      <w:lvlText w:val="%1"/>
      <w:lvlJc w:val="left"/>
      <w:pPr>
        <w:tabs>
          <w:tab w:val="num" w:pos="0"/>
        </w:tabs>
        <w:ind w:left="0" w:firstLine="0"/>
      </w:pPr>
      <w:rPr>
        <w:rFonts w:ascii="Arial" w:hAnsi="Arial" w:cs="Arial"/>
      </w:rPr>
    </w:lvl>
  </w:abstractNum>
  <w:abstractNum w:abstractNumId="8">
    <w:nsid w:val="0000002F"/>
    <w:multiLevelType w:val="singleLevel"/>
    <w:tmpl w:val="0000002F"/>
    <w:name w:val="WW8Num55"/>
    <w:lvl w:ilvl="0">
      <w:start w:val="2"/>
      <w:numFmt w:val="decimal"/>
      <w:lvlText w:val="%1"/>
      <w:lvlJc w:val="left"/>
      <w:pPr>
        <w:tabs>
          <w:tab w:val="num" w:pos="0"/>
        </w:tabs>
        <w:ind w:left="0" w:firstLine="0"/>
      </w:pPr>
      <w:rPr>
        <w:rFonts w:ascii="Arial" w:hAnsi="Arial" w:cs="Arial"/>
      </w:rPr>
    </w:lvl>
  </w:abstractNum>
  <w:abstractNum w:abstractNumId="9">
    <w:nsid w:val="00000030"/>
    <w:multiLevelType w:val="singleLevel"/>
    <w:tmpl w:val="00000030"/>
    <w:name w:val="WW8Num57"/>
    <w:lvl w:ilvl="0">
      <w:start w:val="1"/>
      <w:numFmt w:val="decimal"/>
      <w:lvlText w:val="%1"/>
      <w:lvlJc w:val="left"/>
      <w:pPr>
        <w:tabs>
          <w:tab w:val="num" w:pos="0"/>
        </w:tabs>
        <w:ind w:left="0" w:firstLine="0"/>
      </w:pPr>
      <w:rPr>
        <w:rFonts w:ascii="Arial" w:hAnsi="Arial" w:cs="Arial"/>
      </w:rPr>
    </w:lvl>
  </w:abstractNum>
  <w:abstractNum w:abstractNumId="10">
    <w:nsid w:val="00000037"/>
    <w:multiLevelType w:val="singleLevel"/>
    <w:tmpl w:val="00000037"/>
    <w:name w:val="WW8Num65"/>
    <w:lvl w:ilvl="0">
      <w:start w:val="1"/>
      <w:numFmt w:val="decimal"/>
      <w:lvlText w:val="%1"/>
      <w:lvlJc w:val="left"/>
      <w:pPr>
        <w:tabs>
          <w:tab w:val="num" w:pos="0"/>
        </w:tabs>
        <w:ind w:left="0" w:firstLine="0"/>
      </w:pPr>
      <w:rPr>
        <w:rFonts w:ascii="Arial" w:hAnsi="Arial" w:cs="Arial"/>
      </w:rPr>
    </w:lvl>
  </w:abstractNum>
  <w:abstractNum w:abstractNumId="11">
    <w:nsid w:val="00000039"/>
    <w:multiLevelType w:val="singleLevel"/>
    <w:tmpl w:val="00000039"/>
    <w:name w:val="WW8Num67"/>
    <w:lvl w:ilvl="0">
      <w:start w:val="1"/>
      <w:numFmt w:val="decimal"/>
      <w:lvlText w:val="%1"/>
      <w:lvlJc w:val="left"/>
      <w:pPr>
        <w:tabs>
          <w:tab w:val="num" w:pos="0"/>
        </w:tabs>
        <w:ind w:left="0" w:firstLine="0"/>
      </w:pPr>
      <w:rPr>
        <w:rFonts w:ascii="Arial" w:hAnsi="Arial" w:cs="Arial"/>
      </w:rPr>
    </w:lvl>
  </w:abstractNum>
  <w:abstractNum w:abstractNumId="12">
    <w:nsid w:val="0000003D"/>
    <w:multiLevelType w:val="singleLevel"/>
    <w:tmpl w:val="0000003D"/>
    <w:name w:val="WW8Num72"/>
    <w:lvl w:ilvl="0">
      <w:start w:val="1"/>
      <w:numFmt w:val="decimal"/>
      <w:lvlText w:val="%1"/>
      <w:lvlJc w:val="left"/>
      <w:pPr>
        <w:tabs>
          <w:tab w:val="num" w:pos="0"/>
        </w:tabs>
        <w:ind w:left="0" w:firstLine="0"/>
      </w:pPr>
      <w:rPr>
        <w:rFonts w:ascii="Arial" w:hAnsi="Arial" w:cs="Arial"/>
      </w:rPr>
    </w:lvl>
  </w:abstractNum>
  <w:abstractNum w:abstractNumId="13">
    <w:nsid w:val="0000003E"/>
    <w:multiLevelType w:val="singleLevel"/>
    <w:tmpl w:val="0000003E"/>
    <w:name w:val="WW8Num73"/>
    <w:lvl w:ilvl="0">
      <w:start w:val="1"/>
      <w:numFmt w:val="decimal"/>
      <w:lvlText w:val="%1"/>
      <w:lvlJc w:val="left"/>
      <w:pPr>
        <w:tabs>
          <w:tab w:val="num" w:pos="0"/>
        </w:tabs>
        <w:ind w:left="0" w:firstLine="0"/>
      </w:pPr>
      <w:rPr>
        <w:rFonts w:ascii="Arial" w:hAnsi="Arial" w:cs="Arial"/>
      </w:rPr>
    </w:lvl>
  </w:abstractNum>
  <w:abstractNum w:abstractNumId="14">
    <w:nsid w:val="00000040"/>
    <w:multiLevelType w:val="singleLevel"/>
    <w:tmpl w:val="00000040"/>
    <w:name w:val="WW8Num76"/>
    <w:lvl w:ilvl="0">
      <w:start w:val="1"/>
      <w:numFmt w:val="decimal"/>
      <w:lvlText w:val="%1"/>
      <w:lvlJc w:val="left"/>
      <w:pPr>
        <w:tabs>
          <w:tab w:val="num" w:pos="0"/>
        </w:tabs>
        <w:ind w:left="0" w:firstLine="0"/>
      </w:pPr>
      <w:rPr>
        <w:rFonts w:ascii="Arial" w:hAnsi="Arial" w:cs="Arial"/>
      </w:rPr>
    </w:lvl>
  </w:abstractNum>
  <w:abstractNum w:abstractNumId="15">
    <w:nsid w:val="00000042"/>
    <w:multiLevelType w:val="singleLevel"/>
    <w:tmpl w:val="00000042"/>
    <w:name w:val="WW8Num80"/>
    <w:lvl w:ilvl="0">
      <w:start w:val="3"/>
      <w:numFmt w:val="decimal"/>
      <w:lvlText w:val="%1"/>
      <w:lvlJc w:val="left"/>
      <w:pPr>
        <w:tabs>
          <w:tab w:val="num" w:pos="0"/>
        </w:tabs>
        <w:ind w:left="0" w:firstLine="0"/>
      </w:pPr>
      <w:rPr>
        <w:rFonts w:ascii="Arial" w:hAnsi="Arial" w:cs="Arial"/>
      </w:rPr>
    </w:lvl>
  </w:abstractNum>
  <w:abstractNum w:abstractNumId="16">
    <w:nsid w:val="00000043"/>
    <w:multiLevelType w:val="singleLevel"/>
    <w:tmpl w:val="00000043"/>
    <w:name w:val="WW8Num81"/>
    <w:lvl w:ilvl="0">
      <w:start w:val="1"/>
      <w:numFmt w:val="decimal"/>
      <w:lvlText w:val="%1"/>
      <w:lvlJc w:val="left"/>
      <w:pPr>
        <w:tabs>
          <w:tab w:val="num" w:pos="0"/>
        </w:tabs>
        <w:ind w:left="0" w:firstLine="0"/>
      </w:pPr>
      <w:rPr>
        <w:rFonts w:ascii="Arial" w:hAnsi="Arial" w:cs="Arial"/>
      </w:rPr>
    </w:lvl>
  </w:abstractNum>
  <w:abstractNum w:abstractNumId="17">
    <w:nsid w:val="00000049"/>
    <w:multiLevelType w:val="singleLevel"/>
    <w:tmpl w:val="00000049"/>
    <w:name w:val="WW8Num89"/>
    <w:lvl w:ilvl="0">
      <w:start w:val="1"/>
      <w:numFmt w:val="decimal"/>
      <w:lvlText w:val="%1."/>
      <w:lvlJc w:val="left"/>
      <w:pPr>
        <w:tabs>
          <w:tab w:val="num" w:pos="0"/>
        </w:tabs>
        <w:ind w:left="0" w:firstLine="0"/>
      </w:pPr>
      <w:rPr>
        <w:rFonts w:ascii="Arial" w:hAnsi="Arial" w:cs="Arial"/>
      </w:rPr>
    </w:lvl>
  </w:abstractNum>
  <w:abstractNum w:abstractNumId="18">
    <w:nsid w:val="00000050"/>
    <w:multiLevelType w:val="singleLevel"/>
    <w:tmpl w:val="00000050"/>
    <w:name w:val="WW8Num98"/>
    <w:lvl w:ilvl="0">
      <w:start w:val="1"/>
      <w:numFmt w:val="decimal"/>
      <w:lvlText w:val="%1"/>
      <w:lvlJc w:val="left"/>
      <w:pPr>
        <w:tabs>
          <w:tab w:val="num" w:pos="0"/>
        </w:tabs>
        <w:ind w:left="0" w:firstLine="0"/>
      </w:pPr>
      <w:rPr>
        <w:rFonts w:ascii="Arial" w:hAnsi="Arial" w:cs="Arial"/>
      </w:rPr>
    </w:lvl>
  </w:abstractNum>
  <w:abstractNum w:abstractNumId="19">
    <w:nsid w:val="00000057"/>
    <w:multiLevelType w:val="singleLevel"/>
    <w:tmpl w:val="00000057"/>
    <w:name w:val="WW8Num105"/>
    <w:lvl w:ilvl="0">
      <w:start w:val="1"/>
      <w:numFmt w:val="decimal"/>
      <w:lvlText w:val="%1"/>
      <w:lvlJc w:val="left"/>
      <w:pPr>
        <w:tabs>
          <w:tab w:val="num" w:pos="0"/>
        </w:tabs>
        <w:ind w:left="0" w:firstLine="0"/>
      </w:pPr>
      <w:rPr>
        <w:rFonts w:ascii="Arial" w:hAnsi="Arial" w:cs="Arial"/>
      </w:rPr>
    </w:lvl>
  </w:abstractNum>
  <w:abstractNum w:abstractNumId="20">
    <w:nsid w:val="0000005B"/>
    <w:multiLevelType w:val="singleLevel"/>
    <w:tmpl w:val="0000005B"/>
    <w:name w:val="WW8Num109"/>
    <w:lvl w:ilvl="0">
      <w:start w:val="5"/>
      <w:numFmt w:val="decimal"/>
      <w:lvlText w:val="%1"/>
      <w:lvlJc w:val="left"/>
      <w:pPr>
        <w:tabs>
          <w:tab w:val="num" w:pos="0"/>
        </w:tabs>
        <w:ind w:left="0" w:firstLine="0"/>
      </w:pPr>
      <w:rPr>
        <w:rFonts w:ascii="Arial" w:hAnsi="Arial" w:cs="Arial"/>
      </w:rPr>
    </w:lvl>
  </w:abstractNum>
  <w:abstractNum w:abstractNumId="21">
    <w:nsid w:val="0000005C"/>
    <w:multiLevelType w:val="multilevel"/>
    <w:tmpl w:val="0000005C"/>
    <w:name w:val="WW8Num111"/>
    <w:lvl w:ilvl="0">
      <w:start w:val="1"/>
      <w:numFmt w:val="decimal"/>
      <w:lvlText w:val="%1."/>
      <w:lvlJc w:val="left"/>
      <w:pPr>
        <w:tabs>
          <w:tab w:val="num" w:pos="0"/>
        </w:tabs>
        <w:ind w:left="720" w:hanging="360"/>
      </w:pPr>
      <w:rPr>
        <w:rFonts w:ascii="Arial" w:hAnsi="Arial" w:cs="Arial"/>
      </w:rPr>
    </w:lvl>
    <w:lvl w:ilvl="1">
      <w:start w:val="1"/>
      <w:numFmt w:val="lowerLetter"/>
      <w:lvlText w:val="%2)"/>
      <w:lvlJc w:val="left"/>
      <w:pPr>
        <w:tabs>
          <w:tab w:val="num" w:pos="0"/>
        </w:tabs>
        <w:ind w:left="1440" w:hanging="360"/>
      </w:pPr>
    </w:lvl>
    <w:lvl w:ilvl="2">
      <w:start w:val="1"/>
      <w:numFmt w:val="lowerRoman"/>
      <w:lvlText w:val="%3."/>
      <w:lvlJc w:val="left"/>
      <w:pPr>
        <w:tabs>
          <w:tab w:val="num" w:pos="0"/>
        </w:tabs>
        <w:ind w:left="2160" w:hanging="180"/>
      </w:pPr>
      <w:rPr>
        <w:rFonts w:cs="Times New Roman"/>
      </w:rPr>
    </w:lvl>
    <w:lvl w:ilvl="3">
      <w:start w:val="1"/>
      <w:numFmt w:val="decimal"/>
      <w:lvlText w:val="%4."/>
      <w:lvlJc w:val="left"/>
      <w:pPr>
        <w:tabs>
          <w:tab w:val="num" w:pos="0"/>
        </w:tabs>
        <w:ind w:left="2880" w:hanging="360"/>
      </w:pPr>
      <w:rPr>
        <w:rFonts w:cs="Times New Roman"/>
      </w:rPr>
    </w:lvl>
    <w:lvl w:ilvl="4">
      <w:start w:val="1"/>
      <w:numFmt w:val="lowerLetter"/>
      <w:lvlText w:val="%5."/>
      <w:lvlJc w:val="left"/>
      <w:pPr>
        <w:tabs>
          <w:tab w:val="num" w:pos="0"/>
        </w:tabs>
        <w:ind w:left="3600" w:hanging="360"/>
      </w:pPr>
      <w:rPr>
        <w:rFonts w:cs="Times New Roman"/>
      </w:rPr>
    </w:lvl>
    <w:lvl w:ilvl="5">
      <w:start w:val="1"/>
      <w:numFmt w:val="lowerRoman"/>
      <w:lvlText w:val="%6."/>
      <w:lvlJc w:val="left"/>
      <w:pPr>
        <w:tabs>
          <w:tab w:val="num" w:pos="0"/>
        </w:tabs>
        <w:ind w:left="4320" w:hanging="180"/>
      </w:pPr>
      <w:rPr>
        <w:rFonts w:cs="Times New Roman"/>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lowerRoman"/>
      <w:lvlText w:val="%9."/>
      <w:lvlJc w:val="left"/>
      <w:pPr>
        <w:tabs>
          <w:tab w:val="num" w:pos="0"/>
        </w:tabs>
        <w:ind w:left="6480" w:hanging="180"/>
      </w:pPr>
      <w:rPr>
        <w:rFonts w:cs="Times New Roman"/>
      </w:rPr>
    </w:lvl>
  </w:abstractNum>
  <w:abstractNum w:abstractNumId="22">
    <w:nsid w:val="0000005E"/>
    <w:multiLevelType w:val="singleLevel"/>
    <w:tmpl w:val="0000005E"/>
    <w:name w:val="WW8Num114"/>
    <w:lvl w:ilvl="0">
      <w:start w:val="1"/>
      <w:numFmt w:val="decimal"/>
      <w:lvlText w:val="%1"/>
      <w:lvlJc w:val="left"/>
      <w:pPr>
        <w:tabs>
          <w:tab w:val="num" w:pos="0"/>
        </w:tabs>
        <w:ind w:left="0" w:firstLine="0"/>
      </w:pPr>
      <w:rPr>
        <w:rFonts w:ascii="Arial" w:hAnsi="Arial" w:cs="Arial"/>
      </w:rPr>
    </w:lvl>
  </w:abstractNum>
  <w:abstractNum w:abstractNumId="23">
    <w:nsid w:val="00000061"/>
    <w:multiLevelType w:val="singleLevel"/>
    <w:tmpl w:val="00000061"/>
    <w:name w:val="WW8Num117"/>
    <w:lvl w:ilvl="0">
      <w:start w:val="7"/>
      <w:numFmt w:val="decimal"/>
      <w:lvlText w:val="%1"/>
      <w:lvlJc w:val="left"/>
      <w:pPr>
        <w:tabs>
          <w:tab w:val="num" w:pos="0"/>
        </w:tabs>
        <w:ind w:left="0" w:firstLine="0"/>
      </w:pPr>
      <w:rPr>
        <w:rFonts w:ascii="Arial" w:hAnsi="Arial" w:cs="Arial"/>
      </w:rPr>
    </w:lvl>
  </w:abstractNum>
  <w:abstractNum w:abstractNumId="24">
    <w:nsid w:val="00000062"/>
    <w:multiLevelType w:val="singleLevel"/>
    <w:tmpl w:val="00000062"/>
    <w:name w:val="WW8Num118"/>
    <w:lvl w:ilvl="0">
      <w:start w:val="4"/>
      <w:numFmt w:val="decimal"/>
      <w:lvlText w:val="%1"/>
      <w:lvlJc w:val="left"/>
      <w:pPr>
        <w:tabs>
          <w:tab w:val="num" w:pos="0"/>
        </w:tabs>
        <w:ind w:left="0" w:firstLine="0"/>
      </w:pPr>
      <w:rPr>
        <w:rFonts w:ascii="Arial" w:hAnsi="Arial" w:cs="Arial"/>
      </w:rPr>
    </w:lvl>
  </w:abstractNum>
  <w:abstractNum w:abstractNumId="25">
    <w:nsid w:val="00000069"/>
    <w:multiLevelType w:val="singleLevel"/>
    <w:tmpl w:val="00000069"/>
    <w:name w:val="WW8Num125"/>
    <w:lvl w:ilvl="0">
      <w:start w:val="4"/>
      <w:numFmt w:val="decimal"/>
      <w:lvlText w:val="%1."/>
      <w:lvlJc w:val="left"/>
      <w:pPr>
        <w:tabs>
          <w:tab w:val="num" w:pos="0"/>
        </w:tabs>
        <w:ind w:left="0" w:firstLine="0"/>
      </w:pPr>
      <w:rPr>
        <w:rFonts w:ascii="Arial" w:hAnsi="Arial" w:cs="Arial"/>
      </w:rPr>
    </w:lvl>
  </w:abstractNum>
  <w:abstractNum w:abstractNumId="26">
    <w:nsid w:val="00000071"/>
    <w:multiLevelType w:val="singleLevel"/>
    <w:tmpl w:val="00000071"/>
    <w:name w:val="WW8Num134"/>
    <w:lvl w:ilvl="0">
      <w:start w:val="1"/>
      <w:numFmt w:val="decimal"/>
      <w:lvlText w:val="%1"/>
      <w:lvlJc w:val="left"/>
      <w:pPr>
        <w:tabs>
          <w:tab w:val="num" w:pos="0"/>
        </w:tabs>
        <w:ind w:left="0" w:firstLine="0"/>
      </w:pPr>
      <w:rPr>
        <w:rFonts w:ascii="Arial" w:hAnsi="Arial" w:cs="Arial"/>
      </w:rPr>
    </w:lvl>
  </w:abstractNum>
  <w:abstractNum w:abstractNumId="27">
    <w:nsid w:val="00000073"/>
    <w:multiLevelType w:val="multilevel"/>
    <w:tmpl w:val="00000073"/>
    <w:name w:val="WW8Num139"/>
    <w:lvl w:ilvl="0">
      <w:start w:val="1"/>
      <w:numFmt w:val="lowerLetter"/>
      <w:lvlText w:val="%1."/>
      <w:lvlJc w:val="left"/>
      <w:pPr>
        <w:tabs>
          <w:tab w:val="num" w:pos="0"/>
        </w:tabs>
        <w:ind w:left="1080" w:hanging="360"/>
      </w:pPr>
      <w:rPr>
        <w:rFonts w:cs="Times New Roman"/>
        <w:sz w:val="20"/>
        <w:szCs w:val="20"/>
      </w:rPr>
    </w:lvl>
    <w:lvl w:ilvl="1">
      <w:start w:val="7"/>
      <w:numFmt w:val="bullet"/>
      <w:lvlText w:val="·"/>
      <w:lvlJc w:val="left"/>
      <w:pPr>
        <w:tabs>
          <w:tab w:val="num" w:pos="0"/>
        </w:tabs>
        <w:ind w:left="1440" w:hanging="360"/>
      </w:pPr>
      <w:rPr>
        <w:rFonts w:ascii="Arial" w:hAnsi="Arial"/>
      </w:rPr>
    </w:lvl>
    <w:lvl w:ilvl="2">
      <w:start w:val="1"/>
      <w:numFmt w:val="lowerRoman"/>
      <w:lvlText w:val="%3."/>
      <w:lvlJc w:val="left"/>
      <w:pPr>
        <w:tabs>
          <w:tab w:val="num" w:pos="0"/>
        </w:tabs>
        <w:ind w:left="2160" w:hanging="180"/>
      </w:pPr>
      <w:rPr>
        <w:rFonts w:cs="Times New Roman"/>
      </w:rPr>
    </w:lvl>
    <w:lvl w:ilvl="3">
      <w:start w:val="1"/>
      <w:numFmt w:val="decimal"/>
      <w:lvlText w:val="%4."/>
      <w:lvlJc w:val="left"/>
      <w:pPr>
        <w:tabs>
          <w:tab w:val="num" w:pos="0"/>
        </w:tabs>
        <w:ind w:left="2880" w:hanging="360"/>
      </w:pPr>
      <w:rPr>
        <w:rFonts w:cs="Times New Roman"/>
      </w:rPr>
    </w:lvl>
    <w:lvl w:ilvl="4">
      <w:start w:val="1"/>
      <w:numFmt w:val="lowerLetter"/>
      <w:lvlText w:val="%5."/>
      <w:lvlJc w:val="left"/>
      <w:pPr>
        <w:tabs>
          <w:tab w:val="num" w:pos="0"/>
        </w:tabs>
        <w:ind w:left="3600" w:hanging="360"/>
      </w:pPr>
      <w:rPr>
        <w:rFonts w:cs="Times New Roman"/>
      </w:rPr>
    </w:lvl>
    <w:lvl w:ilvl="5">
      <w:start w:val="1"/>
      <w:numFmt w:val="lowerRoman"/>
      <w:lvlText w:val="%6."/>
      <w:lvlJc w:val="left"/>
      <w:pPr>
        <w:tabs>
          <w:tab w:val="num" w:pos="0"/>
        </w:tabs>
        <w:ind w:left="4320" w:hanging="180"/>
      </w:pPr>
      <w:rPr>
        <w:rFonts w:cs="Times New Roman"/>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lowerRoman"/>
      <w:lvlText w:val="%9."/>
      <w:lvlJc w:val="left"/>
      <w:pPr>
        <w:tabs>
          <w:tab w:val="num" w:pos="0"/>
        </w:tabs>
        <w:ind w:left="6480" w:hanging="180"/>
      </w:pPr>
      <w:rPr>
        <w:rFonts w:cs="Times New Roman"/>
      </w:rPr>
    </w:lvl>
  </w:abstractNum>
  <w:abstractNum w:abstractNumId="28">
    <w:nsid w:val="00000076"/>
    <w:multiLevelType w:val="singleLevel"/>
    <w:tmpl w:val="00000076"/>
    <w:name w:val="WW8Num143"/>
    <w:lvl w:ilvl="0">
      <w:start w:val="1"/>
      <w:numFmt w:val="decimal"/>
      <w:lvlText w:val="%1."/>
      <w:lvlJc w:val="left"/>
      <w:pPr>
        <w:tabs>
          <w:tab w:val="num" w:pos="0"/>
        </w:tabs>
        <w:ind w:left="0" w:firstLine="0"/>
      </w:pPr>
      <w:rPr>
        <w:rFonts w:ascii="Arial" w:hAnsi="Arial" w:cs="Arial"/>
      </w:rPr>
    </w:lvl>
  </w:abstractNum>
  <w:abstractNum w:abstractNumId="29">
    <w:nsid w:val="00000078"/>
    <w:multiLevelType w:val="singleLevel"/>
    <w:tmpl w:val="00000078"/>
    <w:name w:val="WW8Num145"/>
    <w:lvl w:ilvl="0">
      <w:start w:val="1"/>
      <w:numFmt w:val="decimal"/>
      <w:lvlText w:val="%1"/>
      <w:lvlJc w:val="left"/>
      <w:pPr>
        <w:tabs>
          <w:tab w:val="num" w:pos="0"/>
        </w:tabs>
        <w:ind w:left="0" w:firstLine="0"/>
      </w:pPr>
      <w:rPr>
        <w:rFonts w:ascii="Arial" w:hAnsi="Arial" w:cs="Arial"/>
      </w:rPr>
    </w:lvl>
  </w:abstractNum>
  <w:abstractNum w:abstractNumId="30">
    <w:nsid w:val="00000085"/>
    <w:multiLevelType w:val="singleLevel"/>
    <w:tmpl w:val="00000085"/>
    <w:name w:val="WW8Num162"/>
    <w:lvl w:ilvl="0">
      <w:start w:val="1"/>
      <w:numFmt w:val="decimal"/>
      <w:lvlText w:val="%1"/>
      <w:lvlJc w:val="left"/>
      <w:pPr>
        <w:tabs>
          <w:tab w:val="num" w:pos="0"/>
        </w:tabs>
        <w:ind w:left="0" w:firstLine="0"/>
      </w:pPr>
      <w:rPr>
        <w:rFonts w:ascii="Arial" w:hAnsi="Arial" w:cs="Arial"/>
      </w:rPr>
    </w:lvl>
  </w:abstractNum>
  <w:abstractNum w:abstractNumId="31">
    <w:nsid w:val="00000091"/>
    <w:multiLevelType w:val="multilevel"/>
    <w:tmpl w:val="00000091"/>
    <w:name w:val="WW8Num195"/>
    <w:lvl w:ilvl="0">
      <w:start w:val="1"/>
      <w:numFmt w:val="decimal"/>
      <w:lvlText w:val="%1"/>
      <w:lvlJc w:val="left"/>
      <w:pPr>
        <w:tabs>
          <w:tab w:val="num" w:pos="0"/>
        </w:tabs>
        <w:ind w:left="0" w:firstLine="0"/>
      </w:pPr>
      <w:rPr>
        <w:rFonts w:ascii="Arial" w:hAnsi="Arial" w:cs="Aria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2">
    <w:nsid w:val="00000092"/>
    <w:multiLevelType w:val="multilevel"/>
    <w:tmpl w:val="00000092"/>
    <w:name w:val="WW8Num196"/>
    <w:lvl w:ilvl="0">
      <w:start w:val="1"/>
      <w:numFmt w:val="decimal"/>
      <w:lvlText w:val="%1"/>
      <w:lvlJc w:val="left"/>
      <w:pPr>
        <w:tabs>
          <w:tab w:val="num" w:pos="0"/>
        </w:tabs>
        <w:ind w:left="0" w:firstLine="0"/>
      </w:pPr>
      <w:rPr>
        <w:rFonts w:ascii="Arial" w:hAnsi="Arial" w:cs="Aria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3">
    <w:nsid w:val="00000093"/>
    <w:multiLevelType w:val="multilevel"/>
    <w:tmpl w:val="00000093"/>
    <w:name w:val="WW8Num197"/>
    <w:lvl w:ilvl="0">
      <w:start w:val="2"/>
      <w:numFmt w:val="decimal"/>
      <w:lvlText w:val="%1"/>
      <w:lvlJc w:val="left"/>
      <w:pPr>
        <w:tabs>
          <w:tab w:val="num" w:pos="0"/>
        </w:tabs>
        <w:ind w:left="0" w:firstLine="0"/>
      </w:pPr>
      <w:rPr>
        <w:rFonts w:ascii="Arial" w:hAnsi="Arial" w:cs="Aria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4">
    <w:nsid w:val="00000094"/>
    <w:multiLevelType w:val="multilevel"/>
    <w:tmpl w:val="00000094"/>
    <w:name w:val="WW8Num198"/>
    <w:lvl w:ilvl="0">
      <w:start w:val="1"/>
      <w:numFmt w:val="decimal"/>
      <w:lvlText w:val="%1"/>
      <w:lvlJc w:val="left"/>
      <w:pPr>
        <w:tabs>
          <w:tab w:val="num" w:pos="0"/>
        </w:tabs>
        <w:ind w:left="0" w:firstLine="0"/>
      </w:pPr>
      <w:rPr>
        <w:rFonts w:ascii="Arial" w:hAnsi="Arial" w:cs="Aria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5">
    <w:nsid w:val="00000095"/>
    <w:multiLevelType w:val="multilevel"/>
    <w:tmpl w:val="00000095"/>
    <w:name w:val="WW8Num199"/>
    <w:lvl w:ilvl="0">
      <w:start w:val="1"/>
      <w:numFmt w:val="decimal"/>
      <w:lvlText w:val="%1"/>
      <w:lvlJc w:val="left"/>
      <w:pPr>
        <w:tabs>
          <w:tab w:val="num" w:pos="0"/>
        </w:tabs>
        <w:ind w:left="0" w:firstLine="0"/>
      </w:pPr>
      <w:rPr>
        <w:rFonts w:ascii="Arial" w:hAnsi="Arial" w:cs="Aria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6">
    <w:nsid w:val="00000096"/>
    <w:multiLevelType w:val="multilevel"/>
    <w:tmpl w:val="00000096"/>
    <w:name w:val="WW8Num200"/>
    <w:lvl w:ilvl="0">
      <w:start w:val="1"/>
      <w:numFmt w:val="decimal"/>
      <w:lvlText w:val="%1"/>
      <w:lvlJc w:val="left"/>
      <w:pPr>
        <w:tabs>
          <w:tab w:val="num" w:pos="0"/>
        </w:tabs>
        <w:ind w:left="0" w:firstLine="0"/>
      </w:pPr>
      <w:rPr>
        <w:rFonts w:ascii="Arial" w:hAnsi="Arial" w:cs="Aria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7">
    <w:nsid w:val="00000097"/>
    <w:multiLevelType w:val="multilevel"/>
    <w:tmpl w:val="00000097"/>
    <w:name w:val="WW8Num201"/>
    <w:lvl w:ilvl="0">
      <w:start w:val="1"/>
      <w:numFmt w:val="decimal"/>
      <w:lvlText w:val="%1."/>
      <w:lvlJc w:val="left"/>
      <w:pPr>
        <w:tabs>
          <w:tab w:val="num" w:pos="0"/>
        </w:tabs>
        <w:ind w:left="0" w:firstLine="0"/>
      </w:pPr>
      <w:rPr>
        <w:rFonts w:ascii="Arial" w:hAnsi="Arial" w:cs="Aria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8">
    <w:nsid w:val="2A9543FE"/>
    <w:multiLevelType w:val="hybridMultilevel"/>
    <w:tmpl w:val="9A0094FE"/>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39">
    <w:nsid w:val="579E178E"/>
    <w:multiLevelType w:val="hybridMultilevel"/>
    <w:tmpl w:val="9B209188"/>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num w:numId="1">
    <w:abstractNumId w:val="38"/>
  </w:num>
  <w:num w:numId="2">
    <w:abstractNumId w:val="39"/>
  </w:num>
  <w:numIdMacAtCleanup w:val="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bordersDoNotSurroundHeader/>
  <w:bordersDoNotSurroundFooter/>
  <w:proofState w:spelling="clean"/>
  <w:defaultTabStop w:val="708"/>
  <w:hyphenationZone w:val="283"/>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46082"/>
  </w:hdrShapeDefaults>
  <w:footnotePr>
    <w:footnote w:id="-1"/>
    <w:footnote w:id="0"/>
  </w:footnotePr>
  <w:endnotePr>
    <w:endnote w:id="-1"/>
    <w:endnote w:id="0"/>
  </w:endnotePr>
  <w:compat>
    <w:spaceForUL/>
    <w:balanceSingleByteDoubleByteWidth/>
    <w:doNotLeaveBackslashAlone/>
    <w:ulTrailSpace/>
    <w:doNotExpandShiftReturn/>
    <w:adjustLineHeightInTable/>
  </w:compat>
  <w:rsids>
    <w:rsidRoot w:val="00167563"/>
    <w:rsid w:val="00036F05"/>
    <w:rsid w:val="0005577E"/>
    <w:rsid w:val="00063FC8"/>
    <w:rsid w:val="00066D8C"/>
    <w:rsid w:val="0007009F"/>
    <w:rsid w:val="00071726"/>
    <w:rsid w:val="000D16F1"/>
    <w:rsid w:val="000D4530"/>
    <w:rsid w:val="000E4A99"/>
    <w:rsid w:val="00123D1B"/>
    <w:rsid w:val="001306D7"/>
    <w:rsid w:val="0014503D"/>
    <w:rsid w:val="00167563"/>
    <w:rsid w:val="00196A51"/>
    <w:rsid w:val="001F503B"/>
    <w:rsid w:val="00202C10"/>
    <w:rsid w:val="0027045F"/>
    <w:rsid w:val="00294FA5"/>
    <w:rsid w:val="00296133"/>
    <w:rsid w:val="002C3EE8"/>
    <w:rsid w:val="002D670F"/>
    <w:rsid w:val="002E5CB7"/>
    <w:rsid w:val="002E6CF1"/>
    <w:rsid w:val="00312665"/>
    <w:rsid w:val="00347907"/>
    <w:rsid w:val="00366452"/>
    <w:rsid w:val="003862EF"/>
    <w:rsid w:val="0039463B"/>
    <w:rsid w:val="00395E8C"/>
    <w:rsid w:val="004029F4"/>
    <w:rsid w:val="0042450D"/>
    <w:rsid w:val="00490CBE"/>
    <w:rsid w:val="004A10D6"/>
    <w:rsid w:val="004A35E6"/>
    <w:rsid w:val="004B4657"/>
    <w:rsid w:val="004C1E58"/>
    <w:rsid w:val="004C3B93"/>
    <w:rsid w:val="004D523A"/>
    <w:rsid w:val="004D5853"/>
    <w:rsid w:val="00522F02"/>
    <w:rsid w:val="00540FC8"/>
    <w:rsid w:val="00552270"/>
    <w:rsid w:val="0059604A"/>
    <w:rsid w:val="005965F4"/>
    <w:rsid w:val="005E685C"/>
    <w:rsid w:val="0060297B"/>
    <w:rsid w:val="00636D86"/>
    <w:rsid w:val="00645859"/>
    <w:rsid w:val="00646538"/>
    <w:rsid w:val="00647B37"/>
    <w:rsid w:val="006617BC"/>
    <w:rsid w:val="00673E2D"/>
    <w:rsid w:val="00676A14"/>
    <w:rsid w:val="00682D80"/>
    <w:rsid w:val="006A65CA"/>
    <w:rsid w:val="006F30CB"/>
    <w:rsid w:val="0070554A"/>
    <w:rsid w:val="00707F7B"/>
    <w:rsid w:val="00713319"/>
    <w:rsid w:val="00723698"/>
    <w:rsid w:val="00733FAF"/>
    <w:rsid w:val="00742A71"/>
    <w:rsid w:val="00774249"/>
    <w:rsid w:val="007D16EE"/>
    <w:rsid w:val="00801480"/>
    <w:rsid w:val="0082706D"/>
    <w:rsid w:val="008332EC"/>
    <w:rsid w:val="00833625"/>
    <w:rsid w:val="008514CD"/>
    <w:rsid w:val="00851CE3"/>
    <w:rsid w:val="00875CC0"/>
    <w:rsid w:val="008831FC"/>
    <w:rsid w:val="00886858"/>
    <w:rsid w:val="00891C63"/>
    <w:rsid w:val="008B10CB"/>
    <w:rsid w:val="008B5C34"/>
    <w:rsid w:val="008B6267"/>
    <w:rsid w:val="008B6541"/>
    <w:rsid w:val="008C7C89"/>
    <w:rsid w:val="008D5FB1"/>
    <w:rsid w:val="008D79B4"/>
    <w:rsid w:val="008E0B26"/>
    <w:rsid w:val="008F3011"/>
    <w:rsid w:val="00906E70"/>
    <w:rsid w:val="0091044F"/>
    <w:rsid w:val="00952BFA"/>
    <w:rsid w:val="00962922"/>
    <w:rsid w:val="009A68B6"/>
    <w:rsid w:val="009C4330"/>
    <w:rsid w:val="009C5810"/>
    <w:rsid w:val="009C5C65"/>
    <w:rsid w:val="009D1C62"/>
    <w:rsid w:val="009E7172"/>
    <w:rsid w:val="009F4367"/>
    <w:rsid w:val="00A02093"/>
    <w:rsid w:val="00A12236"/>
    <w:rsid w:val="00A22492"/>
    <w:rsid w:val="00A22D41"/>
    <w:rsid w:val="00A25044"/>
    <w:rsid w:val="00A33375"/>
    <w:rsid w:val="00A5191D"/>
    <w:rsid w:val="00A5546D"/>
    <w:rsid w:val="00A725CF"/>
    <w:rsid w:val="00A77800"/>
    <w:rsid w:val="00A95465"/>
    <w:rsid w:val="00AC30A3"/>
    <w:rsid w:val="00AF2482"/>
    <w:rsid w:val="00B02C6C"/>
    <w:rsid w:val="00B075DC"/>
    <w:rsid w:val="00B430A4"/>
    <w:rsid w:val="00BA2CA4"/>
    <w:rsid w:val="00BC6F61"/>
    <w:rsid w:val="00C13D61"/>
    <w:rsid w:val="00C4528E"/>
    <w:rsid w:val="00C661E9"/>
    <w:rsid w:val="00C6622F"/>
    <w:rsid w:val="00C82756"/>
    <w:rsid w:val="00CB2C10"/>
    <w:rsid w:val="00CC2042"/>
    <w:rsid w:val="00CC2B94"/>
    <w:rsid w:val="00CC6BA5"/>
    <w:rsid w:val="00CD7E9A"/>
    <w:rsid w:val="00CF0407"/>
    <w:rsid w:val="00D45B65"/>
    <w:rsid w:val="00D73036"/>
    <w:rsid w:val="00D85FAA"/>
    <w:rsid w:val="00DB3112"/>
    <w:rsid w:val="00DB6B70"/>
    <w:rsid w:val="00DB716E"/>
    <w:rsid w:val="00DC2359"/>
    <w:rsid w:val="00E0369C"/>
    <w:rsid w:val="00E14D12"/>
    <w:rsid w:val="00E55135"/>
    <w:rsid w:val="00E5628B"/>
    <w:rsid w:val="00E8118A"/>
    <w:rsid w:val="00E97AC0"/>
    <w:rsid w:val="00EB0C81"/>
    <w:rsid w:val="00EB22C6"/>
    <w:rsid w:val="00EB6E7A"/>
    <w:rsid w:val="00EE4857"/>
    <w:rsid w:val="00F246AA"/>
    <w:rsid w:val="00F26C7C"/>
    <w:rsid w:val="00FE0CDD"/>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608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it-IT" w:eastAsia="it-I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semiHidden="0" w:uiPriority="10" w:unhideWhenUsed="0"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27045F"/>
    <w:pPr>
      <w:widowControl w:val="0"/>
      <w:autoSpaceDN w:val="0"/>
      <w:adjustRightInd w:val="0"/>
      <w:spacing w:after="200" w:line="276" w:lineRule="auto"/>
    </w:pPr>
    <w:rPr>
      <w:rFonts w:cs="Calibri"/>
      <w:sz w:val="22"/>
      <w:szCs w:val="22"/>
      <w:lang w:bidi="hi-IN"/>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Heading">
    <w:name w:val="Heading"/>
    <w:basedOn w:val="Normale"/>
    <w:next w:val="Corpodeltesto"/>
    <w:uiPriority w:val="99"/>
    <w:rsid w:val="0027045F"/>
    <w:pPr>
      <w:keepNext/>
      <w:spacing w:before="240" w:after="120"/>
    </w:pPr>
    <w:rPr>
      <w:rFonts w:ascii="Arial" w:eastAsia="Microsoft YaHei" w:hAnsi="Arial" w:cs="Mangal"/>
      <w:sz w:val="28"/>
      <w:szCs w:val="28"/>
    </w:rPr>
  </w:style>
  <w:style w:type="paragraph" w:styleId="Corpodeltesto">
    <w:name w:val="Body Text"/>
    <w:basedOn w:val="Normale"/>
    <w:link w:val="CorpodeltestoCarattere"/>
    <w:uiPriority w:val="99"/>
    <w:rsid w:val="0027045F"/>
    <w:pPr>
      <w:spacing w:after="120"/>
    </w:pPr>
  </w:style>
  <w:style w:type="paragraph" w:styleId="Didascalia">
    <w:name w:val="caption"/>
    <w:basedOn w:val="Normale"/>
    <w:uiPriority w:val="99"/>
    <w:qFormat/>
    <w:rsid w:val="0027045F"/>
    <w:pPr>
      <w:spacing w:before="120" w:after="120"/>
    </w:pPr>
    <w:rPr>
      <w:i/>
      <w:iCs/>
      <w:sz w:val="24"/>
      <w:szCs w:val="24"/>
    </w:rPr>
  </w:style>
  <w:style w:type="paragraph" w:styleId="Elenco">
    <w:name w:val="List"/>
    <w:basedOn w:val="Corpodeltesto"/>
    <w:uiPriority w:val="99"/>
    <w:rsid w:val="0027045F"/>
  </w:style>
  <w:style w:type="character" w:customStyle="1" w:styleId="CorpodeltestoCarattere">
    <w:name w:val="Corpo del testo Carattere"/>
    <w:link w:val="Corpodeltesto"/>
    <w:uiPriority w:val="99"/>
    <w:semiHidden/>
    <w:locked/>
    <w:rsid w:val="0027045F"/>
    <w:rPr>
      <w:rFonts w:ascii="Calibri" w:hAnsi="Calibri" w:cs="Mangal"/>
      <w:sz w:val="20"/>
      <w:szCs w:val="20"/>
      <w:lang w:bidi="hi-IN"/>
    </w:rPr>
  </w:style>
  <w:style w:type="paragraph" w:customStyle="1" w:styleId="Index">
    <w:name w:val="Index"/>
    <w:basedOn w:val="Normale"/>
    <w:uiPriority w:val="99"/>
    <w:rsid w:val="0027045F"/>
    <w:rPr>
      <w:rFonts w:cs="Mangal"/>
    </w:rPr>
  </w:style>
  <w:style w:type="paragraph" w:customStyle="1" w:styleId="Heading1">
    <w:name w:val="Heading1"/>
    <w:basedOn w:val="Normale"/>
    <w:next w:val="Corpodeltesto"/>
    <w:uiPriority w:val="99"/>
    <w:rsid w:val="0027045F"/>
    <w:pPr>
      <w:keepNext/>
      <w:spacing w:before="240" w:after="120"/>
    </w:pPr>
    <w:rPr>
      <w:rFonts w:ascii="Arial" w:eastAsia="Microsoft YaHei" w:hAnsi="Arial" w:cs="Arial"/>
      <w:sz w:val="28"/>
      <w:szCs w:val="28"/>
    </w:rPr>
  </w:style>
  <w:style w:type="paragraph" w:customStyle="1" w:styleId="Index1">
    <w:name w:val="Index1"/>
    <w:basedOn w:val="Normale"/>
    <w:uiPriority w:val="99"/>
    <w:rsid w:val="0027045F"/>
  </w:style>
  <w:style w:type="character" w:customStyle="1" w:styleId="RTFNum21">
    <w:name w:val="RTF_Num 2 1"/>
    <w:uiPriority w:val="99"/>
    <w:rsid w:val="0027045F"/>
    <w:rPr>
      <w:rFonts w:ascii="Symbol" w:hAnsi="Symbol"/>
      <w:lang w:eastAsia="zh-CN"/>
    </w:rPr>
  </w:style>
  <w:style w:type="character" w:customStyle="1" w:styleId="RTFNum22">
    <w:name w:val="RTF_Num 2 2"/>
    <w:uiPriority w:val="99"/>
    <w:rsid w:val="0027045F"/>
    <w:rPr>
      <w:rFonts w:ascii="OpenSymbol" w:hAnsi="OpenSymbol"/>
      <w:lang w:eastAsia="zh-CN"/>
    </w:rPr>
  </w:style>
  <w:style w:type="character" w:customStyle="1" w:styleId="RTFNum23">
    <w:name w:val="RTF_Num 2 3"/>
    <w:uiPriority w:val="99"/>
    <w:rsid w:val="0027045F"/>
    <w:rPr>
      <w:rFonts w:ascii="OpenSymbol" w:hAnsi="OpenSymbol"/>
      <w:lang w:eastAsia="zh-CN"/>
    </w:rPr>
  </w:style>
  <w:style w:type="character" w:customStyle="1" w:styleId="RTFNum24">
    <w:name w:val="RTF_Num 2 4"/>
    <w:uiPriority w:val="99"/>
    <w:rsid w:val="0027045F"/>
    <w:rPr>
      <w:rFonts w:ascii="OpenSymbol" w:hAnsi="OpenSymbol"/>
      <w:lang w:eastAsia="zh-CN"/>
    </w:rPr>
  </w:style>
  <w:style w:type="character" w:customStyle="1" w:styleId="RTFNum25">
    <w:name w:val="RTF_Num 2 5"/>
    <w:uiPriority w:val="99"/>
    <w:rsid w:val="0027045F"/>
    <w:rPr>
      <w:rFonts w:ascii="OpenSymbol" w:hAnsi="OpenSymbol"/>
      <w:lang w:eastAsia="zh-CN"/>
    </w:rPr>
  </w:style>
  <w:style w:type="character" w:customStyle="1" w:styleId="RTFNum26">
    <w:name w:val="RTF_Num 2 6"/>
    <w:uiPriority w:val="99"/>
    <w:rsid w:val="0027045F"/>
    <w:rPr>
      <w:rFonts w:ascii="OpenSymbol" w:hAnsi="OpenSymbol"/>
      <w:lang w:eastAsia="zh-CN"/>
    </w:rPr>
  </w:style>
  <w:style w:type="character" w:customStyle="1" w:styleId="RTFNum27">
    <w:name w:val="RTF_Num 2 7"/>
    <w:uiPriority w:val="99"/>
    <w:rsid w:val="0027045F"/>
    <w:rPr>
      <w:rFonts w:ascii="OpenSymbol" w:hAnsi="OpenSymbol"/>
      <w:lang w:eastAsia="zh-CN"/>
    </w:rPr>
  </w:style>
  <w:style w:type="character" w:customStyle="1" w:styleId="RTFNum28">
    <w:name w:val="RTF_Num 2 8"/>
    <w:uiPriority w:val="99"/>
    <w:rsid w:val="0027045F"/>
    <w:rPr>
      <w:rFonts w:ascii="OpenSymbol" w:hAnsi="OpenSymbol"/>
      <w:lang w:eastAsia="zh-CN"/>
    </w:rPr>
  </w:style>
  <w:style w:type="character" w:customStyle="1" w:styleId="RTFNum29">
    <w:name w:val="RTF_Num 2 9"/>
    <w:uiPriority w:val="99"/>
    <w:rsid w:val="0027045F"/>
    <w:rPr>
      <w:rFonts w:ascii="OpenSymbol" w:hAnsi="OpenSymbol"/>
      <w:lang w:eastAsia="zh-CN"/>
    </w:rPr>
  </w:style>
  <w:style w:type="character" w:customStyle="1" w:styleId="RTFNum210">
    <w:name w:val="RTF_Num 2 10"/>
    <w:uiPriority w:val="99"/>
    <w:rsid w:val="0027045F"/>
    <w:rPr>
      <w:rFonts w:ascii="OpenSymbol" w:hAnsi="OpenSymbol"/>
      <w:lang w:eastAsia="zh-CN"/>
    </w:rPr>
  </w:style>
  <w:style w:type="character" w:customStyle="1" w:styleId="RTFNum31">
    <w:name w:val="RTF_Num 3 1"/>
    <w:uiPriority w:val="99"/>
    <w:rsid w:val="0027045F"/>
    <w:rPr>
      <w:rFonts w:ascii="Symbol" w:hAnsi="Symbol"/>
    </w:rPr>
  </w:style>
  <w:style w:type="character" w:styleId="Enfasigrassetto">
    <w:name w:val="Strong"/>
    <w:uiPriority w:val="22"/>
    <w:qFormat/>
    <w:rsid w:val="004C1E58"/>
    <w:rPr>
      <w:rFonts w:cs="Times New Roman"/>
      <w:b/>
    </w:rPr>
  </w:style>
  <w:style w:type="paragraph" w:styleId="Intestazione">
    <w:name w:val="header"/>
    <w:basedOn w:val="Normale"/>
    <w:link w:val="IntestazioneCarattere"/>
    <w:uiPriority w:val="99"/>
    <w:rsid w:val="00A95465"/>
    <w:pPr>
      <w:tabs>
        <w:tab w:val="center" w:pos="4819"/>
        <w:tab w:val="right" w:pos="9638"/>
      </w:tabs>
    </w:pPr>
    <w:rPr>
      <w:rFonts w:cs="Mangal"/>
      <w:szCs w:val="20"/>
    </w:rPr>
  </w:style>
  <w:style w:type="character" w:customStyle="1" w:styleId="IntestazioneCarattere">
    <w:name w:val="Intestazione Carattere"/>
    <w:link w:val="Intestazione"/>
    <w:uiPriority w:val="99"/>
    <w:rsid w:val="00A95465"/>
    <w:rPr>
      <w:rFonts w:cs="Mangal"/>
      <w:sz w:val="22"/>
      <w:lang w:bidi="hi-IN"/>
    </w:rPr>
  </w:style>
  <w:style w:type="paragraph" w:styleId="Pidipagina">
    <w:name w:val="footer"/>
    <w:basedOn w:val="Normale"/>
    <w:link w:val="PidipaginaCarattere"/>
    <w:uiPriority w:val="99"/>
    <w:rsid w:val="00A95465"/>
    <w:pPr>
      <w:tabs>
        <w:tab w:val="center" w:pos="4819"/>
        <w:tab w:val="right" w:pos="9638"/>
      </w:tabs>
    </w:pPr>
    <w:rPr>
      <w:rFonts w:cs="Mangal"/>
      <w:szCs w:val="20"/>
    </w:rPr>
  </w:style>
  <w:style w:type="character" w:customStyle="1" w:styleId="PidipaginaCarattere">
    <w:name w:val="Piè di pagina Carattere"/>
    <w:link w:val="Pidipagina"/>
    <w:uiPriority w:val="99"/>
    <w:rsid w:val="00A95465"/>
    <w:rPr>
      <w:rFonts w:cs="Mangal"/>
      <w:sz w:val="22"/>
      <w:lang w:bidi="hi-IN"/>
    </w:rPr>
  </w:style>
  <w:style w:type="character" w:styleId="Collegamentoipertestuale">
    <w:name w:val="Hyperlink"/>
    <w:basedOn w:val="Carpredefinitoparagrafo"/>
    <w:uiPriority w:val="99"/>
    <w:rsid w:val="0039463B"/>
    <w:rPr>
      <w:color w:val="D2611C" w:themeColor="hyperlink"/>
      <w:u w:val="single"/>
    </w:rPr>
  </w:style>
  <w:style w:type="paragraph" w:styleId="Testofumetto">
    <w:name w:val="Balloon Text"/>
    <w:basedOn w:val="Normale"/>
    <w:link w:val="TestofumettoCarattere"/>
    <w:uiPriority w:val="99"/>
    <w:rsid w:val="004D5853"/>
    <w:pPr>
      <w:spacing w:after="0" w:line="240" w:lineRule="auto"/>
    </w:pPr>
    <w:rPr>
      <w:rFonts w:ascii="Tahoma" w:hAnsi="Tahoma" w:cs="Mangal"/>
      <w:sz w:val="16"/>
      <w:szCs w:val="14"/>
    </w:rPr>
  </w:style>
  <w:style w:type="character" w:customStyle="1" w:styleId="TestofumettoCarattere">
    <w:name w:val="Testo fumetto Carattere"/>
    <w:basedOn w:val="Carpredefinitoparagrafo"/>
    <w:link w:val="Testofumetto"/>
    <w:uiPriority w:val="99"/>
    <w:rsid w:val="004D5853"/>
    <w:rPr>
      <w:rFonts w:ascii="Tahoma" w:hAnsi="Tahoma" w:cs="Mangal"/>
      <w:sz w:val="16"/>
      <w:szCs w:val="14"/>
      <w:lang w:bidi="hi-IN"/>
    </w:rPr>
  </w:style>
  <w:style w:type="paragraph" w:styleId="NormaleWeb">
    <w:name w:val="Normal (Web)"/>
    <w:basedOn w:val="Normale"/>
    <w:uiPriority w:val="99"/>
    <w:unhideWhenUsed/>
    <w:rsid w:val="005E685C"/>
    <w:pPr>
      <w:widowControl/>
      <w:autoSpaceDN/>
      <w:adjustRightInd/>
      <w:spacing w:before="100" w:beforeAutospacing="1" w:after="100" w:afterAutospacing="1" w:line="240" w:lineRule="auto"/>
    </w:pPr>
    <w:rPr>
      <w:rFonts w:ascii="Times New Roman" w:hAnsi="Times New Roman" w:cs="Times New Roman"/>
      <w:sz w:val="24"/>
      <w:szCs w:val="24"/>
      <w:lang w:bidi="ar-SA"/>
    </w:rPr>
  </w:style>
  <w:style w:type="paragraph" w:styleId="Paragrafoelenco">
    <w:name w:val="List Paragraph"/>
    <w:basedOn w:val="Normale"/>
    <w:uiPriority w:val="34"/>
    <w:qFormat/>
    <w:rsid w:val="00522F02"/>
    <w:pPr>
      <w:ind w:left="720"/>
      <w:contextualSpacing/>
    </w:pPr>
    <w:rPr>
      <w:rFonts w:cs="Mangal"/>
      <w:szCs w:val="20"/>
    </w:rPr>
  </w:style>
  <w:style w:type="paragraph" w:styleId="PreformattatoHTML">
    <w:name w:val="HTML Preformatted"/>
    <w:basedOn w:val="Normale"/>
    <w:link w:val="PreformattatoHTMLCarattere"/>
    <w:uiPriority w:val="99"/>
    <w:semiHidden/>
    <w:unhideWhenUsed/>
    <w:rsid w:val="0088685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adjustRightInd/>
      <w:spacing w:after="0" w:line="240" w:lineRule="auto"/>
    </w:pPr>
    <w:rPr>
      <w:rFonts w:ascii="Courier New" w:hAnsi="Courier New" w:cs="Courier New"/>
      <w:sz w:val="20"/>
      <w:szCs w:val="20"/>
      <w:lang w:bidi="ar-SA"/>
    </w:rPr>
  </w:style>
  <w:style w:type="character" w:customStyle="1" w:styleId="PreformattatoHTMLCarattere">
    <w:name w:val="Preformattato HTML Carattere"/>
    <w:basedOn w:val="Carpredefinitoparagrafo"/>
    <w:link w:val="PreformattatoHTML"/>
    <w:uiPriority w:val="99"/>
    <w:semiHidden/>
    <w:rsid w:val="00886858"/>
    <w:rPr>
      <w:rFonts w:ascii="Courier New" w:hAnsi="Courier New" w:cs="Courier New"/>
    </w:rPr>
  </w:style>
  <w:style w:type="character" w:customStyle="1" w:styleId="apple-converted-space">
    <w:name w:val="apple-converted-space"/>
    <w:basedOn w:val="Carpredefinitoparagrafo"/>
    <w:rsid w:val="0060297B"/>
  </w:style>
  <w:style w:type="paragraph" w:customStyle="1" w:styleId="bodytext">
    <w:name w:val="bodytext"/>
    <w:basedOn w:val="Normale"/>
    <w:rsid w:val="004A35E6"/>
    <w:pPr>
      <w:widowControl/>
      <w:autoSpaceDN/>
      <w:adjustRightInd/>
      <w:spacing w:before="100" w:beforeAutospacing="1" w:after="100" w:afterAutospacing="1" w:line="240" w:lineRule="auto"/>
    </w:pPr>
    <w:rPr>
      <w:rFonts w:ascii="Times New Roman" w:hAnsi="Times New Roman" w:cs="Times New Roman"/>
      <w:sz w:val="24"/>
      <w:szCs w:val="24"/>
      <w:lang w:bidi="ar-SA"/>
    </w:rPr>
  </w:style>
</w:styles>
</file>

<file path=word/webSettings.xml><?xml version="1.0" encoding="utf-8"?>
<w:webSettings xmlns:r="http://schemas.openxmlformats.org/officeDocument/2006/relationships" xmlns:w="http://schemas.openxmlformats.org/wordprocessingml/2006/main">
  <w:divs>
    <w:div w:id="54086857">
      <w:bodyDiv w:val="1"/>
      <w:marLeft w:val="0"/>
      <w:marRight w:val="0"/>
      <w:marTop w:val="0"/>
      <w:marBottom w:val="0"/>
      <w:divBdr>
        <w:top w:val="none" w:sz="0" w:space="0" w:color="auto"/>
        <w:left w:val="none" w:sz="0" w:space="0" w:color="auto"/>
        <w:bottom w:val="none" w:sz="0" w:space="0" w:color="auto"/>
        <w:right w:val="none" w:sz="0" w:space="0" w:color="auto"/>
      </w:divBdr>
      <w:divsChild>
        <w:div w:id="405110189">
          <w:marLeft w:val="0"/>
          <w:marRight w:val="0"/>
          <w:marTop w:val="0"/>
          <w:marBottom w:val="0"/>
          <w:divBdr>
            <w:top w:val="none" w:sz="0" w:space="0" w:color="auto"/>
            <w:left w:val="none" w:sz="0" w:space="0" w:color="auto"/>
            <w:bottom w:val="none" w:sz="0" w:space="0" w:color="auto"/>
            <w:right w:val="none" w:sz="0" w:space="0" w:color="auto"/>
          </w:divBdr>
        </w:div>
        <w:div w:id="532889668">
          <w:marLeft w:val="720"/>
          <w:marRight w:val="0"/>
          <w:marTop w:val="0"/>
          <w:marBottom w:val="0"/>
          <w:divBdr>
            <w:top w:val="none" w:sz="0" w:space="0" w:color="auto"/>
            <w:left w:val="none" w:sz="0" w:space="0" w:color="auto"/>
            <w:bottom w:val="none" w:sz="0" w:space="0" w:color="auto"/>
            <w:right w:val="none" w:sz="0" w:space="0" w:color="auto"/>
          </w:divBdr>
        </w:div>
        <w:div w:id="637881582">
          <w:marLeft w:val="0"/>
          <w:marRight w:val="0"/>
          <w:marTop w:val="0"/>
          <w:marBottom w:val="0"/>
          <w:divBdr>
            <w:top w:val="none" w:sz="0" w:space="0" w:color="auto"/>
            <w:left w:val="none" w:sz="0" w:space="0" w:color="auto"/>
            <w:bottom w:val="none" w:sz="0" w:space="0" w:color="auto"/>
            <w:right w:val="none" w:sz="0" w:space="0" w:color="auto"/>
          </w:divBdr>
        </w:div>
        <w:div w:id="1430270223">
          <w:marLeft w:val="0"/>
          <w:marRight w:val="0"/>
          <w:marTop w:val="0"/>
          <w:marBottom w:val="0"/>
          <w:divBdr>
            <w:top w:val="none" w:sz="0" w:space="0" w:color="auto"/>
            <w:left w:val="none" w:sz="0" w:space="0" w:color="auto"/>
            <w:bottom w:val="none" w:sz="0" w:space="0" w:color="auto"/>
            <w:right w:val="none" w:sz="0" w:space="0" w:color="auto"/>
          </w:divBdr>
        </w:div>
      </w:divsChild>
    </w:div>
    <w:div w:id="450395301">
      <w:bodyDiv w:val="1"/>
      <w:marLeft w:val="0"/>
      <w:marRight w:val="0"/>
      <w:marTop w:val="0"/>
      <w:marBottom w:val="0"/>
      <w:divBdr>
        <w:top w:val="none" w:sz="0" w:space="0" w:color="auto"/>
        <w:left w:val="none" w:sz="0" w:space="0" w:color="auto"/>
        <w:bottom w:val="none" w:sz="0" w:space="0" w:color="auto"/>
        <w:right w:val="none" w:sz="0" w:space="0" w:color="auto"/>
      </w:divBdr>
    </w:div>
    <w:div w:id="1163006996">
      <w:marLeft w:val="0"/>
      <w:marRight w:val="0"/>
      <w:marTop w:val="0"/>
      <w:marBottom w:val="0"/>
      <w:divBdr>
        <w:top w:val="none" w:sz="0" w:space="0" w:color="auto"/>
        <w:left w:val="none" w:sz="0" w:space="0" w:color="auto"/>
        <w:bottom w:val="none" w:sz="0" w:space="0" w:color="auto"/>
        <w:right w:val="none" w:sz="0" w:space="0" w:color="auto"/>
      </w:divBdr>
      <w:divsChild>
        <w:div w:id="1163006998">
          <w:marLeft w:val="0"/>
          <w:marRight w:val="0"/>
          <w:marTop w:val="100"/>
          <w:marBottom w:val="100"/>
          <w:divBdr>
            <w:top w:val="none" w:sz="0" w:space="0" w:color="auto"/>
            <w:left w:val="none" w:sz="0" w:space="0" w:color="auto"/>
            <w:bottom w:val="none" w:sz="0" w:space="0" w:color="auto"/>
            <w:right w:val="none" w:sz="0" w:space="0" w:color="auto"/>
          </w:divBdr>
          <w:divsChild>
            <w:div w:id="1163007000">
              <w:marLeft w:val="0"/>
              <w:marRight w:val="0"/>
              <w:marTop w:val="0"/>
              <w:marBottom w:val="0"/>
              <w:divBdr>
                <w:top w:val="none" w:sz="0" w:space="0" w:color="auto"/>
                <w:left w:val="none" w:sz="0" w:space="0" w:color="auto"/>
                <w:bottom w:val="none" w:sz="0" w:space="0" w:color="auto"/>
                <w:right w:val="none" w:sz="0" w:space="0" w:color="auto"/>
              </w:divBdr>
              <w:divsChild>
                <w:div w:id="1163006997">
                  <w:marLeft w:val="2925"/>
                  <w:marRight w:val="0"/>
                  <w:marTop w:val="0"/>
                  <w:marBottom w:val="0"/>
                  <w:divBdr>
                    <w:top w:val="none" w:sz="0" w:space="0" w:color="auto"/>
                    <w:left w:val="none" w:sz="0" w:space="0" w:color="auto"/>
                    <w:bottom w:val="none" w:sz="0" w:space="0" w:color="auto"/>
                    <w:right w:val="none" w:sz="0" w:space="0" w:color="auto"/>
                  </w:divBdr>
                  <w:divsChild>
                    <w:div w:id="1163006999">
                      <w:marLeft w:val="0"/>
                      <w:marRight w:val="0"/>
                      <w:marTop w:val="0"/>
                      <w:marBottom w:val="150"/>
                      <w:divBdr>
                        <w:top w:val="single" w:sz="6" w:space="4" w:color="8E8E8E"/>
                        <w:left w:val="single" w:sz="6" w:space="4" w:color="8E8E8E"/>
                        <w:bottom w:val="single" w:sz="6" w:space="4" w:color="8E8E8E"/>
                        <w:right w:val="single" w:sz="6" w:space="4" w:color="8E8E8E"/>
                      </w:divBdr>
                    </w:div>
                  </w:divsChild>
                </w:div>
              </w:divsChild>
            </w:div>
          </w:divsChild>
        </w:div>
      </w:divsChild>
    </w:div>
    <w:div w:id="1285118876">
      <w:bodyDiv w:val="1"/>
      <w:marLeft w:val="0"/>
      <w:marRight w:val="0"/>
      <w:marTop w:val="0"/>
      <w:marBottom w:val="0"/>
      <w:divBdr>
        <w:top w:val="none" w:sz="0" w:space="0" w:color="auto"/>
        <w:left w:val="none" w:sz="0" w:space="0" w:color="auto"/>
        <w:bottom w:val="none" w:sz="0" w:space="0" w:color="auto"/>
        <w:right w:val="none" w:sz="0" w:space="0" w:color="auto"/>
      </w:divBdr>
      <w:divsChild>
        <w:div w:id="159829578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94107892">
      <w:bodyDiv w:val="1"/>
      <w:marLeft w:val="0"/>
      <w:marRight w:val="0"/>
      <w:marTop w:val="0"/>
      <w:marBottom w:val="0"/>
      <w:divBdr>
        <w:top w:val="none" w:sz="0" w:space="0" w:color="auto"/>
        <w:left w:val="none" w:sz="0" w:space="0" w:color="auto"/>
        <w:bottom w:val="none" w:sz="0" w:space="0" w:color="auto"/>
        <w:right w:val="none" w:sz="0" w:space="0" w:color="auto"/>
      </w:divBdr>
    </w:div>
    <w:div w:id="1753547741">
      <w:bodyDiv w:val="1"/>
      <w:marLeft w:val="0"/>
      <w:marRight w:val="0"/>
      <w:marTop w:val="0"/>
      <w:marBottom w:val="0"/>
      <w:divBdr>
        <w:top w:val="none" w:sz="0" w:space="0" w:color="auto"/>
        <w:left w:val="none" w:sz="0" w:space="0" w:color="auto"/>
        <w:bottom w:val="none" w:sz="0" w:space="0" w:color="auto"/>
        <w:right w:val="none" w:sz="0" w:space="0" w:color="auto"/>
      </w:divBdr>
    </w:div>
    <w:div w:id="1903174089">
      <w:bodyDiv w:val="1"/>
      <w:marLeft w:val="0"/>
      <w:marRight w:val="0"/>
      <w:marTop w:val="0"/>
      <w:marBottom w:val="0"/>
      <w:divBdr>
        <w:top w:val="none" w:sz="0" w:space="0" w:color="auto"/>
        <w:left w:val="none" w:sz="0" w:space="0" w:color="auto"/>
        <w:bottom w:val="none" w:sz="0" w:space="0" w:color="auto"/>
        <w:right w:val="none" w:sz="0" w:space="0" w:color="auto"/>
      </w:divBdr>
    </w:div>
    <w:div w:id="21381806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normattiva.it/uri-res/N2Ls?urn:nir:stato:decreto.legislativo:2011;118"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Loggia">
      <a:dk1>
        <a:sysClr val="windowText" lastClr="000000"/>
      </a:dk1>
      <a:lt1>
        <a:sysClr val="window" lastClr="FFFFFF"/>
      </a:lt1>
      <a:dk2>
        <a:srgbClr val="575F6D"/>
      </a:dk2>
      <a:lt2>
        <a:srgbClr val="FFF39D"/>
      </a:lt2>
      <a:accent1>
        <a:srgbClr val="FE8637"/>
      </a:accent1>
      <a:accent2>
        <a:srgbClr val="7598D9"/>
      </a:accent2>
      <a:accent3>
        <a:srgbClr val="B32C16"/>
      </a:accent3>
      <a:accent4>
        <a:srgbClr val="F5CD2D"/>
      </a:accent4>
      <a:accent5>
        <a:srgbClr val="AEBAD5"/>
      </a:accent5>
      <a:accent6>
        <a:srgbClr val="777C84"/>
      </a:accent6>
      <a:hlink>
        <a:srgbClr val="D2611C"/>
      </a:hlink>
      <a:folHlink>
        <a:srgbClr val="3B435B"/>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1</Pages>
  <Words>11787</Words>
  <Characters>67186</Characters>
  <Application>Microsoft Office Word</Application>
  <DocSecurity>0</DocSecurity>
  <Lines>559</Lines>
  <Paragraphs>157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78816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serena</dc:creator>
  <cp:keywords/>
  <dc:description/>
  <cp:lastModifiedBy>Windows User</cp:lastModifiedBy>
  <cp:revision>7</cp:revision>
  <dcterms:created xsi:type="dcterms:W3CDTF">2021-08-12T15:54:00Z</dcterms:created>
  <dcterms:modified xsi:type="dcterms:W3CDTF">2021-08-12T16:19:00Z</dcterms:modified>
</cp:coreProperties>
</file>