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33CCCC"/>
  <w:body>
    <w:p w14:paraId="1D8F2BB6" w14:textId="77777777" w:rsidR="008A1816" w:rsidRPr="00EC697D" w:rsidRDefault="008A1816" w:rsidP="008A1816">
      <w:pPr>
        <w:autoSpaceDE w:val="0"/>
        <w:spacing w:after="0" w:line="240" w:lineRule="auto"/>
        <w:jc w:val="center"/>
        <w:rPr>
          <w:rFonts w:ascii="Times New Roman" w:hAnsi="Times New Roman"/>
          <w:b/>
          <w:color w:val="365F91"/>
          <w:sz w:val="28"/>
          <w:szCs w:val="28"/>
        </w:rPr>
      </w:pPr>
      <w:r w:rsidRPr="00EC697D">
        <w:rPr>
          <w:rFonts w:ascii="Times New Roman" w:hAnsi="Times New Roman"/>
          <w:b/>
          <w:color w:val="365F91"/>
          <w:sz w:val="28"/>
          <w:szCs w:val="28"/>
        </w:rPr>
        <w:t>SG.FORMAZIONEGIURIDICA</w:t>
      </w:r>
    </w:p>
    <w:p w14:paraId="188CAE1A" w14:textId="77777777" w:rsidR="008A1816" w:rsidRPr="00EC697D" w:rsidRDefault="008A1816" w:rsidP="008A1816">
      <w:pPr>
        <w:autoSpaceDE w:val="0"/>
        <w:spacing w:after="0" w:line="240" w:lineRule="auto"/>
        <w:jc w:val="center"/>
        <w:rPr>
          <w:rFonts w:ascii="Times New Roman" w:hAnsi="Times New Roman"/>
          <w:b/>
          <w:color w:val="365F91"/>
        </w:rPr>
      </w:pPr>
      <w:r w:rsidRPr="00EC697D">
        <w:rPr>
          <w:rFonts w:ascii="Times New Roman" w:hAnsi="Times New Roman"/>
          <w:b/>
          <w:color w:val="365F91"/>
        </w:rPr>
        <w:t>CONSULENZA E FORMAZIONE GIURIDICA AMM.VA/PREPARAZIONE CONCORSI PUBBLICI</w:t>
      </w:r>
    </w:p>
    <w:p w14:paraId="67FFCBC6" w14:textId="77777777" w:rsidR="008A1816" w:rsidRPr="00EC697D" w:rsidRDefault="008A1816" w:rsidP="008A1816">
      <w:pPr>
        <w:jc w:val="center"/>
        <w:rPr>
          <w:rFonts w:ascii="Times New Roman" w:hAnsi="Times New Roman"/>
          <w:b/>
          <w:color w:val="365F91"/>
        </w:rPr>
      </w:pPr>
      <w:r w:rsidRPr="00EC697D">
        <w:rPr>
          <w:rFonts w:ascii="Times New Roman" w:hAnsi="Times New Roman"/>
          <w:b/>
          <w:color w:val="365F91"/>
        </w:rPr>
        <w:t xml:space="preserve">P.I. 05615790481 </w:t>
      </w:r>
      <w:r w:rsidR="008D172F">
        <w:rPr>
          <w:rFonts w:ascii="Times New Roman" w:hAnsi="Times New Roman"/>
          <w:b/>
          <w:color w:val="365F91"/>
        </w:rPr>
        <w:t>referente dott.ssa S. Guarducci</w:t>
      </w:r>
      <w:r w:rsidRPr="00EC697D">
        <w:rPr>
          <w:rFonts w:ascii="Times New Roman" w:hAnsi="Times New Roman"/>
          <w:b/>
          <w:color w:val="365F91"/>
        </w:rPr>
        <w:t xml:space="preserve"> TEL. 3486809930</w:t>
      </w:r>
    </w:p>
    <w:tbl>
      <w:tblPr>
        <w:tblW w:w="0" w:type="auto"/>
        <w:tblInd w:w="-12" w:type="dxa"/>
        <w:tblLayout w:type="fixed"/>
        <w:tblCellMar>
          <w:left w:w="70" w:type="dxa"/>
          <w:right w:w="70" w:type="dxa"/>
        </w:tblCellMar>
        <w:tblLook w:val="0000" w:firstRow="0" w:lastRow="0" w:firstColumn="0" w:lastColumn="0" w:noHBand="0" w:noVBand="0"/>
      </w:tblPr>
      <w:tblGrid>
        <w:gridCol w:w="5675"/>
      </w:tblGrid>
      <w:tr w:rsidR="00E944EB" w:rsidRPr="00E944EB" w14:paraId="3FF8E0C3" w14:textId="77777777" w:rsidTr="00CF10ED">
        <w:tc>
          <w:tcPr>
            <w:tcW w:w="5675" w:type="dxa"/>
            <w:tcBorders>
              <w:top w:val="single" w:sz="4" w:space="0" w:color="000000"/>
              <w:left w:val="single" w:sz="4" w:space="0" w:color="000000"/>
              <w:bottom w:val="single" w:sz="4" w:space="0" w:color="000000"/>
              <w:right w:val="single" w:sz="4" w:space="0" w:color="000000"/>
            </w:tcBorders>
          </w:tcPr>
          <w:p w14:paraId="5B394AD6"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u w:val="single"/>
              </w:rPr>
            </w:pPr>
            <w:r w:rsidRPr="00E944EB">
              <w:rPr>
                <w:rFonts w:ascii="Arial" w:hAnsi="Arial" w:cs="Arial"/>
                <w:b/>
                <w:bCs/>
                <w:sz w:val="20"/>
                <w:szCs w:val="20"/>
                <w:u w:val="single"/>
              </w:rPr>
              <w:t>La riforma del pubblico impiego</w:t>
            </w:r>
          </w:p>
        </w:tc>
      </w:tr>
    </w:tbl>
    <w:p w14:paraId="49D37DB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5189DBD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nostra Costituzione detta alcune norme in materia di pubblico impiego:</w:t>
      </w:r>
    </w:p>
    <w:p w14:paraId="30C4DB6B" w14:textId="77777777" w:rsidR="00E944EB" w:rsidRPr="00E944EB" w:rsidRDefault="00E944EB" w:rsidP="00E944EB">
      <w:pPr>
        <w:widowControl w:val="0"/>
        <w:numPr>
          <w:ilvl w:val="0"/>
          <w:numId w:val="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Art. 51: Tutti i cittadini dell'uno o dell'altro sesso possono accedere agli uffici pubblici e alle cariche elettive in condizioni di eguaglianza, secondo i requisiti stabiliti dalla legge. A tale fine la Repubblica promuove con appositi provvedimenti le pari opportunità tra donne e uomini.</w:t>
      </w:r>
    </w:p>
    <w:p w14:paraId="0B2276CF" w14:textId="77777777" w:rsidR="00E944EB" w:rsidRPr="00E944EB" w:rsidRDefault="00E944EB" w:rsidP="00E944EB">
      <w:pPr>
        <w:widowControl w:val="0"/>
        <w:numPr>
          <w:ilvl w:val="0"/>
          <w:numId w:val="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ART. 54: Tutti i cittadini hanno il dovere di essere fedeli alla Repubblica e di osservarne la Costituzione e le leggi. I cittadini cui sono affidate funzioni pubbliche hanno il dovere di adempierle con disciplina ed onore, prestando giuramento nei casi stabiliti dalla legge.</w:t>
      </w:r>
    </w:p>
    <w:p w14:paraId="44349BFF" w14:textId="77777777" w:rsidR="00E944EB" w:rsidRPr="00E944EB" w:rsidRDefault="00E944EB" w:rsidP="00E944EB">
      <w:pPr>
        <w:widowControl w:val="0"/>
        <w:numPr>
          <w:ilvl w:val="0"/>
          <w:numId w:val="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ART. 98: I pubblici impiegati sono al servizio esclusivo della </w:t>
      </w:r>
      <w:proofErr w:type="spellStart"/>
      <w:r w:rsidRPr="00E944EB">
        <w:rPr>
          <w:rFonts w:ascii="Arial" w:hAnsi="Arial" w:cs="Arial"/>
          <w:sz w:val="20"/>
          <w:szCs w:val="20"/>
        </w:rPr>
        <w:t>Nazione.Se</w:t>
      </w:r>
      <w:proofErr w:type="spellEnd"/>
      <w:r w:rsidRPr="00E944EB">
        <w:rPr>
          <w:rFonts w:ascii="Arial" w:hAnsi="Arial" w:cs="Arial"/>
          <w:sz w:val="20"/>
          <w:szCs w:val="20"/>
        </w:rPr>
        <w:t xml:space="preserve"> sono membri del Parlamento, non possono conseguire promozioni se non per </w:t>
      </w:r>
      <w:proofErr w:type="spellStart"/>
      <w:r w:rsidRPr="00E944EB">
        <w:rPr>
          <w:rFonts w:ascii="Arial" w:hAnsi="Arial" w:cs="Arial"/>
          <w:sz w:val="20"/>
          <w:szCs w:val="20"/>
        </w:rPr>
        <w:t>anzianità.Si</w:t>
      </w:r>
      <w:proofErr w:type="spellEnd"/>
      <w:r w:rsidRPr="00E944EB">
        <w:rPr>
          <w:rFonts w:ascii="Arial" w:hAnsi="Arial" w:cs="Arial"/>
          <w:sz w:val="20"/>
          <w:szCs w:val="20"/>
        </w:rPr>
        <w:t xml:space="preserve"> possono con legge stabilire limitazioni al diritto d'iscriversi ai partiti politici per i magistrati, i militari di carriera in servizio attivo, i funzionari ed agenti di polizia, i rappresentanti diplomatici e consolari all'estero.</w:t>
      </w:r>
    </w:p>
    <w:p w14:paraId="31515357" w14:textId="77777777" w:rsidR="00E944EB" w:rsidRPr="00E944EB" w:rsidRDefault="00E944EB" w:rsidP="00E944EB">
      <w:pPr>
        <w:widowControl w:val="0"/>
        <w:numPr>
          <w:ilvl w:val="0"/>
          <w:numId w:val="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Art.97: I pubblici uffici sono organizzati secondo disposizioni di legge, in modo che siano assicurati il buon andamento e l'imparzialità dell'amministrazione. Nell'ordinamento degli uffici sono determinate le sfere di competenza, le attribuzioni e le responsabilità proprie dei funzionari. Agli impieghi nelle pubbliche amministrazioni si accede mediante concorso, salvo i casi stabiliti dalla legge</w:t>
      </w:r>
    </w:p>
    <w:p w14:paraId="17F6F1F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Il rapporto di pubblico impiego è sempre stato considerato un rapporto speciale perché la sua disciplina era derogativi ed eccezionale rispetto alla normativa prevista per il lavoro di tipo subordinato previsto dal codice </w:t>
      </w:r>
      <w:proofErr w:type="spellStart"/>
      <w:r w:rsidRPr="00E944EB">
        <w:rPr>
          <w:rFonts w:ascii="Arial" w:hAnsi="Arial" w:cs="Arial"/>
          <w:sz w:val="20"/>
          <w:szCs w:val="20"/>
        </w:rPr>
        <w:t>civile.Nel</w:t>
      </w:r>
      <w:proofErr w:type="spellEnd"/>
      <w:r w:rsidRPr="00E944EB">
        <w:rPr>
          <w:rFonts w:ascii="Arial" w:hAnsi="Arial" w:cs="Arial"/>
          <w:sz w:val="20"/>
          <w:szCs w:val="20"/>
        </w:rPr>
        <w:t xml:space="preserve"> corso degli anni ’90 si è sentita l’esigenza di una riforma amministrativa del pubblico impiego che attualmente trova collocazione nel d. lgs 165/ 2001.</w:t>
      </w:r>
    </w:p>
    <w:p w14:paraId="77AC935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Per effetto delle suddette riforme, il pubblico impiego è stato quasi integralmente assoggettato alle disposizioni dettate dal codice civile, dallo statuto dei lavoratori e dalla legislazione speciale.</w:t>
      </w:r>
    </w:p>
    <w:p w14:paraId="329EA82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scelta di privatizzare il pubblico impiego è scaturita dalla percezione di come buona parte delle disfunzioni dell’azione e dell’organizzazione delle pubbliche amministrazioni fossero riconducibili ad un regime troppo garantista per il lavoratore pubblico.</w:t>
      </w:r>
    </w:p>
    <w:p w14:paraId="0BA50DA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L’art. 2 del </w:t>
      </w:r>
      <w:proofErr w:type="spellStart"/>
      <w:r w:rsidRPr="00E944EB">
        <w:rPr>
          <w:rFonts w:ascii="Arial" w:hAnsi="Arial" w:cs="Arial"/>
          <w:sz w:val="20"/>
          <w:szCs w:val="20"/>
        </w:rPr>
        <w:t>d.lgs</w:t>
      </w:r>
      <w:proofErr w:type="spellEnd"/>
      <w:r w:rsidRPr="00E944EB">
        <w:rPr>
          <w:rFonts w:ascii="Arial" w:hAnsi="Arial" w:cs="Arial"/>
          <w:sz w:val="20"/>
          <w:szCs w:val="20"/>
        </w:rPr>
        <w:t xml:space="preserve"> 165 del 2001 stabilisce:</w:t>
      </w:r>
    </w:p>
    <w:p w14:paraId="560A59D9" w14:textId="77777777" w:rsidR="00E944EB" w:rsidRPr="00E944EB" w:rsidRDefault="00E944EB" w:rsidP="00E944EB">
      <w:pPr>
        <w:widowControl w:val="0"/>
        <w:numPr>
          <w:ilvl w:val="0"/>
          <w:numId w:val="6"/>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rapporto di pubblico impiego è regolato dal codice civile, e da altre leggi che riguardano l’impresa privata</w:t>
      </w:r>
    </w:p>
    <w:p w14:paraId="6625B5EB" w14:textId="77777777" w:rsidR="00E944EB" w:rsidRPr="00E944EB" w:rsidRDefault="00E944EB" w:rsidP="00E944EB">
      <w:pPr>
        <w:widowControl w:val="0"/>
        <w:numPr>
          <w:ilvl w:val="0"/>
          <w:numId w:val="6"/>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I rapporti di pubblico impiego sono regolati contrattualmente</w:t>
      </w:r>
    </w:p>
    <w:p w14:paraId="4FC0DB4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34A903A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Le fonti della disciplina del rapporto di lavoro con gli enti pubblici sono pertanto le stesse del rapporto di lavoro tra le imprese private.</w:t>
      </w:r>
    </w:p>
    <w:p w14:paraId="52FD840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contrattazione collettiva si distingue in due livelli:</w:t>
      </w:r>
    </w:p>
    <w:p w14:paraId="62BF6F3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6519726E" w14:textId="77777777" w:rsidR="00E944EB" w:rsidRPr="00E944EB" w:rsidRDefault="00E944EB" w:rsidP="00E944EB">
      <w:pPr>
        <w:widowControl w:val="0"/>
        <w:numPr>
          <w:ilvl w:val="0"/>
          <w:numId w:val="7"/>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contratti collettivi nazionali di </w:t>
      </w:r>
      <w:proofErr w:type="spellStart"/>
      <w:proofErr w:type="gramStart"/>
      <w:r w:rsidRPr="00E944EB">
        <w:rPr>
          <w:rFonts w:ascii="Arial" w:hAnsi="Arial" w:cs="Arial"/>
          <w:sz w:val="20"/>
          <w:szCs w:val="20"/>
        </w:rPr>
        <w:t>comparto:i</w:t>
      </w:r>
      <w:proofErr w:type="spellEnd"/>
      <w:proofErr w:type="gramEnd"/>
      <w:r w:rsidRPr="00E944EB">
        <w:rPr>
          <w:rFonts w:ascii="Arial" w:hAnsi="Arial" w:cs="Arial"/>
          <w:sz w:val="20"/>
          <w:szCs w:val="20"/>
        </w:rPr>
        <w:t xml:space="preserve"> comparti sono individuati dall’ARAN e dalle organizzazioni sindacali maggiormente rappresentative e costituiscono l’unità fondamentale della contrattazione colletti. I comparti riguardano settori omogenei e affini.</w:t>
      </w:r>
    </w:p>
    <w:p w14:paraId="1C47D8AE" w14:textId="77777777" w:rsidR="00E944EB" w:rsidRPr="00E944EB" w:rsidRDefault="00E944EB" w:rsidP="00E944EB">
      <w:pPr>
        <w:widowControl w:val="0"/>
        <w:numPr>
          <w:ilvl w:val="0"/>
          <w:numId w:val="7"/>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contratti integrativi a livello di singola amministrazione.</w:t>
      </w:r>
    </w:p>
    <w:p w14:paraId="0B50423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2108D189" w14:textId="77777777" w:rsidR="00E944EB" w:rsidRPr="00E944EB" w:rsidRDefault="00E944EB" w:rsidP="00E944EB">
      <w:pPr>
        <w:widowControl w:val="0"/>
        <w:numPr>
          <w:ilvl w:val="0"/>
          <w:numId w:val="3"/>
        </w:numPr>
        <w:autoSpaceDE w:val="0"/>
        <w:autoSpaceDN w:val="0"/>
        <w:adjustRightInd w:val="0"/>
        <w:spacing w:after="0" w:line="240" w:lineRule="auto"/>
        <w:rPr>
          <w:rFonts w:ascii="Arial" w:hAnsi="Arial" w:cs="Arial"/>
          <w:b/>
          <w:bCs/>
          <w:sz w:val="20"/>
          <w:szCs w:val="20"/>
        </w:rPr>
      </w:pPr>
      <w:r w:rsidRPr="00E944EB">
        <w:rPr>
          <w:rFonts w:ascii="Arial" w:hAnsi="Arial" w:cs="Arial"/>
          <w:sz w:val="20"/>
          <w:szCs w:val="20"/>
        </w:rPr>
        <w:t>I contratti collettivi nazionali sono sottoscritti dall’Agenzia per la rappresentanza negoziale delle Pubbliche Amministrazioni (ARAN), un organismo dotato di personalità giuridica di diritto pubblico e di autonomia organizzativa e contabile, e dalle rappresentanze sindacali</w:t>
      </w:r>
      <w:r w:rsidRPr="00E944EB">
        <w:rPr>
          <w:rFonts w:ascii="Arial" w:hAnsi="Arial" w:cs="Arial"/>
          <w:b/>
          <w:bCs/>
          <w:sz w:val="20"/>
          <w:szCs w:val="20"/>
        </w:rPr>
        <w:t xml:space="preserve"> </w:t>
      </w:r>
    </w:p>
    <w:p w14:paraId="6A5B25EC"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L’ARAN ha la rappresentanza legale delle pubbliche amministrazioni ed esercita, a livello nazionale, ogni attività relativa alle relazioni sindacali, alla negoziazione dei contratti collettivi e all’assistenza delle pubbliche amministrazioni ai fini dell’uniforme applicazione dei contratti collettivi.</w:t>
      </w:r>
    </w:p>
    <w:p w14:paraId="45CAAE91"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 xml:space="preserve">L’art. 40 del </w:t>
      </w:r>
      <w:proofErr w:type="spellStart"/>
      <w:r w:rsidRPr="00E944EB">
        <w:rPr>
          <w:rFonts w:ascii="Arial" w:hAnsi="Arial" w:cs="Arial"/>
          <w:b/>
          <w:bCs/>
          <w:sz w:val="20"/>
          <w:szCs w:val="20"/>
        </w:rPr>
        <w:t>D.Lgs.</w:t>
      </w:r>
      <w:proofErr w:type="spellEnd"/>
      <w:r w:rsidRPr="00E944EB">
        <w:rPr>
          <w:rFonts w:ascii="Arial" w:hAnsi="Arial" w:cs="Arial"/>
          <w:b/>
          <w:bCs/>
          <w:sz w:val="20"/>
          <w:szCs w:val="20"/>
        </w:rPr>
        <w:t xml:space="preserve"> n. 165/2001 precisa, al primo comma, che “La contrattazione collettiva si svolge su tutte le materie relative al rapporto di lavoro ed alle relazioni sindacali”, mentre al terzo comma, prevede espressamente che “La contrattazione collettiva integrativa si svolge sulle materie e nei limiti stabiliti dai contratti collettivi nazionali, tra i soggetti e con le procedure negoziali che questi ultimi prevedono”. La norma citata, dopo aver affermato che i contratti integrativi sono destinati ad operare nei limiti dei contratti collettivi di comparto, stabilisce inoltre che i primi non possono contenere clausole in contrasto con i secondi (le eventuali clausole difformi sono nulle e non possono trovare applicazione).</w:t>
      </w:r>
    </w:p>
    <w:p w14:paraId="0B97D6BB"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lastRenderedPageBreak/>
        <w:t xml:space="preserve">Il contratto collettivo, una volta sottoscritto, acquista efficacia </w:t>
      </w:r>
      <w:r w:rsidRPr="00E944EB">
        <w:rPr>
          <w:rFonts w:ascii="Arial" w:hAnsi="Arial" w:cs="Arial"/>
          <w:b/>
          <w:bCs/>
          <w:i/>
          <w:iCs/>
          <w:sz w:val="20"/>
          <w:szCs w:val="20"/>
        </w:rPr>
        <w:t xml:space="preserve">erga omnes </w:t>
      </w:r>
      <w:r w:rsidRPr="00E944EB">
        <w:rPr>
          <w:rFonts w:ascii="Arial" w:hAnsi="Arial" w:cs="Arial"/>
          <w:b/>
          <w:bCs/>
          <w:sz w:val="20"/>
          <w:szCs w:val="20"/>
        </w:rPr>
        <w:t xml:space="preserve">cioè nei confronti delle amministrazioni e di tutti i lavoratori interessati. Essi si distinguono sia dai contratti integrativi che dai contratti individuali di lavoro. Questi ultimi, in particolare, devono rispettare i contratti collettivi nazionali di lavoro, soprattutto per quanto riguarda i minimi retributivi in essi previsti (art. 2, terzo comma, e art. 45 del </w:t>
      </w:r>
      <w:proofErr w:type="spellStart"/>
      <w:r w:rsidRPr="00E944EB">
        <w:rPr>
          <w:rFonts w:ascii="Arial" w:hAnsi="Arial" w:cs="Arial"/>
          <w:b/>
          <w:bCs/>
          <w:sz w:val="20"/>
          <w:szCs w:val="20"/>
        </w:rPr>
        <w:t>D.Lgs.</w:t>
      </w:r>
      <w:proofErr w:type="spellEnd"/>
      <w:r w:rsidRPr="00E944EB">
        <w:rPr>
          <w:rFonts w:ascii="Arial" w:hAnsi="Arial" w:cs="Arial"/>
          <w:b/>
          <w:bCs/>
          <w:sz w:val="20"/>
          <w:szCs w:val="20"/>
        </w:rPr>
        <w:t xml:space="preserve"> n. 165/2001.</w:t>
      </w:r>
    </w:p>
    <w:p w14:paraId="5B15868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RAPPRESENTANZA SINDACALI AMMESSE ALLA CONTRATTAZIONE: tutte le organizzazioni </w:t>
      </w:r>
      <w:proofErr w:type="gramStart"/>
      <w:r w:rsidRPr="00E944EB">
        <w:rPr>
          <w:rFonts w:ascii="Arial" w:hAnsi="Arial" w:cs="Arial"/>
          <w:sz w:val="20"/>
          <w:szCs w:val="20"/>
        </w:rPr>
        <w:t>sindacali  con</w:t>
      </w:r>
      <w:proofErr w:type="gramEnd"/>
      <w:r w:rsidRPr="00E944EB">
        <w:rPr>
          <w:rFonts w:ascii="Arial" w:hAnsi="Arial" w:cs="Arial"/>
          <w:sz w:val="20"/>
          <w:szCs w:val="20"/>
        </w:rPr>
        <w:t xml:space="preserve"> rappresentatività non inferiore al 5 %.</w:t>
      </w:r>
    </w:p>
    <w:p w14:paraId="63D76EB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Particolare importanza rivestono i comitati di settore, organismi istituiti dalle istanze associative e rappresentative delle pubbliche amministrazioni al fine di esercitare il potere di indirizzo all’ARAN per la gestione della contrattazione e di esprimere il parere favorevole sull’ipotesi di accordo eventualmente raggiunta. i comitati di settore sono costantemente informati sullo svolgimento delle trattative. </w:t>
      </w:r>
    </w:p>
    <w:p w14:paraId="5ABE613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Al momento della negoziazione dei contratti nazionali laddove sia raggiunto un accordo, l'ARAN trasmette il testo al comitato di settore il quale deve comunicare un parere favorevole entro 5 giorni dalla ricezione del testo.</w:t>
      </w:r>
    </w:p>
    <w:p w14:paraId="54A4E19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Successivamente l'ARAN deve trasmetterlo alla Corte dei Conti per ottenere la certificazione di compatibilità con gli strumenti di programmazione e di bilancio (risposta entro 15 giorni)</w:t>
      </w:r>
    </w:p>
    <w:p w14:paraId="546FFAF5"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Una volta ottenuta tale certificazione il presidente dell'ARAN può sottoscrivere il contratto collettivo, il quale sarà pubblicato sulla G.U. o B.U.</w:t>
      </w:r>
    </w:p>
    <w:p w14:paraId="66FB685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con la sottoscrizione il contratto diviene efficace sia per la P.A. che per i lavoratori interessati</w:t>
      </w:r>
    </w:p>
    <w:p w14:paraId="55DDA0B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L’art. 40 del </w:t>
      </w:r>
      <w:proofErr w:type="spellStart"/>
      <w:r w:rsidRPr="00E944EB">
        <w:rPr>
          <w:rFonts w:ascii="Arial" w:hAnsi="Arial" w:cs="Arial"/>
          <w:sz w:val="20"/>
          <w:szCs w:val="20"/>
        </w:rPr>
        <w:t>d.lgs</w:t>
      </w:r>
      <w:proofErr w:type="spellEnd"/>
      <w:r w:rsidRPr="00E944EB">
        <w:rPr>
          <w:rFonts w:ascii="Arial" w:hAnsi="Arial" w:cs="Arial"/>
          <w:sz w:val="20"/>
          <w:szCs w:val="20"/>
        </w:rPr>
        <w:t xml:space="preserve"> 165 2001 afferma che i contratti integrativi sono destinati ad operare nei limiti dei contratti collettivi di comparto, e stabilisce che i primi non possono contenere clausole in contrasto con i secondi (le clausole difformi sono nulle).il contratto collettivo una volta sottoscritto diventa efficacia erga omnes, cioè è efficace sia nei confronti delle amministrazioni sia di tutti i lavoratori interessati </w:t>
      </w:r>
    </w:p>
    <w:p w14:paraId="326AD27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719C89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AMBITO DI APPLICAZIONE: Amministrazioni pubbliche intese come amministrazioni dello Stato , compresi istituti e scuole di ogni ordine e grado e le istituzioni </w:t>
      </w:r>
      <w:proofErr w:type="spellStart"/>
      <w:r w:rsidRPr="00E944EB">
        <w:rPr>
          <w:rFonts w:ascii="Arial" w:hAnsi="Arial" w:cs="Arial"/>
          <w:sz w:val="20"/>
          <w:szCs w:val="20"/>
        </w:rPr>
        <w:t>educative,le</w:t>
      </w:r>
      <w:proofErr w:type="spellEnd"/>
      <w:r w:rsidRPr="00E944EB">
        <w:rPr>
          <w:rFonts w:ascii="Arial" w:hAnsi="Arial" w:cs="Arial"/>
          <w:sz w:val="20"/>
          <w:szCs w:val="20"/>
        </w:rPr>
        <w:t xml:space="preserve"> aziende ed amministrazioni dello stato e ordinamento autonomo, le Regioni, le Province, i Comuni, le Comunità montane e loro consorzi e associazioni, le istituzioni universitarie, gli istituti autonomi case popolari , le Camere di Commercio, industria, artigianato ed agricoltura e le loro associazioni, tutti gli enti pubblici non economici nazionali, regionali e locali e le amministrazioni, le aziende e gli enti del Servizio Sanitario nazionale, l'Agenzia per la rappresentanza negoziale delle pubbliche amministrazioni (ARAN) e le Agenzie di cui al D. Lgs 300/1999.</w:t>
      </w:r>
    </w:p>
    <w:p w14:paraId="433252F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7CA62B2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ECCEZIONI: Magistrati ordinari, amministrativi e contabili</w:t>
      </w:r>
    </w:p>
    <w:p w14:paraId="0DD1FA9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Avvocati e procuratori dello Stato</w:t>
      </w:r>
    </w:p>
    <w:p w14:paraId="4B8840A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personale della carriera diplomatica e prefettizia</w:t>
      </w:r>
    </w:p>
    <w:p w14:paraId="4525754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personale militare e delle Forze di polizia di Stato</w:t>
      </w:r>
    </w:p>
    <w:p w14:paraId="490FFAA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dipendenti che svolgono la loro </w:t>
      </w:r>
      <w:proofErr w:type="spellStart"/>
      <w:r w:rsidRPr="00E944EB">
        <w:rPr>
          <w:rFonts w:ascii="Arial" w:hAnsi="Arial" w:cs="Arial"/>
          <w:sz w:val="20"/>
          <w:szCs w:val="20"/>
        </w:rPr>
        <w:t>attivita'</w:t>
      </w:r>
      <w:proofErr w:type="spellEnd"/>
      <w:r w:rsidRPr="00E944EB">
        <w:rPr>
          <w:rFonts w:ascii="Arial" w:hAnsi="Arial" w:cs="Arial"/>
          <w:sz w:val="20"/>
          <w:szCs w:val="20"/>
        </w:rPr>
        <w:t xml:space="preserve"> nelle materie contemplate dal d. Lgs C.P.S.691/1947 e dalle leggi 281/1985 e 287/1990</w:t>
      </w:r>
    </w:p>
    <w:p w14:paraId="050EDF4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Personale del corpo </w:t>
      </w:r>
      <w:proofErr w:type="gramStart"/>
      <w:r w:rsidRPr="00E944EB">
        <w:rPr>
          <w:rFonts w:ascii="Arial" w:hAnsi="Arial" w:cs="Arial"/>
          <w:sz w:val="20"/>
          <w:szCs w:val="20"/>
        </w:rPr>
        <w:t>nazionale  dei</w:t>
      </w:r>
      <w:proofErr w:type="gramEnd"/>
      <w:r w:rsidRPr="00E944EB">
        <w:rPr>
          <w:rFonts w:ascii="Arial" w:hAnsi="Arial" w:cs="Arial"/>
          <w:sz w:val="20"/>
          <w:szCs w:val="20"/>
        </w:rPr>
        <w:t xml:space="preserve"> vigili del Fuoco, escluso il personale volontario e volontario di leva.</w:t>
      </w:r>
    </w:p>
    <w:p w14:paraId="2698C37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D8FA52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1AC01C8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5713C3A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tbl>
      <w:tblPr>
        <w:tblW w:w="0" w:type="auto"/>
        <w:tblInd w:w="-12" w:type="dxa"/>
        <w:tblLayout w:type="fixed"/>
        <w:tblCellMar>
          <w:left w:w="70" w:type="dxa"/>
          <w:right w:w="70" w:type="dxa"/>
        </w:tblCellMar>
        <w:tblLook w:val="0000" w:firstRow="0" w:lastRow="0" w:firstColumn="0" w:lastColumn="0" w:noHBand="0" w:noVBand="0"/>
      </w:tblPr>
      <w:tblGrid>
        <w:gridCol w:w="3155"/>
      </w:tblGrid>
      <w:tr w:rsidR="00E944EB" w:rsidRPr="00E944EB" w14:paraId="6B6F2386" w14:textId="77777777" w:rsidTr="00CF10ED">
        <w:tc>
          <w:tcPr>
            <w:tcW w:w="3155" w:type="dxa"/>
            <w:tcBorders>
              <w:top w:val="single" w:sz="4" w:space="0" w:color="000000"/>
              <w:left w:val="single" w:sz="4" w:space="0" w:color="000000"/>
              <w:bottom w:val="single" w:sz="4" w:space="0" w:color="000000"/>
              <w:right w:val="single" w:sz="4" w:space="0" w:color="000000"/>
            </w:tcBorders>
          </w:tcPr>
          <w:p w14:paraId="2C44EE1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dirigenza pubblica</w:t>
            </w:r>
          </w:p>
        </w:tc>
      </w:tr>
    </w:tbl>
    <w:p w14:paraId="21B2C1D8" w14:textId="77777777" w:rsidR="00E944EB" w:rsidRPr="00E944EB" w:rsidRDefault="00E944EB" w:rsidP="00E944EB">
      <w:pPr>
        <w:widowControl w:val="0"/>
        <w:numPr>
          <w:ilvl w:val="0"/>
          <w:numId w:val="8"/>
        </w:numPr>
        <w:autoSpaceDE w:val="0"/>
        <w:autoSpaceDN w:val="0"/>
        <w:adjustRightInd w:val="0"/>
        <w:spacing w:after="0" w:line="240" w:lineRule="auto"/>
        <w:rPr>
          <w:rFonts w:ascii="Arial" w:hAnsi="Arial" w:cs="Arial"/>
          <w:b/>
          <w:bCs/>
          <w:sz w:val="20"/>
          <w:szCs w:val="20"/>
          <w:u w:val="single"/>
        </w:rPr>
      </w:pPr>
      <w:r w:rsidRPr="00E944EB">
        <w:rPr>
          <w:rFonts w:ascii="Arial" w:hAnsi="Arial" w:cs="Arial"/>
          <w:b/>
          <w:bCs/>
          <w:sz w:val="20"/>
          <w:szCs w:val="20"/>
          <w:u w:val="single"/>
        </w:rPr>
        <w:t xml:space="preserve">La dirigenza pubblica (art. 13 e ss. Del </w:t>
      </w:r>
      <w:proofErr w:type="spellStart"/>
      <w:r w:rsidRPr="00E944EB">
        <w:rPr>
          <w:rFonts w:ascii="Arial" w:hAnsi="Arial" w:cs="Arial"/>
          <w:b/>
          <w:bCs/>
          <w:sz w:val="20"/>
          <w:szCs w:val="20"/>
          <w:u w:val="single"/>
        </w:rPr>
        <w:t>D.Lgs.</w:t>
      </w:r>
      <w:proofErr w:type="spellEnd"/>
      <w:r w:rsidRPr="00E944EB">
        <w:rPr>
          <w:rFonts w:ascii="Arial" w:hAnsi="Arial" w:cs="Arial"/>
          <w:b/>
          <w:bCs/>
          <w:sz w:val="20"/>
          <w:szCs w:val="20"/>
          <w:u w:val="single"/>
        </w:rPr>
        <w:t xml:space="preserve"> n. 165/2001).</w:t>
      </w:r>
    </w:p>
    <w:p w14:paraId="61C3402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processo di privatizzazione ha investito anche l’area della dirigenza pubblica, con l’</w:t>
      </w:r>
      <w:proofErr w:type="spellStart"/>
      <w:r w:rsidRPr="00E944EB">
        <w:rPr>
          <w:rFonts w:ascii="Arial" w:hAnsi="Arial" w:cs="Arial"/>
          <w:sz w:val="20"/>
          <w:szCs w:val="20"/>
        </w:rPr>
        <w:t>introduzine</w:t>
      </w:r>
      <w:proofErr w:type="spellEnd"/>
      <w:r w:rsidRPr="00E944EB">
        <w:rPr>
          <w:rFonts w:ascii="Arial" w:hAnsi="Arial" w:cs="Arial"/>
          <w:sz w:val="20"/>
          <w:szCs w:val="20"/>
        </w:rPr>
        <w:t xml:space="preserve"> della netta separazione tra funzioni di indirizzo e </w:t>
      </w:r>
      <w:proofErr w:type="gramStart"/>
      <w:r w:rsidRPr="00E944EB">
        <w:rPr>
          <w:rFonts w:ascii="Arial" w:hAnsi="Arial" w:cs="Arial"/>
          <w:sz w:val="20"/>
          <w:szCs w:val="20"/>
        </w:rPr>
        <w:t>controllo ,</w:t>
      </w:r>
      <w:proofErr w:type="gramEnd"/>
      <w:r w:rsidRPr="00E944EB">
        <w:rPr>
          <w:rFonts w:ascii="Arial" w:hAnsi="Arial" w:cs="Arial"/>
          <w:sz w:val="20"/>
          <w:szCs w:val="20"/>
        </w:rPr>
        <w:t xml:space="preserve"> riservate agli organi politici, e funzioni amministrative concrete devolute in via esclusiva alla dirigenza.</w:t>
      </w:r>
    </w:p>
    <w:p w14:paraId="1A81EDD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In merito è stata riconosciuta una piena autonomia gestionale ed organizzativa dei dirigenti pubblici, che comporta una loro responsabilità solo in relazione ai risultati ottenuti, in attuazione dei progetti e dei programmi delineati dagli organi politici.</w:t>
      </w:r>
    </w:p>
    <w:p w14:paraId="058E35B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Il d. lgs 286 del 1999 ha introdotto una nuova tipologia di controllo interno avente per oggetto la valutazione del personale con incarico dirigenziale </w:t>
      </w:r>
      <w:proofErr w:type="gramStart"/>
      <w:r w:rsidRPr="00E944EB">
        <w:rPr>
          <w:rFonts w:ascii="Arial" w:hAnsi="Arial" w:cs="Arial"/>
          <w:sz w:val="20"/>
          <w:szCs w:val="20"/>
        </w:rPr>
        <w:t>( art.</w:t>
      </w:r>
      <w:proofErr w:type="gramEnd"/>
      <w:r w:rsidRPr="00E944EB">
        <w:rPr>
          <w:rFonts w:ascii="Arial" w:hAnsi="Arial" w:cs="Arial"/>
          <w:sz w:val="20"/>
          <w:szCs w:val="20"/>
        </w:rPr>
        <w:t xml:space="preserve"> 5)</w:t>
      </w:r>
    </w:p>
    <w:p w14:paraId="3BB044F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Per quanto riguarda i controlli esterni, di riflesso, l’art. 14, terzo comma, del </w:t>
      </w:r>
      <w:proofErr w:type="spellStart"/>
      <w:r w:rsidRPr="00E944EB">
        <w:rPr>
          <w:rFonts w:ascii="Arial" w:hAnsi="Arial" w:cs="Arial"/>
          <w:sz w:val="20"/>
          <w:szCs w:val="20"/>
        </w:rPr>
        <w:t>D.Lgs.</w:t>
      </w:r>
      <w:proofErr w:type="spellEnd"/>
      <w:r w:rsidRPr="00E944EB">
        <w:rPr>
          <w:rFonts w:ascii="Arial" w:hAnsi="Arial" w:cs="Arial"/>
          <w:sz w:val="20"/>
          <w:szCs w:val="20"/>
        </w:rPr>
        <w:t xml:space="preserve"> n. 165/2001 prevede che “Il Ministro non può revocare, riformare, riservare o avocare a sé o altrimenti adottare provvedimenti o atti di competenza dei dirigenti. In caso di inerzia o di ritardo il Ministro può fissare un termine perentorio entro il quale il dirigente deve adottare gli atti o i provvedimenti”. La norma in esame precisa inoltre che, qualora l’inerzia permanga o in caso di grave inosservanza delle direttive generali da parte del dirigente competente, il Ministro </w:t>
      </w:r>
      <w:r w:rsidRPr="00E944EB">
        <w:rPr>
          <w:rFonts w:ascii="Arial" w:hAnsi="Arial" w:cs="Arial"/>
          <w:sz w:val="20"/>
          <w:szCs w:val="20"/>
        </w:rPr>
        <w:lastRenderedPageBreak/>
        <w:t xml:space="preserve">può nominare un commissario </w:t>
      </w:r>
      <w:r w:rsidRPr="00E944EB">
        <w:rPr>
          <w:rFonts w:ascii="Arial" w:hAnsi="Arial" w:cs="Arial"/>
          <w:i/>
          <w:iCs/>
          <w:sz w:val="20"/>
          <w:szCs w:val="20"/>
        </w:rPr>
        <w:t>ad acta</w:t>
      </w:r>
      <w:r w:rsidRPr="00E944EB">
        <w:rPr>
          <w:rFonts w:ascii="Arial" w:hAnsi="Arial" w:cs="Arial"/>
          <w:sz w:val="20"/>
          <w:szCs w:val="20"/>
        </w:rPr>
        <w:t>.</w:t>
      </w:r>
    </w:p>
    <w:p w14:paraId="74527F22"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 xml:space="preserve">Il riconoscimento della piena autonomia gestionale ed organizzativa dei dirigenti pubblici comporta la responsabilità degli stessi in relazione ai risultati complessivamente conseguiti e, soprattutto, in relazione all’attuazione dei progetti e dei programmi delineati dagli organi politici. </w:t>
      </w:r>
    </w:p>
    <w:p w14:paraId="1BE43F87"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 xml:space="preserve">Per questo motivo il </w:t>
      </w:r>
      <w:proofErr w:type="spellStart"/>
      <w:r w:rsidRPr="00E944EB">
        <w:rPr>
          <w:rFonts w:ascii="Arial" w:hAnsi="Arial" w:cs="Arial"/>
          <w:b/>
          <w:bCs/>
          <w:sz w:val="20"/>
          <w:szCs w:val="20"/>
        </w:rPr>
        <w:t>D.Lgs.</w:t>
      </w:r>
      <w:proofErr w:type="spellEnd"/>
      <w:r w:rsidRPr="00E944EB">
        <w:rPr>
          <w:rFonts w:ascii="Arial" w:hAnsi="Arial" w:cs="Arial"/>
          <w:b/>
          <w:bCs/>
          <w:sz w:val="20"/>
          <w:szCs w:val="20"/>
        </w:rPr>
        <w:t xml:space="preserve"> n. 165/2001, all’art. 21, ha disciplinato la responsabilità dirigenziale e il </w:t>
      </w:r>
      <w:proofErr w:type="spellStart"/>
      <w:r w:rsidRPr="00E944EB">
        <w:rPr>
          <w:rFonts w:ascii="Arial" w:hAnsi="Arial" w:cs="Arial"/>
          <w:b/>
          <w:bCs/>
          <w:sz w:val="20"/>
          <w:szCs w:val="20"/>
        </w:rPr>
        <w:t>D.Lgs.</w:t>
      </w:r>
      <w:proofErr w:type="spellEnd"/>
      <w:r w:rsidRPr="00E944EB">
        <w:rPr>
          <w:rFonts w:ascii="Arial" w:hAnsi="Arial" w:cs="Arial"/>
          <w:b/>
          <w:bCs/>
          <w:sz w:val="20"/>
          <w:szCs w:val="20"/>
        </w:rPr>
        <w:t xml:space="preserve"> n. 286/1999, recante norme sul “Riordino e potenziamento dei meccanismi e strumenti di monitoraggio e valutazione dei costi, dei rendimenti e dei risultati dell’attività svolta dalle amministrazioni pubbliche”, ha introdotto una nuova tipologia di controllo interno avente per oggetto la valutazione del personale con incarico dirigenziale (art. 5 del </w:t>
      </w:r>
      <w:proofErr w:type="spellStart"/>
      <w:r w:rsidRPr="00E944EB">
        <w:rPr>
          <w:rFonts w:ascii="Arial" w:hAnsi="Arial" w:cs="Arial"/>
          <w:b/>
          <w:bCs/>
          <w:sz w:val="20"/>
          <w:szCs w:val="20"/>
        </w:rPr>
        <w:t>D.Lgs.</w:t>
      </w:r>
      <w:proofErr w:type="spellEnd"/>
      <w:r w:rsidRPr="00E944EB">
        <w:rPr>
          <w:rFonts w:ascii="Arial" w:hAnsi="Arial" w:cs="Arial"/>
          <w:b/>
          <w:bCs/>
          <w:sz w:val="20"/>
          <w:szCs w:val="20"/>
        </w:rPr>
        <w:t xml:space="preserve"> n. 286/1999).</w:t>
      </w:r>
    </w:p>
    <w:p w14:paraId="1E65E16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 I risultati negativi </w:t>
      </w:r>
      <w:proofErr w:type="spellStart"/>
      <w:r w:rsidRPr="00E944EB">
        <w:rPr>
          <w:rFonts w:ascii="Arial" w:hAnsi="Arial" w:cs="Arial"/>
          <w:sz w:val="20"/>
          <w:szCs w:val="20"/>
        </w:rPr>
        <w:t>dell'attivita'</w:t>
      </w:r>
      <w:proofErr w:type="spellEnd"/>
      <w:r w:rsidRPr="00E944EB">
        <w:rPr>
          <w:rFonts w:ascii="Arial" w:hAnsi="Arial" w:cs="Arial"/>
          <w:sz w:val="20"/>
          <w:szCs w:val="20"/>
        </w:rPr>
        <w:t xml:space="preserve"> amministrativa e della gestione o il mancato raggiungimento degli obiettivi, comportano per il dirigente interessato la revoca dell'incarico, o la destinazione ad altro incarico, presso la medesima amministrazione ovvero presso altra amministrazione che vi abbia interesse. Nel caso di grave inosservanza delle direttive impartite dall'organo competente o di ripetuta valutazione negativa, il dirigente, previa contestazione e contraddittorio, </w:t>
      </w:r>
      <w:proofErr w:type="spellStart"/>
      <w:r w:rsidRPr="00E944EB">
        <w:rPr>
          <w:rFonts w:ascii="Arial" w:hAnsi="Arial" w:cs="Arial"/>
          <w:sz w:val="20"/>
          <w:szCs w:val="20"/>
        </w:rPr>
        <w:t>puo'</w:t>
      </w:r>
      <w:proofErr w:type="spellEnd"/>
      <w:r w:rsidRPr="00E944EB">
        <w:rPr>
          <w:rFonts w:ascii="Arial" w:hAnsi="Arial" w:cs="Arial"/>
          <w:sz w:val="20"/>
          <w:szCs w:val="20"/>
        </w:rPr>
        <w:t xml:space="preserve"> essere escluso dal conferimento di ulteriori incarichi di livello dirigenziale corrispondente a quello revocato, per un periodo non inferiore a due anni. Nei casi di maggiore </w:t>
      </w:r>
      <w:proofErr w:type="spellStart"/>
      <w:r w:rsidRPr="00E944EB">
        <w:rPr>
          <w:rFonts w:ascii="Arial" w:hAnsi="Arial" w:cs="Arial"/>
          <w:sz w:val="20"/>
          <w:szCs w:val="20"/>
        </w:rPr>
        <w:t>gravita'</w:t>
      </w:r>
      <w:proofErr w:type="spellEnd"/>
      <w:r w:rsidRPr="00E944EB">
        <w:rPr>
          <w:rFonts w:ascii="Arial" w:hAnsi="Arial" w:cs="Arial"/>
          <w:sz w:val="20"/>
          <w:szCs w:val="20"/>
        </w:rPr>
        <w:t xml:space="preserve">, l'amministrazione </w:t>
      </w:r>
      <w:proofErr w:type="spellStart"/>
      <w:r w:rsidRPr="00E944EB">
        <w:rPr>
          <w:rFonts w:ascii="Arial" w:hAnsi="Arial" w:cs="Arial"/>
          <w:sz w:val="20"/>
          <w:szCs w:val="20"/>
        </w:rPr>
        <w:t>puo'</w:t>
      </w:r>
      <w:proofErr w:type="spellEnd"/>
      <w:r w:rsidRPr="00E944EB">
        <w:rPr>
          <w:rFonts w:ascii="Arial" w:hAnsi="Arial" w:cs="Arial"/>
          <w:sz w:val="20"/>
          <w:szCs w:val="20"/>
        </w:rPr>
        <w:t xml:space="preserve"> recedere dal rapporto di lavoro, secondo le disposizioni del codice civile e dei contratti collettivi.</w:t>
      </w:r>
    </w:p>
    <w:p w14:paraId="4585119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COMPETEZA DEI DIRIGENTI</w:t>
      </w:r>
    </w:p>
    <w:p w14:paraId="1CFFF01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L’art. 107 del </w:t>
      </w:r>
      <w:proofErr w:type="spellStart"/>
      <w:r w:rsidRPr="00E944EB">
        <w:rPr>
          <w:rFonts w:ascii="Arial" w:hAnsi="Arial" w:cs="Arial"/>
          <w:sz w:val="20"/>
          <w:szCs w:val="20"/>
        </w:rPr>
        <w:t>t.u.</w:t>
      </w:r>
      <w:proofErr w:type="spellEnd"/>
      <w:r w:rsidRPr="00E944EB">
        <w:rPr>
          <w:rFonts w:ascii="Arial" w:hAnsi="Arial" w:cs="Arial"/>
          <w:sz w:val="20"/>
          <w:szCs w:val="20"/>
        </w:rPr>
        <w:t xml:space="preserve"> si ispira nei suoi primi 3 commi alle disposizioni della legge 142/90 e del d.lgs. 29/93, che hanno introdotto il principio della distinzione dei poteri, demandando agli organi politici i poteri di indirizzo e controllo e ai dirigenti i poteri di gestione amministrativa.</w:t>
      </w:r>
    </w:p>
    <w:p w14:paraId="21ABA63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Con la nuova impostazione si intende garantire l’attribuzione inderogabile ai dirigenti di tutti gli atti e i provvedimenti che impegnano l’amministrazione verso l’esterno (in pratica, la maggioranza degli atti di natura gestionale), </w:t>
      </w:r>
    </w:p>
    <w:p w14:paraId="5113398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precisazione contenuta nel comma 2 in base alla quale lo statuto, ma anche la legge, possono limitare i compiti dei dirigenti con norme espresse che attribuiscono agli organi di governo esclusivamente funzioni di indirizzo e di controllo politico-amministrativo sancisce l’inderogabilità del principio di separazione dei poteri e costruisce un argine contro il pericolo di arbitrari sconfinamenti in ambito gestionale-attuativo delle attribuzioni politiche determinato dalle previsioni legislative e statutarie.</w:t>
      </w:r>
    </w:p>
    <w:p w14:paraId="6992014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Nel disposto richiamato, infatti, viene assegnata alla competenza dei dirigenti l’adozione di atti e “provvedimenti amministrativi”.</w:t>
      </w:r>
    </w:p>
    <w:p w14:paraId="2148AEF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L’esplicito riferimento ai “provvedimenti amministrativi” vuole significare che i dirigenti sono titolari dell’attività di gestione ed amministrazione attiva indipendentemente dalla tipologia e dal regime giuridico degli atti attraverso cui l’attività gestionale si concreta (provvedimenti amministrativi autoritativi ed unilaterali, atti di spesa, contratti, atti di diritto privato e di diritto pubblico etc.).</w:t>
      </w:r>
    </w:p>
    <w:p w14:paraId="7C6D9C0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Inoltre, numerose sono ormai le disposizioni che attribuiscono atti e provvedimenti amministrativi precedentemente di competenza del sindaco ai </w:t>
      </w:r>
      <w:proofErr w:type="spellStart"/>
      <w:r w:rsidRPr="00E944EB">
        <w:rPr>
          <w:rFonts w:ascii="Arial" w:hAnsi="Arial" w:cs="Arial"/>
          <w:sz w:val="20"/>
          <w:szCs w:val="20"/>
        </w:rPr>
        <w:t>dirigenti.Più</w:t>
      </w:r>
      <w:proofErr w:type="spellEnd"/>
      <w:r w:rsidRPr="00E944EB">
        <w:rPr>
          <w:rFonts w:ascii="Arial" w:hAnsi="Arial" w:cs="Arial"/>
          <w:sz w:val="20"/>
          <w:szCs w:val="20"/>
        </w:rPr>
        <w:t xml:space="preserve"> razionale appare l’eccezione riferita per rinvio a quanto disposto dall’art.54 del </w:t>
      </w:r>
      <w:proofErr w:type="spellStart"/>
      <w:r w:rsidRPr="00E944EB">
        <w:rPr>
          <w:rFonts w:ascii="Arial" w:hAnsi="Arial" w:cs="Arial"/>
          <w:sz w:val="20"/>
          <w:szCs w:val="20"/>
        </w:rPr>
        <w:t>t.u.</w:t>
      </w:r>
      <w:proofErr w:type="spellEnd"/>
    </w:p>
    <w:p w14:paraId="14070E3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Tale articolo disciplina le attribuzioni del Sindaco nei servizi di competenza statale in materia di anagrafe, stato civile, elettorale, leva militare, statistica, ordine e sicurezza pubblica, polizia giudiziaria. Inoltre, attribuisce al Sindaco i provvedimenti contingibili ed urgenti in caso di “gravi pericoli che minacciano l’incolumità dei cittadini”, nonché il potere di intervenire in particolari casi di emergenza.</w:t>
      </w:r>
    </w:p>
    <w:p w14:paraId="6DB8EF7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Questa eccezione riferita all’art.54 del </w:t>
      </w:r>
      <w:proofErr w:type="spellStart"/>
      <w:r w:rsidRPr="00E944EB">
        <w:rPr>
          <w:rFonts w:ascii="Arial" w:hAnsi="Arial" w:cs="Arial"/>
          <w:sz w:val="20"/>
          <w:szCs w:val="20"/>
        </w:rPr>
        <w:t>t.u.</w:t>
      </w:r>
      <w:proofErr w:type="spellEnd"/>
      <w:r w:rsidRPr="00E944EB">
        <w:rPr>
          <w:rFonts w:ascii="Arial" w:hAnsi="Arial" w:cs="Arial"/>
          <w:sz w:val="20"/>
          <w:szCs w:val="20"/>
        </w:rPr>
        <w:t xml:space="preserve"> si spiega con il fatto che ai dirigenti, in quanto organi dell’ente locale, non sono attribuibili né delegabili le competenze (sia ordinarie che straordinarie) nelle materie elencate nel medesimo articolo, trattandosi di funzioni dell’ente Stato, nella cui sfera giuridica ricadono gli effetti derivanti dall’esercizio di dette competenze.</w:t>
      </w:r>
    </w:p>
    <w:p w14:paraId="6AC80E8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Sono altresì direttamente imputabili al sindaco, quale ufficiale di Governo e non al comune, gli atti che il sindaco stesso adotta nell’esercizio dei suoi poteri di autorità locale di pubblica sicurezza, di vigilanza su tutto ciò che interessa l’ordine pubblico, di intervento immediato in qualità di organo di protezione civile e di tenuta dell’anagrafe della popolazione.</w:t>
      </w:r>
    </w:p>
    <w:p w14:paraId="17E36BE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comma 6 dell’art.107 recepisce il comma 4 dell’art.51 della legge 142/90 con alcune precisazioni sul carattere “esclusivo” della responsabilità dirigenziale, che si estende anche ai “risultati” della gestione.</w:t>
      </w:r>
    </w:p>
    <w:p w14:paraId="0AAE47D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Il comma 7 dell’articolo in parola contiene invece una disposizione elaborata </w:t>
      </w:r>
      <w:r w:rsidRPr="00E944EB">
        <w:rPr>
          <w:rFonts w:ascii="Arial" w:hAnsi="Arial" w:cs="Arial"/>
          <w:i/>
          <w:iCs/>
          <w:sz w:val="20"/>
          <w:szCs w:val="20"/>
        </w:rPr>
        <w:t xml:space="preserve">ex novo </w:t>
      </w:r>
      <w:r w:rsidRPr="00E944EB">
        <w:rPr>
          <w:rFonts w:ascii="Arial" w:hAnsi="Arial" w:cs="Arial"/>
          <w:sz w:val="20"/>
          <w:szCs w:val="20"/>
        </w:rPr>
        <w:t xml:space="preserve">dal legislatore del </w:t>
      </w:r>
      <w:proofErr w:type="spellStart"/>
      <w:r w:rsidRPr="00E944EB">
        <w:rPr>
          <w:rFonts w:ascii="Arial" w:hAnsi="Arial" w:cs="Arial"/>
          <w:sz w:val="20"/>
          <w:szCs w:val="20"/>
        </w:rPr>
        <w:t>t.u.</w:t>
      </w:r>
      <w:proofErr w:type="spellEnd"/>
      <w:r w:rsidRPr="00E944EB">
        <w:rPr>
          <w:rFonts w:ascii="Arial" w:hAnsi="Arial" w:cs="Arial"/>
          <w:sz w:val="20"/>
          <w:szCs w:val="20"/>
        </w:rPr>
        <w:t xml:space="preserve"> Tale disposizione prevede che alla valutazione dei dirigenti locali si applichino i principi dei commi 1 e 2 dell’art.5 del d.lgs. 286/99, secondo le modalità previste dall’art.147 del </w:t>
      </w:r>
      <w:proofErr w:type="spellStart"/>
      <w:r w:rsidRPr="00E944EB">
        <w:rPr>
          <w:rFonts w:ascii="Arial" w:hAnsi="Arial" w:cs="Arial"/>
          <w:sz w:val="20"/>
          <w:szCs w:val="20"/>
        </w:rPr>
        <w:t>t.u.</w:t>
      </w:r>
      <w:proofErr w:type="spellEnd"/>
    </w:p>
    <w:p w14:paraId="5B05F5C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Negli ultimi dieci anni il rapporto tra organi politici e dirigenza degli enti locali è stato caratterizzato da un lento, spesso anche contrastato, ma comunque progressivo riconoscimento di un autonomo ruolo decisionale della </w:t>
      </w:r>
      <w:r w:rsidRPr="00E944EB">
        <w:rPr>
          <w:rFonts w:ascii="Arial" w:hAnsi="Arial" w:cs="Arial"/>
          <w:sz w:val="20"/>
          <w:szCs w:val="20"/>
        </w:rPr>
        <w:lastRenderedPageBreak/>
        <w:t>dirigenza.</w:t>
      </w:r>
    </w:p>
    <w:p w14:paraId="0EB3308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0B5AA03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definizione di un nuovo ruolo della dirigenza locale è stata inizialmente specificata dall’art.51 della legge 142/90, che stabilisce il fondamentale principio della distinzione dei poteri di indirizzo e controllo da una parte, che spettano agli organi elettivi, e i poteri di gestione amministrativa, dall’altra, attribuiti ai dirigenti.</w:t>
      </w:r>
    </w:p>
    <w:p w14:paraId="2EC01AC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 dirigenti, oltre a provvedere alla direzione degli uffici e dei servizi secondo i criteri e le norme dettate dagli statuti e dai regolamenti, sono indicati come titolari esclusivi dell’attività di amministrazione attiva concreta, da esercitarsi mediante l’adozione di atti e provvedimenti amministrativi compresi quelli che impegnano l’amministrazione verso l’esterno.</w:t>
      </w:r>
    </w:p>
    <w:p w14:paraId="1AD0B0E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L’art.3 del d.lgs. 29/93, ripreso dall’articolo del </w:t>
      </w:r>
      <w:proofErr w:type="spellStart"/>
      <w:r w:rsidRPr="00E944EB">
        <w:rPr>
          <w:rFonts w:ascii="Arial" w:hAnsi="Arial" w:cs="Arial"/>
          <w:sz w:val="20"/>
          <w:szCs w:val="20"/>
        </w:rPr>
        <w:t>t.u.</w:t>
      </w:r>
      <w:proofErr w:type="spellEnd"/>
      <w:r w:rsidRPr="00E944EB">
        <w:rPr>
          <w:rFonts w:ascii="Arial" w:hAnsi="Arial" w:cs="Arial"/>
          <w:sz w:val="20"/>
          <w:szCs w:val="20"/>
        </w:rPr>
        <w:t xml:space="preserve"> in commento, conferma il principio già affermato dalla legge 142/90 e sancisce la spettanza agli organi di governo della competenza a definire i programmi e gli obiettivi da attuare e a verificare la rispondenza dei risultati della gestione amministrativa alle direttive generali impartite.</w:t>
      </w:r>
    </w:p>
    <w:p w14:paraId="531FF2A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Alle competenze previste dall’originario art.51 della legge 142/90 concernenti la presidenza delle commissioni di gara e di concorso e la responsabilità delle relative procedure, nonché la stipulazione dei contratti, l’art.6, comma 2, della legge 127/97 ha aggiunto gli atti di gestione finanziaria, gli atti di amministrazione e gestione del personale, i provvedimenti di autorizzazione, concessione o analoghi, ivi compresi quelli in materia edilizia, le attestazioni, certificazioni, comunicazioni, etc. ed ogni altro atto costituente manifestazione di giudizio e di conoscenza, nonché, con una norma di chiusura, gli atti attribuiti dallo statuto, dai regolamenti o in base ad essi delegati dal sindaco.</w:t>
      </w:r>
    </w:p>
    <w:p w14:paraId="0BAD9F6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Successivamente, come già evidenziato, l’art.2 della legge 191/98 ha aggiunto tra gli atti di competenza dirigenziale quelli connessi all’attività di controllo e di repressione di abusi e di infrazioni, come i provvedimenti di sospensione dei lavori, di abbattimento e riduzione in pristino di competenza comunale, nonché quelli relativi all’esercizio dei poteri di vigilanza e all’irrogazione di sanzioni amministrative in materia di abusivismo edilizio e paesaggistico-ambientale.</w:t>
      </w:r>
    </w:p>
    <w:p w14:paraId="1EC81F7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L’elenco delle competenze appena illustrate, derivante dall’evoluzione normativa degli ultimi dieci anni, è stato riprodotto nel terzo comma dell’art.107. Tale elenco, per quanto in apparenza abbastanza dettagliato, ha solo funzione esemplificativa e non esaustiva, poiché, come dice espressamente il terzo comma in questione, comprende solo alcuni tra i compiti che, in particolare, sono attribuiti ai dirigenti. Questa considerazione conferma ulteriormente che, come precisato nel secondo e terzo comma dell’articolo in esame, ai dirigenti competono veramente “tutti” gli atti gestionali.</w:t>
      </w:r>
    </w:p>
    <w:p w14:paraId="7E6CAA5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Le attribuzioni dirigenziali possono essere derogate solo “espressamente” e ad opera di specifiche “disposizioni di legge”, (e non anche dagli statuti e dai regolamenti degli E.L.).</w:t>
      </w:r>
    </w:p>
    <w:p w14:paraId="29CED033" w14:textId="77777777" w:rsidR="00E944EB" w:rsidRPr="00E944EB" w:rsidRDefault="00E944EB" w:rsidP="00E944EB">
      <w:pPr>
        <w:widowControl w:val="0"/>
        <w:autoSpaceDE w:val="0"/>
        <w:autoSpaceDN w:val="0"/>
        <w:adjustRightInd w:val="0"/>
        <w:spacing w:after="0" w:line="240" w:lineRule="auto"/>
        <w:rPr>
          <w:rFonts w:ascii="Arial" w:hAnsi="Arial" w:cs="Arial"/>
          <w:i/>
          <w:iCs/>
          <w:sz w:val="20"/>
          <w:szCs w:val="20"/>
        </w:rPr>
      </w:pPr>
    </w:p>
    <w:p w14:paraId="7E16083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comma 6 dell’art.107, riproduce fedelmente l’</w:t>
      </w:r>
      <w:proofErr w:type="spellStart"/>
      <w:r w:rsidRPr="00E944EB">
        <w:rPr>
          <w:rFonts w:ascii="Arial" w:hAnsi="Arial" w:cs="Arial"/>
          <w:sz w:val="20"/>
          <w:szCs w:val="20"/>
        </w:rPr>
        <w:t>rt</w:t>
      </w:r>
      <w:proofErr w:type="spellEnd"/>
      <w:r w:rsidRPr="00E944EB">
        <w:rPr>
          <w:rFonts w:ascii="Arial" w:hAnsi="Arial" w:cs="Arial"/>
          <w:sz w:val="20"/>
          <w:szCs w:val="20"/>
        </w:rPr>
        <w:t>. 51, comma 6, della legge 142/90, prevedendo per i dirigenti degli enti locali una particolare forma di responsabilità che si aggiunge alle ordinarie responsabilità civile, penale, amministrativa e disciplinare: Si tratta della responsabilità di risultati collegata al raggiungimento degli obiettivi dell’ente, alla correttezza amministrativa e all’efficienza della gestione.</w:t>
      </w:r>
    </w:p>
    <w:p w14:paraId="2E46486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rilevazione della responsabilità dirigenziale può essere fatta valere a seguito dell’attivazione di appositi nuclei di valutazione, che verifichino la realizzazione degli obiettivi, la corretta ed economica gestione delle risorse e l’imparzialità e il buon andamento dell’azione amministrativa attraverso un procedimento che garantisce il rispetto del principio del contraddittorio.</w:t>
      </w:r>
    </w:p>
    <w:p w14:paraId="59554FA5"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Le pubbliche amministrazioni, sulla base anche dei risultati del controllo di gestione, valutano, nel rispetto di quanto stabilito al riguardo dai contratti collettivi nazionali di lavoro, le prestazioni dei propri dirigenti, soprattutto sotto il profilo della competenza organizzativa consistente nella capacità di sviluppare le risorse professionali, umane ed organizzative ad essi assegnate.</w:t>
      </w:r>
    </w:p>
    <w:p w14:paraId="38DD42C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comma 2 dell’art.5 stabilisce che la valutazione dei dirigenti, che deve avere periodicità annuale, tiene particolarmente conto dei risultati dell’attività amministrativa e della gestione.</w:t>
      </w:r>
    </w:p>
    <w:p w14:paraId="1B58DF2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suddetta disposizione detta anche alcuni principi cui deve ispirarsi il procedimento di valutazione, che consistono:</w:t>
      </w:r>
    </w:p>
    <w:p w14:paraId="3B76DBB3" w14:textId="77777777" w:rsidR="00E944EB" w:rsidRPr="00E944EB" w:rsidRDefault="00E944EB" w:rsidP="00E944EB">
      <w:pPr>
        <w:widowControl w:val="0"/>
        <w:numPr>
          <w:ilvl w:val="0"/>
          <w:numId w:val="9"/>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nella necessità della piena e diretta conoscenza dell’attività del valutato da parte dell’organo valutatore di prima istanza;</w:t>
      </w:r>
    </w:p>
    <w:p w14:paraId="59D742C2" w14:textId="77777777" w:rsidR="00E944EB" w:rsidRPr="00E944EB" w:rsidRDefault="00E944EB" w:rsidP="00E944EB">
      <w:pPr>
        <w:widowControl w:val="0"/>
        <w:numPr>
          <w:ilvl w:val="0"/>
          <w:numId w:val="9"/>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nella necessità di una fase di verifica o approvazione della prima valutazione ad opera di un organo valutatore di seconda istanza;</w:t>
      </w:r>
    </w:p>
    <w:p w14:paraId="3228F96C" w14:textId="77777777" w:rsidR="00E944EB" w:rsidRPr="00E944EB" w:rsidRDefault="00E944EB" w:rsidP="00E944EB">
      <w:pPr>
        <w:widowControl w:val="0"/>
        <w:numPr>
          <w:ilvl w:val="0"/>
          <w:numId w:val="9"/>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nella partecipazione al procedimento, con garanzia del rispetto del principio del contraddittorio, per il valutato.</w:t>
      </w:r>
    </w:p>
    <w:p w14:paraId="68F5821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Secondo le modalità previste dall’art.147 del </w:t>
      </w:r>
      <w:proofErr w:type="spellStart"/>
      <w:r w:rsidRPr="00E944EB">
        <w:rPr>
          <w:rFonts w:ascii="Arial" w:hAnsi="Arial" w:cs="Arial"/>
          <w:sz w:val="20"/>
          <w:szCs w:val="20"/>
        </w:rPr>
        <w:t>t.u.</w:t>
      </w:r>
      <w:proofErr w:type="spellEnd"/>
      <w:r w:rsidRPr="00E944EB">
        <w:rPr>
          <w:rFonts w:ascii="Arial" w:hAnsi="Arial" w:cs="Arial"/>
          <w:sz w:val="20"/>
          <w:szCs w:val="20"/>
        </w:rPr>
        <w:t xml:space="preserve">, gli enti locali, nell’ambito della loro autonomia normativa ed organizzativa, devono predisporre strumenti e metodologie, anche in deroga ai principi di cui all’art.1, comma 2, </w:t>
      </w:r>
      <w:r w:rsidRPr="00E944EB">
        <w:rPr>
          <w:rFonts w:ascii="Arial" w:hAnsi="Arial" w:cs="Arial"/>
          <w:sz w:val="20"/>
          <w:szCs w:val="20"/>
        </w:rPr>
        <w:lastRenderedPageBreak/>
        <w:t>del D.lgs. 286/99 che siano idonei a:</w:t>
      </w:r>
    </w:p>
    <w:p w14:paraId="2D8DA998" w14:textId="77777777" w:rsidR="00E944EB" w:rsidRPr="00E944EB" w:rsidRDefault="00E944EB" w:rsidP="00E944EB">
      <w:pPr>
        <w:widowControl w:val="0"/>
        <w:numPr>
          <w:ilvl w:val="0"/>
          <w:numId w:val="10"/>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garantire attraverso il controllo di regolarità amministrativa e contabile, la legalità, regolarità e correttezza dell’azione amministrativa;</w:t>
      </w:r>
    </w:p>
    <w:p w14:paraId="2EAFE6E4" w14:textId="77777777" w:rsidR="00E944EB" w:rsidRPr="00E944EB" w:rsidRDefault="00E944EB" w:rsidP="00E944EB">
      <w:pPr>
        <w:widowControl w:val="0"/>
        <w:numPr>
          <w:ilvl w:val="0"/>
          <w:numId w:val="10"/>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verificare, attraverso il controllo di gestione, l’efficacia, efficienza ed economicità dell’azione amministrativa, al fine di ottimizzare, anche mediante tempestivi interventi di correzione, il rapporto tra costi e risultati;</w:t>
      </w:r>
    </w:p>
    <w:p w14:paraId="2D3974EC" w14:textId="77777777" w:rsidR="00E944EB" w:rsidRPr="00E944EB" w:rsidRDefault="00E944EB" w:rsidP="00E944EB">
      <w:pPr>
        <w:widowControl w:val="0"/>
        <w:numPr>
          <w:ilvl w:val="0"/>
          <w:numId w:val="10"/>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valutare le prestazioni del personale con qualifica dirigenziale;</w:t>
      </w:r>
    </w:p>
    <w:p w14:paraId="10474F23" w14:textId="77777777" w:rsidR="00E944EB" w:rsidRPr="00E944EB" w:rsidRDefault="00E944EB" w:rsidP="00E944EB">
      <w:pPr>
        <w:widowControl w:val="0"/>
        <w:numPr>
          <w:ilvl w:val="0"/>
          <w:numId w:val="10"/>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valutare l’adeguatezza delle scelte compiute in sede di attuazione dei piani, programmi ed altri strumenti di determinazione dell’indirizzo politico, in termini di congruenza tra risultati conseguiti e obiettivi predefiniti.</w:t>
      </w:r>
    </w:p>
    <w:p w14:paraId="1AB3BD8B" w14:textId="77777777" w:rsidR="00E944EB" w:rsidRPr="00E944EB" w:rsidRDefault="00E944EB" w:rsidP="00E944EB">
      <w:pPr>
        <w:widowControl w:val="0"/>
        <w:autoSpaceDE w:val="0"/>
        <w:autoSpaceDN w:val="0"/>
        <w:adjustRightInd w:val="0"/>
        <w:spacing w:after="0" w:line="240" w:lineRule="auto"/>
        <w:rPr>
          <w:rFonts w:ascii="Arial" w:hAnsi="Arial" w:cs="Arial"/>
          <w:i/>
          <w:iCs/>
          <w:sz w:val="20"/>
          <w:szCs w:val="20"/>
        </w:rPr>
      </w:pPr>
    </w:p>
    <w:p w14:paraId="7C7B507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L’art.6, comma 7, della legge 127/97 ha sostituito l’art.51, comma 6, della legge 142/90, dettando una nuova ed organica disciplina del conferimento e della revoca degli incarichi dirigenziali.</w:t>
      </w:r>
    </w:p>
    <w:p w14:paraId="21C9DBD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L’art.109, comma 1: </w:t>
      </w:r>
    </w:p>
    <w:p w14:paraId="58028F9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sindaco e il presidente della provincia nominano i responsabili degli uffici e dei servizi, attribuiscono e definiscono gli incarichi dirigenziali e quelli di collaborazione esterna secondo le modalità e i criteri stabiliti dagli articoli 109 e 110, nonché dai rispettivi statuti e regolamenti comunali e provinciali”.</w:t>
      </w:r>
    </w:p>
    <w:p w14:paraId="754C0D5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Questa competenza è strumentale a garantire agli organi di vertice degli enti locali un potere di scelta autonomo di quei soggetti cui viene affidata la responsabilità di attuazione del programma politico-amministrativo in base al quale gli organi politici sono stati eletti.</w:t>
      </w:r>
    </w:p>
    <w:p w14:paraId="01A9A3B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Innanzitutto il sindaco deve attenersi a criteri di competenza professionale, in relazione agli obiettivi indicati nel programma amministrativo. Inoltre, tutto il procedimento di conferimento e di revoca degli incarichi deve svolgersi nel rispetto delle modalità previste dallo statuto e dal regolamento sull’ordinamento degli uffici e dei servizi.</w:t>
      </w:r>
    </w:p>
    <w:p w14:paraId="63FB8CB5"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Di particolare importanza è la seconda parte della disposizione del comma 1 dell’art.109, che disciplina il regime della revoca degli incarichi dirigenziali, stabilendo innanzitutto che essa si riscontra in tre fattispecie tipiche ed in una prevista mediante rinvio ai casi stabiliti dai contratti collettivi.</w:t>
      </w:r>
    </w:p>
    <w:p w14:paraId="4451F00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revoca è prevista:</w:t>
      </w:r>
    </w:p>
    <w:p w14:paraId="1672B7B5"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per inosservanza delle direttive del Sindaco, della giunta o dell’assessore di riferimento.</w:t>
      </w:r>
    </w:p>
    <w:p w14:paraId="49FE48D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E’ interessante rilevare che il termine “direttive” esclude il rapporto gerarchico tra gli organi politici e i dirigenti, qualificando tale relazione come rapporto di direzione.</w:t>
      </w:r>
    </w:p>
    <w:p w14:paraId="3B3D086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2F78C012"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seconda ipotesi di revoca si ha in caso di mancato raggiungimento degli obiettivi assegnati nel piano esecutivo di gestione, che deve comunque essere verificato al termine di ciascun anno finanziario.</w:t>
      </w:r>
    </w:p>
    <w:p w14:paraId="466D4C27"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terza fattispecie, la più ampia ed indefinita, è quella che si riferisce a responsabilità particolarmente grave e reiterata.</w:t>
      </w:r>
    </w:p>
    <w:p w14:paraId="6A0F574C"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Un’ulteriore causa di revoca è riferita, tramite rinvio, ai casi disciplinati dai contratti collettivi di lavoro. La normativa contrattuale prevede, oltre alle fattispecie già esaminate, una causa di revoca collegata a motivate ragioni organizzative e produttive.</w:t>
      </w:r>
    </w:p>
    <w:p w14:paraId="6994E45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100990E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RIEPILOGO FUNZIONI DIRIGENZA ENTI LOCALI</w:t>
      </w:r>
    </w:p>
    <w:p w14:paraId="5A082AC8"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presidenza commissioni di gara o di concorso</w:t>
      </w:r>
    </w:p>
    <w:p w14:paraId="065E1E17"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atti gestione finanziaria</w:t>
      </w:r>
    </w:p>
    <w:p w14:paraId="63B50D41"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stipulazione di contratti</w:t>
      </w:r>
    </w:p>
    <w:p w14:paraId="33CA5998"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responsabilità procedure appalto e concorso</w:t>
      </w:r>
    </w:p>
    <w:p w14:paraId="74DBF408"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atti amministrazione e gestione del personale</w:t>
      </w:r>
    </w:p>
    <w:p w14:paraId="352DD29D"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autorizzazioni, concessioni quando il rilascio presuppone </w:t>
      </w:r>
      <w:proofErr w:type="spellStart"/>
      <w:r w:rsidRPr="00E944EB">
        <w:rPr>
          <w:rFonts w:ascii="Arial" w:hAnsi="Arial" w:cs="Arial"/>
          <w:sz w:val="20"/>
          <w:szCs w:val="20"/>
        </w:rPr>
        <w:t>accertament</w:t>
      </w:r>
      <w:proofErr w:type="spellEnd"/>
    </w:p>
    <w:p w14:paraId="39F5A6AE"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attestazioni, certificazioni, comunicazioni, </w:t>
      </w:r>
      <w:proofErr w:type="spellStart"/>
      <w:proofErr w:type="gramStart"/>
      <w:r w:rsidRPr="00E944EB">
        <w:rPr>
          <w:rFonts w:ascii="Arial" w:hAnsi="Arial" w:cs="Arial"/>
          <w:sz w:val="20"/>
          <w:szCs w:val="20"/>
        </w:rPr>
        <w:t>diffide,autenticazioni</w:t>
      </w:r>
      <w:proofErr w:type="spellEnd"/>
      <w:proofErr w:type="gramEnd"/>
      <w:r w:rsidRPr="00E944EB">
        <w:rPr>
          <w:rFonts w:ascii="Arial" w:hAnsi="Arial" w:cs="Arial"/>
          <w:sz w:val="20"/>
          <w:szCs w:val="20"/>
        </w:rPr>
        <w:t>, verbali</w:t>
      </w:r>
    </w:p>
    <w:p w14:paraId="20082C4B" w14:textId="77777777" w:rsidR="00E944EB" w:rsidRPr="00E944EB" w:rsidRDefault="00E944EB" w:rsidP="00E944EB">
      <w:pPr>
        <w:widowControl w:val="0"/>
        <w:numPr>
          <w:ilvl w:val="0"/>
          <w:numId w:val="11"/>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provvedimenti di sospensione lavori, vigilanza in materia edilizia e ambientale</w:t>
      </w:r>
    </w:p>
    <w:p w14:paraId="7497ECD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tbl>
      <w:tblPr>
        <w:tblW w:w="0" w:type="auto"/>
        <w:tblInd w:w="-12" w:type="dxa"/>
        <w:tblLayout w:type="fixed"/>
        <w:tblCellMar>
          <w:left w:w="70" w:type="dxa"/>
          <w:right w:w="70" w:type="dxa"/>
        </w:tblCellMar>
        <w:tblLook w:val="0000" w:firstRow="0" w:lastRow="0" w:firstColumn="0" w:lastColumn="0" w:noHBand="0" w:noVBand="0"/>
      </w:tblPr>
      <w:tblGrid>
        <w:gridCol w:w="9803"/>
      </w:tblGrid>
      <w:tr w:rsidR="00E944EB" w:rsidRPr="00E944EB" w14:paraId="2275D2E9" w14:textId="77777777" w:rsidTr="00CF10ED">
        <w:tc>
          <w:tcPr>
            <w:tcW w:w="9803" w:type="dxa"/>
            <w:tcBorders>
              <w:top w:val="single" w:sz="4" w:space="0" w:color="000000"/>
              <w:left w:val="single" w:sz="4" w:space="0" w:color="000000"/>
              <w:bottom w:val="single" w:sz="4" w:space="0" w:color="000000"/>
              <w:right w:val="single" w:sz="4" w:space="0" w:color="000000"/>
            </w:tcBorders>
          </w:tcPr>
          <w:p w14:paraId="036706A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STRUTTURA DEL PUBBLICO IMPIEGO:</w:t>
            </w:r>
          </w:p>
        </w:tc>
      </w:tr>
    </w:tbl>
    <w:p w14:paraId="1D29039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IL Rapporto organico riguarda le funzioni attribuite al soggetto e consiste in un vero e proprio rapporto di immedesimazione, mentre io rapporto di servizio indica il vincolo giuridico che rileva all’esterno che lega il soggetto all’ente pubblico. </w:t>
      </w:r>
    </w:p>
    <w:p w14:paraId="497CAF7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Attualmente abbiamo visto come sia stata ridefinita anche l'organizzazione degli uffici e delle dotazioni organiche, prevedendo una ridefinizione </w:t>
      </w:r>
      <w:proofErr w:type="gramStart"/>
      <w:r w:rsidRPr="00E944EB">
        <w:rPr>
          <w:rFonts w:ascii="Arial" w:hAnsi="Arial" w:cs="Arial"/>
          <w:sz w:val="20"/>
          <w:szCs w:val="20"/>
        </w:rPr>
        <w:t>periodica  e</w:t>
      </w:r>
      <w:proofErr w:type="gramEnd"/>
      <w:r w:rsidRPr="00E944EB">
        <w:rPr>
          <w:rFonts w:ascii="Arial" w:hAnsi="Arial" w:cs="Arial"/>
          <w:sz w:val="20"/>
          <w:szCs w:val="20"/>
        </w:rPr>
        <w:t xml:space="preserve"> a scadenza prefissata quando risulta necessario procedere a fusione, trasferimento di funzioni o trasformazioni, riordino delle stesse. qui vige una forma di autonomia di ogni amministrazione in merito, la quale procederà adottando gli atti necessari previsti dal proprio ordinamento.</w:t>
      </w:r>
    </w:p>
    <w:p w14:paraId="4F647E1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5D45F69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6013096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Organizzazioni </w:t>
      </w:r>
      <w:proofErr w:type="spellStart"/>
      <w:r w:rsidRPr="00E944EB">
        <w:rPr>
          <w:rFonts w:ascii="Arial" w:hAnsi="Arial" w:cs="Arial"/>
          <w:sz w:val="20"/>
          <w:szCs w:val="20"/>
        </w:rPr>
        <w:t>publici</w:t>
      </w:r>
      <w:proofErr w:type="spellEnd"/>
      <w:r w:rsidRPr="00E944EB">
        <w:rPr>
          <w:rFonts w:ascii="Arial" w:hAnsi="Arial" w:cs="Arial"/>
          <w:sz w:val="20"/>
          <w:szCs w:val="20"/>
        </w:rPr>
        <w:t xml:space="preserve"> uffici--- Nelle amministrazioni pubbliche l'organizzazione e la disciplina degli uffici, nonché la consistenza e la variazione delle dotazioni organiche sono determinate in funzione delle finalità indicate all'articolo 1, comma 1, previa verifica degli effettivi fabbisogni e previa consultazione delle organizzazioni sindacali rappresentative ai sensi dell'articolo 9. Le amministrazioni pubbliche curano l'ottimale distribuzione delle risorse umane attraverso la coordinata attuazione dei processi di mobilità e di reclutamento del personale (1). </w:t>
      </w:r>
    </w:p>
    <w:p w14:paraId="555D885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2. Per le amministrazioni dello Stato, anche ad ordinamento autonomo, si applica l'articolo 17, comma 4-bis, della legge 23 agosto 1988, n. 400. La distribuzione del personale dei diversi livelli o qualifiche previsti dalla dotazione organica può essere modificata con decreto del Presidente del Consiglio dei ministri, su proposta del ministro competente di concerto con il Ministro del tesoro, del bilancio e della programmazione economica, ove comporti riduzioni di spesa o comunque non incrementi la spesa complessiva riferita al personale effettivamente in servizio al 31 dicembre dell'anno precedente. </w:t>
      </w:r>
    </w:p>
    <w:p w14:paraId="00455BF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3. Per la ridefinizione degli uffici e delle dotazioni organiche si procede periodicamente e comunque a scadenza triennale, nonché ove risulti necessario a seguito di riordino, fusione, trasformazione o trasferimento di funzioni. Ogni amministrazione procede adottando gli atti previsti dal proprio ordinamento. </w:t>
      </w:r>
    </w:p>
    <w:p w14:paraId="7FE5AFB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4. Le variazioni delle dotazioni organiche già determinate sono approvate dall'organo di vertice delle amministrazioni in coerenza con la programmazione triennale del fabbisogno di personale di cui all'articolo 39 della legge 27 dicembre 1997, n. 449, e successive modificazioni ed integrazioni, e con gli strumenti di programmazione economico-finanziaria pluriennale. Per le amministrazioni dello Stato, la programmazione triennale del fabbisogno di personale è deliberata dal Consiglio dei ministri e le variazioni delle dotazioni organiche sono determinate ai sensi dell'articolo 17, comma 4-bis, della legge 23 agosto 1988, n. 400. </w:t>
      </w:r>
    </w:p>
    <w:p w14:paraId="299357B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5. Per la Presidenza del Consiglio dei ministri, per il Ministero degli affari esteri, nonché per le amministrazioni che esercitano competenze istituzionali in materia di difesa e sicurezza dello Stato, di polizia e di giustizia, sono fatte salve le particolari disposizioni dettate dalle normative di settore. L'articolo 5, comma 3, del decreto legislativo 30 dicembre 1992, n. 503, relativamente al personale appartenente alle Forze di polizia ad ordinamento civile, si interpreta nel senso che al predetto personale non si applica l'articolo 16 dello stesso decreto. Restano salve le disposizioni vigenti per la determinazione delle piante organiche del personale degli istituti e scuole di ogni ordine e grado e delle istituzioni educative. Le attribuzioni del Ministero dell'università e della ricerca scientifica e tecnologica, relative a tutto il personale tecnico e amministrativo universitario, ivi compresi i dirigenti, sono devolute all'università di appartenenza. Parimenti sono attribuite agli osservatori astronomici, astrofisici e vesuviano tutte le attribuzioni del Ministero dell'università e della ricerca scientifica e tecnologica in materia di personale, ad eccezione di quelle relative al reclutamento del personale di ricerca. </w:t>
      </w:r>
    </w:p>
    <w:p w14:paraId="149944A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6. Le amministrazioni pubbliche che non provvedono agli adempimenti di cui al presente articolo non possono assumere nuovo personale, compreso quello appartenente alle categorie protette. </w:t>
      </w:r>
    </w:p>
    <w:p w14:paraId="56EC6CF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ACCESSO PUBBLICO IMPIEGO</w:t>
      </w:r>
    </w:p>
    <w:p w14:paraId="471D7B4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l'art. 97 prevede come regola primaria di accesso al pubblico impiego il concorso.</w:t>
      </w:r>
    </w:p>
    <w:p w14:paraId="510F1F12" w14:textId="77777777" w:rsidR="00E944EB" w:rsidRPr="00E944EB" w:rsidRDefault="00E944EB" w:rsidP="00E944EB">
      <w:pPr>
        <w:widowControl w:val="0"/>
        <w:numPr>
          <w:ilvl w:val="0"/>
          <w:numId w:val="12"/>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accesso per mezzo di procedure selettive</w:t>
      </w:r>
    </w:p>
    <w:p w14:paraId="4C27CBEE" w14:textId="77777777" w:rsidR="00E944EB" w:rsidRPr="00E944EB" w:rsidRDefault="00E944EB" w:rsidP="00E944EB">
      <w:pPr>
        <w:widowControl w:val="0"/>
        <w:numPr>
          <w:ilvl w:val="0"/>
          <w:numId w:val="12"/>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accesso mediante p. non selettive</w:t>
      </w:r>
    </w:p>
    <w:p w14:paraId="2DC753DC" w14:textId="77777777" w:rsidR="00E944EB" w:rsidRPr="00E944EB" w:rsidRDefault="00E944EB" w:rsidP="00E944EB">
      <w:pPr>
        <w:widowControl w:val="0"/>
        <w:numPr>
          <w:ilvl w:val="0"/>
          <w:numId w:val="12"/>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accesso mediante concorso pubblico o corso concorso </w:t>
      </w:r>
      <w:proofErr w:type="gramStart"/>
      <w:r w:rsidRPr="00E944EB">
        <w:rPr>
          <w:rFonts w:ascii="Arial" w:hAnsi="Arial" w:cs="Arial"/>
          <w:sz w:val="20"/>
          <w:szCs w:val="20"/>
        </w:rPr>
        <w:t>( per</w:t>
      </w:r>
      <w:proofErr w:type="gramEnd"/>
      <w:r w:rsidRPr="00E944EB">
        <w:rPr>
          <w:rFonts w:ascii="Arial" w:hAnsi="Arial" w:cs="Arial"/>
          <w:sz w:val="20"/>
          <w:szCs w:val="20"/>
        </w:rPr>
        <w:t xml:space="preserve"> la qualifica dirigenziale)</w:t>
      </w:r>
    </w:p>
    <w:p w14:paraId="52E8F61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Le amministrazioni possono ricoprire posti vacanti in organico mediante passaggio diretto di dipendenti appartenenti alla stessa qualifica in servizio presso altre amministrazioni, che facciano domanda di trasferimento. Il trasferimento </w:t>
      </w:r>
      <w:proofErr w:type="spellStart"/>
      <w:r w:rsidRPr="00E944EB">
        <w:rPr>
          <w:rFonts w:ascii="Arial" w:hAnsi="Arial" w:cs="Arial"/>
          <w:sz w:val="20"/>
          <w:szCs w:val="20"/>
        </w:rPr>
        <w:t>e'</w:t>
      </w:r>
      <w:proofErr w:type="spellEnd"/>
      <w:r w:rsidRPr="00E944EB">
        <w:rPr>
          <w:rFonts w:ascii="Arial" w:hAnsi="Arial" w:cs="Arial"/>
          <w:sz w:val="20"/>
          <w:szCs w:val="20"/>
        </w:rPr>
        <w:t xml:space="preserve"> disposto previo consenso dell'amministrazione di appartenenza.</w:t>
      </w:r>
    </w:p>
    <w:p w14:paraId="4E34A72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 Comuni si avvalgono anche di forme contrattuali flessibili di assunzione e di impiego del personale previste dal codice civile e dalle leggi sui rapporti di lavoro subordinato nell'impresa. I contratti collettivi nazionali provvedono a disciplinare la materia dei contratti a tempo determinato, dei contratti di formazione e lavoro, degli altri rapporti formativi e della fornitura di prestazioni di lavoro temporaneo</w:t>
      </w:r>
    </w:p>
    <w:p w14:paraId="54FDF0EA"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proofErr w:type="spellStart"/>
      <w:r w:rsidRPr="00E944EB">
        <w:rPr>
          <w:rFonts w:ascii="Arial" w:hAnsi="Arial" w:cs="Arial"/>
          <w:b/>
          <w:bCs/>
          <w:sz w:val="20"/>
          <w:szCs w:val="20"/>
        </w:rPr>
        <w:t>DISCiPLINA</w:t>
      </w:r>
      <w:proofErr w:type="spellEnd"/>
      <w:r w:rsidRPr="00E944EB">
        <w:rPr>
          <w:rFonts w:ascii="Arial" w:hAnsi="Arial" w:cs="Arial"/>
          <w:b/>
          <w:bCs/>
          <w:sz w:val="20"/>
          <w:szCs w:val="20"/>
        </w:rPr>
        <w:t xml:space="preserve"> DELLE MANSIONI</w:t>
      </w:r>
    </w:p>
    <w:p w14:paraId="2D10281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Il prestatore di lavoro deve essere adibito alle mansioni per le quali </w:t>
      </w:r>
      <w:proofErr w:type="spellStart"/>
      <w:r w:rsidRPr="00E944EB">
        <w:rPr>
          <w:rFonts w:ascii="Arial" w:hAnsi="Arial" w:cs="Arial"/>
          <w:sz w:val="20"/>
          <w:szCs w:val="20"/>
        </w:rPr>
        <w:t>e'</w:t>
      </w:r>
      <w:proofErr w:type="spellEnd"/>
      <w:r w:rsidRPr="00E944EB">
        <w:rPr>
          <w:rFonts w:ascii="Arial" w:hAnsi="Arial" w:cs="Arial"/>
          <w:sz w:val="20"/>
          <w:szCs w:val="20"/>
        </w:rPr>
        <w:t xml:space="preserve"> stato assunto o alle mansioni considerate equivalenti nell'ambito della classificazione professionale prevista dai contratti collettivi, ovvero a quelle corrispondenti alla qualifica superiore che abbia successivamente acquisito per effetto dello sviluppo professionale o di procedure concorsuali o selettive. L'esercizio di fatto di mansioni non corrispondenti alla qualifica di appartenenza non ha effetto ai fini dell'inquadramento del lavoratore o dell'assegnazione di incarichi di direzione.</w:t>
      </w:r>
    </w:p>
    <w:p w14:paraId="5FDF919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2. Per obiettive esigenze di servizio il prestatore di lavoro </w:t>
      </w:r>
      <w:proofErr w:type="spellStart"/>
      <w:r w:rsidRPr="00E944EB">
        <w:rPr>
          <w:rFonts w:ascii="Arial" w:hAnsi="Arial" w:cs="Arial"/>
          <w:sz w:val="20"/>
          <w:szCs w:val="20"/>
        </w:rPr>
        <w:t>puo'</w:t>
      </w:r>
      <w:proofErr w:type="spellEnd"/>
      <w:r w:rsidRPr="00E944EB">
        <w:rPr>
          <w:rFonts w:ascii="Arial" w:hAnsi="Arial" w:cs="Arial"/>
          <w:sz w:val="20"/>
          <w:szCs w:val="20"/>
        </w:rPr>
        <w:t xml:space="preserve"> essere adibito a mansioni proprie della qualifica immediatamente superiore:</w:t>
      </w:r>
      <w:r w:rsidRPr="00E944EB">
        <w:rPr>
          <w:rFonts w:ascii="Arial" w:hAnsi="Arial" w:cs="Arial"/>
          <w:sz w:val="20"/>
          <w:szCs w:val="20"/>
        </w:rPr>
        <w:br/>
      </w:r>
      <w:r w:rsidRPr="00E944EB">
        <w:rPr>
          <w:rFonts w:ascii="Arial" w:hAnsi="Arial" w:cs="Arial"/>
          <w:sz w:val="20"/>
          <w:szCs w:val="20"/>
        </w:rPr>
        <w:lastRenderedPageBreak/>
        <w:t xml:space="preserve">a) nel caso di vacanza di posto in organico. per non </w:t>
      </w:r>
      <w:proofErr w:type="spellStart"/>
      <w:r w:rsidRPr="00E944EB">
        <w:rPr>
          <w:rFonts w:ascii="Arial" w:hAnsi="Arial" w:cs="Arial"/>
          <w:sz w:val="20"/>
          <w:szCs w:val="20"/>
        </w:rPr>
        <w:t>piu'</w:t>
      </w:r>
      <w:proofErr w:type="spellEnd"/>
      <w:r w:rsidRPr="00E944EB">
        <w:rPr>
          <w:rFonts w:ascii="Arial" w:hAnsi="Arial" w:cs="Arial"/>
          <w:sz w:val="20"/>
          <w:szCs w:val="20"/>
        </w:rPr>
        <w:t xml:space="preserve"> di sei mesi, prorogabili fino a dodici qualora siano state avviate le procedure per la copertura dei posti vacanti come previsto al comma 4;</w:t>
      </w:r>
      <w:r w:rsidRPr="00E944EB">
        <w:rPr>
          <w:rFonts w:ascii="Arial" w:hAnsi="Arial" w:cs="Arial"/>
          <w:sz w:val="20"/>
          <w:szCs w:val="20"/>
        </w:rPr>
        <w:br/>
        <w:t xml:space="preserve">b) nel caso di sostituzione di altro dipendente assente con diritto alla conservazione del posto, con esclusione dell'assenza per ferie, per la durata dell'assenza. </w:t>
      </w:r>
    </w:p>
    <w:p w14:paraId="1EE20CE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3. Si considera svolgimento di mansioni </w:t>
      </w:r>
      <w:proofErr w:type="spellStart"/>
      <w:r w:rsidRPr="00E944EB">
        <w:rPr>
          <w:rFonts w:ascii="Arial" w:hAnsi="Arial" w:cs="Arial"/>
          <w:sz w:val="20"/>
          <w:szCs w:val="20"/>
        </w:rPr>
        <w:t>sUperiori</w:t>
      </w:r>
      <w:proofErr w:type="spellEnd"/>
      <w:r w:rsidRPr="00E944EB">
        <w:rPr>
          <w:rFonts w:ascii="Arial" w:hAnsi="Arial" w:cs="Arial"/>
          <w:sz w:val="20"/>
          <w:szCs w:val="20"/>
        </w:rPr>
        <w:t>, ai fini del presente articolo, soltanto l'attribuzione in modo prevalente, sotto il profilo qualitativo, quantitativo e temporale, dei compiti propri di dette mansioni.</w:t>
      </w:r>
    </w:p>
    <w:p w14:paraId="6115BDB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4. Nei casi di cui al comma 2, per il periodo di effettiva prestazione, il lavoratore ha diritto al trattamento previsto per la qualifica superiore. Qualora l'utilizzazione del dipendente sia disposta per sopperire a vacanze dei posti in organico, immediatamente, e comunque nel termine massimo di novanta giorni dalla data in cui il dipendente </w:t>
      </w:r>
      <w:proofErr w:type="spellStart"/>
      <w:r w:rsidRPr="00E944EB">
        <w:rPr>
          <w:rFonts w:ascii="Arial" w:hAnsi="Arial" w:cs="Arial"/>
          <w:sz w:val="20"/>
          <w:szCs w:val="20"/>
        </w:rPr>
        <w:t>e'</w:t>
      </w:r>
      <w:proofErr w:type="spellEnd"/>
      <w:r w:rsidRPr="00E944EB">
        <w:rPr>
          <w:rFonts w:ascii="Arial" w:hAnsi="Arial" w:cs="Arial"/>
          <w:sz w:val="20"/>
          <w:szCs w:val="20"/>
        </w:rPr>
        <w:t xml:space="preserve"> assegnato alle predette mansioni, devono essere avviate le procedure per la copertura dei posti vacanti.</w:t>
      </w:r>
    </w:p>
    <w:p w14:paraId="1A1C712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5. Al di fuori delle ipotesi di cui al comma 2, </w:t>
      </w:r>
      <w:proofErr w:type="spellStart"/>
      <w:r w:rsidRPr="00E944EB">
        <w:rPr>
          <w:rFonts w:ascii="Arial" w:hAnsi="Arial" w:cs="Arial"/>
          <w:sz w:val="20"/>
          <w:szCs w:val="20"/>
        </w:rPr>
        <w:t>e'</w:t>
      </w:r>
      <w:proofErr w:type="spellEnd"/>
      <w:r w:rsidRPr="00E944EB">
        <w:rPr>
          <w:rFonts w:ascii="Arial" w:hAnsi="Arial" w:cs="Arial"/>
          <w:sz w:val="20"/>
          <w:szCs w:val="20"/>
        </w:rPr>
        <w:t xml:space="preserve"> nulla l'assegnazione del lavoratore a mansioni proprie di una qualifica superiore, ma al lavoratore </w:t>
      </w:r>
      <w:proofErr w:type="spellStart"/>
      <w:r w:rsidRPr="00E944EB">
        <w:rPr>
          <w:rFonts w:ascii="Arial" w:hAnsi="Arial" w:cs="Arial"/>
          <w:sz w:val="20"/>
          <w:szCs w:val="20"/>
        </w:rPr>
        <w:t>e'</w:t>
      </w:r>
      <w:proofErr w:type="spellEnd"/>
      <w:r w:rsidRPr="00E944EB">
        <w:rPr>
          <w:rFonts w:ascii="Arial" w:hAnsi="Arial" w:cs="Arial"/>
          <w:sz w:val="20"/>
          <w:szCs w:val="20"/>
        </w:rPr>
        <w:t xml:space="preserve"> corrisposta la differenza di trattamento economico con la qualifica superiore. Il dirigente che ha disposto l'assegnazione risponde personalmente del maggior onere conseguente, se ha agito con dolo o colpa grave.</w:t>
      </w:r>
    </w:p>
    <w:p w14:paraId="502E6E57"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INCOMPATIBILITA'</w:t>
      </w:r>
    </w:p>
    <w:p w14:paraId="204BD2C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 dipendenti pubblici non possono esercitare il commercio, l'industria, </w:t>
      </w:r>
      <w:proofErr w:type="spellStart"/>
      <w:r w:rsidRPr="00E944EB">
        <w:rPr>
          <w:rFonts w:ascii="Arial" w:hAnsi="Arial" w:cs="Arial"/>
          <w:sz w:val="20"/>
          <w:szCs w:val="20"/>
        </w:rPr>
        <w:t>nè</w:t>
      </w:r>
      <w:proofErr w:type="spellEnd"/>
      <w:r w:rsidRPr="00E944EB">
        <w:rPr>
          <w:rFonts w:ascii="Arial" w:hAnsi="Arial" w:cs="Arial"/>
          <w:sz w:val="20"/>
          <w:szCs w:val="20"/>
        </w:rPr>
        <w:t xml:space="preserve"> alcuna </w:t>
      </w:r>
      <w:proofErr w:type="gramStart"/>
      <w:r w:rsidRPr="00E944EB">
        <w:rPr>
          <w:rFonts w:ascii="Arial" w:hAnsi="Arial" w:cs="Arial"/>
          <w:sz w:val="20"/>
          <w:szCs w:val="20"/>
        </w:rPr>
        <w:t>professione ,</w:t>
      </w:r>
      <w:proofErr w:type="gramEnd"/>
      <w:r w:rsidRPr="00E944EB">
        <w:rPr>
          <w:rFonts w:ascii="Arial" w:hAnsi="Arial" w:cs="Arial"/>
          <w:sz w:val="20"/>
          <w:szCs w:val="20"/>
        </w:rPr>
        <w:t xml:space="preserve"> </w:t>
      </w:r>
      <w:proofErr w:type="spellStart"/>
      <w:r w:rsidRPr="00E944EB">
        <w:rPr>
          <w:rFonts w:ascii="Arial" w:hAnsi="Arial" w:cs="Arial"/>
          <w:sz w:val="20"/>
          <w:szCs w:val="20"/>
        </w:rPr>
        <w:t>nonchè</w:t>
      </w:r>
      <w:proofErr w:type="spellEnd"/>
      <w:r w:rsidRPr="00E944EB">
        <w:rPr>
          <w:rFonts w:ascii="Arial" w:hAnsi="Arial" w:cs="Arial"/>
          <w:sz w:val="20"/>
          <w:szCs w:val="20"/>
        </w:rPr>
        <w:t xml:space="preserve"> assumere impieghi alle dipendenze di privati o accettare incarichi in società costituite a fine di </w:t>
      </w:r>
      <w:proofErr w:type="spellStart"/>
      <w:r w:rsidRPr="00E944EB">
        <w:rPr>
          <w:rFonts w:ascii="Arial" w:hAnsi="Arial" w:cs="Arial"/>
          <w:sz w:val="20"/>
          <w:szCs w:val="20"/>
        </w:rPr>
        <w:t>lucro.Il</w:t>
      </w:r>
      <w:proofErr w:type="spellEnd"/>
      <w:r w:rsidRPr="00E944EB">
        <w:rPr>
          <w:rFonts w:ascii="Arial" w:hAnsi="Arial" w:cs="Arial"/>
          <w:sz w:val="20"/>
          <w:szCs w:val="20"/>
        </w:rPr>
        <w:t xml:space="preserve"> nostro ordinamento prevede un'eccezione a tale disciplina riguardo a dipendenti aventi rapporto di lavoro parziale non superiore al 50%di quello a tempo pieno.</w:t>
      </w:r>
    </w:p>
    <w:p w14:paraId="17E1E79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Sono esclusi i compensi derivanti:</w:t>
      </w:r>
      <w:r w:rsidRPr="00E944EB">
        <w:rPr>
          <w:rFonts w:ascii="Arial" w:hAnsi="Arial" w:cs="Arial"/>
          <w:sz w:val="20"/>
          <w:szCs w:val="20"/>
        </w:rPr>
        <w:br/>
        <w:t>a) dalla collaborazione a giornali, riviste, enciclopedie e simili;</w:t>
      </w:r>
      <w:r w:rsidRPr="00E944EB">
        <w:rPr>
          <w:rFonts w:ascii="Arial" w:hAnsi="Arial" w:cs="Arial"/>
          <w:sz w:val="20"/>
          <w:szCs w:val="20"/>
        </w:rPr>
        <w:br/>
        <w:t>b) dalla utilizzazione economica da parte dell'autore o inventore di opere dell'ingegno e di invenzioni industriali;</w:t>
      </w:r>
      <w:r w:rsidRPr="00E944EB">
        <w:rPr>
          <w:rFonts w:ascii="Arial" w:hAnsi="Arial" w:cs="Arial"/>
          <w:sz w:val="20"/>
          <w:szCs w:val="20"/>
        </w:rPr>
        <w:br/>
        <w:t>c) dalla partecipazione a convegni e seminari;</w:t>
      </w:r>
      <w:r w:rsidRPr="00E944EB">
        <w:rPr>
          <w:rFonts w:ascii="Arial" w:hAnsi="Arial" w:cs="Arial"/>
          <w:sz w:val="20"/>
          <w:szCs w:val="20"/>
        </w:rPr>
        <w:br/>
        <w:t xml:space="preserve">d) da incarichi per i quali </w:t>
      </w:r>
      <w:proofErr w:type="spellStart"/>
      <w:r w:rsidRPr="00E944EB">
        <w:rPr>
          <w:rFonts w:ascii="Arial" w:hAnsi="Arial" w:cs="Arial"/>
          <w:sz w:val="20"/>
          <w:szCs w:val="20"/>
        </w:rPr>
        <w:t>e'</w:t>
      </w:r>
      <w:proofErr w:type="spellEnd"/>
      <w:r w:rsidRPr="00E944EB">
        <w:rPr>
          <w:rFonts w:ascii="Arial" w:hAnsi="Arial" w:cs="Arial"/>
          <w:sz w:val="20"/>
          <w:szCs w:val="20"/>
        </w:rPr>
        <w:t xml:space="preserve"> corrisposto solo il rimborso delle spese documentate;</w:t>
      </w:r>
      <w:r w:rsidRPr="00E944EB">
        <w:rPr>
          <w:rFonts w:ascii="Arial" w:hAnsi="Arial" w:cs="Arial"/>
          <w:sz w:val="20"/>
          <w:szCs w:val="20"/>
        </w:rPr>
        <w:br/>
        <w:t xml:space="preserve">e) da incarichi per lo svolgimento dei quali il dipendente </w:t>
      </w:r>
      <w:proofErr w:type="spellStart"/>
      <w:r w:rsidRPr="00E944EB">
        <w:rPr>
          <w:rFonts w:ascii="Arial" w:hAnsi="Arial" w:cs="Arial"/>
          <w:sz w:val="20"/>
          <w:szCs w:val="20"/>
        </w:rPr>
        <w:t>e'</w:t>
      </w:r>
      <w:proofErr w:type="spellEnd"/>
      <w:r w:rsidRPr="00E944EB">
        <w:rPr>
          <w:rFonts w:ascii="Arial" w:hAnsi="Arial" w:cs="Arial"/>
          <w:sz w:val="20"/>
          <w:szCs w:val="20"/>
        </w:rPr>
        <w:t xml:space="preserve"> posto in posizione di aspettativa, di comando o di fuori ruolo;</w:t>
      </w:r>
      <w:r w:rsidRPr="00E944EB">
        <w:rPr>
          <w:rFonts w:ascii="Arial" w:hAnsi="Arial" w:cs="Arial"/>
          <w:sz w:val="20"/>
          <w:szCs w:val="20"/>
        </w:rPr>
        <w:br/>
        <w:t xml:space="preserve">f) da incarichi conferiti dalle organizzazioni sindacali a dipendenti presso le stesse distaccati o in aspettativa non retribuita. </w:t>
      </w:r>
    </w:p>
    <w:p w14:paraId="507EA11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 dipendenti pubblici non possono svolgere incarichi retribuiti che non siano stati conferiti o previamente autorizzati dall'amministrazione di appartenenza.</w:t>
      </w:r>
    </w:p>
    <w:p w14:paraId="24F7A8C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tbl>
      <w:tblPr>
        <w:tblW w:w="0" w:type="auto"/>
        <w:tblInd w:w="-12" w:type="dxa"/>
        <w:tblLayout w:type="fixed"/>
        <w:tblCellMar>
          <w:left w:w="70" w:type="dxa"/>
          <w:right w:w="70" w:type="dxa"/>
        </w:tblCellMar>
        <w:tblLook w:val="0000" w:firstRow="0" w:lastRow="0" w:firstColumn="0" w:lastColumn="0" w:noHBand="0" w:noVBand="0"/>
      </w:tblPr>
      <w:tblGrid>
        <w:gridCol w:w="4775"/>
      </w:tblGrid>
      <w:tr w:rsidR="00E944EB" w:rsidRPr="00E944EB" w14:paraId="0932B8E0" w14:textId="77777777" w:rsidTr="00CF10ED">
        <w:tc>
          <w:tcPr>
            <w:tcW w:w="4775" w:type="dxa"/>
            <w:tcBorders>
              <w:top w:val="single" w:sz="4" w:space="0" w:color="000000"/>
              <w:left w:val="single" w:sz="4" w:space="0" w:color="000000"/>
              <w:bottom w:val="single" w:sz="4" w:space="0" w:color="000000"/>
              <w:right w:val="single" w:sz="4" w:space="0" w:color="000000"/>
            </w:tcBorders>
          </w:tcPr>
          <w:p w14:paraId="4C12D2E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DISCIPLINA DEL RAPPORTO DI LAVORO</w:t>
            </w:r>
          </w:p>
        </w:tc>
      </w:tr>
    </w:tbl>
    <w:p w14:paraId="79EB16A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AD0139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Il prestatore di lavoro deve essere adibito alle mansioni per le quali </w:t>
      </w:r>
      <w:proofErr w:type="spellStart"/>
      <w:r w:rsidRPr="00E944EB">
        <w:rPr>
          <w:rFonts w:ascii="Arial" w:hAnsi="Arial" w:cs="Arial"/>
          <w:sz w:val="20"/>
          <w:szCs w:val="20"/>
        </w:rPr>
        <w:t>e'</w:t>
      </w:r>
      <w:proofErr w:type="spellEnd"/>
      <w:r w:rsidRPr="00E944EB">
        <w:rPr>
          <w:rFonts w:ascii="Arial" w:hAnsi="Arial" w:cs="Arial"/>
          <w:sz w:val="20"/>
          <w:szCs w:val="20"/>
        </w:rPr>
        <w:t xml:space="preserve"> stato assunto o alle mansioni considerate equivalenti, ovvero a quelle corrispondenti alla qualifica superiore che abbia successivamente acquisito per effetto dello sviluppo professionale o di procedure concorsuali o selettive. L'esercizio di fatto di mansioni non corrispondenti alla qualifica di appartenenza non ha effetto ai fini dell'inquadramento del lavoratore o dell'assegnazione di incarichi di direzione. </w:t>
      </w:r>
      <w:proofErr w:type="gramStart"/>
      <w:r w:rsidRPr="00E944EB">
        <w:rPr>
          <w:rFonts w:ascii="Arial" w:hAnsi="Arial" w:cs="Arial"/>
          <w:sz w:val="20"/>
          <w:szCs w:val="20"/>
        </w:rPr>
        <w:t>Per  esigenze</w:t>
      </w:r>
      <w:proofErr w:type="gramEnd"/>
      <w:r w:rsidRPr="00E944EB">
        <w:rPr>
          <w:rFonts w:ascii="Arial" w:hAnsi="Arial" w:cs="Arial"/>
          <w:sz w:val="20"/>
          <w:szCs w:val="20"/>
        </w:rPr>
        <w:t xml:space="preserve"> di servizio il prestatore di lavoro </w:t>
      </w:r>
      <w:proofErr w:type="spellStart"/>
      <w:r w:rsidRPr="00E944EB">
        <w:rPr>
          <w:rFonts w:ascii="Arial" w:hAnsi="Arial" w:cs="Arial"/>
          <w:sz w:val="20"/>
          <w:szCs w:val="20"/>
        </w:rPr>
        <w:t>puo'</w:t>
      </w:r>
      <w:proofErr w:type="spellEnd"/>
      <w:r w:rsidRPr="00E944EB">
        <w:rPr>
          <w:rFonts w:ascii="Arial" w:hAnsi="Arial" w:cs="Arial"/>
          <w:sz w:val="20"/>
          <w:szCs w:val="20"/>
        </w:rPr>
        <w:t xml:space="preserve"> essere adibito a mansioni proprie della qualifica immediatamente superiore:</w:t>
      </w:r>
      <w:r w:rsidRPr="00E944EB">
        <w:rPr>
          <w:rFonts w:ascii="Arial" w:hAnsi="Arial" w:cs="Arial"/>
          <w:sz w:val="20"/>
          <w:szCs w:val="20"/>
        </w:rPr>
        <w:br/>
        <w:t xml:space="preserve">a) nel caso di vacanza di posto in organico. per non </w:t>
      </w:r>
      <w:proofErr w:type="spellStart"/>
      <w:r w:rsidRPr="00E944EB">
        <w:rPr>
          <w:rFonts w:ascii="Arial" w:hAnsi="Arial" w:cs="Arial"/>
          <w:sz w:val="20"/>
          <w:szCs w:val="20"/>
        </w:rPr>
        <w:t>piu'</w:t>
      </w:r>
      <w:proofErr w:type="spellEnd"/>
      <w:r w:rsidRPr="00E944EB">
        <w:rPr>
          <w:rFonts w:ascii="Arial" w:hAnsi="Arial" w:cs="Arial"/>
          <w:sz w:val="20"/>
          <w:szCs w:val="20"/>
        </w:rPr>
        <w:t xml:space="preserve"> di sei mesi, prorogabili fino a dodici qualora siano state avviate le procedure per la copertura dei posti vacanti </w:t>
      </w:r>
    </w:p>
    <w:p w14:paraId="2B8CD130"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b) nel caso di sostituzione di altro dipendente assente con diritto alla conservazione del posto, con esclusione dell'assenza per ferie, per la durata dell'assenza. </w:t>
      </w:r>
    </w:p>
    <w:p w14:paraId="5441FAE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024328F1"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 xml:space="preserve">All’interno di ciascuna categoria è prevista una progressione economica che si realizza mediante la previsione, dopo il trattamento tabellare iniziale, di successivi incrementi economici </w:t>
      </w:r>
    </w:p>
    <w:p w14:paraId="658661CB"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 xml:space="preserve">In ogni ente sono adottate metodologie permanenti per la valutazione delle prestazioni e dei risultati dei dipendenti, anche ai fini della progressione economica; la valutazione è di competenza dei </w:t>
      </w:r>
      <w:proofErr w:type="gramStart"/>
      <w:r w:rsidRPr="00E944EB">
        <w:rPr>
          <w:rFonts w:ascii="Arial" w:hAnsi="Arial" w:cs="Arial"/>
          <w:b/>
          <w:bCs/>
          <w:sz w:val="20"/>
          <w:szCs w:val="20"/>
        </w:rPr>
        <w:t>dirigenti,  si</w:t>
      </w:r>
      <w:proofErr w:type="gramEnd"/>
      <w:r w:rsidRPr="00E944EB">
        <w:rPr>
          <w:rFonts w:ascii="Arial" w:hAnsi="Arial" w:cs="Arial"/>
          <w:b/>
          <w:bCs/>
          <w:sz w:val="20"/>
          <w:szCs w:val="20"/>
        </w:rPr>
        <w:t xml:space="preserve"> effettua a cadenza periodica </w:t>
      </w:r>
    </w:p>
    <w:p w14:paraId="6F628415"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sz w:val="20"/>
          <w:szCs w:val="20"/>
        </w:rPr>
        <w:t xml:space="preserve">- Area delle </w:t>
      </w:r>
      <w:proofErr w:type="gramStart"/>
      <w:r w:rsidRPr="00E944EB">
        <w:rPr>
          <w:rFonts w:ascii="Arial" w:hAnsi="Arial" w:cs="Arial"/>
          <w:sz w:val="20"/>
          <w:szCs w:val="20"/>
        </w:rPr>
        <w:t xml:space="preserve">posizioni  </w:t>
      </w:r>
      <w:proofErr w:type="spellStart"/>
      <w:r w:rsidRPr="00E944EB">
        <w:rPr>
          <w:rFonts w:ascii="Arial" w:hAnsi="Arial" w:cs="Arial"/>
          <w:sz w:val="20"/>
          <w:szCs w:val="20"/>
        </w:rPr>
        <w:t>organizzative</w:t>
      </w:r>
      <w:r w:rsidRPr="00E944EB">
        <w:rPr>
          <w:rFonts w:ascii="Arial" w:hAnsi="Arial" w:cs="Arial"/>
          <w:b/>
          <w:bCs/>
          <w:sz w:val="20"/>
          <w:szCs w:val="20"/>
        </w:rPr>
        <w:t>Gli</w:t>
      </w:r>
      <w:proofErr w:type="spellEnd"/>
      <w:proofErr w:type="gramEnd"/>
      <w:r w:rsidRPr="00E944EB">
        <w:rPr>
          <w:rFonts w:ascii="Arial" w:hAnsi="Arial" w:cs="Arial"/>
          <w:b/>
          <w:bCs/>
          <w:sz w:val="20"/>
          <w:szCs w:val="20"/>
        </w:rPr>
        <w:t xml:space="preserve"> enti istituiscono posizioni di lavoro che richiedono, con assunzione diretta di elevata responsabilità di prodotto e di risultato:</w:t>
      </w:r>
    </w:p>
    <w:p w14:paraId="31721A95"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 xml:space="preserve"> </w:t>
      </w:r>
      <w:r w:rsidRPr="00E944EB">
        <w:rPr>
          <w:rFonts w:ascii="Arial" w:hAnsi="Arial" w:cs="Arial"/>
          <w:b/>
          <w:bCs/>
          <w:sz w:val="20"/>
          <w:szCs w:val="20"/>
        </w:rPr>
        <w:tab/>
        <w:t>a) lo svolgimento di funzioni di direzione di unità organizzative di particolare complessità, caratterizzate da elevato grado di autonomia gestionale e organizzativa;</w:t>
      </w:r>
    </w:p>
    <w:p w14:paraId="017290D6"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ab/>
        <w:t>b) lo svolgimento di attività con contenuti di alta professionalità e specializzazione correlate a diplomi di laurea e/o di scuole universitarie e/o alla iscrizione ad albi professionali;</w:t>
      </w:r>
    </w:p>
    <w:p w14:paraId="232B18E4"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ab/>
        <w:t>c) lo svolgimento di attività di staff e/o di studio, ricerca, ispettive, di vigilanza e controllo caratterizzate da elevate autonomia ed esperienza.</w:t>
      </w:r>
    </w:p>
    <w:p w14:paraId="4766B0AE"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sz w:val="20"/>
          <w:szCs w:val="20"/>
        </w:rPr>
        <w:lastRenderedPageBreak/>
        <w:t>Gli incarichi relativi all’area delle posizioni organizzative sono conferiti dai dirigenti per un periodo massimo non superiore a 5 anni.</w:t>
      </w:r>
      <w:r w:rsidRPr="00E944EB">
        <w:rPr>
          <w:rFonts w:ascii="Arial" w:hAnsi="Arial" w:cs="Arial"/>
          <w:sz w:val="20"/>
          <w:szCs w:val="20"/>
        </w:rPr>
        <w:tab/>
        <w:t xml:space="preserve">I risultati delle attività svolte dai dipendenti cui siano stati attribuiti gli incarichi sono soggetti a valutazione annuale in base a criteri e procedure predeterminati dall’ente. La valutazione positiva dà anche titolo alla corresponsione della retribuzione di risultato </w:t>
      </w:r>
      <w:r w:rsidRPr="00E944EB">
        <w:rPr>
          <w:rFonts w:ascii="Arial" w:hAnsi="Arial" w:cs="Arial"/>
          <w:b/>
          <w:bCs/>
          <w:sz w:val="20"/>
          <w:szCs w:val="20"/>
        </w:rPr>
        <w:t xml:space="preserve">ART. 10 - </w:t>
      </w:r>
    </w:p>
    <w:p w14:paraId="4994DDF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roofErr w:type="spellStart"/>
      <w:r w:rsidRPr="00E944EB">
        <w:rPr>
          <w:rFonts w:ascii="Arial" w:hAnsi="Arial" w:cs="Arial"/>
          <w:b/>
          <w:bCs/>
          <w:sz w:val="20"/>
          <w:szCs w:val="20"/>
        </w:rPr>
        <w:t>inCARICHI</w:t>
      </w:r>
      <w:proofErr w:type="spellEnd"/>
      <w:r w:rsidRPr="00E944EB">
        <w:rPr>
          <w:rFonts w:ascii="Arial" w:hAnsi="Arial" w:cs="Arial"/>
          <w:b/>
          <w:bCs/>
          <w:sz w:val="20"/>
          <w:szCs w:val="20"/>
        </w:rPr>
        <w:t xml:space="preserve"> Gli enti valorizzano le alte professionalità del personale della categoria D mediante il conferimento di incarichi a termine per valorizzare specialisti portatori di competenze elevate e innovative, acquisite, anche nell’</w:t>
      </w:r>
      <w:proofErr w:type="spellStart"/>
      <w:r w:rsidRPr="00E944EB">
        <w:rPr>
          <w:rFonts w:ascii="Arial" w:hAnsi="Arial" w:cs="Arial"/>
          <w:b/>
          <w:bCs/>
          <w:sz w:val="20"/>
          <w:szCs w:val="20"/>
        </w:rPr>
        <w:t>ente</w:t>
      </w:r>
      <w:r w:rsidRPr="00E944EB">
        <w:rPr>
          <w:rFonts w:ascii="Arial" w:hAnsi="Arial" w:cs="Arial"/>
          <w:sz w:val="20"/>
          <w:szCs w:val="20"/>
        </w:rPr>
        <w:t>L’importo</w:t>
      </w:r>
      <w:proofErr w:type="spellEnd"/>
      <w:r w:rsidRPr="00E944EB">
        <w:rPr>
          <w:rFonts w:ascii="Arial" w:hAnsi="Arial" w:cs="Arial"/>
          <w:sz w:val="20"/>
          <w:szCs w:val="20"/>
        </w:rPr>
        <w:t xml:space="preserve"> della retribuzione di posizione relativa agli incarichi di cui ai commi 1 e 2 varia da un minimo di € 5.164,56 ad un massimo di € 16.000 </w:t>
      </w:r>
    </w:p>
    <w:p w14:paraId="6F14FBBD"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p>
    <w:p w14:paraId="130A70C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w:t>
      </w:r>
    </w:p>
    <w:p w14:paraId="12956A85"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struttura della retribuzione del personale delle amministrazioni di cui all'art. 1 si compone delle seguenti voci:</w:t>
      </w:r>
    </w:p>
    <w:p w14:paraId="09243D3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 - trattamento fondamentale:</w:t>
      </w:r>
    </w:p>
    <w:p w14:paraId="4E4C689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1) stipendio tabellare;</w:t>
      </w:r>
    </w:p>
    <w:p w14:paraId="6454BF3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2) retribuzione individuale di anzianità, ove acquisita;</w:t>
      </w:r>
    </w:p>
    <w:p w14:paraId="2237BB4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3) indennità integrativa speciale;</w:t>
      </w:r>
    </w:p>
    <w:p w14:paraId="4F19668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4) livello economico differenziato;</w:t>
      </w:r>
    </w:p>
    <w:p w14:paraId="1C7EC53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B - trattamento accessorio:</w:t>
      </w:r>
    </w:p>
    <w:p w14:paraId="4660EB6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1) compensi per il lavoro straordinario di cui all'art. 31, comma 2, lettera a);</w:t>
      </w:r>
    </w:p>
    <w:p w14:paraId="0F34BEF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2) compensi per la produttività collettiva e per il miglioramento dei servizi di cui all'art. 31, comma 2, lettera e) e all'art. 33;</w:t>
      </w:r>
    </w:p>
    <w:p w14:paraId="758FDC8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3) premi per la qualità delle prestazioni individuali di cui all'art. 31, comma 2 lettera d) e all'art. 34;</w:t>
      </w:r>
    </w:p>
    <w:p w14:paraId="2B0D1BF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4) indennità speciali previste</w:t>
      </w:r>
    </w:p>
    <w:p w14:paraId="30F6874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b/>
        <w:t xml:space="preserve">Progressione economica orizzontale, secondo la disciplina dell’art.5 del CCNL del 31.3.1999, il lavoratore deve essere in possesso del requisito di un periodo minimo di permanenza nella posizione economica in godimento pari a ventiquattro mesi. </w:t>
      </w:r>
    </w:p>
    <w:p w14:paraId="7CAFAF1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7ADDD7F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2BB2A58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In ogni ente è istituito un COMITATO PARITETICO MOBBING</w:t>
      </w:r>
    </w:p>
    <w:p w14:paraId="7F85DA1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Posizioni organizzative</w:t>
      </w:r>
      <w:r w:rsidRPr="00E944EB">
        <w:rPr>
          <w:rFonts w:ascii="Arial" w:hAnsi="Arial" w:cs="Arial"/>
          <w:sz w:val="20"/>
          <w:szCs w:val="20"/>
        </w:rPr>
        <w:t xml:space="preserve"> I comuni privi di dirigenza, in relazione alle specifiche esigenze organizzative derivanti dall’ordinamento vigente, individuano, se necessario ed anche in via </w:t>
      </w:r>
      <w:proofErr w:type="gramStart"/>
      <w:r w:rsidRPr="00E944EB">
        <w:rPr>
          <w:rFonts w:ascii="Arial" w:hAnsi="Arial" w:cs="Arial"/>
          <w:sz w:val="20"/>
          <w:szCs w:val="20"/>
        </w:rPr>
        <w:t>temporanea,  le</w:t>
      </w:r>
      <w:proofErr w:type="gramEnd"/>
      <w:r w:rsidRPr="00E944EB">
        <w:rPr>
          <w:rFonts w:ascii="Arial" w:hAnsi="Arial" w:cs="Arial"/>
          <w:sz w:val="20"/>
          <w:szCs w:val="20"/>
        </w:rPr>
        <w:t xml:space="preserve"> posizioni organizzative che possono essere conferite anche al personale con rapporto a tempo parziale di durata non inferiore al 50% del rapporto a tempo pieno. Il principio del </w:t>
      </w:r>
      <w:proofErr w:type="spellStart"/>
      <w:r w:rsidRPr="00E944EB">
        <w:rPr>
          <w:rFonts w:ascii="Arial" w:hAnsi="Arial" w:cs="Arial"/>
          <w:sz w:val="20"/>
          <w:szCs w:val="20"/>
        </w:rPr>
        <w:t>riproporzionamento</w:t>
      </w:r>
      <w:proofErr w:type="spellEnd"/>
      <w:r w:rsidRPr="00E944EB">
        <w:rPr>
          <w:rFonts w:ascii="Arial" w:hAnsi="Arial" w:cs="Arial"/>
          <w:sz w:val="20"/>
          <w:szCs w:val="20"/>
        </w:rPr>
        <w:t xml:space="preserve"> del trattamento economico trova applicazione anche con riferimento alla retribuzione di posizione”.</w:t>
      </w:r>
    </w:p>
    <w:p w14:paraId="4D0C128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Commissione paritetica ARAN</w:t>
      </w:r>
      <w:r w:rsidRPr="00E944EB">
        <w:rPr>
          <w:rFonts w:ascii="Arial" w:hAnsi="Arial" w:cs="Arial"/>
          <w:sz w:val="20"/>
          <w:szCs w:val="20"/>
        </w:rPr>
        <w:t></w:t>
      </w:r>
      <w:r w:rsidRPr="00E944EB">
        <w:rPr>
          <w:rFonts w:ascii="Arial" w:hAnsi="Arial" w:cs="Arial"/>
          <w:b/>
          <w:bCs/>
          <w:sz w:val="20"/>
          <w:szCs w:val="20"/>
        </w:rPr>
        <w:t xml:space="preserve"> </w:t>
      </w:r>
      <w:r w:rsidRPr="00E944EB">
        <w:rPr>
          <w:rFonts w:ascii="Arial" w:hAnsi="Arial" w:cs="Arial"/>
          <w:sz w:val="20"/>
          <w:szCs w:val="20"/>
        </w:rPr>
        <w:t>Al fine di promuovere, nell’ambito della vigenza del presente accordo contrattuale, un migliore e più efficace riconoscimento della professionalità dei dipendenti</w:t>
      </w:r>
    </w:p>
    <w:p w14:paraId="632F6FD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2DE1E6F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ESTINZIONE DEL RAPPORTO DI IMPIEGO</w:t>
      </w:r>
    </w:p>
    <w:p w14:paraId="4E6762F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per superamento del periodo di comporto in caso di assenza per malattia</w:t>
      </w:r>
    </w:p>
    <w:p w14:paraId="6F4D26A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 xml:space="preserve">per </w:t>
      </w:r>
      <w:proofErr w:type="spellStart"/>
      <w:r w:rsidRPr="00E944EB">
        <w:rPr>
          <w:rFonts w:ascii="Arial" w:hAnsi="Arial" w:cs="Arial"/>
          <w:sz w:val="20"/>
          <w:szCs w:val="20"/>
        </w:rPr>
        <w:t>supermanto</w:t>
      </w:r>
      <w:proofErr w:type="spellEnd"/>
      <w:r w:rsidRPr="00E944EB">
        <w:rPr>
          <w:rFonts w:ascii="Arial" w:hAnsi="Arial" w:cs="Arial"/>
          <w:sz w:val="20"/>
          <w:szCs w:val="20"/>
        </w:rPr>
        <w:t xml:space="preserve"> del periodo di comporto in caso di assenza per malattia dovuta a causa di servizio</w:t>
      </w:r>
    </w:p>
    <w:p w14:paraId="7DD19F7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al compimento del limite massimo di età</w:t>
      </w:r>
    </w:p>
    <w:p w14:paraId="6DDFE30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per decesso</w:t>
      </w:r>
    </w:p>
    <w:p w14:paraId="4116AB4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per dimissioni</w:t>
      </w:r>
    </w:p>
    <w:p w14:paraId="1DB50A13"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in seguito a licenziamento disciplinare</w:t>
      </w:r>
    </w:p>
    <w:p w14:paraId="4550417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per perdita della cittadinanza italiana o europea</w:t>
      </w:r>
    </w:p>
    <w:p w14:paraId="32ED0FE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per accettazione di una missione o altro incarico da autorità straniera senza l'autorizzazione del Ministro competente</w:t>
      </w:r>
    </w:p>
    <w:p w14:paraId="4B890E2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t>Per mancata accettazione della situazione di incompatibilità tra obblighi di servizio e attività svolte dal dipendente</w:t>
      </w:r>
    </w:p>
    <w:p w14:paraId="43504A2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br/>
      </w:r>
      <w:r w:rsidRPr="00E944EB">
        <w:rPr>
          <w:rFonts w:ascii="Arial" w:hAnsi="Arial" w:cs="Arial"/>
          <w:sz w:val="20"/>
          <w:szCs w:val="20"/>
        </w:rPr>
        <w:br/>
        <w:t xml:space="preserve">La disciplina essenziale </w:t>
      </w:r>
      <w:proofErr w:type="gramStart"/>
      <w:r w:rsidRPr="00E944EB">
        <w:rPr>
          <w:rFonts w:ascii="Arial" w:hAnsi="Arial" w:cs="Arial"/>
          <w:sz w:val="20"/>
          <w:szCs w:val="20"/>
        </w:rPr>
        <w:t>del  rapporto</w:t>
      </w:r>
      <w:proofErr w:type="gramEnd"/>
      <w:r w:rsidRPr="00E944EB">
        <w:rPr>
          <w:rFonts w:ascii="Arial" w:hAnsi="Arial" w:cs="Arial"/>
          <w:sz w:val="20"/>
          <w:szCs w:val="20"/>
        </w:rPr>
        <w:t xml:space="preserve"> di lavoro privatizzato, ispirata ai principi del "lavoro nell'impresa" (libro V Cod. </w:t>
      </w:r>
      <w:proofErr w:type="spellStart"/>
      <w:r w:rsidRPr="00E944EB">
        <w:rPr>
          <w:rFonts w:ascii="Arial" w:hAnsi="Arial" w:cs="Arial"/>
          <w:sz w:val="20"/>
          <w:szCs w:val="20"/>
        </w:rPr>
        <w:t>Civ</w:t>
      </w:r>
      <w:proofErr w:type="spellEnd"/>
      <w:r w:rsidRPr="00E944EB">
        <w:rPr>
          <w:rFonts w:ascii="Arial" w:hAnsi="Arial" w:cs="Arial"/>
          <w:sz w:val="20"/>
          <w:szCs w:val="20"/>
        </w:rPr>
        <w:t>.), attiene ai seguenti aspetti:</w:t>
      </w:r>
    </w:p>
    <w:p w14:paraId="7A39C72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COSTITUZIONE. L'accesso al pubblico impiego, per regola generale (esclusi solo i casi delle categorie protette e degli impieghi relativi a qualifiche di basso profilo</w:t>
      </w:r>
      <w:proofErr w:type="gramStart"/>
      <w:r w:rsidRPr="00E944EB">
        <w:rPr>
          <w:rFonts w:ascii="Arial" w:hAnsi="Arial" w:cs="Arial"/>
          <w:sz w:val="20"/>
          <w:szCs w:val="20"/>
        </w:rPr>
        <w:t>),  avviene</w:t>
      </w:r>
      <w:proofErr w:type="gramEnd"/>
      <w:r w:rsidRPr="00E944EB">
        <w:rPr>
          <w:rFonts w:ascii="Arial" w:hAnsi="Arial" w:cs="Arial"/>
          <w:sz w:val="20"/>
          <w:szCs w:val="20"/>
        </w:rPr>
        <w:t xml:space="preserve"> tramite concorso (art. 97, comma 3, Cost.), aperto alla partecipazione di tutti coloro che, maggiorenni, possiedano i requisiti previsti. Il procedimento concorsuale, che si svolge secondo i criteri posti dall'art. 36 d.lgs. n. 29/93, si conclude con l'approvazione della graduatoria dei vincitori. Successivamente, in base alla graduatoria, si procede alla nomina, che, salvo giudizio </w:t>
      </w:r>
      <w:r w:rsidRPr="00E944EB">
        <w:rPr>
          <w:rFonts w:ascii="Arial" w:hAnsi="Arial" w:cs="Arial"/>
          <w:sz w:val="20"/>
          <w:szCs w:val="20"/>
        </w:rPr>
        <w:lastRenderedPageBreak/>
        <w:t>sfavorevole, acquista stabilità al termine del periodo di prova (6 mesi).</w:t>
      </w:r>
    </w:p>
    <w:p w14:paraId="159B2A1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DIRITTI DEL PRESTATORE. Si distinguono tradizionalmente, ferme le eventuali modifiche ad opera della contrattazione:</w:t>
      </w:r>
      <w:r w:rsidRPr="00E944EB">
        <w:rPr>
          <w:rFonts w:ascii="Arial" w:hAnsi="Arial" w:cs="Arial"/>
          <w:sz w:val="20"/>
          <w:szCs w:val="20"/>
        </w:rPr>
        <w:br/>
      </w:r>
      <w:r w:rsidRPr="00E944EB">
        <w:rPr>
          <w:rFonts w:ascii="Arial" w:hAnsi="Arial" w:cs="Arial"/>
          <w:sz w:val="20"/>
          <w:szCs w:val="20"/>
        </w:rPr>
        <w:br/>
        <w:t xml:space="preserve">o       </w:t>
      </w:r>
      <w:r w:rsidRPr="00E944EB">
        <w:rPr>
          <w:rFonts w:ascii="Arial" w:hAnsi="Arial" w:cs="Arial"/>
          <w:i/>
          <w:iCs/>
          <w:sz w:val="20"/>
          <w:szCs w:val="20"/>
        </w:rPr>
        <w:t>Diritti patrimoniali</w:t>
      </w:r>
      <w:r w:rsidRPr="00E944EB">
        <w:rPr>
          <w:rFonts w:ascii="Arial" w:hAnsi="Arial" w:cs="Arial"/>
          <w:sz w:val="20"/>
          <w:szCs w:val="20"/>
        </w:rPr>
        <w:t>. Il principale è il "diritto allo stipendio" (art. 49 d.lgs. n. 29/93), ovvero alla retribuzione annua, erogata con cadenza mensile, che si articola in trattamento fondamentale e trattamento accessorio, la disciplina dei quali è rimessa alla contrattazione. </w:t>
      </w:r>
      <w:r w:rsidRPr="00E944EB">
        <w:rPr>
          <w:rFonts w:ascii="Arial" w:hAnsi="Arial" w:cs="Arial"/>
          <w:sz w:val="20"/>
          <w:szCs w:val="20"/>
        </w:rPr>
        <w:br/>
      </w:r>
      <w:r w:rsidRPr="00E944EB">
        <w:rPr>
          <w:rFonts w:ascii="Arial" w:hAnsi="Arial" w:cs="Arial"/>
          <w:sz w:val="20"/>
          <w:szCs w:val="20"/>
        </w:rPr>
        <w:br/>
        <w:t>Alla retribuzione si aggiungono, oltre alla tredicesima mensilità, le varie indennità legate a diverse causali (es. indennità di prima sistemazione, volta a compensare il dipendente per i disagi connessi alla ricerca dell'abitazione) e l'equo indennizzo, attribuito per il caso di lesione od infermità mentale causate dal servizio, che, però, consentono di continuare a prestare il lavoro. Qualora ciò non fosse possibile, infatti, il lavoratore, che cessa dal lavoro, ha diritto alla pensione privilegiata, che si affianca a quella ordinaria, che spetta al soggetto che ha raggiunto una certa anzianità di servizio.</w:t>
      </w:r>
      <w:r w:rsidRPr="00E944EB">
        <w:rPr>
          <w:rFonts w:ascii="Arial" w:hAnsi="Arial" w:cs="Arial"/>
          <w:sz w:val="20"/>
          <w:szCs w:val="20"/>
        </w:rPr>
        <w:br/>
      </w:r>
      <w:r w:rsidRPr="00E944EB">
        <w:rPr>
          <w:rFonts w:ascii="Arial" w:hAnsi="Arial" w:cs="Arial"/>
          <w:sz w:val="20"/>
          <w:szCs w:val="20"/>
        </w:rPr>
        <w:br/>
        <w:t>Va ricordata infine, l'indennità di buona uscita, che si aggiunge alla pensione ed ha natura previdenziale.</w:t>
      </w:r>
      <w:r w:rsidRPr="00E944EB">
        <w:rPr>
          <w:rFonts w:ascii="Arial" w:hAnsi="Arial" w:cs="Arial"/>
          <w:sz w:val="20"/>
          <w:szCs w:val="20"/>
        </w:rPr>
        <w:br/>
      </w:r>
      <w:r w:rsidRPr="00E944EB">
        <w:rPr>
          <w:rFonts w:ascii="Arial" w:hAnsi="Arial" w:cs="Arial"/>
          <w:sz w:val="20"/>
          <w:szCs w:val="20"/>
        </w:rPr>
        <w:br/>
        <w:t xml:space="preserve">o       </w:t>
      </w:r>
      <w:r w:rsidRPr="00E944EB">
        <w:rPr>
          <w:rFonts w:ascii="Arial" w:hAnsi="Arial" w:cs="Arial"/>
          <w:i/>
          <w:iCs/>
          <w:sz w:val="20"/>
          <w:szCs w:val="20"/>
        </w:rPr>
        <w:t>Diritti non patrimoniali</w:t>
      </w:r>
      <w:r w:rsidRPr="00E944EB">
        <w:rPr>
          <w:rFonts w:ascii="Arial" w:hAnsi="Arial" w:cs="Arial"/>
          <w:sz w:val="20"/>
          <w:szCs w:val="20"/>
        </w:rPr>
        <w:t>:</w:t>
      </w:r>
      <w:r w:rsidRPr="00E944EB">
        <w:rPr>
          <w:rFonts w:ascii="Arial" w:hAnsi="Arial" w:cs="Arial"/>
          <w:sz w:val="20"/>
          <w:szCs w:val="20"/>
        </w:rPr>
        <w:br/>
      </w:r>
      <w:r w:rsidRPr="00E944EB">
        <w:rPr>
          <w:rFonts w:ascii="Arial" w:hAnsi="Arial" w:cs="Arial"/>
          <w:sz w:val="20"/>
          <w:szCs w:val="20"/>
        </w:rPr>
        <w:br/>
        <w:t>§       Il diritto all'ufficio = diritto al mantenimento dell'impiego, salvo che non si verifichino eventi previsti dalla legge o dal contratto collettivo. Tale diritto, che in alcuni casi assume i caratteri di un vero e proprio diritto alla sede (inamovibilità, es. magistrati), nella maggior parte dei casi, comporta solo vincoli alla mobilità del lavoratore (trasferimento dall'una all'altra sede), a sua garanzia (es. conservazione  dell'anzianità e del trattamento economico pregresso se più favorevole).</w:t>
      </w:r>
      <w:r w:rsidRPr="00E944EB">
        <w:rPr>
          <w:rFonts w:ascii="Arial" w:hAnsi="Arial" w:cs="Arial"/>
          <w:sz w:val="20"/>
          <w:szCs w:val="20"/>
        </w:rPr>
        <w:br/>
      </w:r>
      <w:r w:rsidRPr="00E944EB">
        <w:rPr>
          <w:rFonts w:ascii="Arial" w:hAnsi="Arial" w:cs="Arial"/>
          <w:sz w:val="20"/>
          <w:szCs w:val="20"/>
        </w:rPr>
        <w:br/>
        <w:t xml:space="preserve">§       Il diritto alla funzione = diritto all'esercizio delle funzioni inerenti alla qualifica: il lavoratore deve esser adibito alle mansioni per le quali è stato </w:t>
      </w:r>
      <w:proofErr w:type="spellStart"/>
      <w:r w:rsidRPr="00E944EB">
        <w:rPr>
          <w:rFonts w:ascii="Arial" w:hAnsi="Arial" w:cs="Arial"/>
          <w:sz w:val="20"/>
          <w:szCs w:val="20"/>
        </w:rPr>
        <w:t>assunto,od</w:t>
      </w:r>
      <w:proofErr w:type="spellEnd"/>
      <w:r w:rsidRPr="00E944EB">
        <w:rPr>
          <w:rFonts w:ascii="Arial" w:hAnsi="Arial" w:cs="Arial"/>
          <w:sz w:val="20"/>
          <w:szCs w:val="20"/>
        </w:rPr>
        <w:t xml:space="preserve"> a quelle equivalenti secondo la contrattazione collettiva. È l'unico diritto disciplinato per legge (art. 56 d.lgs. n. 29/93), con particolare riferimento al caso in cui il lavoratore venga adibito a mansioni superiori (per il quale, dal 1998, si applica la disciplina dell'art. 2103 Cod. </w:t>
      </w:r>
      <w:proofErr w:type="spellStart"/>
      <w:r w:rsidRPr="00E944EB">
        <w:rPr>
          <w:rFonts w:ascii="Arial" w:hAnsi="Arial" w:cs="Arial"/>
          <w:sz w:val="20"/>
          <w:szCs w:val="20"/>
        </w:rPr>
        <w:t>Civ</w:t>
      </w:r>
      <w:proofErr w:type="spellEnd"/>
      <w:r w:rsidRPr="00E944EB">
        <w:rPr>
          <w:rFonts w:ascii="Arial" w:hAnsi="Arial" w:cs="Arial"/>
          <w:sz w:val="20"/>
          <w:szCs w:val="20"/>
        </w:rPr>
        <w:t>.).</w:t>
      </w:r>
      <w:r w:rsidRPr="00E944EB">
        <w:rPr>
          <w:rFonts w:ascii="Arial" w:hAnsi="Arial" w:cs="Arial"/>
          <w:sz w:val="20"/>
          <w:szCs w:val="20"/>
        </w:rPr>
        <w:br/>
      </w:r>
      <w:r w:rsidRPr="00E944EB">
        <w:rPr>
          <w:rFonts w:ascii="Arial" w:hAnsi="Arial" w:cs="Arial"/>
          <w:sz w:val="20"/>
          <w:szCs w:val="20"/>
        </w:rPr>
        <w:br/>
        <w:t>§       Il diritto alla carriera (</w:t>
      </w:r>
      <w:proofErr w:type="spellStart"/>
      <w:r w:rsidRPr="00E944EB">
        <w:rPr>
          <w:rFonts w:ascii="Arial" w:hAnsi="Arial" w:cs="Arial"/>
          <w:sz w:val="20"/>
          <w:szCs w:val="20"/>
        </w:rPr>
        <w:t>rectius</w:t>
      </w:r>
      <w:proofErr w:type="spellEnd"/>
      <w:r w:rsidRPr="00E944EB">
        <w:rPr>
          <w:rFonts w:ascii="Arial" w:hAnsi="Arial" w:cs="Arial"/>
          <w:sz w:val="20"/>
          <w:szCs w:val="20"/>
        </w:rPr>
        <w:t>: alla progressione in carriera), che secondo i più, non sarebbe un diritto soggettivo, ma un mero interesse legittimo, poiché in materia la P.a. gode di discrezionalità.</w:t>
      </w:r>
    </w:p>
    <w:p w14:paraId="7CA9BFD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DOVERI DEL PRESTATORE.  Valgono le medesime considerazioni fatte per i diritti, quindi tradizionalmente a tale categoria si riportano:</w:t>
      </w:r>
      <w:r w:rsidRPr="00E944EB">
        <w:rPr>
          <w:rFonts w:ascii="Arial" w:hAnsi="Arial" w:cs="Arial"/>
          <w:sz w:val="20"/>
          <w:szCs w:val="20"/>
        </w:rPr>
        <w:br/>
      </w:r>
      <w:r w:rsidRPr="00E944EB">
        <w:rPr>
          <w:rFonts w:ascii="Arial" w:hAnsi="Arial" w:cs="Arial"/>
          <w:sz w:val="20"/>
          <w:szCs w:val="20"/>
        </w:rPr>
        <w:br/>
        <w:t xml:space="preserve">o       </w:t>
      </w:r>
      <w:r w:rsidRPr="00E944EB">
        <w:rPr>
          <w:rFonts w:ascii="Arial" w:hAnsi="Arial" w:cs="Arial"/>
          <w:i/>
          <w:iCs/>
          <w:sz w:val="20"/>
          <w:szCs w:val="20"/>
        </w:rPr>
        <w:t xml:space="preserve">Dovere di lealtà o fedeltà </w:t>
      </w:r>
      <w:r w:rsidRPr="00E944EB">
        <w:rPr>
          <w:rFonts w:ascii="Arial" w:hAnsi="Arial" w:cs="Arial"/>
          <w:sz w:val="20"/>
          <w:szCs w:val="20"/>
        </w:rPr>
        <w:t>= dovere di operare esclusivamente nell'interesse dell'amministrazione da cui si dipende;</w:t>
      </w:r>
      <w:r w:rsidRPr="00E944EB">
        <w:rPr>
          <w:rFonts w:ascii="Arial" w:hAnsi="Arial" w:cs="Arial"/>
          <w:sz w:val="20"/>
          <w:szCs w:val="20"/>
        </w:rPr>
        <w:br/>
      </w:r>
      <w:r w:rsidRPr="00E944EB">
        <w:rPr>
          <w:rFonts w:ascii="Arial" w:hAnsi="Arial" w:cs="Arial"/>
          <w:sz w:val="20"/>
          <w:szCs w:val="20"/>
        </w:rPr>
        <w:br/>
        <w:t xml:space="preserve">o       </w:t>
      </w:r>
      <w:r w:rsidRPr="00E944EB">
        <w:rPr>
          <w:rFonts w:ascii="Arial" w:hAnsi="Arial" w:cs="Arial"/>
          <w:i/>
          <w:iCs/>
          <w:sz w:val="20"/>
          <w:szCs w:val="20"/>
        </w:rPr>
        <w:t xml:space="preserve">Dovere di diligenza </w:t>
      </w:r>
      <w:r w:rsidRPr="00E944EB">
        <w:rPr>
          <w:rFonts w:ascii="Arial" w:hAnsi="Arial" w:cs="Arial"/>
          <w:sz w:val="20"/>
          <w:szCs w:val="20"/>
        </w:rPr>
        <w:t>= dovere di adempiere i propri compiti con osservanza ed impegno;</w:t>
      </w:r>
      <w:r w:rsidRPr="00E944EB">
        <w:rPr>
          <w:rFonts w:ascii="Arial" w:hAnsi="Arial" w:cs="Arial"/>
          <w:sz w:val="20"/>
          <w:szCs w:val="20"/>
        </w:rPr>
        <w:br/>
      </w:r>
      <w:r w:rsidRPr="00E944EB">
        <w:rPr>
          <w:rFonts w:ascii="Arial" w:hAnsi="Arial" w:cs="Arial"/>
          <w:sz w:val="20"/>
          <w:szCs w:val="20"/>
        </w:rPr>
        <w:br/>
        <w:t>o       Dovere di riservatezza = dovere di non divulgare le notizie apprese ed i fatti di cui si è avuta conoscenza nell'espletamento del proprio lavoro, salvo il rispetto delle disposizioni legali;</w:t>
      </w:r>
      <w:r w:rsidRPr="00E944EB">
        <w:rPr>
          <w:rFonts w:ascii="Arial" w:hAnsi="Arial" w:cs="Arial"/>
          <w:sz w:val="20"/>
          <w:szCs w:val="20"/>
        </w:rPr>
        <w:br/>
      </w:r>
      <w:r w:rsidRPr="00E944EB">
        <w:rPr>
          <w:rFonts w:ascii="Arial" w:hAnsi="Arial" w:cs="Arial"/>
          <w:sz w:val="20"/>
          <w:szCs w:val="20"/>
        </w:rPr>
        <w:br/>
        <w:t>o       Dovere di obbedienza = dovere di eseguire gli ordini legittimi provenienti dai soggetti competenti.</w:t>
      </w:r>
    </w:p>
    <w:p w14:paraId="17318A0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Ad essi si aggiungono i doveri previsti dai codici di comportamento, ed il</w:t>
      </w:r>
      <w:r w:rsidRPr="00E944EB">
        <w:rPr>
          <w:rFonts w:ascii="Arial" w:hAnsi="Arial" w:cs="Arial"/>
          <w:sz w:val="20"/>
          <w:szCs w:val="20"/>
        </w:rPr>
        <w:br/>
        <w:t>principio di esclusività del rapporto di lavoro pubblico, connesso con il regime delle incompatibilità e del divieto di cumulo d'impieghi od incarichi.</w:t>
      </w:r>
    </w:p>
    <w:p w14:paraId="6287F53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 violazione dei doveri connessi al rapporto di lavoro comporta la </w:t>
      </w:r>
      <w:r w:rsidRPr="00E944EB">
        <w:rPr>
          <w:rFonts w:ascii="Arial" w:hAnsi="Arial" w:cs="Arial"/>
          <w:b/>
          <w:bCs/>
          <w:sz w:val="20"/>
          <w:szCs w:val="20"/>
        </w:rPr>
        <w:t>responsabilità disciplinare</w:t>
      </w:r>
      <w:r w:rsidRPr="00E944EB">
        <w:rPr>
          <w:rFonts w:ascii="Arial" w:hAnsi="Arial" w:cs="Arial"/>
          <w:sz w:val="20"/>
          <w:szCs w:val="20"/>
        </w:rPr>
        <w:t xml:space="preserve"> (che si aggiunge alle altre responsabilità, qualora il comportamento costituisca illecito secondo le leggi civili, penali od amministrative).  L'amministrazione pubblica gode, invero, di un potere sanzionatorio di natura privata volto a garantire il corretto svolgimento della prestazione (c.d. potere disciplinare). L'esercizio di tale potere è stato formalizzato dal legislatore e dalla contrattazione sia per glia spetti connessi alle modalità d'irrogazione della sanzione disciplinare (art. 59, in particolare, comma 4), sia con riferimento ai tipi di sanzione irrogabili (ad oggi la contrattazione collettiva indica: rimprovero verbale; rimprovero scritto o censura; multa; sospensione dal lavoro e dalla retribuzione; licenziamento con preavviso e licenziamento senza preavviso).</w:t>
      </w:r>
    </w:p>
    <w:p w14:paraId="14D8442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MODIFICAZIONI DEL RAPPORTO. Utilizziamo tale locuzione per descrivere le vicende che intervengono a cambiare l'assetto giuridico del rapporto. Si può trattare di vicende che:</w:t>
      </w:r>
      <w:r w:rsidRPr="00E944EB">
        <w:rPr>
          <w:rFonts w:ascii="Arial" w:hAnsi="Arial" w:cs="Arial"/>
          <w:sz w:val="20"/>
          <w:szCs w:val="20"/>
        </w:rPr>
        <w:br/>
      </w:r>
      <w:r w:rsidRPr="00E944EB">
        <w:rPr>
          <w:rFonts w:ascii="Arial" w:hAnsi="Arial" w:cs="Arial"/>
          <w:sz w:val="20"/>
          <w:szCs w:val="20"/>
        </w:rPr>
        <w:lastRenderedPageBreak/>
        <w:br/>
        <w:t xml:space="preserve">o       </w:t>
      </w:r>
      <w:r w:rsidRPr="00E944EB">
        <w:rPr>
          <w:rFonts w:ascii="Arial" w:hAnsi="Arial" w:cs="Arial"/>
          <w:i/>
          <w:iCs/>
          <w:sz w:val="20"/>
          <w:szCs w:val="20"/>
        </w:rPr>
        <w:t>Non incidono sulla stabilità del rapporto di lavoro</w:t>
      </w:r>
      <w:r w:rsidRPr="00E944EB">
        <w:rPr>
          <w:rFonts w:ascii="Arial" w:hAnsi="Arial" w:cs="Arial"/>
          <w:sz w:val="20"/>
          <w:szCs w:val="20"/>
        </w:rPr>
        <w:t>: le modificazioni c.d. fisiologiche (es. progressione economica o giuridica) e quelle c.d. eventuali e temporanee (che si distinguono, tradizionalmente - poiché anche questa materia è oggetto di contrattazione -,  in modifiche che incidono sull'obbligo di rendere la prestazione, quali l'aspettativa ed il collocamento a disposizione, e modifiche che riguardano il fruitore della prestazione, quali il comando, il distacco ed il collocamento fuori ruolo).</w:t>
      </w:r>
      <w:r w:rsidRPr="00E944EB">
        <w:rPr>
          <w:rFonts w:ascii="Arial" w:hAnsi="Arial" w:cs="Arial"/>
          <w:sz w:val="20"/>
          <w:szCs w:val="20"/>
        </w:rPr>
        <w:br/>
      </w:r>
      <w:r w:rsidRPr="00E944EB">
        <w:rPr>
          <w:rFonts w:ascii="Arial" w:hAnsi="Arial" w:cs="Arial"/>
          <w:sz w:val="20"/>
          <w:szCs w:val="20"/>
        </w:rPr>
        <w:br/>
        <w:t>o      </w:t>
      </w:r>
      <w:r w:rsidRPr="00E944EB">
        <w:rPr>
          <w:rFonts w:ascii="Arial" w:hAnsi="Arial" w:cs="Arial"/>
          <w:i/>
          <w:iCs/>
          <w:sz w:val="20"/>
          <w:szCs w:val="20"/>
        </w:rPr>
        <w:t>Incidono sulla stabilità del rapporto di lavoro</w:t>
      </w:r>
      <w:r w:rsidRPr="00E944EB">
        <w:rPr>
          <w:rFonts w:ascii="Arial" w:hAnsi="Arial" w:cs="Arial"/>
          <w:sz w:val="20"/>
          <w:szCs w:val="20"/>
        </w:rPr>
        <w:t>: l'estinzione. </w:t>
      </w:r>
      <w:r w:rsidRPr="00E944EB">
        <w:rPr>
          <w:rFonts w:ascii="Arial" w:hAnsi="Arial" w:cs="Arial"/>
          <w:sz w:val="20"/>
          <w:szCs w:val="20"/>
        </w:rPr>
        <w:br/>
        <w:t>Essa può essere legata a</w:t>
      </w:r>
      <w:r w:rsidRPr="00E944EB">
        <w:rPr>
          <w:rFonts w:ascii="Arial" w:hAnsi="Arial" w:cs="Arial"/>
          <w:sz w:val="20"/>
          <w:szCs w:val="20"/>
        </w:rPr>
        <w:br/>
      </w:r>
      <w:r w:rsidRPr="00E944EB">
        <w:rPr>
          <w:rFonts w:ascii="Arial" w:hAnsi="Arial" w:cs="Arial"/>
          <w:sz w:val="20"/>
          <w:szCs w:val="20"/>
        </w:rPr>
        <w:br/>
        <w:t>§       Cause estranee alla volontà delle parti (soppressione dell'ente pubblico datore di lavoro senza successione; morte del dipendente; collocamento a riposo d'ufficio - o per raggiunti limiti di età -);</w:t>
      </w:r>
      <w:r w:rsidRPr="00E944EB">
        <w:rPr>
          <w:rFonts w:ascii="Arial" w:hAnsi="Arial" w:cs="Arial"/>
          <w:sz w:val="20"/>
          <w:szCs w:val="20"/>
        </w:rPr>
        <w:br/>
      </w:r>
      <w:r w:rsidRPr="00E944EB">
        <w:rPr>
          <w:rFonts w:ascii="Arial" w:hAnsi="Arial" w:cs="Arial"/>
          <w:sz w:val="20"/>
          <w:szCs w:val="20"/>
        </w:rPr>
        <w:br/>
        <w:t>§       Cause dipendenti dalla volontà dell'impiegato (dimissioni; collocamento a riposo su domanda);</w:t>
      </w:r>
      <w:r w:rsidRPr="00E944EB">
        <w:rPr>
          <w:rFonts w:ascii="Arial" w:hAnsi="Arial" w:cs="Arial"/>
          <w:sz w:val="20"/>
          <w:szCs w:val="20"/>
        </w:rPr>
        <w:br/>
      </w:r>
      <w:r w:rsidRPr="00E944EB">
        <w:rPr>
          <w:rFonts w:ascii="Arial" w:hAnsi="Arial" w:cs="Arial"/>
          <w:sz w:val="20"/>
          <w:szCs w:val="20"/>
        </w:rPr>
        <w:br/>
        <w:t>§       Cause dipendenti da atti dell'amministrazione (destituzione; decadenza dall'impiego; dispensa dal servizio).</w:t>
      </w:r>
    </w:p>
    <w:p w14:paraId="47BB9D4E"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RESPONSABILITA' DISCIPLINARE</w:t>
      </w:r>
    </w:p>
    <w:p w14:paraId="038E8CF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roofErr w:type="spellStart"/>
      <w:r w:rsidRPr="00E944EB">
        <w:rPr>
          <w:rFonts w:ascii="Arial" w:hAnsi="Arial" w:cs="Arial"/>
          <w:sz w:val="20"/>
          <w:szCs w:val="20"/>
        </w:rPr>
        <w:t>iL</w:t>
      </w:r>
      <w:proofErr w:type="spellEnd"/>
      <w:r w:rsidRPr="00E944EB">
        <w:rPr>
          <w:rFonts w:ascii="Arial" w:hAnsi="Arial" w:cs="Arial"/>
          <w:sz w:val="20"/>
          <w:szCs w:val="20"/>
        </w:rPr>
        <w:t xml:space="preserve"> </w:t>
      </w:r>
      <w:proofErr w:type="spellStart"/>
      <w:r w:rsidRPr="00E944EB">
        <w:rPr>
          <w:rFonts w:ascii="Arial" w:hAnsi="Arial" w:cs="Arial"/>
          <w:sz w:val="20"/>
          <w:szCs w:val="20"/>
        </w:rPr>
        <w:t>ccnl</w:t>
      </w:r>
      <w:proofErr w:type="spellEnd"/>
      <w:r w:rsidRPr="00E944EB">
        <w:rPr>
          <w:rFonts w:ascii="Arial" w:hAnsi="Arial" w:cs="Arial"/>
          <w:sz w:val="20"/>
          <w:szCs w:val="20"/>
        </w:rPr>
        <w:t xml:space="preserve"> richiama il diritto costituzionale di prestare servizio verso la Repubblica con impegno e responsabilità e di rispettare i principi costituzionali di buon andamento ed imparzialità della </w:t>
      </w:r>
      <w:proofErr w:type="spellStart"/>
      <w:r w:rsidRPr="00E944EB">
        <w:rPr>
          <w:rFonts w:ascii="Arial" w:hAnsi="Arial" w:cs="Arial"/>
          <w:sz w:val="20"/>
          <w:szCs w:val="20"/>
        </w:rPr>
        <w:t>publbica</w:t>
      </w:r>
      <w:proofErr w:type="spellEnd"/>
      <w:r w:rsidRPr="00E944EB">
        <w:rPr>
          <w:rFonts w:ascii="Arial" w:hAnsi="Arial" w:cs="Arial"/>
          <w:sz w:val="20"/>
          <w:szCs w:val="20"/>
        </w:rPr>
        <w:t xml:space="preserve"> amministrazione. in particolar modo si ricorda il dovere di eseguire le disposizioni impartite dai superiori; se egli ritiene l'illegittimità di tali ordini, deve dichiarare le ragioni per le quali ha intenzione di disattendere l'ordine, ma una volta in cui questo è stato riproposto per scritto, deve esser eseguito. Il dipendente è esentato soltanto nel caso in cui l'atto sia vietato dalla legge penale o costituisca un illecito amministrativo. La violazione degli obblighi posti dal rapporto di pubblico impiego comporta una forma di responsabilità disciplinare, in quanto sono stati violati gli obblighi di </w:t>
      </w:r>
      <w:proofErr w:type="spellStart"/>
      <w:r w:rsidRPr="00E944EB">
        <w:rPr>
          <w:rFonts w:ascii="Arial" w:hAnsi="Arial" w:cs="Arial"/>
          <w:sz w:val="20"/>
          <w:szCs w:val="20"/>
        </w:rPr>
        <w:t>dileienza</w:t>
      </w:r>
      <w:proofErr w:type="spellEnd"/>
      <w:r w:rsidRPr="00E944EB">
        <w:rPr>
          <w:rFonts w:ascii="Arial" w:hAnsi="Arial" w:cs="Arial"/>
          <w:sz w:val="20"/>
          <w:szCs w:val="20"/>
        </w:rPr>
        <w:t xml:space="preserve"> e fedeltà del prestatore di lavoro.</w:t>
      </w:r>
    </w:p>
    <w:p w14:paraId="0EC261C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Ciascuna amministrazione, secondo il proprio ordinamento, individua l'ufficio competente per i procedimenti disciplinari. Tale ufficio, su segnalazione del capo della struttura in cui il dipendente lavora, contesta l'addebito al dipendente medesimo, istruisce il procedimento disciplinare e applica la sanzione. Quando le sanzioni da applicare siano rimprovero verbale e censura, il capo della struttura in cui il dipendente lavora provvede direttamente.</w:t>
      </w:r>
    </w:p>
    <w:p w14:paraId="522CFF4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Ogni provvedimento disciplinare, ad eccezione del rimprovero verbale, deve essere adottato previa tempestiva contestazione scritta dell'addebito al dipendente, che viene sentito a sua difesa con l'eventuale assistenza di un procuratore ovvero di un rappresentante dell'associazione sindacale cui aderisce o conferisce mandato. Trascorsi inutilmente quindici giorni dalla convocazione per la difesa del dipendente, la sanzione viene applicata nei successivi quindici giorni.</w:t>
      </w:r>
    </w:p>
    <w:p w14:paraId="234A42A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le violazioni secondo la gravità delle </w:t>
      </w:r>
      <w:proofErr w:type="gramStart"/>
      <w:r w:rsidRPr="00E944EB">
        <w:rPr>
          <w:rFonts w:ascii="Arial" w:hAnsi="Arial" w:cs="Arial"/>
          <w:sz w:val="20"/>
          <w:szCs w:val="20"/>
        </w:rPr>
        <w:t>infrazioni  comportano</w:t>
      </w:r>
      <w:proofErr w:type="gramEnd"/>
      <w:r w:rsidRPr="00E944EB">
        <w:rPr>
          <w:rFonts w:ascii="Arial" w:hAnsi="Arial" w:cs="Arial"/>
          <w:sz w:val="20"/>
          <w:szCs w:val="20"/>
        </w:rPr>
        <w:t xml:space="preserve"> le seguenti sanzioni disciplinari:</w:t>
      </w:r>
    </w:p>
    <w:p w14:paraId="72EBBDCF"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rimprovero verbale</w:t>
      </w:r>
    </w:p>
    <w:p w14:paraId="58DD906E"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rimprovero scritto</w:t>
      </w:r>
    </w:p>
    <w:p w14:paraId="46FAAAE5"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multa di importo fino al massimo di </w:t>
      </w:r>
      <w:proofErr w:type="gramStart"/>
      <w:r w:rsidRPr="00E944EB">
        <w:rPr>
          <w:rFonts w:ascii="Arial" w:hAnsi="Arial" w:cs="Arial"/>
          <w:sz w:val="20"/>
          <w:szCs w:val="20"/>
        </w:rPr>
        <w:t>4</w:t>
      </w:r>
      <w:proofErr w:type="gramEnd"/>
      <w:r w:rsidRPr="00E944EB">
        <w:rPr>
          <w:rFonts w:ascii="Arial" w:hAnsi="Arial" w:cs="Arial"/>
          <w:sz w:val="20"/>
          <w:szCs w:val="20"/>
        </w:rPr>
        <w:t xml:space="preserve"> ore di retribuzione</w:t>
      </w:r>
    </w:p>
    <w:p w14:paraId="197AF25A"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sospensione del servizio e della retribuzione da 11 giorni a 6 mesi</w:t>
      </w:r>
    </w:p>
    <w:p w14:paraId="1CB03466"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licenziamento con preavviso</w:t>
      </w:r>
    </w:p>
    <w:p w14:paraId="2ED6EE65" w14:textId="77777777" w:rsidR="00E944EB" w:rsidRPr="00E944EB" w:rsidRDefault="00E944EB" w:rsidP="00E944EB">
      <w:pPr>
        <w:widowControl w:val="0"/>
        <w:numPr>
          <w:ilvl w:val="0"/>
          <w:numId w:val="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licenziamento senza preavviso</w:t>
      </w:r>
    </w:p>
    <w:p w14:paraId="06845B2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Il procedimento disciplinare deve concludersi entro 120 giorni dalla data di contestazione dell'addebito e la responsabilità disciplinare non esime il dipendente da altre forme di responsabilità</w:t>
      </w:r>
    </w:p>
    <w:tbl>
      <w:tblPr>
        <w:tblW w:w="0" w:type="auto"/>
        <w:tblInd w:w="-12" w:type="dxa"/>
        <w:tblLayout w:type="fixed"/>
        <w:tblCellMar>
          <w:left w:w="70" w:type="dxa"/>
          <w:right w:w="70" w:type="dxa"/>
        </w:tblCellMar>
        <w:tblLook w:val="0000" w:firstRow="0" w:lastRow="0" w:firstColumn="0" w:lastColumn="0" w:noHBand="0" w:noVBand="0"/>
      </w:tblPr>
      <w:tblGrid>
        <w:gridCol w:w="9803"/>
      </w:tblGrid>
      <w:tr w:rsidR="00E944EB" w:rsidRPr="00E944EB" w14:paraId="7207D3C4" w14:textId="77777777" w:rsidTr="00CF10ED">
        <w:tc>
          <w:tcPr>
            <w:tcW w:w="9803" w:type="dxa"/>
            <w:tcBorders>
              <w:top w:val="single" w:sz="4" w:space="0" w:color="000000"/>
              <w:left w:val="single" w:sz="4" w:space="0" w:color="000000"/>
              <w:bottom w:val="single" w:sz="4" w:space="0" w:color="000000"/>
              <w:right w:val="single" w:sz="4" w:space="0" w:color="000000"/>
            </w:tcBorders>
          </w:tcPr>
          <w:p w14:paraId="1EA9C56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LA RESPONSABILITA' DELLA PUBBLICA AMMINISTRAZIONE</w:t>
            </w:r>
          </w:p>
        </w:tc>
      </w:tr>
    </w:tbl>
    <w:p w14:paraId="3153F8F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7D840C99" w14:textId="77777777" w:rsidR="00E944EB" w:rsidRPr="00E944EB" w:rsidRDefault="00E944EB" w:rsidP="00E944EB">
      <w:pPr>
        <w:widowControl w:val="0"/>
        <w:numPr>
          <w:ilvl w:val="0"/>
          <w:numId w:val="13"/>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P.A. nell'esercizio delle sue funzioni e nella realizzazione dei suoi compiti entra quotidianamente in rapporto con soggetti terzi, nei confronti dei quali è facile che essa assuma degli obblighi.</w:t>
      </w:r>
    </w:p>
    <w:p w14:paraId="4DE4521A" w14:textId="77777777" w:rsidR="00E944EB" w:rsidRPr="00E944EB" w:rsidRDefault="00E944EB" w:rsidP="00E944EB">
      <w:pPr>
        <w:widowControl w:val="0"/>
        <w:numPr>
          <w:ilvl w:val="0"/>
          <w:numId w:val="13"/>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Questi obblighi si suddividono </w:t>
      </w:r>
      <w:proofErr w:type="gramStart"/>
      <w:r w:rsidRPr="00E944EB">
        <w:rPr>
          <w:rFonts w:ascii="Arial" w:hAnsi="Arial" w:cs="Arial"/>
          <w:sz w:val="20"/>
          <w:szCs w:val="20"/>
        </w:rPr>
        <w:t>in :</w:t>
      </w:r>
      <w:proofErr w:type="gramEnd"/>
    </w:p>
    <w:p w14:paraId="4B2E877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r>
      <w:r w:rsidRPr="00E944EB">
        <w:rPr>
          <w:rFonts w:ascii="Arial" w:hAnsi="Arial" w:cs="Arial"/>
          <w:b/>
          <w:bCs/>
          <w:sz w:val="20"/>
          <w:szCs w:val="20"/>
        </w:rPr>
        <w:t>obblighi sopportare</w:t>
      </w:r>
      <w:r w:rsidRPr="00E944EB">
        <w:rPr>
          <w:rFonts w:ascii="Arial" w:hAnsi="Arial" w:cs="Arial"/>
          <w:sz w:val="20"/>
          <w:szCs w:val="20"/>
        </w:rPr>
        <w:t xml:space="preserve"> (</w:t>
      </w:r>
      <w:proofErr w:type="spellStart"/>
      <w:r w:rsidRPr="00E944EB">
        <w:rPr>
          <w:rFonts w:ascii="Arial" w:hAnsi="Arial" w:cs="Arial"/>
          <w:sz w:val="20"/>
          <w:szCs w:val="20"/>
        </w:rPr>
        <w:t>pati</w:t>
      </w:r>
      <w:proofErr w:type="spellEnd"/>
      <w:r w:rsidRPr="00E944EB">
        <w:rPr>
          <w:rFonts w:ascii="Arial" w:hAnsi="Arial" w:cs="Arial"/>
          <w:sz w:val="20"/>
          <w:szCs w:val="20"/>
        </w:rPr>
        <w:t>) che consistono nell'obbligo di tollerare il soddisfacimento di terzi nell'uso di beni pubblici, solo nei casi e nei modi previsti dalla legge.</w:t>
      </w:r>
    </w:p>
    <w:p w14:paraId="53108A4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3C964ED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r>
      <w:r w:rsidRPr="00E944EB">
        <w:rPr>
          <w:rFonts w:ascii="Arial" w:hAnsi="Arial" w:cs="Arial"/>
          <w:b/>
          <w:bCs/>
          <w:sz w:val="20"/>
          <w:szCs w:val="20"/>
        </w:rPr>
        <w:t>obblighi di non fare</w:t>
      </w:r>
      <w:r w:rsidRPr="00E944EB">
        <w:rPr>
          <w:rFonts w:ascii="Arial" w:hAnsi="Arial" w:cs="Arial"/>
          <w:sz w:val="20"/>
          <w:szCs w:val="20"/>
        </w:rPr>
        <w:t xml:space="preserve">: la P.A. pertanto deve astenersi da compiere determinati atti o attività </w:t>
      </w:r>
      <w:proofErr w:type="spellStart"/>
      <w:r w:rsidRPr="00E944EB">
        <w:rPr>
          <w:rFonts w:ascii="Arial" w:hAnsi="Arial" w:cs="Arial"/>
          <w:sz w:val="20"/>
          <w:szCs w:val="20"/>
        </w:rPr>
        <w:t>perchè</w:t>
      </w:r>
      <w:proofErr w:type="spellEnd"/>
      <w:r w:rsidRPr="00E944EB">
        <w:rPr>
          <w:rFonts w:ascii="Arial" w:hAnsi="Arial" w:cs="Arial"/>
          <w:sz w:val="20"/>
          <w:szCs w:val="20"/>
        </w:rPr>
        <w:t xml:space="preserve"> questi sono vietati dalla legge o da un eventuale contratto stipulato con terzi. dalla violazione del principio fondamentale del </w:t>
      </w:r>
      <w:proofErr w:type="spellStart"/>
      <w:r w:rsidRPr="00E944EB">
        <w:rPr>
          <w:rFonts w:ascii="Arial" w:hAnsi="Arial" w:cs="Arial"/>
          <w:sz w:val="20"/>
          <w:szCs w:val="20"/>
        </w:rPr>
        <w:t>neminem</w:t>
      </w:r>
      <w:proofErr w:type="spellEnd"/>
      <w:r w:rsidRPr="00E944EB">
        <w:rPr>
          <w:rFonts w:ascii="Arial" w:hAnsi="Arial" w:cs="Arial"/>
          <w:sz w:val="20"/>
          <w:szCs w:val="20"/>
        </w:rPr>
        <w:t xml:space="preserve"> </w:t>
      </w:r>
      <w:proofErr w:type="spellStart"/>
      <w:r w:rsidRPr="00E944EB">
        <w:rPr>
          <w:rFonts w:ascii="Arial" w:hAnsi="Arial" w:cs="Arial"/>
          <w:sz w:val="20"/>
          <w:szCs w:val="20"/>
        </w:rPr>
        <w:t>laedere</w:t>
      </w:r>
      <w:proofErr w:type="spellEnd"/>
      <w:r w:rsidRPr="00E944EB">
        <w:rPr>
          <w:rFonts w:ascii="Arial" w:hAnsi="Arial" w:cs="Arial"/>
          <w:sz w:val="20"/>
          <w:szCs w:val="20"/>
        </w:rPr>
        <w:t xml:space="preserve"> sorge la responsabilità extracontrattuale della PA</w:t>
      </w:r>
    </w:p>
    <w:p w14:paraId="6D5A6D2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11A917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lastRenderedPageBreak/>
        <w:t>·</w:t>
      </w:r>
      <w:r w:rsidRPr="00E944EB">
        <w:rPr>
          <w:rFonts w:ascii="Arial" w:hAnsi="Arial" w:cs="Arial"/>
          <w:sz w:val="20"/>
          <w:szCs w:val="20"/>
        </w:rPr>
        <w:tab/>
      </w:r>
      <w:r w:rsidRPr="00E944EB">
        <w:rPr>
          <w:rFonts w:ascii="Arial" w:hAnsi="Arial" w:cs="Arial"/>
          <w:b/>
          <w:bCs/>
          <w:sz w:val="20"/>
          <w:szCs w:val="20"/>
        </w:rPr>
        <w:t xml:space="preserve">obblighi di </w:t>
      </w:r>
      <w:proofErr w:type="gramStart"/>
      <w:r w:rsidRPr="00E944EB">
        <w:rPr>
          <w:rFonts w:ascii="Arial" w:hAnsi="Arial" w:cs="Arial"/>
          <w:b/>
          <w:bCs/>
          <w:sz w:val="20"/>
          <w:szCs w:val="20"/>
        </w:rPr>
        <w:t>fare</w:t>
      </w:r>
      <w:r w:rsidRPr="00E944EB">
        <w:rPr>
          <w:rFonts w:ascii="Arial" w:hAnsi="Arial" w:cs="Arial"/>
          <w:sz w:val="20"/>
          <w:szCs w:val="20"/>
        </w:rPr>
        <w:t xml:space="preserve"> :la</w:t>
      </w:r>
      <w:proofErr w:type="gramEnd"/>
      <w:r w:rsidRPr="00E944EB">
        <w:rPr>
          <w:rFonts w:ascii="Arial" w:hAnsi="Arial" w:cs="Arial"/>
          <w:sz w:val="20"/>
          <w:szCs w:val="20"/>
        </w:rPr>
        <w:t xml:space="preserve"> PA deve in questa situazione attivarsi, cioè deve fare qualcosa. Un esempio lampante è dato dal rilascio di un determinato atto richiesto da terzi, oppure fornire un servizio richiesto.</w:t>
      </w:r>
    </w:p>
    <w:p w14:paraId="334A63E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7E79C8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r>
      <w:r w:rsidRPr="00E944EB">
        <w:rPr>
          <w:rFonts w:ascii="Arial" w:hAnsi="Arial" w:cs="Arial"/>
          <w:b/>
          <w:bCs/>
          <w:sz w:val="20"/>
          <w:szCs w:val="20"/>
        </w:rPr>
        <w:t>obblighi di dare</w:t>
      </w:r>
      <w:r w:rsidRPr="00E944EB">
        <w:rPr>
          <w:rFonts w:ascii="Arial" w:hAnsi="Arial" w:cs="Arial"/>
          <w:sz w:val="20"/>
          <w:szCs w:val="20"/>
        </w:rPr>
        <w:t>: consistono nell'obbligo di prestare una cosa determinata: ad esempio pagare una somma di denaro quale può essere lo stipendio percepito mensilmente ai propri dipendenti</w:t>
      </w:r>
    </w:p>
    <w:p w14:paraId="1B6D2B2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61C7864" w14:textId="77777777" w:rsidR="00E944EB" w:rsidRPr="00E944EB" w:rsidRDefault="00E944EB" w:rsidP="00E944EB">
      <w:pPr>
        <w:widowControl w:val="0"/>
        <w:numPr>
          <w:ilvl w:val="0"/>
          <w:numId w:val="1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Tutti questi obblighi appena definiti sono chiamati primari, mentre gli obblighi secondari sorgo in corrispondenza di una violazione dei primi e danno origine a quella che comunemente viene definita responsabilità della PA.</w:t>
      </w:r>
    </w:p>
    <w:p w14:paraId="4D436147" w14:textId="77777777" w:rsidR="00E944EB" w:rsidRPr="00E944EB" w:rsidRDefault="00E944EB" w:rsidP="00E944EB">
      <w:pPr>
        <w:widowControl w:val="0"/>
        <w:numPr>
          <w:ilvl w:val="0"/>
          <w:numId w:val="14"/>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responsabilità giuridica può essere sia civile, che penale o amministrativa:</w:t>
      </w:r>
    </w:p>
    <w:p w14:paraId="2CF7CF8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r>
      <w:r w:rsidRPr="00E944EB">
        <w:rPr>
          <w:rFonts w:ascii="Arial" w:hAnsi="Arial" w:cs="Arial"/>
          <w:b/>
          <w:bCs/>
          <w:sz w:val="20"/>
          <w:szCs w:val="20"/>
        </w:rPr>
        <w:t>r. civile</w:t>
      </w:r>
      <w:r w:rsidRPr="00E944EB">
        <w:rPr>
          <w:rFonts w:ascii="Arial" w:hAnsi="Arial" w:cs="Arial"/>
          <w:sz w:val="20"/>
          <w:szCs w:val="20"/>
        </w:rPr>
        <w:t>.... riguarda il risarcimento del danno provocato dal comportamento di un determinato soggetto ed è sempre riconvertibile in una prestazione di denaro.</w:t>
      </w:r>
    </w:p>
    <w:p w14:paraId="39E1A67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r>
      <w:r w:rsidRPr="00E944EB">
        <w:rPr>
          <w:rFonts w:ascii="Arial" w:hAnsi="Arial" w:cs="Arial"/>
          <w:b/>
          <w:bCs/>
          <w:sz w:val="20"/>
          <w:szCs w:val="20"/>
        </w:rPr>
        <w:t>r. penale</w:t>
      </w:r>
      <w:r w:rsidRPr="00E944EB">
        <w:rPr>
          <w:rFonts w:ascii="Arial" w:hAnsi="Arial" w:cs="Arial"/>
          <w:sz w:val="20"/>
          <w:szCs w:val="20"/>
        </w:rPr>
        <w:t xml:space="preserve"> riguarda invece il comportamento di singoli soggetti i quali ledono particolari </w:t>
      </w:r>
      <w:proofErr w:type="gramStart"/>
      <w:r w:rsidRPr="00E944EB">
        <w:rPr>
          <w:rFonts w:ascii="Arial" w:hAnsi="Arial" w:cs="Arial"/>
          <w:sz w:val="20"/>
          <w:szCs w:val="20"/>
        </w:rPr>
        <w:t xml:space="preserve">interessi  </w:t>
      </w:r>
      <w:proofErr w:type="spellStart"/>
      <w:r w:rsidRPr="00E944EB">
        <w:rPr>
          <w:rFonts w:ascii="Arial" w:hAnsi="Arial" w:cs="Arial"/>
          <w:sz w:val="20"/>
          <w:szCs w:val="20"/>
        </w:rPr>
        <w:t>definit</w:t>
      </w:r>
      <w:proofErr w:type="spellEnd"/>
      <w:proofErr w:type="gramEnd"/>
      <w:r w:rsidRPr="00E944EB">
        <w:rPr>
          <w:rFonts w:ascii="Arial" w:hAnsi="Arial" w:cs="Arial"/>
          <w:sz w:val="20"/>
          <w:szCs w:val="20"/>
        </w:rPr>
        <w:t xml:space="preserve"> pubblici. in questo caso esiste una potestà punitiva dello Stato, rappresentante dell'interesse pubblico che si esterna mediante una pena.</w:t>
      </w:r>
    </w:p>
    <w:p w14:paraId="20BB1791" w14:textId="77777777" w:rsidR="00E944EB" w:rsidRPr="00E944EB" w:rsidRDefault="00E944EB" w:rsidP="00E944EB">
      <w:pPr>
        <w:widowControl w:val="0"/>
        <w:numPr>
          <w:ilvl w:val="0"/>
          <w:numId w:val="1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w:t>
      </w:r>
      <w:r w:rsidRPr="00E944EB">
        <w:rPr>
          <w:rFonts w:ascii="Arial" w:hAnsi="Arial" w:cs="Arial"/>
          <w:sz w:val="20"/>
          <w:szCs w:val="20"/>
        </w:rPr>
        <w:tab/>
      </w:r>
      <w:r w:rsidRPr="00E944EB">
        <w:rPr>
          <w:rFonts w:ascii="Arial" w:hAnsi="Arial" w:cs="Arial"/>
          <w:b/>
          <w:bCs/>
          <w:sz w:val="20"/>
          <w:szCs w:val="20"/>
        </w:rPr>
        <w:t>r. amministrativa</w:t>
      </w:r>
      <w:r w:rsidRPr="00E944EB">
        <w:rPr>
          <w:rFonts w:ascii="Arial" w:hAnsi="Arial" w:cs="Arial"/>
          <w:sz w:val="20"/>
          <w:szCs w:val="20"/>
        </w:rPr>
        <w:t xml:space="preserve"> deriva dalla violazione di doveri amministrativi, allorquando è prevista una sanzione amministrativa in merito.</w:t>
      </w:r>
    </w:p>
    <w:p w14:paraId="4483D95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Nel caso della Pubblica Amministrazione si parla soltanto di responsabilità civile e </w:t>
      </w:r>
      <w:proofErr w:type="gramStart"/>
      <w:r w:rsidRPr="00E944EB">
        <w:rPr>
          <w:rFonts w:ascii="Arial" w:hAnsi="Arial" w:cs="Arial"/>
          <w:sz w:val="20"/>
          <w:szCs w:val="20"/>
        </w:rPr>
        <w:t>amministrativa ,</w:t>
      </w:r>
      <w:proofErr w:type="gramEnd"/>
      <w:r w:rsidRPr="00E944EB">
        <w:rPr>
          <w:rFonts w:ascii="Arial" w:hAnsi="Arial" w:cs="Arial"/>
          <w:sz w:val="20"/>
          <w:szCs w:val="20"/>
        </w:rPr>
        <w:t xml:space="preserve"> </w:t>
      </w:r>
      <w:proofErr w:type="spellStart"/>
      <w:r w:rsidRPr="00E944EB">
        <w:rPr>
          <w:rFonts w:ascii="Arial" w:hAnsi="Arial" w:cs="Arial"/>
          <w:sz w:val="20"/>
          <w:szCs w:val="20"/>
        </w:rPr>
        <w:t>perchè</w:t>
      </w:r>
      <w:proofErr w:type="spellEnd"/>
      <w:r w:rsidRPr="00E944EB">
        <w:rPr>
          <w:rFonts w:ascii="Arial" w:hAnsi="Arial" w:cs="Arial"/>
          <w:sz w:val="20"/>
          <w:szCs w:val="20"/>
        </w:rPr>
        <w:t xml:space="preserve"> quella penale è per legge personale, e quindi solo le persone fisiche ne sono investite.</w:t>
      </w:r>
    </w:p>
    <w:p w14:paraId="113592E9" w14:textId="77777777" w:rsidR="00E944EB" w:rsidRPr="00E944EB" w:rsidRDefault="00E944EB" w:rsidP="00E944EB">
      <w:pPr>
        <w:widowControl w:val="0"/>
        <w:numPr>
          <w:ilvl w:val="0"/>
          <w:numId w:val="1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In questo caso saranno responsabili eventualmente, laddove si riesca a dimostrarlo le singole persone preposte agli uffici od organi della PA.</w:t>
      </w:r>
    </w:p>
    <w:p w14:paraId="4F519FE1" w14:textId="77777777" w:rsidR="00E944EB" w:rsidRPr="00E944EB" w:rsidRDefault="00E944EB" w:rsidP="00E944EB">
      <w:pPr>
        <w:widowControl w:val="0"/>
        <w:numPr>
          <w:ilvl w:val="0"/>
          <w:numId w:val="15"/>
        </w:numPr>
        <w:autoSpaceDE w:val="0"/>
        <w:autoSpaceDN w:val="0"/>
        <w:adjustRightInd w:val="0"/>
        <w:spacing w:after="0" w:line="240" w:lineRule="auto"/>
        <w:rPr>
          <w:rFonts w:ascii="Arial" w:hAnsi="Arial" w:cs="Arial"/>
          <w:sz w:val="20"/>
          <w:szCs w:val="20"/>
        </w:rPr>
      </w:pPr>
    </w:p>
    <w:p w14:paraId="096F4D2A" w14:textId="77777777" w:rsidR="00E944EB" w:rsidRPr="00E944EB" w:rsidRDefault="00E944EB" w:rsidP="00E944EB">
      <w:pPr>
        <w:widowControl w:val="0"/>
        <w:numPr>
          <w:ilvl w:val="0"/>
          <w:numId w:val="1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responsabilità civile può essere a sua volta contrattuale o extracontrattuale a seconda della violazione effettuata. Nel primo caso qui viene violato un obbligo che deriva da un precedente rapporto obbligatorio, in quanto la PA non ha rispettato i principi generali previsti dal c.c. in particolare l'obbligo di correttezza e buona fede previsti dagli art. 1337 1338.</w:t>
      </w:r>
    </w:p>
    <w:p w14:paraId="0DEFF03E" w14:textId="77777777" w:rsidR="00E944EB" w:rsidRPr="00E944EB" w:rsidRDefault="00E944EB" w:rsidP="00E944EB">
      <w:pPr>
        <w:widowControl w:val="0"/>
        <w:numPr>
          <w:ilvl w:val="0"/>
          <w:numId w:val="1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Nel caso di responsabilità extracontrattuale si ha la violazione del principio del </w:t>
      </w:r>
      <w:proofErr w:type="spellStart"/>
      <w:r w:rsidRPr="00E944EB">
        <w:rPr>
          <w:rFonts w:ascii="Arial" w:hAnsi="Arial" w:cs="Arial"/>
          <w:sz w:val="20"/>
          <w:szCs w:val="20"/>
        </w:rPr>
        <w:t>neminem</w:t>
      </w:r>
      <w:proofErr w:type="spellEnd"/>
      <w:r w:rsidRPr="00E944EB">
        <w:rPr>
          <w:rFonts w:ascii="Arial" w:hAnsi="Arial" w:cs="Arial"/>
          <w:sz w:val="20"/>
          <w:szCs w:val="20"/>
        </w:rPr>
        <w:t xml:space="preserve"> </w:t>
      </w:r>
      <w:proofErr w:type="spellStart"/>
      <w:r w:rsidRPr="00E944EB">
        <w:rPr>
          <w:rFonts w:ascii="Arial" w:hAnsi="Arial" w:cs="Arial"/>
          <w:sz w:val="20"/>
          <w:szCs w:val="20"/>
        </w:rPr>
        <w:t>laedere</w:t>
      </w:r>
      <w:proofErr w:type="spellEnd"/>
      <w:r w:rsidRPr="00E944EB">
        <w:rPr>
          <w:rFonts w:ascii="Arial" w:hAnsi="Arial" w:cs="Arial"/>
          <w:sz w:val="20"/>
          <w:szCs w:val="20"/>
        </w:rPr>
        <w:t>, attraverso una condotta attiva o omissiva che trova il suo fondamento nell'art. 2043 del c.c.</w:t>
      </w:r>
    </w:p>
    <w:p w14:paraId="48E045E7" w14:textId="77777777" w:rsidR="00E944EB" w:rsidRPr="00E944EB" w:rsidRDefault="00E944EB" w:rsidP="00E944EB">
      <w:pPr>
        <w:widowControl w:val="0"/>
        <w:numPr>
          <w:ilvl w:val="0"/>
          <w:numId w:val="15"/>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Qui dal comportamento doloso o colposo può derivare una lesione di un diritto soggettivo o di un interesse legittimo e comunque deve sussistere un nesso di causalità tra fatto antigiuridico e evento dannoso verificatosi.</w:t>
      </w:r>
    </w:p>
    <w:p w14:paraId="5EE67E6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la dottrina, recentemente ha individuato un'ulteriore forma di responsabilità della pubblica amministrazione: la r. precontrattuale., che si configura nei contratti ad evidenza pubblica quando questa recede dalle trattative prima dell'aggiudicazione, si comporta scorrettamente nella fase di </w:t>
      </w:r>
      <w:proofErr w:type="spellStart"/>
      <w:proofErr w:type="gramStart"/>
      <w:r w:rsidRPr="00E944EB">
        <w:rPr>
          <w:rFonts w:ascii="Arial" w:hAnsi="Arial" w:cs="Arial"/>
          <w:sz w:val="20"/>
          <w:szCs w:val="20"/>
        </w:rPr>
        <w:t>approvazione,si</w:t>
      </w:r>
      <w:proofErr w:type="spellEnd"/>
      <w:proofErr w:type="gramEnd"/>
      <w:r w:rsidRPr="00E944EB">
        <w:rPr>
          <w:rFonts w:ascii="Arial" w:hAnsi="Arial" w:cs="Arial"/>
          <w:sz w:val="20"/>
          <w:szCs w:val="20"/>
        </w:rPr>
        <w:t xml:space="preserve"> rifiuta </w:t>
      </w:r>
      <w:proofErr w:type="spellStart"/>
      <w:r w:rsidRPr="00E944EB">
        <w:rPr>
          <w:rFonts w:ascii="Arial" w:hAnsi="Arial" w:cs="Arial"/>
          <w:sz w:val="20"/>
          <w:szCs w:val="20"/>
        </w:rPr>
        <w:t>illeggittimamente</w:t>
      </w:r>
      <w:proofErr w:type="spellEnd"/>
      <w:r w:rsidRPr="00E944EB">
        <w:rPr>
          <w:rFonts w:ascii="Arial" w:hAnsi="Arial" w:cs="Arial"/>
          <w:sz w:val="20"/>
          <w:szCs w:val="20"/>
        </w:rPr>
        <w:t xml:space="preserve"> di approvare il contratto o in modo illegittimo revoca la delibera a contrattare</w:t>
      </w:r>
    </w:p>
    <w:p w14:paraId="4B8C9DFF" w14:textId="77777777" w:rsidR="00E944EB" w:rsidRPr="00E944EB" w:rsidRDefault="00E944EB" w:rsidP="00E944EB">
      <w:pPr>
        <w:widowControl w:val="0"/>
        <w:numPr>
          <w:ilvl w:val="0"/>
          <w:numId w:val="16"/>
        </w:numPr>
        <w:autoSpaceDE w:val="0"/>
        <w:autoSpaceDN w:val="0"/>
        <w:adjustRightInd w:val="0"/>
        <w:spacing w:after="0" w:line="240" w:lineRule="auto"/>
        <w:rPr>
          <w:rFonts w:ascii="Arial" w:hAnsi="Arial" w:cs="Arial"/>
          <w:sz w:val="20"/>
          <w:szCs w:val="20"/>
        </w:rPr>
      </w:pPr>
    </w:p>
    <w:p w14:paraId="6C961248"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54483B68" w14:textId="77777777" w:rsidR="00E944EB" w:rsidRPr="00E944EB" w:rsidRDefault="00E944EB" w:rsidP="00E944EB">
      <w:pPr>
        <w:widowControl w:val="0"/>
        <w:numPr>
          <w:ilvl w:val="0"/>
          <w:numId w:val="16"/>
        </w:numPr>
        <w:autoSpaceDE w:val="0"/>
        <w:autoSpaceDN w:val="0"/>
        <w:adjustRightInd w:val="0"/>
        <w:spacing w:after="0" w:line="240" w:lineRule="auto"/>
        <w:rPr>
          <w:rFonts w:ascii="Arial" w:hAnsi="Arial" w:cs="Arial"/>
          <w:sz w:val="20"/>
          <w:szCs w:val="20"/>
        </w:rPr>
      </w:pPr>
      <w:r w:rsidRPr="00E944EB">
        <w:rPr>
          <w:rFonts w:ascii="Arial" w:hAnsi="Arial" w:cs="Arial"/>
          <w:sz w:val="20"/>
          <w:szCs w:val="20"/>
        </w:rPr>
        <w:t>RIFORMA BRUNETTA</w:t>
      </w:r>
    </w:p>
    <w:p w14:paraId="721BEA4E" w14:textId="77777777" w:rsidR="00E944EB" w:rsidRPr="00E944EB" w:rsidRDefault="00E944EB" w:rsidP="00E944EB">
      <w:pPr>
        <w:widowControl w:val="0"/>
        <w:numPr>
          <w:ilvl w:val="0"/>
          <w:numId w:val="16"/>
        </w:numPr>
        <w:autoSpaceDE w:val="0"/>
        <w:autoSpaceDN w:val="0"/>
        <w:adjustRightInd w:val="0"/>
        <w:spacing w:after="0" w:line="240" w:lineRule="auto"/>
        <w:rPr>
          <w:rFonts w:ascii="Arial" w:hAnsi="Arial" w:cs="Arial"/>
          <w:b/>
          <w:bCs/>
          <w:sz w:val="20"/>
          <w:szCs w:val="20"/>
        </w:rPr>
      </w:pPr>
      <w:r w:rsidRPr="00E944EB">
        <w:rPr>
          <w:rFonts w:ascii="Arial" w:hAnsi="Arial" w:cs="Arial"/>
          <w:sz w:val="20"/>
          <w:szCs w:val="20"/>
        </w:rPr>
        <w:t xml:space="preserve">L’entrata in vigore del </w:t>
      </w:r>
      <w:proofErr w:type="spellStart"/>
      <w:r w:rsidRPr="00E944EB">
        <w:rPr>
          <w:rFonts w:ascii="Arial" w:hAnsi="Arial" w:cs="Arial"/>
          <w:i/>
          <w:iCs/>
          <w:sz w:val="20"/>
          <w:szCs w:val="20"/>
        </w:rPr>
        <w:t>D.Lgs.</w:t>
      </w:r>
      <w:proofErr w:type="spellEnd"/>
      <w:r w:rsidRPr="00E944EB">
        <w:rPr>
          <w:rFonts w:ascii="Arial" w:hAnsi="Arial" w:cs="Arial"/>
          <w:i/>
          <w:iCs/>
          <w:sz w:val="20"/>
          <w:szCs w:val="20"/>
        </w:rPr>
        <w:t xml:space="preserve"> 27 ottobre 2009, n. 150</w:t>
      </w:r>
      <w:r w:rsidRPr="00E944EB">
        <w:rPr>
          <w:rFonts w:ascii="Arial" w:hAnsi="Arial" w:cs="Arial"/>
          <w:sz w:val="20"/>
          <w:szCs w:val="20"/>
        </w:rPr>
        <w:t>, recante «Attuazione della legge 4 marzo 2009, n. 15, in materia di ottimizzazione della produttività del lavoro pubblico e di efficienza e trasparenza delle pubbliche amministrazioni», rivoluziona, la disciplina del lavoro alle dipendenze delle amministrazioni pubbliche.</w:t>
      </w:r>
      <w:r w:rsidRPr="00E944EB">
        <w:rPr>
          <w:rFonts w:ascii="Arial" w:hAnsi="Arial" w:cs="Arial"/>
          <w:sz w:val="20"/>
          <w:szCs w:val="20"/>
        </w:rPr>
        <w:br/>
        <w:t xml:space="preserve">In particolare, le Amministrazioni pubbliche non </w:t>
      </w:r>
      <w:r w:rsidRPr="00E944EB">
        <w:rPr>
          <w:rFonts w:ascii="Arial" w:hAnsi="Arial" w:cs="Arial"/>
          <w:b/>
          <w:bCs/>
          <w:sz w:val="20"/>
          <w:szCs w:val="20"/>
        </w:rPr>
        <w:t>potranno erogare le retribuzioni di risultato nel caso in cui non abbiano provveduto all’adozione dei sistemi di valutazione</w:t>
      </w:r>
      <w:r w:rsidRPr="00E944EB">
        <w:rPr>
          <w:rFonts w:ascii="Arial" w:hAnsi="Arial" w:cs="Arial"/>
          <w:sz w:val="20"/>
          <w:szCs w:val="20"/>
        </w:rPr>
        <w:t xml:space="preserve">. Inoltre, sarà </w:t>
      </w:r>
      <w:r w:rsidRPr="00E944EB">
        <w:rPr>
          <w:rFonts w:ascii="Arial" w:hAnsi="Arial" w:cs="Arial"/>
          <w:b/>
          <w:bCs/>
          <w:sz w:val="20"/>
          <w:szCs w:val="20"/>
        </w:rPr>
        <w:t>favorita la mobilità nazionale (anche tra</w:t>
      </w:r>
    </w:p>
    <w:p w14:paraId="33F8B743"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comparti amministrativi diversi) e internazionale dei dirigenti.</w:t>
      </w:r>
    </w:p>
    <w:p w14:paraId="679B41C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La riforma del modello contrattuale</w:t>
      </w:r>
    </w:p>
    <w:p w14:paraId="4A386C1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prima novità, valida anche per i dipendenti del settore privato, è costituita dalla</w:t>
      </w:r>
    </w:p>
    <w:p w14:paraId="719718D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b/>
          <w:bCs/>
          <w:i/>
          <w:iCs/>
          <w:sz w:val="20"/>
          <w:szCs w:val="20"/>
        </w:rPr>
        <w:t>durata triennale degli accordi</w:t>
      </w:r>
      <w:r w:rsidRPr="00E944EB">
        <w:rPr>
          <w:rFonts w:ascii="Arial" w:hAnsi="Arial" w:cs="Arial"/>
          <w:sz w:val="20"/>
          <w:szCs w:val="20"/>
        </w:rPr>
        <w:t>, sia per la parte normativa che economica, con un ritorno in</w:t>
      </w:r>
    </w:p>
    <w:p w14:paraId="4CA1380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sostanza alla situazione preesistente al luglio del 1993. L’esigenza di aggiornare le retribuzioni</w:t>
      </w:r>
    </w:p>
    <w:p w14:paraId="5FEEBC9B"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ogni biennio </w:t>
      </w:r>
      <w:r w:rsidRPr="00E944EB">
        <w:rPr>
          <w:rFonts w:ascii="Cambria Math" w:hAnsi="Cambria Math" w:cs="Cambria Math"/>
          <w:sz w:val="20"/>
          <w:szCs w:val="20"/>
        </w:rPr>
        <w:t>‐</w:t>
      </w:r>
      <w:r w:rsidRPr="00E944EB">
        <w:rPr>
          <w:rFonts w:ascii="Arial" w:hAnsi="Arial" w:cs="Arial"/>
          <w:sz w:val="20"/>
          <w:szCs w:val="20"/>
        </w:rPr>
        <w:t xml:space="preserve"> avvertita in un’epoca ormai trascorsa caratterizzata da tassi di inflazione elevati</w:t>
      </w:r>
    </w:p>
    <w:p w14:paraId="64C6674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e variabili </w:t>
      </w:r>
      <w:r w:rsidRPr="00E944EB">
        <w:rPr>
          <w:rFonts w:ascii="Cambria Math" w:hAnsi="Cambria Math" w:cs="Cambria Math"/>
          <w:sz w:val="20"/>
          <w:szCs w:val="20"/>
        </w:rPr>
        <w:t>‐</w:t>
      </w:r>
      <w:r w:rsidRPr="00E944EB">
        <w:rPr>
          <w:rFonts w:ascii="Arial" w:hAnsi="Arial" w:cs="Arial"/>
          <w:sz w:val="20"/>
          <w:szCs w:val="20"/>
        </w:rPr>
        <w:t xml:space="preserve"> non appare più giustificata in presenza di tassi di inflazione, come quelli attuali,</w:t>
      </w:r>
    </w:p>
    <w:p w14:paraId="2A74773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molto più contenuti. La scelta di estendere la durata dei contratti su un triennio, nel mettere a</w:t>
      </w:r>
    </w:p>
    <w:p w14:paraId="510D645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disposizione dei rinnovi contrattuali un orizzonte temporale più lungo, potrebbe consentire nel</w:t>
      </w:r>
    </w:p>
    <w:p w14:paraId="09CE8F9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settore pubblico l’auspicato allineamento tra momento del rinnovo contrattuale e periodo di</w:t>
      </w:r>
    </w:p>
    <w:p w14:paraId="546803C6"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riferimento.</w:t>
      </w:r>
    </w:p>
    <w:p w14:paraId="3565B44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La prima applicazione del nuovo modello al settore del lavoro pubblico interesserà la</w:t>
      </w:r>
    </w:p>
    <w:p w14:paraId="19C29AA2"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tornata contrattuale 2010</w:t>
      </w:r>
      <w:r w:rsidRPr="00E944EB">
        <w:rPr>
          <w:rFonts w:ascii="Cambria Math" w:hAnsi="Cambria Math" w:cs="Cambria Math"/>
          <w:sz w:val="20"/>
          <w:szCs w:val="20"/>
        </w:rPr>
        <w:t>‐</w:t>
      </w:r>
      <w:r w:rsidRPr="00E944EB">
        <w:rPr>
          <w:rFonts w:ascii="Arial" w:hAnsi="Arial" w:cs="Arial"/>
          <w:sz w:val="20"/>
          <w:szCs w:val="20"/>
        </w:rPr>
        <w:t>2012 che sarà avviata con le nuove regole.</w:t>
      </w:r>
    </w:p>
    <w:p w14:paraId="59B2F637"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419C931E"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i/>
          <w:iCs/>
          <w:sz w:val="20"/>
          <w:szCs w:val="20"/>
        </w:rPr>
        <w:t>Responsabilità, infrazioni e sanzioni, procedure di conciliazione</w:t>
      </w:r>
      <w:r w:rsidRPr="00E944EB">
        <w:rPr>
          <w:rFonts w:ascii="Arial" w:hAnsi="Arial" w:cs="Arial"/>
          <w:b/>
          <w:bCs/>
          <w:sz w:val="20"/>
          <w:szCs w:val="20"/>
        </w:rPr>
        <w:t>.</w:t>
      </w:r>
    </w:p>
    <w:p w14:paraId="2EC4B865"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La tipologia delle infrazioni e delle relative sanzioni è</w:t>
      </w:r>
    </w:p>
    <w:p w14:paraId="4BE2D40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definita dai contratti collettivi. La pubblicazione sul sito istituzionale dell’amministrazione del</w:t>
      </w:r>
    </w:p>
    <w:p w14:paraId="57EC17F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codice disciplinare, recante l’indicazione delle </w:t>
      </w:r>
      <w:proofErr w:type="gramStart"/>
      <w:r w:rsidRPr="00E944EB">
        <w:rPr>
          <w:rFonts w:ascii="Arial" w:hAnsi="Arial" w:cs="Arial"/>
          <w:b/>
          <w:bCs/>
          <w:i/>
          <w:iCs/>
          <w:sz w:val="20"/>
          <w:szCs w:val="20"/>
        </w:rPr>
        <w:t>predette</w:t>
      </w:r>
      <w:proofErr w:type="gramEnd"/>
      <w:r w:rsidRPr="00E944EB">
        <w:rPr>
          <w:rFonts w:ascii="Arial" w:hAnsi="Arial" w:cs="Arial"/>
          <w:b/>
          <w:bCs/>
          <w:i/>
          <w:iCs/>
          <w:sz w:val="20"/>
          <w:szCs w:val="20"/>
        </w:rPr>
        <w:t xml:space="preserve"> infrazioni e relative sanzioni, equivale a</w:t>
      </w:r>
    </w:p>
    <w:p w14:paraId="1760EE6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tutti gli effetti alla sua affissione all’ingresso della sede di lavoro.</w:t>
      </w:r>
    </w:p>
    <w:p w14:paraId="7CA770D5"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Per le infrazioni di </w:t>
      </w:r>
      <w:r w:rsidRPr="00E944EB">
        <w:rPr>
          <w:rFonts w:ascii="Arial" w:hAnsi="Arial" w:cs="Arial"/>
          <w:i/>
          <w:iCs/>
          <w:sz w:val="20"/>
          <w:szCs w:val="20"/>
        </w:rPr>
        <w:t>minore gravità</w:t>
      </w:r>
      <w:r w:rsidRPr="00E944EB">
        <w:rPr>
          <w:rFonts w:ascii="Arial" w:hAnsi="Arial" w:cs="Arial"/>
          <w:b/>
          <w:bCs/>
          <w:i/>
          <w:iCs/>
          <w:sz w:val="20"/>
          <w:szCs w:val="20"/>
        </w:rPr>
        <w:t>, per le quali è prevista l’irrogazione di sanzioni superiori al</w:t>
      </w:r>
    </w:p>
    <w:p w14:paraId="3EA0A62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rimprovero verbale ed inferiori alla sospensione dal servizio con privazione della retribuzione per</w:t>
      </w:r>
    </w:p>
    <w:p w14:paraId="3412C29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più di dieci </w:t>
      </w:r>
      <w:proofErr w:type="gramStart"/>
      <w:r w:rsidRPr="00E944EB">
        <w:rPr>
          <w:rFonts w:ascii="Arial" w:hAnsi="Arial" w:cs="Arial"/>
          <w:b/>
          <w:bCs/>
          <w:i/>
          <w:iCs/>
          <w:sz w:val="20"/>
          <w:szCs w:val="20"/>
        </w:rPr>
        <w:t>giorni,--</w:t>
      </w:r>
      <w:proofErr w:type="gramEnd"/>
      <w:r w:rsidRPr="00E944EB">
        <w:rPr>
          <w:rFonts w:ascii="Arial" w:hAnsi="Arial" w:cs="Arial"/>
          <w:b/>
          <w:bCs/>
          <w:i/>
          <w:iCs/>
          <w:sz w:val="20"/>
          <w:szCs w:val="20"/>
        </w:rPr>
        <w:t>&gt;senza indugio e comunque non oltre venti giorni contesta per iscritto l’addebito al dipendente medesimo e lo convoca per il</w:t>
      </w:r>
    </w:p>
    <w:p w14:paraId="4EBF087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contraddittorio a sua difesa, con l’eventuale assistenza di un procuratore ovvero di un</w:t>
      </w:r>
    </w:p>
    <w:p w14:paraId="11B3DA1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rappresentante dell’associazione sindacale cui il lavoratore aderisce o conferisce mandato, con</w:t>
      </w:r>
    </w:p>
    <w:p w14:paraId="3BC2E55F"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un preavviso di almeno dieci giorni. Entro il termine fissato, il dipendente convocato, se non</w:t>
      </w:r>
    </w:p>
    <w:p w14:paraId="3EE643C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intende presentarsi, può inviare una memoria scritta o, in caso di grave ed oggettivo impedimento,</w:t>
      </w:r>
    </w:p>
    <w:p w14:paraId="22C21F9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formulare motivata istanza di rinvio del termine per l’esercizio della sua difesa. Dopo</w:t>
      </w:r>
    </w:p>
    <w:p w14:paraId="0C4229C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l’espletamento dell’eventuale ulteriore attività istruttoria, il responsabile della struttura conclude</w:t>
      </w:r>
    </w:p>
    <w:p w14:paraId="6149E6A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il procedimento, con l’atto di archiviazione o di irrogazione della sanzione, entro sessanta giorni</w:t>
      </w:r>
    </w:p>
    <w:p w14:paraId="6B21637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dalla contestazione dell’addebito. In caso di differimento superiore a dieci giorni del termine a</w:t>
      </w:r>
    </w:p>
    <w:p w14:paraId="7AF18FD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difesa, per impedimento del dipendente, il termine per la conclusione del procedimento è</w:t>
      </w:r>
    </w:p>
    <w:p w14:paraId="202718C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prorogato in misura corrispondente. Il differimento può essere disposto per una sola volta nel</w:t>
      </w:r>
    </w:p>
    <w:p w14:paraId="16EE214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corso del procedimento. </w:t>
      </w:r>
    </w:p>
    <w:p w14:paraId="4880316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Alle infrazioni per le quali è previsto il rimprovero verbale si applica la disciplina stabilita dal</w:t>
      </w:r>
    </w:p>
    <w:p w14:paraId="78F34F1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Contratto collettivo.</w:t>
      </w:r>
    </w:p>
    <w:p w14:paraId="292E4B6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700F4F4F"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Il responsabile della struttura, se non ha qualifica dirigenziale ovvero se la sanzione da</w:t>
      </w:r>
    </w:p>
    <w:p w14:paraId="16627FF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applicare è più grave del caso </w:t>
      </w:r>
      <w:proofErr w:type="spellStart"/>
      <w:r w:rsidRPr="00E944EB">
        <w:rPr>
          <w:rFonts w:ascii="Arial" w:hAnsi="Arial" w:cs="Arial"/>
          <w:b/>
          <w:bCs/>
          <w:i/>
          <w:iCs/>
          <w:sz w:val="20"/>
          <w:szCs w:val="20"/>
        </w:rPr>
        <w:t>precedebte</w:t>
      </w:r>
      <w:proofErr w:type="spellEnd"/>
      <w:r w:rsidRPr="00E944EB">
        <w:rPr>
          <w:rFonts w:ascii="Arial" w:hAnsi="Arial" w:cs="Arial"/>
          <w:b/>
          <w:bCs/>
          <w:i/>
          <w:iCs/>
          <w:sz w:val="20"/>
          <w:szCs w:val="20"/>
        </w:rPr>
        <w:t xml:space="preserve"> trasmette gli atti, entro cinque</w:t>
      </w:r>
    </w:p>
    <w:p w14:paraId="5BD2E5F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giorni dalla notizia del fatto, all’ufficio responsabilità </w:t>
      </w:r>
      <w:proofErr w:type="spellStart"/>
      <w:proofErr w:type="gramStart"/>
      <w:r w:rsidRPr="00E944EB">
        <w:rPr>
          <w:rFonts w:ascii="Arial" w:hAnsi="Arial" w:cs="Arial"/>
          <w:b/>
          <w:bCs/>
          <w:i/>
          <w:iCs/>
          <w:sz w:val="20"/>
          <w:szCs w:val="20"/>
        </w:rPr>
        <w:t>disciplinare,dandone</w:t>
      </w:r>
      <w:proofErr w:type="spellEnd"/>
      <w:proofErr w:type="gramEnd"/>
      <w:r w:rsidRPr="00E944EB">
        <w:rPr>
          <w:rFonts w:ascii="Arial" w:hAnsi="Arial" w:cs="Arial"/>
          <w:b/>
          <w:bCs/>
          <w:i/>
          <w:iCs/>
          <w:sz w:val="20"/>
          <w:szCs w:val="20"/>
        </w:rPr>
        <w:t xml:space="preserve"> contestuale</w:t>
      </w:r>
    </w:p>
    <w:p w14:paraId="44CC1A8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comunicazione all’interessato. Il predetto ufficio contesta l’addebito al dipendente, lo convoca per il contraddittorio a sua difesa, istruisce e conclude </w:t>
      </w:r>
      <w:proofErr w:type="spellStart"/>
      <w:r w:rsidRPr="00E944EB">
        <w:rPr>
          <w:rFonts w:ascii="Arial" w:hAnsi="Arial" w:cs="Arial"/>
          <w:b/>
          <w:bCs/>
          <w:i/>
          <w:iCs/>
          <w:sz w:val="20"/>
          <w:szCs w:val="20"/>
        </w:rPr>
        <w:t>ilprocedimento</w:t>
      </w:r>
      <w:proofErr w:type="spellEnd"/>
      <w:r w:rsidRPr="00E944EB">
        <w:rPr>
          <w:rFonts w:ascii="Arial" w:hAnsi="Arial" w:cs="Arial"/>
          <w:b/>
          <w:bCs/>
          <w:i/>
          <w:iCs/>
          <w:sz w:val="20"/>
          <w:szCs w:val="20"/>
        </w:rPr>
        <w:t xml:space="preserve"> </w:t>
      </w:r>
    </w:p>
    <w:p w14:paraId="65228DE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79AB919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 Il dipendente ha diritto di accesso agli atti istruttori del procedimento. Nel corso dell’istruttoria, il capo della struttura o l’ufficio per i procedimenti disciplinari possono acquisire da altre amministrazioni pubbliche informazioni o documenti rilevanti per la</w:t>
      </w:r>
    </w:p>
    <w:p w14:paraId="45FE300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definizione del procedimento. La predetta attività istruttoria non determina la sospensione del</w:t>
      </w:r>
    </w:p>
    <w:p w14:paraId="4385E12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procedimento né il differimento dei relativi termini.</w:t>
      </w:r>
    </w:p>
    <w:p w14:paraId="021B4FC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6CCFC75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Il lavoratore dipendente o il dirigente, appartenente alla stessa amministrazione pubblica</w:t>
      </w:r>
    </w:p>
    <w:p w14:paraId="7A1EB30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dell’incolpato o ad una diversa, che, essendo a conoscenza per ragioni di ufficio o di servizio di</w:t>
      </w:r>
    </w:p>
    <w:p w14:paraId="06C7692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informazioni rilevanti per un procedimento disciplinare in corso, rifiuta, senza giustificato</w:t>
      </w:r>
    </w:p>
    <w:p w14:paraId="2B1A44B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motivo, la collaborazione richiesta dall’autorità disciplinare procedente ovvero rende</w:t>
      </w:r>
    </w:p>
    <w:p w14:paraId="29CA7C1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dichiarazioni false o reticenti, è soggetto all’applicazione, da parte dell’amministrazione di</w:t>
      </w:r>
    </w:p>
    <w:p w14:paraId="5806676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appartenenza, della sanzione disciplinare della sospensione dal servizio con privazione della</w:t>
      </w:r>
    </w:p>
    <w:p w14:paraId="08B8A77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retribuzione, commisurata alla gravità dell’illecito contestato al dipendente, fino ad un massimo</w:t>
      </w:r>
    </w:p>
    <w:p w14:paraId="2EFE498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 quindici giorni.</w:t>
      </w:r>
    </w:p>
    <w:p w14:paraId="6C5818E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In caso di trasferimento del dipendente, a qualunque titolo, in un’altra amministrazione</w:t>
      </w:r>
    </w:p>
    <w:p w14:paraId="0ABF899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pubblica, il procedimento disciplinare è avviato o concluso o la sanzione è applicata presso</w:t>
      </w:r>
    </w:p>
    <w:p w14:paraId="710D561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quest’ultima. In tali casi i termini per la contestazione dell’addebito o per la conclusione del</w:t>
      </w:r>
    </w:p>
    <w:p w14:paraId="27ABB49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procedimento, se ancora pendenti, sono interrotti e riprendono a decorrere alla data del</w:t>
      </w:r>
    </w:p>
    <w:p w14:paraId="013B428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trasferimento.</w:t>
      </w:r>
    </w:p>
    <w:p w14:paraId="5974B1D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In caso di dimissioni del dipendente, se per l’infrazione commessa è prevista la sanzione del</w:t>
      </w:r>
    </w:p>
    <w:p w14:paraId="6CD7CC7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licenziamento o se comunque è stata disposta la sospensione cautelare dal servizio, il</w:t>
      </w:r>
    </w:p>
    <w:p w14:paraId="2DCCC9F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procedimento disciplinare ha egualmente corso </w:t>
      </w:r>
    </w:p>
    <w:p w14:paraId="246D4B5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0FEF57E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Il procedimento disciplinare, che abbia ad oggetto, in tutto o in parte, fatti in relazione ai quali</w:t>
      </w:r>
    </w:p>
    <w:p w14:paraId="6C0C7EA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procede l’autorità giudiziaria, è proseguito e concluso anche in pendenza del procedimento</w:t>
      </w:r>
    </w:p>
    <w:p w14:paraId="3663B3E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penale. Per le infrazioni di minore gravità</w:t>
      </w:r>
      <w:proofErr w:type="gramStart"/>
      <w:r w:rsidRPr="00E944EB">
        <w:rPr>
          <w:rFonts w:ascii="Arial" w:hAnsi="Arial" w:cs="Arial"/>
          <w:b/>
          <w:bCs/>
          <w:i/>
          <w:iCs/>
          <w:sz w:val="20"/>
          <w:szCs w:val="20"/>
        </w:rPr>
        <w:t>, ,</w:t>
      </w:r>
      <w:proofErr w:type="gramEnd"/>
      <w:r w:rsidRPr="00E944EB">
        <w:rPr>
          <w:rFonts w:ascii="Arial" w:hAnsi="Arial" w:cs="Arial"/>
          <w:b/>
          <w:bCs/>
          <w:i/>
          <w:iCs/>
          <w:sz w:val="20"/>
          <w:szCs w:val="20"/>
        </w:rPr>
        <w:t xml:space="preserve"> non è ammessa la sospensione del procedimento.</w:t>
      </w:r>
    </w:p>
    <w:p w14:paraId="29FA23E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Per le infrazioni di maggiore </w:t>
      </w:r>
      <w:proofErr w:type="gramStart"/>
      <w:r w:rsidRPr="00E944EB">
        <w:rPr>
          <w:rFonts w:ascii="Arial" w:hAnsi="Arial" w:cs="Arial"/>
          <w:b/>
          <w:bCs/>
          <w:i/>
          <w:iCs/>
          <w:sz w:val="20"/>
          <w:szCs w:val="20"/>
        </w:rPr>
        <w:t>gravità,  l’ufficio</w:t>
      </w:r>
      <w:proofErr w:type="gramEnd"/>
      <w:r w:rsidRPr="00E944EB">
        <w:rPr>
          <w:rFonts w:ascii="Arial" w:hAnsi="Arial" w:cs="Arial"/>
          <w:b/>
          <w:bCs/>
          <w:i/>
          <w:iCs/>
          <w:sz w:val="20"/>
          <w:szCs w:val="20"/>
        </w:rPr>
        <w:t xml:space="preserve"> competente, nei casi di particolare</w:t>
      </w:r>
    </w:p>
    <w:p w14:paraId="7C400D1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lastRenderedPageBreak/>
        <w:t>complessità dell’accertamento del fatto addebitato al dipendente e quando all’esito dell’istruttoria</w:t>
      </w:r>
    </w:p>
    <w:p w14:paraId="4043F43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non dispone di elementi sufficienti a motivare l’irrogazione della sanzione, può sospendere il</w:t>
      </w:r>
    </w:p>
    <w:p w14:paraId="09FCC45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procedimento disciplinare fino al termine di quello penale, salva la possibilità di adottare la</w:t>
      </w:r>
    </w:p>
    <w:p w14:paraId="4105EA3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sospensione o altri strumenti cautelari nei confronti del dipendente.</w:t>
      </w:r>
    </w:p>
    <w:p w14:paraId="1AF7364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 Se il procedimento disciplinare si conclude con l’archiviazione ed il processo penale con una</w:t>
      </w:r>
    </w:p>
    <w:p w14:paraId="18EAADD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sentenza irrevocabile di condanna, l’autorità competente riapre il procedimento disciplinare per</w:t>
      </w:r>
    </w:p>
    <w:p w14:paraId="7E1B0B35"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adeguare le determinazioni conclusive all’esito del giudizio penale</w:t>
      </w:r>
    </w:p>
    <w:p w14:paraId="6E89D9C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Licenziamento disciplinare</w:t>
      </w:r>
    </w:p>
    <w:p w14:paraId="3973915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 falsa attestazione della presenza in servizio, mediante l’alterazione dei sistemi di rilevamento</w:t>
      </w:r>
    </w:p>
    <w:p w14:paraId="219C64F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della presenza o con altre modalità fraudolente, ovvero giustificazione dell’assenza dal servizio</w:t>
      </w:r>
    </w:p>
    <w:p w14:paraId="07D9485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mediante una certificazione medica falsa o che attesta falsamente uno stato di malattia;</w:t>
      </w:r>
    </w:p>
    <w:p w14:paraId="35B8324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b) assenza priva di valida giustificazione per un numero di giorni, anche non continuativi,</w:t>
      </w:r>
    </w:p>
    <w:p w14:paraId="766E9CDF"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superiore a tre nell’arco di un biennio o comunque per più di sette giorni nel corso degli ultimi</w:t>
      </w:r>
    </w:p>
    <w:p w14:paraId="0C84FC3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dieci anni ovvero mancata ripresa del servizio, in caso di assenza ingiustificata, entro il termine</w:t>
      </w:r>
    </w:p>
    <w:p w14:paraId="64CD994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fissato dall’amministrazione;</w:t>
      </w:r>
    </w:p>
    <w:p w14:paraId="3E7E594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c) ingiustificato rifiuto del trasferimento disposto dall’amministrazione per motivate esigenze di</w:t>
      </w:r>
    </w:p>
    <w:p w14:paraId="1034489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servizio;</w:t>
      </w:r>
    </w:p>
    <w:p w14:paraId="40D0D6F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 falsità documentali o dichiarative commesse ai fini o in occasione dell’instaurazione del</w:t>
      </w:r>
    </w:p>
    <w:p w14:paraId="26D397F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rapporto di lavoro ovvero di progressioni di carriera;</w:t>
      </w:r>
    </w:p>
    <w:p w14:paraId="1E7A07E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e) reiterazione nell’ambiente di lavoro di gravi condotte aggressive o moleste o minacciose o</w:t>
      </w:r>
    </w:p>
    <w:p w14:paraId="4A8EA1C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ingiuriose o comunque lesive dell’onore e della dignità personale altrui;</w:t>
      </w:r>
    </w:p>
    <w:p w14:paraId="5CE04BB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f) condanna penale definitiva, in relazione alla quale è prevista l’interdizione perpetua dai</w:t>
      </w:r>
    </w:p>
    <w:p w14:paraId="23C5AD2F"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pubblici uffici ovvero l’estinzione, comunque denominata, del rapporto di lavoro.</w:t>
      </w:r>
    </w:p>
    <w:p w14:paraId="7191A7A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False attestazioni o certificazioni</w:t>
      </w:r>
    </w:p>
    <w:p w14:paraId="7BD9D21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Il lavoratore dipendente di una pubblica amministrazione che attesta falsamente la propria presenza in servizio, mediante l’alterazione dei</w:t>
      </w:r>
    </w:p>
    <w:p w14:paraId="6E5D9225"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sistemi di rilevamento della presenza o con altre modalità fraudolente, ovvero giustifica l’assenza</w:t>
      </w:r>
    </w:p>
    <w:p w14:paraId="16BC94E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dal servizio mediante una certificazione medica falsa o falsamente attestante uno stato di malattia</w:t>
      </w:r>
    </w:p>
    <w:p w14:paraId="5BA8EDF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è punito con la reclusione da uno a cinque anni e con la multa da euro 400 ad euro 1.600. La</w:t>
      </w:r>
    </w:p>
    <w:p w14:paraId="7ABE996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medesima pena si applica al medico e a chiunque altro concorre nella commissione del delitto.</w:t>
      </w:r>
    </w:p>
    <w:p w14:paraId="7D0F57AF"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 lavoratore, ferme la responsabilità penale e disciplinare e le</w:t>
      </w:r>
    </w:p>
    <w:p w14:paraId="50A3C3F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relative sanzioni, è obbligato a risarcire il danno patrimoniale, pari al compenso corrisposto a</w:t>
      </w:r>
    </w:p>
    <w:p w14:paraId="35A2C50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titolo di retribuzione nei periodi per i quali sia accertata la mancata prestazione, nonché il danno</w:t>
      </w:r>
    </w:p>
    <w:p w14:paraId="406CC07B"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all’immagine subiti dall’amministrazione.</w:t>
      </w:r>
    </w:p>
    <w:p w14:paraId="272117F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3BA0F3B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Responsabilità disciplinare per condotte pregiudizievoli per l’amministrazione e limitazione della</w:t>
      </w:r>
    </w:p>
    <w:p w14:paraId="28B2619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responsabilità per l’esercizio dell’azione disciplinare</w:t>
      </w:r>
    </w:p>
    <w:p w14:paraId="5E559FF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La condanna della pubblica amministrazione al risarcimento del danno derivante dalla</w:t>
      </w:r>
    </w:p>
    <w:p w14:paraId="15E77C1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violazione, da parte del lavoratore dipendente, degli obblighi concernenti la prestazione</w:t>
      </w:r>
    </w:p>
    <w:p w14:paraId="6C9117C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lavorativa, stabiliti da norme legislative o regolamentari, dal contratto collettivo o individuale, da</w:t>
      </w:r>
    </w:p>
    <w:p w14:paraId="154A5D2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atti e provvedimenti dell’amministrazione di appartenenza o dai codici di comportamento di cui</w:t>
      </w:r>
    </w:p>
    <w:p w14:paraId="60E460A1"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all’articolo 54, comporta l’applicazione nei suoi confronti, ove già non ricorrano i presupposti per</w:t>
      </w:r>
    </w:p>
    <w:p w14:paraId="345BFAE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l’applicazione di un’altra sanzione disciplinare, della sospensione dal servizio con privazione</w:t>
      </w:r>
    </w:p>
    <w:p w14:paraId="47B601EE"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della retribuzione da un minimo di tre giorni fino ad un massimo di tre mesi, in proporzione</w:t>
      </w:r>
    </w:p>
    <w:p w14:paraId="2C74EB4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all’entità del risarcimento.</w:t>
      </w:r>
    </w:p>
    <w:p w14:paraId="1C72677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2. Fuori dei casi previsti nel comma 1, il lavoratore, quando cagiona grave danno al normale</w:t>
      </w:r>
    </w:p>
    <w:p w14:paraId="6BF74EC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funzionamento dell’ufficio di appartenenza, per inefficienza o incompetenza professionale</w:t>
      </w:r>
    </w:p>
    <w:p w14:paraId="0996751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accertate dall’amministrazione ai sensi delle disposizioni legislative e contrattuali concernenti la</w:t>
      </w:r>
    </w:p>
    <w:p w14:paraId="6C161DB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valutazione del personale delle amministrazioni pubbliche, è collocato in disponibilità, all’esito</w:t>
      </w:r>
    </w:p>
    <w:p w14:paraId="277EB7B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del procedimento disciplinare che accerta tale responsabilità, e si applicano nei suoi confronti le</w:t>
      </w:r>
    </w:p>
    <w:p w14:paraId="435AD73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disposizioni di cui all’articolo 33, comma 8, e all’articolo 34, commi 1, 2, 3 e 4. Il provvedimento</w:t>
      </w:r>
    </w:p>
    <w:p w14:paraId="0EFE92B3"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che definisce il giudizio disciplinare stabilisce le mansioni e la qualifica per le quali può avvenire</w:t>
      </w:r>
    </w:p>
    <w:p w14:paraId="574EA85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l’eventuale ricollocamento. Durante il periodo nel quale è collocato in disponibilità, il lavoratore</w:t>
      </w:r>
    </w:p>
    <w:p w14:paraId="7F9C8D6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non ha diritto di percepire aumenti retributivi sopravvenuti.</w:t>
      </w:r>
    </w:p>
    <w:p w14:paraId="33E9C86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3. Il mancato esercizio o la decadenza dell’azione disciplinare, dovuti all’omissione o al ritardo,</w:t>
      </w:r>
    </w:p>
    <w:p w14:paraId="2AB976A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senza giustificato motivo, degli atti del procedimento disciplinare o a valutazioni</w:t>
      </w:r>
    </w:p>
    <w:p w14:paraId="280A963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sull’insussistenza dell’illecito disciplinare irragionevoli o manifestamente infondate, in relazione</w:t>
      </w:r>
    </w:p>
    <w:p w14:paraId="3931FE9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lastRenderedPageBreak/>
        <w:t>a condotte aventi oggettiva e palese rilevanza disciplinare, comporta, per i soggetti responsabili</w:t>
      </w:r>
    </w:p>
    <w:p w14:paraId="4DFFF62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aventi qualifica dirigenziale, l’applicazione della sanzione disciplinare della sospensione dal</w:t>
      </w:r>
    </w:p>
    <w:p w14:paraId="6F937BE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servizio con privazione della retribuzione in proporzione alla gravità dell’infrazione non</w:t>
      </w:r>
    </w:p>
    <w:p w14:paraId="0805342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perseguita, fino ad un massimo di tre mesi in relazione alle infrazioni sanzionabili con il</w:t>
      </w:r>
    </w:p>
    <w:p w14:paraId="4AAF3B2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licenziamento, ed altresì la mancata attribuzione della retribuzione di risultato per un importo</w:t>
      </w:r>
    </w:p>
    <w:p w14:paraId="3F7CFF5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pari a quello spettante per il doppio del periodo della durata della sospensione. Ai soggetti non</w:t>
      </w:r>
    </w:p>
    <w:p w14:paraId="395D7577"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aventi qualifica dirigenziale si applica la </w:t>
      </w:r>
      <w:proofErr w:type="gramStart"/>
      <w:r w:rsidRPr="00E944EB">
        <w:rPr>
          <w:rFonts w:ascii="Arial" w:hAnsi="Arial" w:cs="Arial"/>
          <w:b/>
          <w:bCs/>
          <w:i/>
          <w:iCs/>
          <w:sz w:val="20"/>
          <w:szCs w:val="20"/>
        </w:rPr>
        <w:t>predetta</w:t>
      </w:r>
      <w:proofErr w:type="gramEnd"/>
      <w:r w:rsidRPr="00E944EB">
        <w:rPr>
          <w:rFonts w:ascii="Arial" w:hAnsi="Arial" w:cs="Arial"/>
          <w:b/>
          <w:bCs/>
          <w:i/>
          <w:iCs/>
          <w:sz w:val="20"/>
          <w:szCs w:val="20"/>
        </w:rPr>
        <w:t xml:space="preserve"> sanzione della sospensione dal servizio con</w:t>
      </w:r>
    </w:p>
    <w:p w14:paraId="5170388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privazione della retribuzione, ove non diversamente stabilito dal contratto collettivo.</w:t>
      </w:r>
    </w:p>
    <w:p w14:paraId="5935C59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4. La responsabilità civile eventualmente configurabile a carico del dirigente in relazione a profili</w:t>
      </w:r>
    </w:p>
    <w:p w14:paraId="7EEA52A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 illiceità nelle determinazioni concernenti lo svolgimento del procedimento disciplinare è</w:t>
      </w:r>
    </w:p>
    <w:p w14:paraId="7E71A2D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limitata, in conformità ai principi generali, ai casi di dolo o colpa grave.</w:t>
      </w:r>
    </w:p>
    <w:p w14:paraId="6881DC2A"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p>
    <w:p w14:paraId="58E8160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Controlli sulle assenze</w:t>
      </w:r>
    </w:p>
    <w:p w14:paraId="5AA2753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 Nell'ipotesi di assenza per malattia protratta per un periodo superiore a dieci giorni, e, in ogni</w:t>
      </w:r>
    </w:p>
    <w:p w14:paraId="2577BB4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caso, dopo il secondo evento di malattia nell'anno solare l'assenza viene giustificata</w:t>
      </w:r>
    </w:p>
    <w:p w14:paraId="7D58C678"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esclusivamente mediante certificazione medica rilasciata da una struttura sanitaria pubblica o da</w:t>
      </w:r>
    </w:p>
    <w:p w14:paraId="51C2D97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un medico convenzionato con il servizio sanitario nazionale.</w:t>
      </w:r>
    </w:p>
    <w:p w14:paraId="3B1D650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In tutti i casi di assenza per malattia la certificazione medica è inviata per via telematica,</w:t>
      </w:r>
    </w:p>
    <w:p w14:paraId="71BA6DC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direttamente dal medico o dalla struttura sanitaria che la rilascia, all’Istituto nazionale della</w:t>
      </w:r>
    </w:p>
    <w:p w14:paraId="18114A4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previdenza sociale. L'Amministrazione dispone il controllo in ordine alla sussistenza della malattia del dipendente</w:t>
      </w:r>
    </w:p>
    <w:p w14:paraId="6A5B2C14"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anche nel caso di assenza di un solo giorno, tenuto conto delle esigenze funzionali e</w:t>
      </w:r>
    </w:p>
    <w:p w14:paraId="46B6F480"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organizzative. Le fasce orarie di reperibilità del lavoratore, entro le quali devono essere effettuate</w:t>
      </w:r>
    </w:p>
    <w:p w14:paraId="73CEA84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roofErr w:type="gramStart"/>
      <w:r w:rsidRPr="00E944EB">
        <w:rPr>
          <w:rFonts w:ascii="Arial" w:hAnsi="Arial" w:cs="Arial"/>
          <w:b/>
          <w:bCs/>
          <w:i/>
          <w:iCs/>
          <w:sz w:val="20"/>
          <w:szCs w:val="20"/>
        </w:rPr>
        <w:t>le visite mediche di controllo,</w:t>
      </w:r>
      <w:proofErr w:type="gramEnd"/>
      <w:r w:rsidRPr="00E944EB">
        <w:rPr>
          <w:rFonts w:ascii="Arial" w:hAnsi="Arial" w:cs="Arial"/>
          <w:b/>
          <w:bCs/>
          <w:i/>
          <w:iCs/>
          <w:sz w:val="20"/>
          <w:szCs w:val="20"/>
        </w:rPr>
        <w:t xml:space="preserve"> sono stabilite con decreto del Ministro per la pubblica</w:t>
      </w:r>
    </w:p>
    <w:p w14:paraId="5A1B1E4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amministrazione e innovazione</w:t>
      </w:r>
    </w:p>
    <w:p w14:paraId="5D64C21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7D76A65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Permanente inidoneità psicofisica</w:t>
      </w:r>
    </w:p>
    <w:p w14:paraId="4BD894C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Nel caso di accertata permanente inidoneità psicofisica al servizio dei dipendenti delle</w:t>
      </w:r>
    </w:p>
    <w:p w14:paraId="4ED148AD"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amministrazioni pubbliche, l’amministrazione può risolvere il</w:t>
      </w:r>
    </w:p>
    <w:p w14:paraId="4DDDE445"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xml:space="preserve">rapporto di lavoro. </w:t>
      </w:r>
    </w:p>
    <w:p w14:paraId="548B1996"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p>
    <w:p w14:paraId="77616642"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Identificazione del personale a contatto con il pubblico</w:t>
      </w:r>
    </w:p>
    <w:p w14:paraId="6E9CD8DA"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 I dipendenti delle amministrazioni pubbliche che svolgono attività a contatto con il pubblico sono</w:t>
      </w:r>
    </w:p>
    <w:p w14:paraId="12380C2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tenuti a rendere conoscibile il proprio nominativo mediante l’uso di cartellini identificativi o di</w:t>
      </w:r>
    </w:p>
    <w:p w14:paraId="0B37B9E5"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targhe da apporre presso la postazione di lavoro., escluso il personale individuato da ciascuna amministrazione</w:t>
      </w:r>
    </w:p>
    <w:p w14:paraId="73E34BB9"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sulla base di categorie determinate, in relazione ai compiti ad esse attribuiti, mediante uno o più</w:t>
      </w:r>
    </w:p>
    <w:p w14:paraId="71DCE79F"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decreti del Presidente del Consiglio dei ministri o del Ministro per la pubblica amministrazione e</w:t>
      </w:r>
    </w:p>
    <w:p w14:paraId="42AEC2DC" w14:textId="77777777" w:rsidR="00E944EB" w:rsidRPr="00E944EB" w:rsidRDefault="00E944EB" w:rsidP="00E944EB">
      <w:pPr>
        <w:widowControl w:val="0"/>
        <w:autoSpaceDE w:val="0"/>
        <w:autoSpaceDN w:val="0"/>
        <w:adjustRightInd w:val="0"/>
        <w:spacing w:after="0" w:line="240" w:lineRule="auto"/>
        <w:rPr>
          <w:rFonts w:ascii="Arial" w:hAnsi="Arial" w:cs="Arial"/>
          <w:b/>
          <w:bCs/>
          <w:i/>
          <w:iCs/>
          <w:sz w:val="20"/>
          <w:szCs w:val="20"/>
        </w:rPr>
      </w:pPr>
      <w:r w:rsidRPr="00E944EB">
        <w:rPr>
          <w:rFonts w:ascii="Arial" w:hAnsi="Arial" w:cs="Arial"/>
          <w:b/>
          <w:bCs/>
          <w:i/>
          <w:iCs/>
          <w:sz w:val="20"/>
          <w:szCs w:val="20"/>
        </w:rPr>
        <w:t>l'innovazione, su proposta del Ministro competente</w:t>
      </w:r>
    </w:p>
    <w:p w14:paraId="457654C1" w14:textId="77777777" w:rsidR="00E944EB" w:rsidRPr="00E944EB" w:rsidRDefault="00E944EB" w:rsidP="00E944EB">
      <w:pPr>
        <w:widowControl w:val="0"/>
        <w:autoSpaceDE w:val="0"/>
        <w:autoSpaceDN w:val="0"/>
        <w:adjustRightInd w:val="0"/>
        <w:spacing w:after="0" w:line="240" w:lineRule="auto"/>
        <w:rPr>
          <w:rFonts w:ascii="Arial" w:hAnsi="Arial" w:cs="Arial"/>
          <w:b/>
          <w:bCs/>
          <w:sz w:val="20"/>
          <w:szCs w:val="20"/>
        </w:rPr>
      </w:pPr>
      <w:r w:rsidRPr="00E944EB">
        <w:rPr>
          <w:rFonts w:ascii="Arial" w:hAnsi="Arial" w:cs="Arial"/>
          <w:b/>
          <w:bCs/>
          <w:sz w:val="20"/>
          <w:szCs w:val="20"/>
        </w:rPr>
        <w:t>Pari opportunità.</w:t>
      </w:r>
    </w:p>
    <w:p w14:paraId="679E39F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 xml:space="preserve"> Le pubbliche amministrazioni, al fine di garantire pari opportunità tra uomini e donne per l'accesso</w:t>
      </w:r>
    </w:p>
    <w:p w14:paraId="3C23A2D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al lavoro ed il trattamento sul lavoro:</w:t>
      </w:r>
    </w:p>
    <w:p w14:paraId="3E2BA6B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a) riservano alle donne, salva motivata impossibilità, almeno un terzo dei posti di componente delle</w:t>
      </w:r>
    </w:p>
    <w:p w14:paraId="2BA8922E"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commissioni di concorso, fermo restando il principio di cui all'articolo 35, comma 3, lettera e);</w:t>
      </w:r>
    </w:p>
    <w:p w14:paraId="7CFCA94D"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b) adottano propri atti regolamentari per assicurare pari opportunità fra uomini e donne sul lavoro,</w:t>
      </w:r>
    </w:p>
    <w:p w14:paraId="03F7F0D4"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conformemente alle direttive impartite dalla Presidenza del Consiglio dei ministri – Dipartimento della</w:t>
      </w:r>
    </w:p>
    <w:p w14:paraId="59DEA03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funzione pubblica;</w:t>
      </w:r>
    </w:p>
    <w:p w14:paraId="4CB689AC"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 garantiscono la partecipazione delle proprie dipendenti ai corsi di formazione e di aggiornamento</w:t>
      </w:r>
    </w:p>
    <w:p w14:paraId="11CC5DD5"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professionale in rapporto proporzionale alla loro presenza nelle amministrazioni interessate ai corsi</w:t>
      </w:r>
    </w:p>
    <w:p w14:paraId="68387FC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medesimi, adottando modalità organizzative atte a favorirne la partecipazione, consentendo la</w:t>
      </w:r>
    </w:p>
    <w:p w14:paraId="5A8A04F9"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conciliazione fra vita professionale e vita familiare;</w:t>
      </w:r>
    </w:p>
    <w:p w14:paraId="7BEDB9F1"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d) possono finanziare programmi di azioni positive e l'attività dei Comitati pari opportunità nell'ambito</w:t>
      </w:r>
    </w:p>
    <w:p w14:paraId="6A034B8F" w14:textId="77777777" w:rsidR="00E944EB" w:rsidRPr="00E944EB" w:rsidRDefault="00E944EB" w:rsidP="00E944EB">
      <w:pPr>
        <w:widowControl w:val="0"/>
        <w:autoSpaceDE w:val="0"/>
        <w:autoSpaceDN w:val="0"/>
        <w:adjustRightInd w:val="0"/>
        <w:spacing w:after="0" w:line="240" w:lineRule="auto"/>
        <w:rPr>
          <w:rFonts w:ascii="Arial" w:hAnsi="Arial" w:cs="Arial"/>
          <w:sz w:val="20"/>
          <w:szCs w:val="20"/>
        </w:rPr>
      </w:pPr>
      <w:r w:rsidRPr="00E944EB">
        <w:rPr>
          <w:rFonts w:ascii="Arial" w:hAnsi="Arial" w:cs="Arial"/>
          <w:sz w:val="20"/>
          <w:szCs w:val="20"/>
        </w:rPr>
        <w:t>delle proprie disponibilità di bilancio.</w:t>
      </w:r>
    </w:p>
    <w:p w14:paraId="1B769447" w14:textId="77777777" w:rsidR="00E944EB" w:rsidRDefault="00E944EB" w:rsidP="00E944EB">
      <w:pPr>
        <w:widowControl w:val="0"/>
        <w:autoSpaceDE w:val="0"/>
        <w:autoSpaceDN w:val="0"/>
        <w:adjustRightInd w:val="0"/>
        <w:spacing w:after="0" w:line="240" w:lineRule="auto"/>
        <w:rPr>
          <w:rFonts w:ascii="Arial" w:hAnsi="Arial" w:cs="Arial"/>
          <w:sz w:val="20"/>
          <w:szCs w:val="20"/>
        </w:rPr>
      </w:pPr>
    </w:p>
    <w:p w14:paraId="044D5DB8"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RESPONSABILITA’ DISCIPLINARI</w:t>
      </w:r>
    </w:p>
    <w:p w14:paraId="27112187"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p>
    <w:p w14:paraId="57400F09"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le infrazioni di minore gravità che, come è stato sino ad oggi comportano le sanzioni:</w:t>
      </w:r>
    </w:p>
    <w:p w14:paraId="4F8DA1B0"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lastRenderedPageBreak/>
        <w:t>del rimprovero verbale e scritto</w:t>
      </w:r>
    </w:p>
    <w:p w14:paraId="0780B97A"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nella multa fino a quattro ore di retribuzione</w:t>
      </w:r>
    </w:p>
    <w:p w14:paraId="70583D4E"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nella sospensione fino a dieci giorni</w:t>
      </w:r>
    </w:p>
    <w:p w14:paraId="0434DE30"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sospensione dal servizio con privazione della retribuzione per non più dieci giorni.</w:t>
      </w:r>
    </w:p>
    <w:p w14:paraId="7B3C8CDC"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Per l’irrogazione </w:t>
      </w:r>
      <w:proofErr w:type="gramStart"/>
      <w:r w:rsidRPr="00563F08">
        <w:rPr>
          <w:rFonts w:ascii="Arial" w:hAnsi="Arial" w:cs="Arial"/>
          <w:sz w:val="20"/>
          <w:szCs w:val="20"/>
        </w:rPr>
        <w:t>della sanzioni</w:t>
      </w:r>
      <w:proofErr w:type="gramEnd"/>
      <w:r w:rsidRPr="00563F08">
        <w:rPr>
          <w:rFonts w:ascii="Arial" w:hAnsi="Arial" w:cs="Arial"/>
          <w:sz w:val="20"/>
          <w:szCs w:val="20"/>
        </w:rPr>
        <w:t xml:space="preserve"> del rimprovero verbale, recita il nuovo art. 55-bis del Testo unico del pubblico impiego come riformato dalla Madia, è competente il responsabile della struttura presso cui presta servizio il dipendente.</w:t>
      </w:r>
    </w:p>
    <w:p w14:paraId="5CF4C151"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Alle infrazioni per le quali è previsto il rimprovero verbale si applica la disciplina stabilita dal contratto collettivo.</w:t>
      </w:r>
    </w:p>
    <w:p w14:paraId="34A921C2"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Per le infrazioni punibili con una sanzione superiore al rimprovero verbale è invece competente l’ufficio per i procedimenti disciplinari individuato da ciascuna Amministrazione.</w:t>
      </w:r>
    </w:p>
    <w:p w14:paraId="5780E771"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Forme e termini del procedimento disciplinare</w:t>
      </w:r>
    </w:p>
    <w:p w14:paraId="073BBD56"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nuovo art 55-bis del Testo unico in merito alla responsabilità disciplinare nel pubblico impiego dispone che per le infrazioni meno gravi per le quali è prevista l’irrogazione di sanzioni superiori al rimprovero verbale.</w:t>
      </w:r>
    </w:p>
    <w:p w14:paraId="19DB3335"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responsabile della struttura presso cui presta servizio il dipendente, segnala immediatamente, e comunque entro dieci giorni, all’ufficio competente per i procedimenti disciplinari i fatti ritenuti di rilevanza disciplinare di cui abbia avuto conoscenza.</w:t>
      </w:r>
    </w:p>
    <w:p w14:paraId="09483D1E"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L’Ufficio competente con immediatezza e comunque non oltre trenta giorni decorrenti dal ricevimento della </w:t>
      </w:r>
      <w:proofErr w:type="gramStart"/>
      <w:r w:rsidRPr="00563F08">
        <w:rPr>
          <w:rFonts w:ascii="Arial" w:hAnsi="Arial" w:cs="Arial"/>
          <w:sz w:val="20"/>
          <w:szCs w:val="20"/>
        </w:rPr>
        <w:t>predetta</w:t>
      </w:r>
      <w:proofErr w:type="gramEnd"/>
      <w:r w:rsidRPr="00563F08">
        <w:rPr>
          <w:rFonts w:ascii="Arial" w:hAnsi="Arial" w:cs="Arial"/>
          <w:sz w:val="20"/>
          <w:szCs w:val="20"/>
        </w:rPr>
        <w:t xml:space="preserve"> segnalazione, provvede alla contestazione scritta dell’addebito e convoca l’interessato, con un preavviso di almeno venti giorni, per l’audizione.</w:t>
      </w:r>
    </w:p>
    <w:p w14:paraId="335D589A"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lavoratore può farsi assistere da un rappresentante sindacale o da un procuratore e può, in caso di grave e oggettivo impedimento chiedere il differimento dell’audizione.</w:t>
      </w:r>
    </w:p>
    <w:p w14:paraId="1F1CE856"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procedimento deve essere concluso nel termine di 120 giorni dalla contestazione dell’addebito con l’atto di archiviazione o di irrogazione della sanzione, dandone comunicazione anche all’Ispettorato per la funzione pubblica.</w:t>
      </w:r>
    </w:p>
    <w:p w14:paraId="3309DD4C"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nuovo comma 9 dell’art 55 bis dispone che La cessazione del rapporto di lavoro estingue il procedimento disciplinare salvo che per l’infrazione commessa sia prevista la sanzione del licenziamento o comunque sia stata disposta la sospensione cautelare dal servizio.</w:t>
      </w:r>
    </w:p>
    <w:p w14:paraId="1C7B6CFA"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In tal caso le determinazioni conclusive sono assunte ai fini degli effetti giuridici non preclusi dalla cessazione del rapporto di lavoro.</w:t>
      </w:r>
    </w:p>
    <w:p w14:paraId="4610676C"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Rapporti fra procedimento disciplinare e procedimento penale</w:t>
      </w:r>
    </w:p>
    <w:p w14:paraId="7E5C6156"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L’art 55 ter disciplina il rapporto tra procedimento disciplinare e procedimento </w:t>
      </w:r>
      <w:proofErr w:type="spellStart"/>
      <w:proofErr w:type="gramStart"/>
      <w:r w:rsidRPr="00563F08">
        <w:rPr>
          <w:rFonts w:ascii="Arial" w:hAnsi="Arial" w:cs="Arial"/>
          <w:sz w:val="20"/>
          <w:szCs w:val="20"/>
        </w:rPr>
        <w:t>penale.stabilendo</w:t>
      </w:r>
      <w:proofErr w:type="spellEnd"/>
      <w:proofErr w:type="gramEnd"/>
      <w:r w:rsidRPr="00563F08">
        <w:rPr>
          <w:rFonts w:ascii="Arial" w:hAnsi="Arial" w:cs="Arial"/>
          <w:sz w:val="20"/>
          <w:szCs w:val="20"/>
        </w:rPr>
        <w:t xml:space="preserve"> la prosecuzione e conclusione del primo anche in caso in cui il comportamento del dipendente integri una fattispecie penale.</w:t>
      </w:r>
    </w:p>
    <w:p w14:paraId="390F2EE8"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proofErr w:type="gramStart"/>
      <w:r w:rsidRPr="00563F08">
        <w:rPr>
          <w:rFonts w:ascii="Arial" w:hAnsi="Arial" w:cs="Arial"/>
          <w:sz w:val="20"/>
          <w:szCs w:val="20"/>
        </w:rPr>
        <w:t>Tuttavia</w:t>
      </w:r>
      <w:proofErr w:type="gramEnd"/>
      <w:r w:rsidRPr="00563F08">
        <w:rPr>
          <w:rFonts w:ascii="Arial" w:hAnsi="Arial" w:cs="Arial"/>
          <w:sz w:val="20"/>
          <w:szCs w:val="20"/>
        </w:rPr>
        <w:t xml:space="preserve"> la Madia ha previsto la possibilità di sospensione del procedimento disciplinare nel caso di particolare complessità dell’accertamento del fatto addebitato al dipendente e per il quale sono previste sanzioni superiori alla sospensione dal servizio con privazione della retribuzione fino a dieci giorni.</w:t>
      </w:r>
    </w:p>
    <w:p w14:paraId="16874E21"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procedimento disciplinare sospeso può essere riattivato “qualora l’amministrazione giunga in possesso di elementi sufficienti per concludere il procedimento, anche sulla base di un provvedimento giurisdizionale non definitivo.</w:t>
      </w:r>
    </w:p>
    <w:p w14:paraId="5FCD0547"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Resta in ogni caso salva la possibilità di adottare la sospensione o altri provvedimenti cautelari nei confronti del dipendente”.</w:t>
      </w:r>
    </w:p>
    <w:p w14:paraId="575064F6"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Se vi è assoluzione nel procedimento penale, </w:t>
      </w:r>
      <w:proofErr w:type="spellStart"/>
      <w:r w:rsidRPr="00563F08">
        <w:rPr>
          <w:rFonts w:ascii="Arial" w:hAnsi="Arial" w:cs="Arial"/>
          <w:sz w:val="20"/>
          <w:szCs w:val="20"/>
        </w:rPr>
        <w:t>perchè</w:t>
      </w:r>
      <w:proofErr w:type="spellEnd"/>
      <w:r w:rsidRPr="00563F08">
        <w:rPr>
          <w:rFonts w:ascii="Arial" w:hAnsi="Arial" w:cs="Arial"/>
          <w:sz w:val="20"/>
          <w:szCs w:val="20"/>
        </w:rPr>
        <w:t xml:space="preserve"> il fatto non sussiste o non costituisce illecito penale o </w:t>
      </w:r>
      <w:proofErr w:type="spellStart"/>
      <w:r w:rsidRPr="00563F08">
        <w:rPr>
          <w:rFonts w:ascii="Arial" w:hAnsi="Arial" w:cs="Arial"/>
          <w:sz w:val="20"/>
          <w:szCs w:val="20"/>
        </w:rPr>
        <w:t>perchè</w:t>
      </w:r>
      <w:proofErr w:type="spellEnd"/>
      <w:r w:rsidRPr="00563F08">
        <w:rPr>
          <w:rFonts w:ascii="Arial" w:hAnsi="Arial" w:cs="Arial"/>
          <w:sz w:val="20"/>
          <w:szCs w:val="20"/>
        </w:rPr>
        <w:t xml:space="preserve"> il dipendente non lo ha commesso,” l’ufficio competente per i procedimenti disciplinari, ad istanza di parte da proporsi entro sei mesi dall’irrevocabilità della pronuncia penale, riapre il procedimento disciplinare per modificarne o confermarne l’atto conclusivo in relazione all’esito del giudizio penale”.</w:t>
      </w:r>
    </w:p>
    <w:p w14:paraId="423E07FC"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 casi di licenziamento disciplinare nel pubblico impiego</w:t>
      </w:r>
    </w:p>
    <w:p w14:paraId="60C5277C"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L’art 55 quater (su cui più pesantemente è intervenuta la riforma Madia) prevede i casi di licenziamento disciplinare che sono 10 ipotesi. Alle già esistenti ipotesi di:</w:t>
      </w:r>
    </w:p>
    <w:p w14:paraId="0688B131"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assenze ingiustificate per più di tre giorni in un biennio o più di sette giorni in dieci anni;</w:t>
      </w:r>
    </w:p>
    <w:p w14:paraId="450262EB"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false timbrature;</w:t>
      </w:r>
    </w:p>
    <w:p w14:paraId="07999B1B"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ingiustificato rifiuto del trasferimento disposto dall’amministrazione per motivate esigenze di servizio;</w:t>
      </w:r>
    </w:p>
    <w:p w14:paraId="2AE00418"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false dichiarazioni per ottenere promozioni e posti;</w:t>
      </w:r>
    </w:p>
    <w:p w14:paraId="6F09E9C7"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reiterazione nell’ambiente di lavoro di gravi condotte aggressive o moleste o minacciose o ingiuriose o comunque lesive dell’onore e della dignità personale altrui;</w:t>
      </w:r>
    </w:p>
    <w:p w14:paraId="6A5A680F"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condanna penale con l’interdizione perpetua dai pubblici uffici</w:t>
      </w:r>
    </w:p>
    <w:p w14:paraId="2956EF87"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p>
    <w:p w14:paraId="072FCCFD"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Si affiancano nuove ipotesi di licenziamento disciplinare date da:</w:t>
      </w:r>
    </w:p>
    <w:p w14:paraId="4FD7A933"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gravi o reiterate violazioni dei codici di comportamento;</w:t>
      </w:r>
    </w:p>
    <w:p w14:paraId="1F82F893"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lastRenderedPageBreak/>
        <w:t>•</w:t>
      </w:r>
      <w:r w:rsidRPr="00563F08">
        <w:rPr>
          <w:rFonts w:ascii="Arial" w:hAnsi="Arial" w:cs="Arial"/>
          <w:sz w:val="20"/>
          <w:szCs w:val="20"/>
        </w:rPr>
        <w:tab/>
        <w:t>commissione dolosa, o gravemente colposa, per i dirigenti circa la mancata attivazione o definizione di procedimenti disciplinari;</w:t>
      </w:r>
    </w:p>
    <w:p w14:paraId="7E86DA38"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la reiterata violazione di obblighi concernenti la prestazione lavorativa, che abbia determinato l’applicazione, in sede disciplinare, della sospensione dal servizio per un periodo complessivo superiore a un anno nell’arco di un biennio;</w:t>
      </w:r>
    </w:p>
    <w:p w14:paraId="166E86BD"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insufficiente rendimento rilevato dalla reiterata valutazione negativa della performance del dipendente nell’arco dell’ultimo triennio.</w:t>
      </w:r>
    </w:p>
    <w:p w14:paraId="2933C5D2"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w:t>
      </w:r>
      <w:r w:rsidRPr="00563F08">
        <w:rPr>
          <w:rFonts w:ascii="Arial" w:hAnsi="Arial" w:cs="Arial"/>
          <w:sz w:val="20"/>
          <w:szCs w:val="20"/>
        </w:rPr>
        <w:tab/>
        <w:t>Falsa attestazione in servizio</w:t>
      </w:r>
    </w:p>
    <w:p w14:paraId="4238D5DE"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Il comma 3-bis e seguenti disciplina la procedura per il licenziamento disciplinare a seguito di falsa attestazione in </w:t>
      </w:r>
      <w:proofErr w:type="gramStart"/>
      <w:r w:rsidRPr="00563F08">
        <w:rPr>
          <w:rFonts w:ascii="Arial" w:hAnsi="Arial" w:cs="Arial"/>
          <w:sz w:val="20"/>
          <w:szCs w:val="20"/>
        </w:rPr>
        <w:t>servizio..</w:t>
      </w:r>
      <w:proofErr w:type="gramEnd"/>
    </w:p>
    <w:p w14:paraId="1971718E"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L’art 55-quinquies sempre sulla falsa attestazione in servizio prevede una fattispecie incriminatrice punita con la reclusione da uno a cinque anni e con la multa da euro 400 ad euro 1.600 per chi, attesta falsamente il servizio mediante alterazione di sistemi di rilevamento della presenza o per chi giustifica l’assenza dal servizio mediante una certificazione medica falsa o falsamente attestante uno stato di malattia.</w:t>
      </w:r>
    </w:p>
    <w:p w14:paraId="301E0823"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La stessa pena si applica al medico e a chiunque altro concorre nella commissione del delitto. In questi casi, inoltre, il lavoratore, è obbligato a risarcire il danno patrimoniale, pari al compenso corrisposto a titolo di retribuzione nei periodi per i quali sia accertata la mancata prestazione, nonché il danno d’immagine.</w:t>
      </w:r>
    </w:p>
    <w:p w14:paraId="0B2AFF5C"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proofErr w:type="gramStart"/>
      <w:r w:rsidRPr="00563F08">
        <w:rPr>
          <w:rFonts w:ascii="Arial" w:hAnsi="Arial" w:cs="Arial"/>
          <w:sz w:val="20"/>
          <w:szCs w:val="20"/>
        </w:rPr>
        <w:t>E’</w:t>
      </w:r>
      <w:proofErr w:type="gramEnd"/>
      <w:r w:rsidRPr="00563F08">
        <w:rPr>
          <w:rFonts w:ascii="Arial" w:hAnsi="Arial" w:cs="Arial"/>
          <w:sz w:val="20"/>
          <w:szCs w:val="20"/>
        </w:rPr>
        <w:t xml:space="preserve"> infatti oggetto di sanzione disciplinare non solo il caso di alterazione/manomissione del sistema, ma tutti i casi in cui la timbratura, o altro sistema di registrazione della presenza in ufficio, miri a far risultare falsamente che il lavoratore è rimasto in ufficio durante l’intervallo temporale compreso tra le timbrature/registrazioni in entrata ed in uscita.</w:t>
      </w:r>
    </w:p>
    <w:p w14:paraId="0B931B55"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p>
    <w:p w14:paraId="258C341E"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p>
    <w:p w14:paraId="0EB82B22"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Nella fattispecie (Cass. n. 25750/2016), al lavoratore era stato contestato di avere tratto in inganno il datore di lavoro in ordine all’orario di servizio per essersi allontanato, con inganno, senza alcuna autorizzazione dall’ufficio, a fronte del sistema di rilevazione delle presenze a mezzo “badge” che attestava l’entrata e l’uscita dal lavoro, rispettivamente, alle ore 9,16 ed alle ore 15,46. Entrambe le pronunce di merito avevano escluso che una tale condotta potesse giustificarne il licenziamento, attenendosi al dato letterale dell’articolo 55 quater cit. </w:t>
      </w:r>
      <w:proofErr w:type="gramStart"/>
      <w:r w:rsidRPr="00563F08">
        <w:rPr>
          <w:rFonts w:ascii="Arial" w:hAnsi="Arial" w:cs="Arial"/>
          <w:sz w:val="20"/>
          <w:szCs w:val="20"/>
        </w:rPr>
        <w:t>ante riforma</w:t>
      </w:r>
      <w:proofErr w:type="gramEnd"/>
      <w:r w:rsidRPr="00563F08">
        <w:rPr>
          <w:rFonts w:ascii="Arial" w:hAnsi="Arial" w:cs="Arial"/>
          <w:sz w:val="20"/>
          <w:szCs w:val="20"/>
        </w:rPr>
        <w:t xml:space="preserve"> cd. Madia, la quale sanzionava il comportamento fraudolento volto ad alterare e/o manomettere i sistemi di rilevamento della presenza.</w:t>
      </w:r>
    </w:p>
    <w:p w14:paraId="4A5B6EB9"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In cassazione, però, il ricorrente sottolinea che ai sensi dell’art. 55 quater del D. Lgs. 165/2001, l’uso fraudolento delle apparecchiature atte a documentare la presenza sul luogo di lavoro e l’utilizzo alterato di queste ultime non si consuma solo nella commissione di condotte volte ad alterare fisicamente il sistema di rilevazione delle presenze ovvero nel far timbrare il cartellino da altri colleghi, ma anche nell’omessa registrazione dell’uscita dal luogo di lavoro e nella attestazione non veritiera sulla effettiva presenza sul luogo di lavoro.</w:t>
      </w:r>
    </w:p>
    <w:p w14:paraId="30B391F7"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Il motivo è stato considerato fondato, in quanto il citato articolo 55 quater c. 1 lett. a) del D. Lgs. n. 165/2001 sanziona con il licenziamento la falsa attestazione della presenza in servizio, mediante l’alterazione dei sistemi di rilevamento della presenza o con altre modalità fraudolente e la giustificazione dell’assenza dal servizio mediante una certificazione medica falsa o che attesta falsamente uno stato di malattia. La chiara formulazione della disposizione, nonché la sua “ratio” di contrastare i fenomeni di scarsa produttività e di assenteismo, inducono ad affermare che la registrazione effettuata attraverso l’utilizzo del sistema di rilevazione della presenza sul luogo di lavoro è corretta e non falsa solo se nell’intervallo compreso tra le timbrature in entrata ed in uscita il lavoratore è effettivamente presente in ufficio, mentre è falsa e fraudolentemente attestata nei casi in cui miri a far emergere, in contrasto con il vero, che il lavoratore è presente in ufficio dal momento della timbratura in entrata a quello della timbratura in uscita.</w:t>
      </w:r>
    </w:p>
    <w:p w14:paraId="73F373A3"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A conforto dell’esposta ricostruzione, l’art. 3, co. 1 del </w:t>
      </w:r>
      <w:proofErr w:type="spellStart"/>
      <w:r w:rsidRPr="00563F08">
        <w:rPr>
          <w:rFonts w:ascii="Arial" w:hAnsi="Arial" w:cs="Arial"/>
          <w:sz w:val="20"/>
          <w:szCs w:val="20"/>
        </w:rPr>
        <w:t>D.Lgs.</w:t>
      </w:r>
      <w:proofErr w:type="spellEnd"/>
      <w:r w:rsidRPr="00563F08">
        <w:rPr>
          <w:rFonts w:ascii="Arial" w:hAnsi="Arial" w:cs="Arial"/>
          <w:sz w:val="20"/>
          <w:szCs w:val="20"/>
        </w:rPr>
        <w:t xml:space="preserve"> n. 116/2016 (cd. Riforma Madia) ha introdotto nell’art. 55 quater, il comma 1 bis che dispone “costituisce falsa attestazione della presenza in servizio qualunque modalità fraudolenta posta in essere, anche avvalendosi di terzi, per far risultare il dipendente in servizio o trarre in inganno l’amministrazione presso la quale il dipendente presta attività lavorativa circa il rispetto dell’orario di lavoro dello stesso. Della violazione risponde anche chi abbia agevolato con la propria condotta attiva o omissiva la condotta </w:t>
      </w:r>
      <w:proofErr w:type="gramStart"/>
      <w:r w:rsidRPr="00563F08">
        <w:rPr>
          <w:rFonts w:ascii="Arial" w:hAnsi="Arial" w:cs="Arial"/>
          <w:sz w:val="20"/>
          <w:szCs w:val="20"/>
        </w:rPr>
        <w:t>fraudolenta“</w:t>
      </w:r>
      <w:proofErr w:type="gramEnd"/>
      <w:r w:rsidRPr="00563F08">
        <w:rPr>
          <w:rFonts w:ascii="Arial" w:hAnsi="Arial" w:cs="Arial"/>
          <w:sz w:val="20"/>
          <w:szCs w:val="20"/>
        </w:rPr>
        <w:t>.</w:t>
      </w:r>
    </w:p>
    <w:p w14:paraId="5DA83C48" w14:textId="77777777" w:rsidR="00563F08" w:rsidRPr="00563F08"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Chiaramente I ‘intervento additivo non ha efficacia retroattiva, ma è indiscutibile la potestà del Legislatore di produrre norme chiarificatrici, idonee, sia pure senza vincolare per il passato, ad orientare l’interprete nella lettura di norme preesistenti, in applicazione del principio di unità ed organicità dell’ordinamento giuridico.</w:t>
      </w:r>
    </w:p>
    <w:p w14:paraId="2A5ACF8E" w14:textId="1A1D90F7" w:rsidR="00563F08" w:rsidRPr="00E944EB" w:rsidRDefault="00563F08" w:rsidP="00563F08">
      <w:pPr>
        <w:widowControl w:val="0"/>
        <w:autoSpaceDE w:val="0"/>
        <w:autoSpaceDN w:val="0"/>
        <w:adjustRightInd w:val="0"/>
        <w:spacing w:after="0" w:line="240" w:lineRule="auto"/>
        <w:rPr>
          <w:rFonts w:ascii="Arial" w:hAnsi="Arial" w:cs="Arial"/>
          <w:sz w:val="20"/>
          <w:szCs w:val="20"/>
        </w:rPr>
      </w:pPr>
      <w:r w:rsidRPr="00563F08">
        <w:rPr>
          <w:rFonts w:ascii="Arial" w:hAnsi="Arial" w:cs="Arial"/>
          <w:sz w:val="20"/>
          <w:szCs w:val="20"/>
        </w:rPr>
        <w:t xml:space="preserve">Resta fermo – precisa la Cassazione – il principio secondo cui, in questi casi, non esiste alcun automatismo nell’irrogazione di sanzioni disciplinari, permanendo il sindacato giurisdizionale sulla proporzionalità della sanzione rispetto al fatto addebitato. Ciò precisato, va rilevato che non è mai stato contestato che il dipendente, </w:t>
      </w:r>
      <w:r w:rsidRPr="00563F08">
        <w:rPr>
          <w:rFonts w:ascii="Arial" w:hAnsi="Arial" w:cs="Arial"/>
          <w:sz w:val="20"/>
          <w:szCs w:val="20"/>
        </w:rPr>
        <w:lastRenderedPageBreak/>
        <w:t>nel giorno oggetto di contestazione, negli intervalli temporali compresi tra le timbrature in ingresso (ore 9,16) e in uscita (15,46), si fosse allontanato dal lavoro senza alcuna autorizzazione e senza che risultasse alcuna timbratura intermedia che attestasse il suo allontanamento dal luogo di lavoro. Non vi sono, pertanto, dubbi sul fatto che, dal punto di vista oggettivo, il comportamento contestato è sussumibile entro la fattispecie astratta prevista dalla disposizione sopra richiamata, nella parte in cui, appunto punisce con il licenziamento la “falsa attestazione della presenza in servizio, mediante l’alterazione dei sistemi di rilevamento della presenza o con altre modalità fraudolente”.</w:t>
      </w:r>
    </w:p>
    <w:sectPr w:rsidR="00563F08" w:rsidRPr="00E944EB" w:rsidSect="00190200">
      <w:pgSz w:w="12240" w:h="15840"/>
      <w:pgMar w:top="1417"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3A36B606"/>
    <w:lvl w:ilvl="0">
      <w:numFmt w:val="bullet"/>
      <w:lvlText w:val="*"/>
      <w:lvlJc w:val="left"/>
    </w:lvl>
  </w:abstractNum>
  <w:abstractNum w:abstractNumId="1" w15:restartNumberingAfterBreak="0">
    <w:nsid w:val="0000008F"/>
    <w:multiLevelType w:val="singleLevel"/>
    <w:tmpl w:val="0000008F"/>
    <w:name w:val="WW8Num193"/>
    <w:lvl w:ilvl="0">
      <w:numFmt w:val="bullet"/>
      <w:lvlText w:val=""/>
      <w:lvlJc w:val="left"/>
      <w:pPr>
        <w:tabs>
          <w:tab w:val="num" w:pos="0"/>
        </w:tabs>
      </w:pPr>
      <w:rPr>
        <w:rFonts w:ascii="Symbol" w:hAnsi="Symbol"/>
      </w:rPr>
    </w:lvl>
  </w:abstractNum>
  <w:abstractNum w:abstractNumId="2" w15:restartNumberingAfterBreak="0">
    <w:nsid w:val="00000090"/>
    <w:multiLevelType w:val="singleLevel"/>
    <w:tmpl w:val="00000090"/>
    <w:name w:val="WW8Num194"/>
    <w:lvl w:ilvl="0">
      <w:numFmt w:val="bullet"/>
      <w:lvlText w:val=""/>
      <w:lvlJc w:val="left"/>
      <w:pPr>
        <w:tabs>
          <w:tab w:val="num" w:pos="0"/>
        </w:tabs>
      </w:pPr>
      <w:rPr>
        <w:rFonts w:ascii="Symbol" w:hAnsi="Symbol"/>
      </w:rPr>
    </w:lvl>
  </w:abstractNum>
  <w:abstractNum w:abstractNumId="3" w15:restartNumberingAfterBreak="0">
    <w:nsid w:val="00000098"/>
    <w:multiLevelType w:val="multilevel"/>
    <w:tmpl w:val="00000098"/>
    <w:name w:val="WW8Num202"/>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4" w15:restartNumberingAfterBreak="0">
    <w:nsid w:val="00000099"/>
    <w:multiLevelType w:val="multilevel"/>
    <w:tmpl w:val="00000099"/>
    <w:name w:val="WW8Num203"/>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0000009A"/>
    <w:multiLevelType w:val="multilevel"/>
    <w:tmpl w:val="0000009A"/>
    <w:name w:val="WW8Num204"/>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00009B"/>
    <w:multiLevelType w:val="multilevel"/>
    <w:tmpl w:val="0000009B"/>
    <w:name w:val="WW8Num205"/>
    <w:lvl w:ilvl="0">
      <w:start w:val="1"/>
      <w:numFmt w:val="upperLetter"/>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 w15:restartNumberingAfterBreak="0">
    <w:nsid w:val="0000009C"/>
    <w:multiLevelType w:val="multilevel"/>
    <w:tmpl w:val="0000009C"/>
    <w:name w:val="WW8Num206"/>
    <w:lvl w:ilvl="0">
      <w:start w:val="1"/>
      <w:numFmt w:val="lowerLetter"/>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8" w15:restartNumberingAfterBreak="0">
    <w:nsid w:val="0000009D"/>
    <w:multiLevelType w:val="multilevel"/>
    <w:tmpl w:val="0000009D"/>
    <w:name w:val="WW8Num207"/>
    <w:lvl w:ilvl="0">
      <w:start w:val="1"/>
      <w:numFmt w:val="lowerLetter"/>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9" w15:restartNumberingAfterBreak="0">
    <w:nsid w:val="0000009E"/>
    <w:multiLevelType w:val="multilevel"/>
    <w:tmpl w:val="0000009E"/>
    <w:name w:val="WW8Num208"/>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9F"/>
    <w:multiLevelType w:val="multilevel"/>
    <w:tmpl w:val="0000009F"/>
    <w:name w:val="WW8Num209"/>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1" w15:restartNumberingAfterBreak="0">
    <w:nsid w:val="000000A0"/>
    <w:multiLevelType w:val="multilevel"/>
    <w:tmpl w:val="000000A0"/>
    <w:name w:val="WW8Num210"/>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2" w15:restartNumberingAfterBreak="0">
    <w:nsid w:val="000000A1"/>
    <w:multiLevelType w:val="multilevel"/>
    <w:tmpl w:val="000000A1"/>
    <w:name w:val="WW8Num211"/>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3" w15:restartNumberingAfterBreak="0">
    <w:nsid w:val="000000A2"/>
    <w:multiLevelType w:val="multilevel"/>
    <w:tmpl w:val="000000A2"/>
    <w:name w:val="WW8Num212"/>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4" w15:restartNumberingAfterBreak="0">
    <w:nsid w:val="000000A3"/>
    <w:multiLevelType w:val="multilevel"/>
    <w:tmpl w:val="000000A3"/>
    <w:name w:val="WW8Num213"/>
    <w:lvl w:ilvl="0">
      <w:start w:val="1"/>
      <w:numFmt w:val="decimal"/>
      <w:lvlText w:val="%1)"/>
      <w:lvlJc w:val="left"/>
      <w:pPr>
        <w:tabs>
          <w:tab w:val="num" w:pos="0"/>
        </w:tabs>
      </w:pPr>
      <w:rPr>
        <w:rFonts w:ascii="Arial" w:hAnsi="Arial" w:cs="Arial"/>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5" w15:restartNumberingAfterBreak="0">
    <w:nsid w:val="4F8F70BB"/>
    <w:multiLevelType w:val="hybridMultilevel"/>
    <w:tmpl w:val="0E5A12BE"/>
    <w:lvl w:ilvl="0" w:tplc="3A36B606">
      <w:numFmt w:val="bullet"/>
      <w:lvlText w:val=""/>
      <w:legacy w:legacy="1" w:legacySpace="0" w:legacyIndent="0"/>
      <w:lvlJc w:val="left"/>
      <w:rPr>
        <w:rFonts w:ascii="Symbol" w:hAnsi="Symbol" w:hint="default"/>
      </w:rPr>
    </w:lvl>
    <w:lvl w:ilvl="1" w:tplc="04100003" w:tentative="1">
      <w:start w:val="1"/>
      <w:numFmt w:val="bullet"/>
      <w:lvlText w:val="o"/>
      <w:lvlJc w:val="left"/>
      <w:pPr>
        <w:ind w:left="1549" w:hanging="360"/>
      </w:pPr>
      <w:rPr>
        <w:rFonts w:ascii="Courier New" w:hAnsi="Courier New" w:hint="default"/>
      </w:rPr>
    </w:lvl>
    <w:lvl w:ilvl="2" w:tplc="04100005" w:tentative="1">
      <w:start w:val="1"/>
      <w:numFmt w:val="bullet"/>
      <w:lvlText w:val=""/>
      <w:lvlJc w:val="left"/>
      <w:pPr>
        <w:ind w:left="2269" w:hanging="360"/>
      </w:pPr>
      <w:rPr>
        <w:rFonts w:ascii="Wingdings" w:hAnsi="Wingdings" w:hint="default"/>
      </w:rPr>
    </w:lvl>
    <w:lvl w:ilvl="3" w:tplc="04100001" w:tentative="1">
      <w:start w:val="1"/>
      <w:numFmt w:val="bullet"/>
      <w:lvlText w:val=""/>
      <w:lvlJc w:val="left"/>
      <w:pPr>
        <w:ind w:left="2989" w:hanging="360"/>
      </w:pPr>
      <w:rPr>
        <w:rFonts w:ascii="Symbol" w:hAnsi="Symbol" w:hint="default"/>
      </w:rPr>
    </w:lvl>
    <w:lvl w:ilvl="4" w:tplc="04100003" w:tentative="1">
      <w:start w:val="1"/>
      <w:numFmt w:val="bullet"/>
      <w:lvlText w:val="o"/>
      <w:lvlJc w:val="left"/>
      <w:pPr>
        <w:ind w:left="3709" w:hanging="360"/>
      </w:pPr>
      <w:rPr>
        <w:rFonts w:ascii="Courier New" w:hAnsi="Courier New" w:hint="default"/>
      </w:rPr>
    </w:lvl>
    <w:lvl w:ilvl="5" w:tplc="04100005" w:tentative="1">
      <w:start w:val="1"/>
      <w:numFmt w:val="bullet"/>
      <w:lvlText w:val=""/>
      <w:lvlJc w:val="left"/>
      <w:pPr>
        <w:ind w:left="4429" w:hanging="360"/>
      </w:pPr>
      <w:rPr>
        <w:rFonts w:ascii="Wingdings" w:hAnsi="Wingdings" w:hint="default"/>
      </w:rPr>
    </w:lvl>
    <w:lvl w:ilvl="6" w:tplc="04100001" w:tentative="1">
      <w:start w:val="1"/>
      <w:numFmt w:val="bullet"/>
      <w:lvlText w:val=""/>
      <w:lvlJc w:val="left"/>
      <w:pPr>
        <w:ind w:left="5149" w:hanging="360"/>
      </w:pPr>
      <w:rPr>
        <w:rFonts w:ascii="Symbol" w:hAnsi="Symbol" w:hint="default"/>
      </w:rPr>
    </w:lvl>
    <w:lvl w:ilvl="7" w:tplc="04100003" w:tentative="1">
      <w:start w:val="1"/>
      <w:numFmt w:val="bullet"/>
      <w:lvlText w:val="o"/>
      <w:lvlJc w:val="left"/>
      <w:pPr>
        <w:ind w:left="5869" w:hanging="360"/>
      </w:pPr>
      <w:rPr>
        <w:rFonts w:ascii="Courier New" w:hAnsi="Courier New" w:hint="default"/>
      </w:rPr>
    </w:lvl>
    <w:lvl w:ilvl="8" w:tplc="04100005" w:tentative="1">
      <w:start w:val="1"/>
      <w:numFmt w:val="bullet"/>
      <w:lvlText w:val=""/>
      <w:lvlJc w:val="left"/>
      <w:pPr>
        <w:ind w:left="6589" w:hanging="360"/>
      </w:pPr>
      <w:rPr>
        <w:rFonts w:ascii="Wingdings" w:hAnsi="Wingdings" w:hint="default"/>
      </w:rPr>
    </w:lvl>
  </w:abstractNum>
  <w:num w:numId="1" w16cid:durableId="1414357783">
    <w:abstractNumId w:val="0"/>
    <w:lvlOverride w:ilvl="0">
      <w:lvl w:ilvl="0">
        <w:numFmt w:val="bullet"/>
        <w:lvlText w:val=""/>
        <w:legacy w:legacy="1" w:legacySpace="0" w:legacyIndent="0"/>
        <w:lvlJc w:val="left"/>
        <w:rPr>
          <w:rFonts w:ascii="Symbol" w:hAnsi="Symbol" w:hint="default"/>
        </w:rPr>
      </w:lvl>
    </w:lvlOverride>
  </w:num>
  <w:num w:numId="2" w16cid:durableId="1084644912">
    <w:abstractNumId w:val="15"/>
  </w:num>
  <w:num w:numId="3" w16cid:durableId="452217355">
    <w:abstractNumId w:val="1"/>
  </w:num>
  <w:num w:numId="4" w16cid:durableId="650141490">
    <w:abstractNumId w:val="2"/>
  </w:num>
  <w:num w:numId="5" w16cid:durableId="917205337">
    <w:abstractNumId w:val="3"/>
  </w:num>
  <w:num w:numId="6" w16cid:durableId="956987369">
    <w:abstractNumId w:val="4"/>
  </w:num>
  <w:num w:numId="7" w16cid:durableId="697313965">
    <w:abstractNumId w:val="5"/>
  </w:num>
  <w:num w:numId="8" w16cid:durableId="2084375167">
    <w:abstractNumId w:val="6"/>
  </w:num>
  <w:num w:numId="9" w16cid:durableId="936135367">
    <w:abstractNumId w:val="7"/>
  </w:num>
  <w:num w:numId="10" w16cid:durableId="1151483231">
    <w:abstractNumId w:val="8"/>
  </w:num>
  <w:num w:numId="11" w16cid:durableId="1049377480">
    <w:abstractNumId w:val="9"/>
  </w:num>
  <w:num w:numId="12" w16cid:durableId="1671057816">
    <w:abstractNumId w:val="10"/>
  </w:num>
  <w:num w:numId="13" w16cid:durableId="590815915">
    <w:abstractNumId w:val="11"/>
  </w:num>
  <w:num w:numId="14" w16cid:durableId="781338260">
    <w:abstractNumId w:val="12"/>
  </w:num>
  <w:num w:numId="15" w16cid:durableId="2121683913">
    <w:abstractNumId w:val="13"/>
  </w:num>
  <w:num w:numId="16" w16cid:durableId="17617542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2A39"/>
    <w:rsid w:val="00046274"/>
    <w:rsid w:val="00054725"/>
    <w:rsid w:val="00135153"/>
    <w:rsid w:val="00190200"/>
    <w:rsid w:val="001A5FBE"/>
    <w:rsid w:val="001A693A"/>
    <w:rsid w:val="002050BC"/>
    <w:rsid w:val="00267777"/>
    <w:rsid w:val="002B45AF"/>
    <w:rsid w:val="0032584E"/>
    <w:rsid w:val="00331BB5"/>
    <w:rsid w:val="00384C4E"/>
    <w:rsid w:val="004165E0"/>
    <w:rsid w:val="00431A69"/>
    <w:rsid w:val="00445691"/>
    <w:rsid w:val="004D1DCA"/>
    <w:rsid w:val="004E37FC"/>
    <w:rsid w:val="00517E83"/>
    <w:rsid w:val="00555293"/>
    <w:rsid w:val="00563F08"/>
    <w:rsid w:val="0059755F"/>
    <w:rsid w:val="005F53E8"/>
    <w:rsid w:val="00640C98"/>
    <w:rsid w:val="00663BB6"/>
    <w:rsid w:val="006A4D04"/>
    <w:rsid w:val="006D5EEC"/>
    <w:rsid w:val="006E3E45"/>
    <w:rsid w:val="00756B86"/>
    <w:rsid w:val="00773716"/>
    <w:rsid w:val="007901F1"/>
    <w:rsid w:val="007C30F3"/>
    <w:rsid w:val="00824B20"/>
    <w:rsid w:val="008A1816"/>
    <w:rsid w:val="008D172F"/>
    <w:rsid w:val="008E776B"/>
    <w:rsid w:val="00932A39"/>
    <w:rsid w:val="00940A02"/>
    <w:rsid w:val="009749D6"/>
    <w:rsid w:val="009C3BC2"/>
    <w:rsid w:val="00A35090"/>
    <w:rsid w:val="00A4410C"/>
    <w:rsid w:val="00A61ED9"/>
    <w:rsid w:val="00B37F3C"/>
    <w:rsid w:val="00B42915"/>
    <w:rsid w:val="00C137AE"/>
    <w:rsid w:val="00C3170C"/>
    <w:rsid w:val="00C60EF6"/>
    <w:rsid w:val="00D03A63"/>
    <w:rsid w:val="00DE4FBC"/>
    <w:rsid w:val="00DE670B"/>
    <w:rsid w:val="00DF0DE6"/>
    <w:rsid w:val="00DF7244"/>
    <w:rsid w:val="00E8760E"/>
    <w:rsid w:val="00E944EB"/>
    <w:rsid w:val="00EC697D"/>
    <w:rsid w:val="00F007FD"/>
    <w:rsid w:val="00F83A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9460CE"/>
  <w15:docId w15:val="{5BDFEF0A-1BF5-42C6-9EC9-80D7D3CF0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90200"/>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E37FC"/>
    <w:pPr>
      <w:autoSpaceDE w:val="0"/>
      <w:autoSpaceDN w:val="0"/>
      <w:adjustRightInd w:val="0"/>
    </w:pPr>
    <w:rPr>
      <w:rFonts w:ascii="Lucida Sans" w:hAnsi="Lucida Sans" w:cs="Lucida Sans"/>
      <w:color w:val="000000"/>
      <w:sz w:val="24"/>
      <w:szCs w:val="24"/>
    </w:rPr>
  </w:style>
  <w:style w:type="character" w:styleId="Collegamentoipertestuale">
    <w:name w:val="Hyperlink"/>
    <w:basedOn w:val="Carpredefinitoparagrafo"/>
    <w:uiPriority w:val="99"/>
    <w:unhideWhenUsed/>
    <w:rsid w:val="00E944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794871">
      <w:bodyDiv w:val="1"/>
      <w:marLeft w:val="0"/>
      <w:marRight w:val="0"/>
      <w:marTop w:val="0"/>
      <w:marBottom w:val="0"/>
      <w:divBdr>
        <w:top w:val="none" w:sz="0" w:space="0" w:color="auto"/>
        <w:left w:val="none" w:sz="0" w:space="0" w:color="auto"/>
        <w:bottom w:val="none" w:sz="0" w:space="0" w:color="auto"/>
        <w:right w:val="none" w:sz="0" w:space="0" w:color="auto"/>
      </w:divBdr>
      <w:divsChild>
        <w:div w:id="548302149">
          <w:marLeft w:val="0"/>
          <w:marRight w:val="0"/>
          <w:marTop w:val="0"/>
          <w:marBottom w:val="0"/>
          <w:divBdr>
            <w:top w:val="none" w:sz="0" w:space="0" w:color="auto"/>
            <w:left w:val="none" w:sz="0" w:space="0" w:color="auto"/>
            <w:bottom w:val="none" w:sz="0" w:space="0" w:color="auto"/>
            <w:right w:val="none" w:sz="0" w:space="0" w:color="auto"/>
          </w:divBdr>
          <w:divsChild>
            <w:div w:id="1720274897">
              <w:marLeft w:val="0"/>
              <w:marRight w:val="0"/>
              <w:marTop w:val="0"/>
              <w:marBottom w:val="0"/>
              <w:divBdr>
                <w:top w:val="none" w:sz="0" w:space="0" w:color="auto"/>
                <w:left w:val="none" w:sz="0" w:space="0" w:color="auto"/>
                <w:bottom w:val="none" w:sz="0" w:space="0" w:color="auto"/>
                <w:right w:val="none" w:sz="0" w:space="0" w:color="auto"/>
              </w:divBdr>
              <w:divsChild>
                <w:div w:id="204221149">
                  <w:marLeft w:val="0"/>
                  <w:marRight w:val="0"/>
                  <w:marTop w:val="0"/>
                  <w:marBottom w:val="0"/>
                  <w:divBdr>
                    <w:top w:val="none" w:sz="0" w:space="0" w:color="auto"/>
                    <w:left w:val="none" w:sz="0" w:space="0" w:color="auto"/>
                    <w:bottom w:val="none" w:sz="0" w:space="0" w:color="auto"/>
                    <w:right w:val="none" w:sz="0" w:space="0" w:color="auto"/>
                  </w:divBdr>
                  <w:divsChild>
                    <w:div w:id="735324523">
                      <w:marLeft w:val="0"/>
                      <w:marRight w:val="0"/>
                      <w:marTop w:val="0"/>
                      <w:marBottom w:val="0"/>
                      <w:divBdr>
                        <w:top w:val="none" w:sz="0" w:space="0" w:color="auto"/>
                        <w:left w:val="none" w:sz="0" w:space="0" w:color="auto"/>
                        <w:bottom w:val="none" w:sz="0" w:space="0" w:color="auto"/>
                        <w:right w:val="none" w:sz="0" w:space="0" w:color="auto"/>
                      </w:divBdr>
                      <w:divsChild>
                        <w:div w:id="534932332">
                          <w:marLeft w:val="0"/>
                          <w:marRight w:val="0"/>
                          <w:marTop w:val="0"/>
                          <w:marBottom w:val="0"/>
                          <w:divBdr>
                            <w:top w:val="none" w:sz="0" w:space="0" w:color="auto"/>
                            <w:left w:val="none" w:sz="0" w:space="0" w:color="auto"/>
                            <w:bottom w:val="none" w:sz="0" w:space="0" w:color="auto"/>
                            <w:right w:val="none" w:sz="0" w:space="0" w:color="auto"/>
                          </w:divBdr>
                          <w:divsChild>
                            <w:div w:id="1309284508">
                              <w:marLeft w:val="0"/>
                              <w:marRight w:val="0"/>
                              <w:marTop w:val="0"/>
                              <w:marBottom w:val="0"/>
                              <w:divBdr>
                                <w:top w:val="none" w:sz="0" w:space="0" w:color="auto"/>
                                <w:left w:val="none" w:sz="0" w:space="0" w:color="auto"/>
                                <w:bottom w:val="none" w:sz="0" w:space="0" w:color="auto"/>
                                <w:right w:val="none" w:sz="0" w:space="0" w:color="auto"/>
                              </w:divBdr>
                              <w:divsChild>
                                <w:div w:id="1957250385">
                                  <w:marLeft w:val="0"/>
                                  <w:marRight w:val="0"/>
                                  <w:marTop w:val="0"/>
                                  <w:marBottom w:val="0"/>
                                  <w:divBdr>
                                    <w:top w:val="none" w:sz="0" w:space="0" w:color="auto"/>
                                    <w:left w:val="none" w:sz="0" w:space="0" w:color="auto"/>
                                    <w:bottom w:val="none" w:sz="0" w:space="0" w:color="auto"/>
                                    <w:right w:val="none" w:sz="0" w:space="0" w:color="auto"/>
                                  </w:divBdr>
                                  <w:divsChild>
                                    <w:div w:id="515459831">
                                      <w:marLeft w:val="0"/>
                                      <w:marRight w:val="0"/>
                                      <w:marTop w:val="0"/>
                                      <w:marBottom w:val="0"/>
                                      <w:divBdr>
                                        <w:top w:val="none" w:sz="0" w:space="0" w:color="auto"/>
                                        <w:left w:val="none" w:sz="0" w:space="0" w:color="auto"/>
                                        <w:bottom w:val="none" w:sz="0" w:space="0" w:color="auto"/>
                                        <w:right w:val="none" w:sz="0" w:space="0" w:color="auto"/>
                                      </w:divBdr>
                                      <w:divsChild>
                                        <w:div w:id="805120070">
                                          <w:marLeft w:val="0"/>
                                          <w:marRight w:val="0"/>
                                          <w:marTop w:val="0"/>
                                          <w:marBottom w:val="0"/>
                                          <w:divBdr>
                                            <w:top w:val="none" w:sz="0" w:space="0" w:color="auto"/>
                                            <w:left w:val="none" w:sz="0" w:space="0" w:color="auto"/>
                                            <w:bottom w:val="none" w:sz="0" w:space="0" w:color="auto"/>
                                            <w:right w:val="none" w:sz="0" w:space="0" w:color="auto"/>
                                          </w:divBdr>
                                          <w:divsChild>
                                            <w:div w:id="1333023924">
                                              <w:marLeft w:val="0"/>
                                              <w:marRight w:val="0"/>
                                              <w:marTop w:val="0"/>
                                              <w:marBottom w:val="0"/>
                                              <w:divBdr>
                                                <w:top w:val="none" w:sz="0" w:space="0" w:color="auto"/>
                                                <w:left w:val="none" w:sz="0" w:space="0" w:color="auto"/>
                                                <w:bottom w:val="none" w:sz="0" w:space="0" w:color="auto"/>
                                                <w:right w:val="none" w:sz="0" w:space="0" w:color="auto"/>
                                              </w:divBdr>
                                              <w:divsChild>
                                                <w:div w:id="1402291660">
                                                  <w:marLeft w:val="0"/>
                                                  <w:marRight w:val="0"/>
                                                  <w:marTop w:val="0"/>
                                                  <w:marBottom w:val="0"/>
                                                  <w:divBdr>
                                                    <w:top w:val="none" w:sz="0" w:space="0" w:color="auto"/>
                                                    <w:left w:val="none" w:sz="0" w:space="0" w:color="auto"/>
                                                    <w:bottom w:val="none" w:sz="0" w:space="0" w:color="auto"/>
                                                    <w:right w:val="none" w:sz="0" w:space="0" w:color="auto"/>
                                                  </w:divBdr>
                                                  <w:divsChild>
                                                    <w:div w:id="1618833815">
                                                      <w:marLeft w:val="0"/>
                                                      <w:marRight w:val="0"/>
                                                      <w:marTop w:val="0"/>
                                                      <w:marBottom w:val="0"/>
                                                      <w:divBdr>
                                                        <w:top w:val="none" w:sz="0" w:space="0" w:color="auto"/>
                                                        <w:left w:val="none" w:sz="0" w:space="0" w:color="auto"/>
                                                        <w:bottom w:val="none" w:sz="0" w:space="0" w:color="auto"/>
                                                        <w:right w:val="none" w:sz="0" w:space="0" w:color="auto"/>
                                                      </w:divBdr>
                                                      <w:divsChild>
                                                        <w:div w:id="1449423632">
                                                          <w:marLeft w:val="0"/>
                                                          <w:marRight w:val="0"/>
                                                          <w:marTop w:val="450"/>
                                                          <w:marBottom w:val="450"/>
                                                          <w:divBdr>
                                                            <w:top w:val="none" w:sz="0" w:space="0" w:color="auto"/>
                                                            <w:left w:val="none" w:sz="0" w:space="0" w:color="auto"/>
                                                            <w:bottom w:val="none" w:sz="0" w:space="0" w:color="auto"/>
                                                            <w:right w:val="none" w:sz="0" w:space="0" w:color="auto"/>
                                                          </w:divBdr>
                                                          <w:divsChild>
                                                            <w:div w:id="214970971">
                                                              <w:marLeft w:val="0"/>
                                                              <w:marRight w:val="0"/>
                                                              <w:marTop w:val="0"/>
                                                              <w:marBottom w:val="0"/>
                                                              <w:divBdr>
                                                                <w:top w:val="none" w:sz="0" w:space="0" w:color="auto"/>
                                                                <w:left w:val="none" w:sz="0" w:space="0" w:color="auto"/>
                                                                <w:bottom w:val="none" w:sz="0" w:space="0" w:color="auto"/>
                                                                <w:right w:val="none" w:sz="0" w:space="0" w:color="auto"/>
                                                              </w:divBdr>
                                                              <w:divsChild>
                                                                <w:div w:id="1430539827">
                                                                  <w:marLeft w:val="0"/>
                                                                  <w:marRight w:val="0"/>
                                                                  <w:marTop w:val="450"/>
                                                                  <w:marBottom w:val="300"/>
                                                                  <w:divBdr>
                                                                    <w:top w:val="single" w:sz="6" w:space="0" w:color="EEEEEE"/>
                                                                    <w:left w:val="single" w:sz="6" w:space="11" w:color="EEEEEE"/>
                                                                    <w:bottom w:val="single" w:sz="6" w:space="0" w:color="EEEEEE"/>
                                                                    <w:right w:val="single" w:sz="6" w:space="11" w:color="EEEEEE"/>
                                                                  </w:divBdr>
                                                                  <w:divsChild>
                                                                    <w:div w:id="1939487547">
                                                                      <w:marLeft w:val="-225"/>
                                                                      <w:marRight w:val="-225"/>
                                                                      <w:marTop w:val="0"/>
                                                                      <w:marBottom w:val="0"/>
                                                                      <w:divBdr>
                                                                        <w:top w:val="none" w:sz="0" w:space="0" w:color="auto"/>
                                                                        <w:left w:val="none" w:sz="0" w:space="0" w:color="auto"/>
                                                                        <w:bottom w:val="none" w:sz="0" w:space="0" w:color="auto"/>
                                                                        <w:right w:val="none" w:sz="0" w:space="0" w:color="auto"/>
                                                                      </w:divBdr>
                                                                      <w:divsChild>
                                                                        <w:div w:id="1304235145">
                                                                          <w:marLeft w:val="-225"/>
                                                                          <w:marRight w:val="-225"/>
                                                                          <w:marTop w:val="0"/>
                                                                          <w:marBottom w:val="0"/>
                                                                          <w:divBdr>
                                                                            <w:top w:val="single" w:sz="6" w:space="11" w:color="EEEEEE"/>
                                                                            <w:left w:val="none" w:sz="0" w:space="0" w:color="auto"/>
                                                                            <w:bottom w:val="none" w:sz="0" w:space="0" w:color="auto"/>
                                                                            <w:right w:val="none" w:sz="0" w:space="0" w:color="auto"/>
                                                                          </w:divBdr>
                                                                          <w:divsChild>
                                                                            <w:div w:id="582102441">
                                                                              <w:marLeft w:val="0"/>
                                                                              <w:marRight w:val="0"/>
                                                                              <w:marTop w:val="0"/>
                                                                              <w:marBottom w:val="0"/>
                                                                              <w:divBdr>
                                                                                <w:top w:val="none" w:sz="0" w:space="0" w:color="auto"/>
                                                                                <w:left w:val="none" w:sz="0" w:space="0" w:color="auto"/>
                                                                                <w:bottom w:val="none" w:sz="0" w:space="0" w:color="auto"/>
                                                                                <w:right w:val="none" w:sz="0" w:space="0" w:color="auto"/>
                                                                              </w:divBdr>
                                                                              <w:divsChild>
                                                                                <w:div w:id="1615864662">
                                                                                  <w:marLeft w:val="0"/>
                                                                                  <w:marRight w:val="0"/>
                                                                                  <w:marTop w:val="0"/>
                                                                                  <w:marBottom w:val="0"/>
                                                                                  <w:divBdr>
                                                                                    <w:top w:val="none" w:sz="0" w:space="0" w:color="auto"/>
                                                                                    <w:left w:val="none" w:sz="0" w:space="0" w:color="auto"/>
                                                                                    <w:bottom w:val="none" w:sz="0" w:space="0" w:color="auto"/>
                                                                                    <w:right w:val="none" w:sz="0" w:space="0" w:color="auto"/>
                                                                                  </w:divBdr>
                                                                                  <w:divsChild>
                                                                                    <w:div w:id="545483476">
                                                                                      <w:marLeft w:val="0"/>
                                                                                      <w:marRight w:val="0"/>
                                                                                      <w:marTop w:val="0"/>
                                                                                      <w:marBottom w:val="0"/>
                                                                                      <w:divBdr>
                                                                                        <w:top w:val="none" w:sz="0" w:space="0" w:color="auto"/>
                                                                                        <w:left w:val="none" w:sz="0" w:space="0" w:color="auto"/>
                                                                                        <w:bottom w:val="none" w:sz="0" w:space="0" w:color="auto"/>
                                                                                        <w:right w:val="none" w:sz="0" w:space="0" w:color="auto"/>
                                                                                      </w:divBdr>
                                                                                      <w:divsChild>
                                                                                        <w:div w:id="563180546">
                                                                                          <w:marLeft w:val="0"/>
                                                                                          <w:marRight w:val="0"/>
                                                                                          <w:marTop w:val="0"/>
                                                                                          <w:marBottom w:val="0"/>
                                                                                          <w:divBdr>
                                                                                            <w:top w:val="none" w:sz="0" w:space="0" w:color="auto"/>
                                                                                            <w:left w:val="none" w:sz="0" w:space="0" w:color="auto"/>
                                                                                            <w:bottom w:val="none" w:sz="0" w:space="0" w:color="auto"/>
                                                                                            <w:right w:val="none" w:sz="0" w:space="0" w:color="auto"/>
                                                                                          </w:divBdr>
                                                                                          <w:divsChild>
                                                                                            <w:div w:id="2076126986">
                                                                                              <w:marLeft w:val="0"/>
                                                                                              <w:marRight w:val="0"/>
                                                                                              <w:marTop w:val="0"/>
                                                                                              <w:marBottom w:val="0"/>
                                                                                              <w:divBdr>
                                                                                                <w:top w:val="none" w:sz="0" w:space="0" w:color="auto"/>
                                                                                                <w:left w:val="none" w:sz="0" w:space="0" w:color="auto"/>
                                                                                                <w:bottom w:val="none" w:sz="0" w:space="0" w:color="auto"/>
                                                                                                <w:right w:val="none" w:sz="0" w:space="0" w:color="auto"/>
                                                                                              </w:divBdr>
                                                                                            </w:div>
                                                                                            <w:div w:id="704209796">
                                                                                              <w:marLeft w:val="0"/>
                                                                                              <w:marRight w:val="0"/>
                                                                                              <w:marTop w:val="0"/>
                                                                                              <w:marBottom w:val="0"/>
                                                                                              <w:divBdr>
                                                                                                <w:top w:val="none" w:sz="0" w:space="0" w:color="auto"/>
                                                                                                <w:left w:val="none" w:sz="0" w:space="0" w:color="auto"/>
                                                                                                <w:bottom w:val="none" w:sz="0" w:space="0" w:color="auto"/>
                                                                                                <w:right w:val="none" w:sz="0" w:space="0" w:color="auto"/>
                                                                                              </w:divBdr>
                                                                                            </w:div>
                                                                                            <w:div w:id="1801612612">
                                                                                              <w:marLeft w:val="0"/>
                                                                                              <w:marRight w:val="0"/>
                                                                                              <w:marTop w:val="0"/>
                                                                                              <w:marBottom w:val="0"/>
                                                                                              <w:divBdr>
                                                                                                <w:top w:val="none" w:sz="0" w:space="0" w:color="auto"/>
                                                                                                <w:left w:val="none" w:sz="0" w:space="0" w:color="auto"/>
                                                                                                <w:bottom w:val="none" w:sz="0" w:space="0" w:color="auto"/>
                                                                                                <w:right w:val="none" w:sz="0" w:space="0" w:color="auto"/>
                                                                                              </w:divBdr>
                                                                                            </w:div>
                                                                                            <w:div w:id="19269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11131</Words>
  <Characters>63451</Characters>
  <Application>Microsoft Office Word</Application>
  <DocSecurity>0</DocSecurity>
  <Lines>528</Lines>
  <Paragraphs>148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Guarducci</dc:creator>
  <cp:keywords/>
  <dc:description/>
  <cp:lastModifiedBy>SERENA GUARDUCCI</cp:lastModifiedBy>
  <cp:revision>2</cp:revision>
  <cp:lastPrinted>2016-05-26T09:50:00Z</cp:lastPrinted>
  <dcterms:created xsi:type="dcterms:W3CDTF">2024-11-14T11:21:00Z</dcterms:created>
  <dcterms:modified xsi:type="dcterms:W3CDTF">2024-11-14T11:21:00Z</dcterms:modified>
</cp:coreProperties>
</file>