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96D" w:rsidRPr="005E51A9" w:rsidRDefault="006E524A">
      <w:pPr>
        <w:rPr>
          <w:rFonts w:ascii="Arial" w:hAnsi="Arial" w:cs="Arial"/>
          <w:sz w:val="24"/>
          <w:szCs w:val="24"/>
        </w:rPr>
      </w:pPr>
      <w:r w:rsidRPr="005E51A9">
        <w:rPr>
          <w:rFonts w:ascii="Arial" w:hAnsi="Arial" w:cs="Arial"/>
          <w:sz w:val="24"/>
          <w:szCs w:val="24"/>
        </w:rPr>
        <w:t>RENDICONTO DI GESTIONE i</w:t>
      </w:r>
      <w:r w:rsidR="005145A4" w:rsidRPr="005E51A9">
        <w:rPr>
          <w:rFonts w:ascii="Arial" w:hAnsi="Arial" w:cs="Arial"/>
          <w:sz w:val="24"/>
          <w:szCs w:val="24"/>
        </w:rPr>
        <w:t xml:space="preserve">l rendiconto si presenta come un documento complesso ed articolato; in esso, al fianco della relazione illustrativa della giunta troviamo modelli specificatamente contabili, particolarmente tecnici e per questo difficilmente leggibili, quali il conto del bilancio, il conto del patrimonio ed il conto economico. La principale funzione del rendiconto è quella di misurare in termini di valore una serie di grandezze quantitative e qualitative, al fine di rendere conto dell’attuazione dei programmi e dei progetti. Le informazioni che si ricavano dal rendiconto vanno ad alimentare un ampio sistema informativo, il quale restituisce, </w:t>
      </w:r>
      <w:r w:rsidR="005145A4" w:rsidRPr="005E51A9">
        <w:rPr>
          <w:rFonts w:ascii="Arial" w:hAnsi="Arial" w:cs="Arial"/>
          <w:sz w:val="24"/>
          <w:szCs w:val="24"/>
          <w:u w:val="single"/>
        </w:rPr>
        <w:t>tra le altre, informazioni destinate alla valutazione della maggiore o minore convenienza di certe scelte politiche e dei relativi programmi</w:t>
      </w:r>
      <w:r w:rsidR="005145A4" w:rsidRPr="005E51A9">
        <w:rPr>
          <w:rFonts w:ascii="Arial" w:hAnsi="Arial" w:cs="Arial"/>
          <w:sz w:val="24"/>
          <w:szCs w:val="24"/>
        </w:rPr>
        <w:t>. Come strumento conoscitivo nei rapporti tra Consiglio, Giunta e Responsabili di Servizio, il rendiconto della gestione si caratterizza per due funzioni specifiche:</w:t>
      </w:r>
    </w:p>
    <w:p w:rsidR="005145A4" w:rsidRPr="005E51A9" w:rsidRDefault="005145A4">
      <w:pPr>
        <w:rPr>
          <w:rFonts w:ascii="Arial" w:hAnsi="Arial" w:cs="Arial"/>
          <w:sz w:val="24"/>
          <w:szCs w:val="24"/>
        </w:rPr>
      </w:pPr>
      <w:r w:rsidRPr="005E51A9">
        <w:rPr>
          <w:rFonts w:ascii="Arial" w:hAnsi="Arial" w:cs="Arial"/>
          <w:sz w:val="24"/>
          <w:szCs w:val="24"/>
        </w:rPr>
        <w:t>1) dimostrazione delle operazioni poste in essere durante la gestione e dei relativi risultati conseguiti in termini di equilibrio finanziario, economico e patrimoniale;</w:t>
      </w:r>
    </w:p>
    <w:p w:rsidR="005145A4" w:rsidRPr="005E51A9" w:rsidRDefault="005145A4">
      <w:pPr>
        <w:rPr>
          <w:rFonts w:ascii="Arial" w:hAnsi="Arial" w:cs="Arial"/>
          <w:sz w:val="24"/>
          <w:szCs w:val="24"/>
        </w:rPr>
      </w:pPr>
      <w:r w:rsidRPr="005E51A9">
        <w:rPr>
          <w:rFonts w:ascii="Arial" w:hAnsi="Arial" w:cs="Arial"/>
          <w:sz w:val="24"/>
          <w:szCs w:val="24"/>
        </w:rPr>
        <w:t xml:space="preserve"> 2) controllo da parte degli organi politici e del collegio dei revisori dei conti.</w:t>
      </w:r>
    </w:p>
    <w:p w:rsidR="005145A4" w:rsidRPr="005E51A9" w:rsidRDefault="005145A4">
      <w:pPr>
        <w:rPr>
          <w:rFonts w:ascii="Arial" w:hAnsi="Arial" w:cs="Arial"/>
          <w:sz w:val="24"/>
          <w:szCs w:val="24"/>
        </w:rPr>
      </w:pPr>
      <w:r w:rsidRPr="005E51A9">
        <w:rPr>
          <w:rFonts w:ascii="Arial" w:hAnsi="Arial" w:cs="Arial"/>
          <w:sz w:val="24"/>
          <w:szCs w:val="24"/>
        </w:rPr>
        <w:t xml:space="preserve">La finalità del rendiconto è quella di fornire informazioni in merito al grado di attuazione dei programmi, alla situazione patrimoniale - finanziaria, all’andamento economico ed ai cambiamenti della situazione patrimoniale – finanziaria di un ente locale a beneficio di un’ampia serie di utilizzatori del rendiconto nel loro processo di decisione politica, sociale ed economica. </w:t>
      </w:r>
    </w:p>
    <w:p w:rsidR="005145A4" w:rsidRPr="005E51A9" w:rsidRDefault="005145A4">
      <w:pPr>
        <w:rPr>
          <w:rFonts w:ascii="Arial" w:hAnsi="Arial" w:cs="Arial"/>
          <w:sz w:val="24"/>
          <w:szCs w:val="24"/>
        </w:rPr>
      </w:pPr>
      <w:r w:rsidRPr="005E51A9">
        <w:rPr>
          <w:rFonts w:ascii="Arial" w:hAnsi="Arial" w:cs="Arial"/>
          <w:sz w:val="24"/>
          <w:szCs w:val="24"/>
        </w:rPr>
        <w:t xml:space="preserve"> Il rendiconto deve soddisfare le esigenze comuni della gran parte degli utilizzatori. Per altro, il rendiconto non fornisce tutte le informazioni di cui gli utilizzatori potrebbero aver bisogno per prendere le loro decisioni poiché riflette per lo più gli effetti economici e finanziari di eventi passati</w:t>
      </w:r>
    </w:p>
    <w:p w:rsidR="005145A4" w:rsidRPr="005E51A9" w:rsidRDefault="005145A4">
      <w:pPr>
        <w:rPr>
          <w:rFonts w:ascii="Arial" w:hAnsi="Arial" w:cs="Arial"/>
          <w:sz w:val="24"/>
          <w:szCs w:val="24"/>
        </w:rPr>
      </w:pPr>
      <w:r w:rsidRPr="005E51A9">
        <w:rPr>
          <w:rFonts w:ascii="Arial" w:hAnsi="Arial" w:cs="Arial"/>
          <w:sz w:val="24"/>
          <w:szCs w:val="24"/>
        </w:rPr>
        <w:t>SI COMPONE DI :</w:t>
      </w:r>
    </w:p>
    <w:p w:rsidR="005145A4" w:rsidRPr="005E51A9" w:rsidRDefault="005145A4" w:rsidP="005145A4">
      <w:pPr>
        <w:pStyle w:val="Paragrafoelenco"/>
        <w:numPr>
          <w:ilvl w:val="0"/>
          <w:numId w:val="1"/>
        </w:numPr>
        <w:rPr>
          <w:rFonts w:ascii="Arial" w:hAnsi="Arial" w:cs="Arial"/>
          <w:sz w:val="24"/>
          <w:szCs w:val="24"/>
        </w:rPr>
      </w:pPr>
      <w:r w:rsidRPr="005E51A9">
        <w:rPr>
          <w:rFonts w:ascii="Arial" w:hAnsi="Arial" w:cs="Arial"/>
          <w:sz w:val="24"/>
          <w:szCs w:val="24"/>
        </w:rPr>
        <w:t>CONTO DI BILANCIO</w:t>
      </w:r>
    </w:p>
    <w:p w:rsidR="005145A4" w:rsidRPr="005E51A9" w:rsidRDefault="005145A4" w:rsidP="005145A4">
      <w:pPr>
        <w:pStyle w:val="Paragrafoelenco"/>
        <w:numPr>
          <w:ilvl w:val="0"/>
          <w:numId w:val="1"/>
        </w:numPr>
        <w:rPr>
          <w:rFonts w:ascii="Arial" w:hAnsi="Arial" w:cs="Arial"/>
          <w:sz w:val="24"/>
          <w:szCs w:val="24"/>
        </w:rPr>
      </w:pPr>
      <w:r w:rsidRPr="005E51A9">
        <w:rPr>
          <w:rFonts w:ascii="Arial" w:hAnsi="Arial" w:cs="Arial"/>
          <w:sz w:val="24"/>
          <w:szCs w:val="24"/>
        </w:rPr>
        <w:t>CONTO ECONOMICO</w:t>
      </w:r>
    </w:p>
    <w:p w:rsidR="005145A4" w:rsidRPr="005E51A9" w:rsidRDefault="005145A4" w:rsidP="005145A4">
      <w:pPr>
        <w:pStyle w:val="Paragrafoelenco"/>
        <w:numPr>
          <w:ilvl w:val="0"/>
          <w:numId w:val="1"/>
        </w:numPr>
        <w:rPr>
          <w:rFonts w:ascii="Arial" w:hAnsi="Arial" w:cs="Arial"/>
          <w:sz w:val="24"/>
          <w:szCs w:val="24"/>
        </w:rPr>
      </w:pPr>
      <w:r w:rsidRPr="005E51A9">
        <w:rPr>
          <w:rFonts w:ascii="Arial" w:hAnsi="Arial" w:cs="Arial"/>
          <w:sz w:val="24"/>
          <w:szCs w:val="24"/>
        </w:rPr>
        <w:t>CONTO PATRIMONIALE</w:t>
      </w:r>
    </w:p>
    <w:p w:rsidR="005145A4" w:rsidRPr="005E51A9" w:rsidRDefault="005145A4" w:rsidP="005145A4">
      <w:pPr>
        <w:rPr>
          <w:rFonts w:ascii="Arial" w:hAnsi="Arial" w:cs="Arial"/>
          <w:sz w:val="24"/>
          <w:szCs w:val="24"/>
        </w:rPr>
      </w:pPr>
      <w:r w:rsidRPr="005E51A9">
        <w:rPr>
          <w:rFonts w:ascii="Arial" w:hAnsi="Arial" w:cs="Arial"/>
          <w:sz w:val="24"/>
          <w:szCs w:val="24"/>
        </w:rPr>
        <w:sym w:font="Wingdings" w:char="F0E0"/>
      </w:r>
      <w:r w:rsidRPr="005E51A9">
        <w:rPr>
          <w:rFonts w:ascii="Arial" w:hAnsi="Arial" w:cs="Arial"/>
          <w:sz w:val="24"/>
          <w:szCs w:val="24"/>
        </w:rPr>
        <w:t xml:space="preserve">Prima dell’inserimento nel conto del bilancio dei residui attivi e passivi l’ente locale deve provvedere all’operazione di </w:t>
      </w:r>
      <w:r w:rsidRPr="005E51A9">
        <w:rPr>
          <w:rFonts w:ascii="Arial" w:hAnsi="Arial" w:cs="Arial"/>
          <w:b/>
          <w:sz w:val="24"/>
          <w:szCs w:val="24"/>
        </w:rPr>
        <w:t>riaccertamento</w:t>
      </w:r>
      <w:r w:rsidRPr="005E51A9">
        <w:rPr>
          <w:rFonts w:ascii="Arial" w:hAnsi="Arial" w:cs="Arial"/>
          <w:sz w:val="24"/>
          <w:szCs w:val="24"/>
        </w:rPr>
        <w:t xml:space="preserve"> degli stessi, consistente nella revisione delle ragioni del mantenimento in tutto o in parte dei residui</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In concreto, si procede ad un puntuale riscontro, </w:t>
      </w:r>
      <w:r w:rsidRPr="005E51A9">
        <w:rPr>
          <w:rFonts w:ascii="Arial" w:hAnsi="Arial" w:cs="Arial"/>
          <w:b/>
          <w:sz w:val="24"/>
          <w:szCs w:val="24"/>
        </w:rPr>
        <w:t>per la parte entrata</w:t>
      </w:r>
      <w:r w:rsidRPr="005E51A9">
        <w:rPr>
          <w:rFonts w:ascii="Arial" w:hAnsi="Arial" w:cs="Arial"/>
          <w:sz w:val="24"/>
          <w:szCs w:val="24"/>
        </w:rPr>
        <w:t>, su ciascun accertamento di entrata della presenza dei seguenti elementi:</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verifica della esistenza del credito;</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esistenza di un titolo giuridico diretto a comprovarlo; </w:t>
      </w:r>
    </w:p>
    <w:p w:rsidR="005145A4" w:rsidRPr="005E51A9" w:rsidRDefault="005145A4" w:rsidP="005145A4">
      <w:pPr>
        <w:rPr>
          <w:rFonts w:ascii="Arial" w:hAnsi="Arial" w:cs="Arial"/>
          <w:sz w:val="24"/>
          <w:szCs w:val="24"/>
        </w:rPr>
      </w:pPr>
      <w:r w:rsidRPr="005E51A9">
        <w:rPr>
          <w:rFonts w:ascii="Arial" w:hAnsi="Arial" w:cs="Arial"/>
          <w:sz w:val="24"/>
          <w:szCs w:val="24"/>
        </w:rPr>
        <w:t>– individuazione del debitore;</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quantificazione della somma da incassare; </w:t>
      </w:r>
    </w:p>
    <w:p w:rsidR="005145A4" w:rsidRPr="005E51A9" w:rsidRDefault="005145A4" w:rsidP="005145A4">
      <w:pPr>
        <w:rPr>
          <w:rFonts w:ascii="Arial" w:hAnsi="Arial" w:cs="Arial"/>
          <w:sz w:val="24"/>
          <w:szCs w:val="24"/>
        </w:rPr>
      </w:pPr>
      <w:r w:rsidRPr="005E51A9">
        <w:rPr>
          <w:rFonts w:ascii="Arial" w:hAnsi="Arial" w:cs="Arial"/>
          <w:sz w:val="24"/>
          <w:szCs w:val="24"/>
        </w:rPr>
        <w:lastRenderedPageBreak/>
        <w:t>– fissazione della data di scadenza del credito, al fine di verificare se, dunque, la somma iscritta in bilancio presenti i requisiti sufficienti per un rinvio del suo incasso nell’anno successivo. Nel contempo si procede  all’eliminazione dalla gestione di competenza e da quella dei residui delle somme non accertate, predisponendo i relativi provvedimenti amministrativi.</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Allo stesso modo di quanto visto per la parte entrata, si procede per la </w:t>
      </w:r>
      <w:r w:rsidRPr="005E51A9">
        <w:rPr>
          <w:rFonts w:ascii="Arial" w:hAnsi="Arial" w:cs="Arial"/>
          <w:b/>
          <w:sz w:val="24"/>
          <w:szCs w:val="24"/>
        </w:rPr>
        <w:t>parte spesa</w:t>
      </w:r>
      <w:r w:rsidRPr="005E51A9">
        <w:rPr>
          <w:rFonts w:ascii="Arial" w:hAnsi="Arial" w:cs="Arial"/>
          <w:sz w:val="24"/>
          <w:szCs w:val="24"/>
        </w:rPr>
        <w:t>, per la quale i responsabili dei servizi porranno in essere le stesse operazioni dirette a verificare la sussistenza degli elementi essenziali per l’individuazione di un residuo passivo e per la sua conservazione, ossia:</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esistenza di una obbligazione giuridicamente perfezionata (legge, contratto, sentenza o altro titolo);</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quantificazione della somma da pagare;</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determinazione del soggetto creditore;</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 indicazione della causale e della ragione del debito; </w:t>
      </w:r>
    </w:p>
    <w:p w:rsidR="005145A4" w:rsidRPr="005E51A9" w:rsidRDefault="005145A4" w:rsidP="005145A4">
      <w:pPr>
        <w:rPr>
          <w:rFonts w:ascii="Arial" w:hAnsi="Arial" w:cs="Arial"/>
          <w:sz w:val="24"/>
          <w:szCs w:val="24"/>
        </w:rPr>
      </w:pPr>
      <w:r w:rsidRPr="005E51A9">
        <w:rPr>
          <w:rFonts w:ascii="Arial" w:hAnsi="Arial" w:cs="Arial"/>
          <w:sz w:val="24"/>
          <w:szCs w:val="24"/>
        </w:rPr>
        <w:t>- costituzione del vincolo sulle previsioni di bilancio, in concomitanza con la verifica della necessaria disponibilità finanziaria.</w:t>
      </w:r>
    </w:p>
    <w:p w:rsidR="005145A4" w:rsidRPr="005E51A9" w:rsidRDefault="005145A4" w:rsidP="005145A4">
      <w:pPr>
        <w:rPr>
          <w:rFonts w:ascii="Arial" w:hAnsi="Arial" w:cs="Arial"/>
          <w:sz w:val="24"/>
          <w:szCs w:val="24"/>
        </w:rPr>
      </w:pPr>
      <w:r w:rsidRPr="005E51A9">
        <w:rPr>
          <w:rFonts w:ascii="Arial" w:hAnsi="Arial" w:cs="Arial"/>
          <w:i/>
          <w:sz w:val="24"/>
          <w:szCs w:val="24"/>
        </w:rPr>
        <w:t>Al termine delle operazioni innanzi descritte, è possibile quantificare l’ammontare dei residui attivi e passivi da inserire nel conto del bilancio.</w:t>
      </w:r>
      <w:r w:rsidRPr="005E51A9">
        <w:rPr>
          <w:rFonts w:ascii="Arial" w:hAnsi="Arial" w:cs="Arial"/>
          <w:sz w:val="24"/>
          <w:szCs w:val="24"/>
        </w:rPr>
        <w:t xml:space="preserve"> E’ il responsabile dei servizi finanziari che provvede a riepilogare in una determinazione riassuntiva di riaccertamento dei residui attivi e passivi prendendo atto delle note dei singoli responsabili di servizio, e, quindi, ad inserire nel conto del bilancio dell’ente esclusivamente quelle somme per le quali sia stata accertata la presenza dei requisiti in precedenza elencati.</w:t>
      </w:r>
    </w:p>
    <w:p w:rsidR="005145A4" w:rsidRPr="005E51A9" w:rsidRDefault="005145A4" w:rsidP="005145A4">
      <w:pPr>
        <w:rPr>
          <w:rFonts w:ascii="Arial" w:hAnsi="Arial" w:cs="Arial"/>
          <w:sz w:val="24"/>
          <w:szCs w:val="24"/>
        </w:rPr>
      </w:pPr>
      <w:r w:rsidRPr="005E51A9">
        <w:rPr>
          <w:rFonts w:ascii="Arial" w:hAnsi="Arial" w:cs="Arial"/>
          <w:sz w:val="24"/>
          <w:szCs w:val="24"/>
        </w:rPr>
        <w:t>l conto del bilancio si concluda con la dimostrazione del "</w:t>
      </w:r>
      <w:r w:rsidRPr="005E51A9">
        <w:rPr>
          <w:rFonts w:ascii="Arial" w:hAnsi="Arial" w:cs="Arial"/>
          <w:b/>
          <w:sz w:val="24"/>
          <w:szCs w:val="24"/>
        </w:rPr>
        <w:t>risultato contabile di gestione" e con il "risultato contabile di amministrazione,</w:t>
      </w:r>
      <w:r w:rsidRPr="005E51A9">
        <w:rPr>
          <w:rFonts w:ascii="Arial" w:hAnsi="Arial" w:cs="Arial"/>
          <w:sz w:val="24"/>
          <w:szCs w:val="24"/>
        </w:rPr>
        <w:t xml:space="preserve"> in termini di avanzo, pareggio o disavanzo". Il risultato contabile di gestione e il risultato contabile di amministrazione rappresentano, sotto due diversi aspetti, il risultato differenziale dei movimenti finanziari in entrata e in uscita. Questo risultato differenziale può assume tre valori:</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1) se &gt; 0, si parla di avanzo; </w:t>
      </w:r>
    </w:p>
    <w:p w:rsidR="005145A4" w:rsidRPr="005E51A9" w:rsidRDefault="005145A4" w:rsidP="005145A4">
      <w:pPr>
        <w:rPr>
          <w:rFonts w:ascii="Arial" w:hAnsi="Arial" w:cs="Arial"/>
          <w:sz w:val="24"/>
          <w:szCs w:val="24"/>
        </w:rPr>
      </w:pPr>
      <w:r w:rsidRPr="005E51A9">
        <w:rPr>
          <w:rFonts w:ascii="Arial" w:hAnsi="Arial" w:cs="Arial"/>
          <w:sz w:val="24"/>
          <w:szCs w:val="24"/>
        </w:rPr>
        <w:t>2) se &lt; 0, si parla di disavanzo;</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3) se = 0, situazione di pareggio.</w:t>
      </w:r>
    </w:p>
    <w:p w:rsidR="005145A4" w:rsidRPr="005E51A9" w:rsidRDefault="005145A4" w:rsidP="005145A4">
      <w:pPr>
        <w:rPr>
          <w:rFonts w:ascii="Arial" w:hAnsi="Arial" w:cs="Arial"/>
          <w:sz w:val="24"/>
          <w:szCs w:val="24"/>
        </w:rPr>
      </w:pPr>
      <w:r w:rsidRPr="005E51A9">
        <w:rPr>
          <w:rFonts w:ascii="Arial" w:hAnsi="Arial" w:cs="Arial"/>
          <w:sz w:val="24"/>
          <w:szCs w:val="24"/>
        </w:rPr>
        <w:t xml:space="preserve"> Mentre il risultato di amministrazione tiene conto della consistenza di cassa e di tutti i residui esistenti alla fine dell’esercizio, compresi quelli riferiti ad anni precedenti, il risultato di gestione deriva dalla gestione di competenza pura del bilancio di previsione</w:t>
      </w:r>
      <w:r w:rsidR="006E524A" w:rsidRPr="005E51A9">
        <w:rPr>
          <w:rFonts w:ascii="Arial" w:hAnsi="Arial" w:cs="Arial"/>
          <w:sz w:val="24"/>
          <w:szCs w:val="24"/>
        </w:rPr>
        <w:t xml:space="preserve"> senza considerare la gestione dei residui</w:t>
      </w:r>
      <w:r w:rsidRPr="005E51A9">
        <w:rPr>
          <w:rFonts w:ascii="Arial" w:hAnsi="Arial" w:cs="Arial"/>
          <w:sz w:val="24"/>
          <w:szCs w:val="24"/>
        </w:rPr>
        <w:t>.</w:t>
      </w:r>
    </w:p>
    <w:p w:rsidR="005145A4" w:rsidRPr="005E51A9" w:rsidRDefault="005145A4" w:rsidP="005145A4">
      <w:pPr>
        <w:rPr>
          <w:rFonts w:ascii="Arial" w:hAnsi="Arial" w:cs="Arial"/>
          <w:sz w:val="24"/>
          <w:szCs w:val="24"/>
        </w:rPr>
      </w:pPr>
      <w:r w:rsidRPr="005E51A9">
        <w:rPr>
          <w:rFonts w:ascii="Arial" w:hAnsi="Arial" w:cs="Arial"/>
          <w:sz w:val="24"/>
          <w:szCs w:val="24"/>
        </w:rPr>
        <w:t>Dunque, il risultato di amministrazione sarà pari alla sommatoria del risultato della gestione di competenza e della gestione residui,</w:t>
      </w:r>
    </w:p>
    <w:p w:rsidR="005145A4" w:rsidRPr="005E51A9" w:rsidRDefault="005145A4" w:rsidP="005145A4">
      <w:pPr>
        <w:rPr>
          <w:rFonts w:ascii="Arial" w:hAnsi="Arial" w:cs="Arial"/>
          <w:sz w:val="24"/>
          <w:szCs w:val="24"/>
        </w:rPr>
      </w:pPr>
      <w:r w:rsidRPr="005E51A9">
        <w:rPr>
          <w:rFonts w:ascii="Arial" w:hAnsi="Arial" w:cs="Arial"/>
          <w:sz w:val="24"/>
          <w:szCs w:val="24"/>
        </w:rPr>
        <w:lastRenderedPageBreak/>
        <w:t>Il risultato di amministrazione, viceversa, trova la sua determinazione nell’apposito quadro riassuntivo della gestione finanziaria, articolato in riscossioni e pagamenti, sia in conto competenza che in conto residui che hanno alimentato la dinamica monetaria del fondo cassa e in residui attivi e passivi, sempre distinti tra competenza e gestioni residui, la cui somma algebrica applicata al fondo cassa al 31/12 dell’esercizio di riferimento porta al suddetto risultato.</w:t>
      </w:r>
    </w:p>
    <w:p w:rsidR="006E524A" w:rsidRPr="005E51A9" w:rsidRDefault="006E524A" w:rsidP="005145A4">
      <w:pPr>
        <w:rPr>
          <w:rFonts w:ascii="Arial" w:hAnsi="Arial" w:cs="Arial"/>
          <w:sz w:val="24"/>
          <w:szCs w:val="24"/>
        </w:rPr>
      </w:pPr>
      <w:r w:rsidRPr="005E51A9">
        <w:rPr>
          <w:rFonts w:ascii="Arial" w:hAnsi="Arial" w:cs="Arial"/>
          <w:sz w:val="24"/>
          <w:szCs w:val="24"/>
        </w:rPr>
        <w:t>Occorre premettere che l’avanzo non è un risultato di per sé da perseguire per gli enti locali, salvo il caso in cui esso venga destinato a scopi precisi, quali ad esempio gli investimenti. L’esistenza dell’avanzo può dar luogo a critiche in quanto può significare che gli amministratori non hanno utilizzato tutte le risorse per raggiungere gli obiettivi programmati, oppure può significare che, avendo raggiunto gli obiettivi, è stato chiesto uno sforzo maggiore alla collettività, sotto forma di prelievo fiscale e tariffario. La presenza di un avanzo da destinare agli investimenti è positivo per la collettività in quanto l’utilizzo di mezzi propri porterà a risparmiare oneri finanziari e ad ottenere infrastrutture a minori costi con sensibili risparmi. L'avanzo di amministrazione è in: 1) fondi non vincolati; 2) fondi vincolati per destinazione; 3) fondi per il finanziamento delle spese in conto capitale; 4) fondi di ammortamento. Per quanto concerne gli ammortamenti, essi sono iscritti nella parte corrente dello stato di previsione della spesa, in apposito intervento per ciascun servizio.</w:t>
      </w:r>
    </w:p>
    <w:p w:rsidR="006E524A" w:rsidRPr="005E51A9" w:rsidRDefault="006E524A" w:rsidP="005145A4">
      <w:pPr>
        <w:rPr>
          <w:rFonts w:ascii="Arial" w:hAnsi="Arial" w:cs="Arial"/>
          <w:sz w:val="24"/>
          <w:szCs w:val="24"/>
        </w:rPr>
      </w:pPr>
      <w:r w:rsidRPr="005E51A9">
        <w:rPr>
          <w:rFonts w:ascii="Arial" w:hAnsi="Arial" w:cs="Arial"/>
          <w:sz w:val="24"/>
          <w:szCs w:val="24"/>
        </w:rPr>
        <w:t>Su questi stanziamenti, destinati ad accantonare risorse, non possono essere assunti impegni di spesa, tenuto conto che "l'utilizzazione delle relative somme è effettuata dopo che gli importi sono rifluiti nel risultato di amministrazione di fine esercizio": le economie di spesa che si producono costituiscono componente positiva del risultato di amministrazione. Per quanto concerne i fondi vincolati, si tratta delle risorse pervenute all'ente con il vincolo di utilizzarle in determinati modi. Sorge il problema interpretativo di che cosa debba intendersi per "entrate aventi destinazione vincolata". A tal fine, un primo elemento da considerare è il fatto che queste risorse devono avere una destinazione specifica, mentre non appare sufficiente il generico vincolo di impiegare in spese di investimento le entrate dei titoli IV e V (non si giustificherebbero altrimenti i fondi per il finanziamento di spese di investimento). Un secondo elemento da prendere in considerazione è che la presenza di fondi vincolati, come componenti del risultato di amministrazione, ha significato soltanto se si interpreta in modo restrittivo la disposizione contenuta all'art. 183, comma 5 TUEL, secondo cui "si considerano impegnati gli stanziamenti di spesa correlati ad accertamenti di entrata aventi destinazione vincolata per legge". L'interpretazione restrittiva suddetta porta a distinguere le entrate con vincolo specifico di destinazione in: a) entrate vincolate per legge; b) entrate i cui vincoli di destinazione non sono imposti da leggi. Nel caso di entrate aventi specifica destinazione per legge, come anche nel caso di risorse acquisite attraverso operazioni di indebitamento contratte per finanziare specifiche iniziative, in base all'art. 183 comma 5, "a seguito del loro accertamento le spese correlate si devono intendere comunque impegnate".</w:t>
      </w:r>
    </w:p>
    <w:p w:rsidR="006E524A" w:rsidRPr="005E51A9" w:rsidRDefault="006E524A" w:rsidP="005145A4">
      <w:pPr>
        <w:rPr>
          <w:rFonts w:ascii="Arial" w:hAnsi="Arial" w:cs="Arial"/>
          <w:sz w:val="24"/>
          <w:szCs w:val="24"/>
        </w:rPr>
      </w:pPr>
      <w:r w:rsidRPr="005E51A9">
        <w:rPr>
          <w:rFonts w:ascii="Arial" w:hAnsi="Arial" w:cs="Arial"/>
          <w:sz w:val="24"/>
          <w:szCs w:val="24"/>
        </w:rPr>
        <w:t xml:space="preserve">Nel caso di entrate a destinazione vincolata, ma non per legge, si tratta di componenti dell'avanzo e concorrono alla formazione di economie e non di residui. La terza grandezza in cui va scomposto il complessivo avanzo di amministrazione, attiene ai fondi destinati al </w:t>
      </w:r>
      <w:r w:rsidRPr="005E51A9">
        <w:rPr>
          <w:rFonts w:ascii="Arial" w:hAnsi="Arial" w:cs="Arial"/>
          <w:sz w:val="24"/>
          <w:szCs w:val="24"/>
        </w:rPr>
        <w:lastRenderedPageBreak/>
        <w:t>finanziamento di spese in conto capitale. Le ipotesi rientranti in questa fattispecie sono molteplici e si caratterizzano per l'esistenza di un vincolo generico di destinazione. Più specificamente, tra le diverse forme di finanziamento, i fondi in esame sono relativi a: - entrate derivanti da alienazioni di beni e da riscossione crediti (Titolo IV dell'entrata); - trasferimenti in conto capitale (Titolo IV dell'entrata); - mutui non specificamente vincolati (Titolo V dell'entrata); - quota parte dell'avanzo di amministrazione del penultimo esercizio che, in conformità ai vincoli inerenti l'utilizzazione dell'avanzo, è stata destinata ad investimenti nell'esercizio a cui il risultato di amministrazione si riferisce. Oltre a queste, bisogna tener conto anche delle somme accantonate per ammortamento nel penultimo esercizio e destinate ad investimenti nell'esercizio a cui l'avanzo si riferisce. Infine, per quanto concerne i fondi non vincolati, si tratta della grandezza residuale costituita dalla parte dell'avanzo di amministrazione risultante dopo aver estrapolato da questo le tre componenti già viste. Dal momento che i fondi vincolati, i fondi per il finanziamento delle spese in conto capitale e i fondi accantonati per l'ammortamento dei beni strumentali mantengono la loro specifica destinazione, la parte dell'avanzo di amministrazione relativa ai fondi non vincolati viene utilizzata seguendo l'ordine di priorità così definto: a) reinvestimento delle quote accantonate per ammortamento; b) copertura dei debiti fuori bilancio; c) provvedimenti necessari per la salvaguardia degli equilibri di bilancio e per il finanziamento delle spese correnti una tantum; d) finanziamento di spese di investimento</w:t>
      </w:r>
    </w:p>
    <w:p w:rsidR="00CA2888" w:rsidRPr="005E51A9" w:rsidRDefault="00CA2888" w:rsidP="005145A4">
      <w:pPr>
        <w:rPr>
          <w:rFonts w:ascii="Arial" w:hAnsi="Arial" w:cs="Arial"/>
          <w:sz w:val="24"/>
          <w:szCs w:val="24"/>
        </w:rPr>
      </w:pPr>
      <w:r w:rsidRPr="005E51A9">
        <w:rPr>
          <w:rFonts w:ascii="Arial" w:hAnsi="Arial" w:cs="Arial"/>
          <w:sz w:val="24"/>
          <w:szCs w:val="24"/>
        </w:rPr>
        <w:t>Dell’eventuale avanzo ne abbiamo già parlato.. ma del disavanzo ?</w:t>
      </w:r>
    </w:p>
    <w:p w:rsidR="00CA2888" w:rsidRPr="005E51A9" w:rsidRDefault="00CA2888" w:rsidP="005145A4">
      <w:pPr>
        <w:rPr>
          <w:rFonts w:ascii="Arial" w:hAnsi="Arial" w:cs="Arial"/>
          <w:sz w:val="24"/>
          <w:szCs w:val="24"/>
        </w:rPr>
      </w:pPr>
      <w:r w:rsidRPr="005E51A9">
        <w:rPr>
          <w:rFonts w:ascii="Arial" w:hAnsi="Arial" w:cs="Arial"/>
          <w:sz w:val="24"/>
          <w:szCs w:val="24"/>
        </w:rPr>
        <w:t xml:space="preserve"> Nel caso di accertamento in sede di rendicontazione di un disavanzo di amministrazione lo stesso deve essere ripianato con i provvedimenti diretti alla salvaguardia degli equilibri di bilancio di cui all’art. 193 TUEL, finalizzati a mantenere il pareggio finanziario del bilancio. La disposizione di cui all’art. 188 TUEL impone che al bilancio di previsione venga applicato in disavanzo di amministrazione accertato e proveniente dal passato esercizio oltre alle quote di ammortamento accantonate e non disponibili a causa dell’accertato disavanzo stesso. L’art. 193 TUEL consente di utilizzare, per l’anno in corso e per i due esercizi successivi, ai fini della copertura del disavanzo di gestione, tutte le entrate e le disponibilità, ad eccezione di quelle provenienti dall’assunzione di prestiti e di quelle aventi specifica destinazione per legge, nonché i proventi derivanti da alienazione di beni patrimoniali disponibili. Ovvio che questa disciplina è prevista per gli enti locali; il dlgs 118/2011 non parla invece delle regioni.</w:t>
      </w:r>
    </w:p>
    <w:p w:rsidR="00CA2888" w:rsidRPr="005E51A9" w:rsidRDefault="00CA2888" w:rsidP="005145A4">
      <w:pPr>
        <w:rPr>
          <w:rFonts w:ascii="Arial" w:hAnsi="Arial" w:cs="Arial"/>
          <w:b/>
          <w:sz w:val="24"/>
          <w:szCs w:val="24"/>
        </w:rPr>
      </w:pPr>
      <w:r w:rsidRPr="005E51A9">
        <w:rPr>
          <w:rFonts w:ascii="Arial" w:hAnsi="Arial" w:cs="Arial"/>
          <w:b/>
          <w:sz w:val="24"/>
          <w:szCs w:val="24"/>
        </w:rPr>
        <w:t xml:space="preserve">CONTO DEL PATRIMONIO </w:t>
      </w:r>
    </w:p>
    <w:p w:rsidR="00780829" w:rsidRPr="005E51A9" w:rsidRDefault="00780829" w:rsidP="00780829">
      <w:pPr>
        <w:spacing w:line="360" w:lineRule="atLeast"/>
        <w:rPr>
          <w:rFonts w:ascii="Arial" w:hAnsi="Arial" w:cs="Arial"/>
        </w:rPr>
      </w:pPr>
      <w:r w:rsidRPr="005E51A9">
        <w:rPr>
          <w:rFonts w:ascii="Arial" w:hAnsi="Arial" w:cs="Arial"/>
        </w:rPr>
        <w:t xml:space="preserve">L’inventario è il documento che elenca e descrive i beni dell’ente, ed in particolare le immobilizzazioni materiali, al fine di controllarne l’esistenza e di definirne il valore. Deve essere leggibile per </w:t>
      </w:r>
      <w:r w:rsidRPr="005E51A9">
        <w:rPr>
          <w:rFonts w:ascii="Arial" w:hAnsi="Arial" w:cs="Arial"/>
          <w:u w:val="single"/>
        </w:rPr>
        <w:t>categoria</w:t>
      </w:r>
      <w:r w:rsidRPr="005E51A9">
        <w:rPr>
          <w:rFonts w:ascii="Arial" w:hAnsi="Arial" w:cs="Arial"/>
        </w:rPr>
        <w:t xml:space="preserve"> di beni, per </w:t>
      </w:r>
      <w:r w:rsidRPr="005E51A9">
        <w:rPr>
          <w:rFonts w:ascii="Arial" w:hAnsi="Arial" w:cs="Arial"/>
          <w:u w:val="single"/>
        </w:rPr>
        <w:t>ubicazione</w:t>
      </w:r>
      <w:r w:rsidRPr="005E51A9">
        <w:rPr>
          <w:rFonts w:ascii="Arial" w:hAnsi="Arial" w:cs="Arial"/>
        </w:rPr>
        <w:t xml:space="preserve"> o </w:t>
      </w:r>
      <w:r w:rsidRPr="005E51A9">
        <w:rPr>
          <w:rFonts w:ascii="Arial" w:hAnsi="Arial" w:cs="Arial"/>
          <w:u w:val="single"/>
        </w:rPr>
        <w:t>destinazione</w:t>
      </w:r>
      <w:r w:rsidRPr="005E51A9">
        <w:rPr>
          <w:rFonts w:ascii="Arial" w:hAnsi="Arial" w:cs="Arial"/>
        </w:rPr>
        <w:t xml:space="preserve"> dei beni stessi. I movimenti che avvengono durante l’esercizio sono riepilogati annualmente nelle liste di carico e scarico.</w:t>
      </w:r>
    </w:p>
    <w:p w:rsidR="00780829" w:rsidRPr="005E51A9" w:rsidRDefault="00780829" w:rsidP="00780829">
      <w:pPr>
        <w:spacing w:line="360" w:lineRule="atLeast"/>
        <w:rPr>
          <w:rFonts w:ascii="Arial" w:hAnsi="Arial" w:cs="Arial"/>
        </w:rPr>
      </w:pPr>
      <w:r w:rsidRPr="005E51A9">
        <w:rPr>
          <w:rFonts w:ascii="Arial" w:hAnsi="Arial" w:cs="Arial"/>
        </w:rPr>
        <w:t>In senso logico, l’inventario è un presupposto del Conto del Patrimonio, ne rappresenta la parte più consistente e di difficile valorizzazione, a cui si aggiungono le immobilizzazioni immateriali contabilizzate su schede separate.</w:t>
      </w:r>
    </w:p>
    <w:p w:rsidR="00780829" w:rsidRPr="005E51A9" w:rsidRDefault="00780829" w:rsidP="00780829">
      <w:pPr>
        <w:spacing w:line="360" w:lineRule="atLeast"/>
        <w:rPr>
          <w:rFonts w:ascii="Arial" w:hAnsi="Arial" w:cs="Arial"/>
        </w:rPr>
      </w:pPr>
      <w:r w:rsidRPr="005E51A9">
        <w:rPr>
          <w:rFonts w:ascii="Arial" w:hAnsi="Arial" w:cs="Arial"/>
        </w:rPr>
        <w:lastRenderedPageBreak/>
        <w:t>Il Conto del Patrimonio è finalizzato a porre in evidenza il valore del Patrimonio netto, come differenza tra le attività e le passività, a cui concorrono, oltre alle immobilizzazioni materiali e immateriali, anche, nell’attivo, le immobilizzazioni finanziarie, le rimanenze, i crediti e le disponibilità liquide, nel passivo, i debiti. La valorizzazione delle immobilizzazioni in inventario porta anche alla determinazione degli ammortamenti, che vanno ad aggiornare l’inventario stesso, il conto del patrimonio e la contabilità per centri di costo nei fattori produttivi di natura non finanziaria</w:t>
      </w:r>
    </w:p>
    <w:p w:rsidR="00CA2888" w:rsidRPr="005E51A9" w:rsidRDefault="00CA2888" w:rsidP="00780829">
      <w:pPr>
        <w:spacing w:line="360" w:lineRule="atLeast"/>
        <w:rPr>
          <w:rFonts w:ascii="Arial" w:hAnsi="Arial" w:cs="Arial"/>
          <w:sz w:val="24"/>
          <w:szCs w:val="24"/>
        </w:rPr>
      </w:pPr>
      <w:r w:rsidRPr="005E51A9">
        <w:rPr>
          <w:rFonts w:ascii="Arial" w:hAnsi="Arial" w:cs="Arial"/>
          <w:b/>
          <w:sz w:val="24"/>
          <w:szCs w:val="24"/>
        </w:rPr>
        <w:t xml:space="preserve">Nel conto del patrimonio </w:t>
      </w:r>
      <w:r w:rsidR="00780829" w:rsidRPr="005E51A9">
        <w:rPr>
          <w:rFonts w:ascii="Arial" w:hAnsi="Arial" w:cs="Arial"/>
          <w:b/>
          <w:sz w:val="24"/>
          <w:szCs w:val="24"/>
        </w:rPr>
        <w:t xml:space="preserve"> quindi </w:t>
      </w:r>
      <w:r w:rsidRPr="005E51A9">
        <w:rPr>
          <w:rFonts w:ascii="Arial" w:hAnsi="Arial" w:cs="Arial"/>
          <w:b/>
          <w:sz w:val="24"/>
          <w:szCs w:val="24"/>
        </w:rPr>
        <w:t xml:space="preserve">devono essere rilevati il complesso dei beni e dei rapporti </w:t>
      </w:r>
      <w:r w:rsidR="00331595" w:rsidRPr="005E51A9">
        <w:rPr>
          <w:rFonts w:ascii="Arial" w:hAnsi="Arial" w:cs="Arial"/>
          <w:b/>
          <w:sz w:val="24"/>
          <w:szCs w:val="24"/>
        </w:rPr>
        <w:t>\1</w:t>
      </w:r>
      <w:r w:rsidRPr="005E51A9">
        <w:rPr>
          <w:rFonts w:ascii="Arial" w:hAnsi="Arial" w:cs="Arial"/>
          <w:b/>
          <w:sz w:val="24"/>
          <w:szCs w:val="24"/>
        </w:rPr>
        <w:t>giuridici, attivi e passivi di pertinenza dell'ente, suscettibili di valutazione</w:t>
      </w:r>
      <w:r w:rsidRPr="005E51A9">
        <w:rPr>
          <w:rFonts w:ascii="Arial" w:hAnsi="Arial" w:cs="Arial"/>
          <w:sz w:val="24"/>
          <w:szCs w:val="24"/>
        </w:rPr>
        <w:t xml:space="preserve"> . Il conto del patrimonio mette a confronto due stati patrimoniali: </w:t>
      </w:r>
      <w:r w:rsidRPr="005E51A9">
        <w:rPr>
          <w:rFonts w:ascii="Arial" w:hAnsi="Arial" w:cs="Arial"/>
          <w:sz w:val="24"/>
          <w:szCs w:val="24"/>
          <w:u w:val="single"/>
        </w:rPr>
        <w:t>la consistenza del patrimonio all'inizio dell'esercizio e lo stato patrimoniale a fine esercizio, evidenziando le variazioni intervenute dal conto finanziario distinte da quelle per cause extrafinanziarie</w:t>
      </w:r>
      <w:r w:rsidRPr="005E51A9">
        <w:rPr>
          <w:rFonts w:ascii="Arial" w:hAnsi="Arial" w:cs="Arial"/>
          <w:sz w:val="24"/>
          <w:szCs w:val="24"/>
        </w:rPr>
        <w:t>. La consistenza del patrimonio all'inizio dell'esercizio deve corrispondere alla consistenza finale dell'esercizio precedente come risulta deliberata dal consiglio in sede di approvazione del rendiconto. Ciascun valore incluso nel conto del patrimonio dovrà essere supportato da elementi finanziari (patrimonio finanziario) e da scritture inventariali (patrimonio permanente). Per questa ragione, l'inventario deve essere costantemente aggiornato, in quanto costituisce documento di dettaglio delle attività e passività dell'ente. Il valore delle immobilizzazioni da iscrivere nel conto del patrimonio è al netto del relativo fondo di ammortamento</w:t>
      </w:r>
    </w:p>
    <w:p w:rsidR="00780829" w:rsidRPr="005E51A9" w:rsidRDefault="00780829" w:rsidP="00780829">
      <w:pPr>
        <w:pStyle w:val="Corpodeltesto"/>
        <w:rPr>
          <w:rFonts w:ascii="Arial" w:hAnsi="Arial" w:cs="Arial"/>
        </w:rPr>
      </w:pPr>
      <w:r w:rsidRPr="005E51A9">
        <w:rPr>
          <w:rFonts w:ascii="Arial" w:hAnsi="Arial" w:cs="Arial"/>
        </w:rPr>
        <w:t>Per “ammortamento” si intende la valorizzazione economica di quote dei beni durevoli (a utilizzo pluriennale) utilizzati in ciascun esercizio, comprensivi dei costi delle eventuali manutenzioni straordinarie, che li riguardano. Sono da ammortizzare i “beni durevoli”, quali le immobilizzazioni immateriali e le immobilizzazioni materiali (mobili e immobili, con esclusione dei terreni), con l’eccezione (introdotta a fini di semplificazione) dei beni mobili di costo unitario inferiore a cinquecento Euro, che si considerano completamente ammortizzati nel primo esercizio di utilizzo, anche se utilizzati per più esercizi.</w:t>
      </w:r>
    </w:p>
    <w:p w:rsidR="00780829" w:rsidRPr="005E51A9" w:rsidRDefault="00780829" w:rsidP="00780829">
      <w:pPr>
        <w:pStyle w:val="Corpodeltesto"/>
        <w:rPr>
          <w:rFonts w:ascii="Arial" w:hAnsi="Arial" w:cs="Arial"/>
        </w:rPr>
      </w:pPr>
      <w:r w:rsidRPr="005E51A9">
        <w:rPr>
          <w:rFonts w:ascii="Arial" w:hAnsi="Arial" w:cs="Arial"/>
        </w:rPr>
        <w:t>E’ importante ricordare che in Valle d’Aosta l’ammortamento non ha rilevanza nella contabilità finanziaria, mentre è rilevante per la contabilità analitica.</w:t>
      </w:r>
    </w:p>
    <w:p w:rsidR="00780829" w:rsidRPr="005E51A9" w:rsidRDefault="00780829" w:rsidP="00780829">
      <w:pPr>
        <w:spacing w:line="360" w:lineRule="atLeast"/>
        <w:rPr>
          <w:rFonts w:ascii="Arial" w:hAnsi="Arial" w:cs="Arial"/>
        </w:rPr>
      </w:pPr>
      <w:r w:rsidRPr="005E51A9">
        <w:rPr>
          <w:rFonts w:ascii="Arial" w:hAnsi="Arial" w:cs="Arial"/>
        </w:rPr>
        <w:t>Per una corretta determinazione dell’ammortamento dei beni occorre procedere alle operazioni seguenti:</w:t>
      </w:r>
    </w:p>
    <w:p w:rsidR="00780829" w:rsidRPr="005E51A9" w:rsidRDefault="00780829" w:rsidP="00780829">
      <w:pPr>
        <w:numPr>
          <w:ilvl w:val="0"/>
          <w:numId w:val="2"/>
        </w:numPr>
        <w:spacing w:after="0" w:line="360" w:lineRule="atLeast"/>
        <w:jc w:val="both"/>
        <w:rPr>
          <w:rFonts w:ascii="Arial" w:hAnsi="Arial" w:cs="Arial"/>
        </w:rPr>
      </w:pPr>
      <w:r w:rsidRPr="005E51A9">
        <w:rPr>
          <w:rFonts w:ascii="Arial" w:hAnsi="Arial" w:cs="Arial"/>
        </w:rPr>
        <w:t>definire il criterio di ripartizione del costo complessivo da ammortizzare;</w:t>
      </w:r>
    </w:p>
    <w:p w:rsidR="00780829" w:rsidRPr="005E51A9" w:rsidRDefault="00780829" w:rsidP="00780829">
      <w:pPr>
        <w:numPr>
          <w:ilvl w:val="0"/>
          <w:numId w:val="2"/>
        </w:numPr>
        <w:spacing w:after="0" w:line="360" w:lineRule="atLeast"/>
        <w:jc w:val="both"/>
        <w:rPr>
          <w:rFonts w:ascii="Arial" w:hAnsi="Arial" w:cs="Arial"/>
        </w:rPr>
      </w:pPr>
      <w:r w:rsidRPr="005E51A9">
        <w:rPr>
          <w:rFonts w:ascii="Arial" w:hAnsi="Arial" w:cs="Arial"/>
        </w:rPr>
        <w:t>scegliere la durata del periodo (numero di anni) di ammortamento e della conseguente aliquota da applicare.</w:t>
      </w:r>
    </w:p>
    <w:p w:rsidR="00780829" w:rsidRPr="005E51A9" w:rsidRDefault="00780829" w:rsidP="00780829">
      <w:pPr>
        <w:spacing w:line="360" w:lineRule="atLeast"/>
        <w:rPr>
          <w:rFonts w:ascii="Arial" w:hAnsi="Arial" w:cs="Arial"/>
          <w:sz w:val="24"/>
          <w:szCs w:val="24"/>
        </w:rPr>
      </w:pPr>
    </w:p>
    <w:p w:rsidR="005E51A9" w:rsidRDefault="005E51A9" w:rsidP="005145A4">
      <w:pPr>
        <w:rPr>
          <w:rFonts w:ascii="Arial" w:hAnsi="Arial" w:cs="Arial"/>
          <w:b/>
          <w:color w:val="FF0000"/>
          <w:sz w:val="24"/>
          <w:szCs w:val="24"/>
        </w:rPr>
      </w:pPr>
    </w:p>
    <w:p w:rsidR="005E51A9" w:rsidRDefault="005E51A9" w:rsidP="005145A4">
      <w:pPr>
        <w:rPr>
          <w:rFonts w:ascii="Arial" w:hAnsi="Arial" w:cs="Arial"/>
          <w:b/>
          <w:color w:val="FF0000"/>
          <w:sz w:val="24"/>
          <w:szCs w:val="24"/>
        </w:rPr>
      </w:pPr>
    </w:p>
    <w:p w:rsidR="00CA2888" w:rsidRPr="005E51A9" w:rsidRDefault="00CA2888" w:rsidP="005145A4">
      <w:pPr>
        <w:rPr>
          <w:rFonts w:ascii="Arial" w:hAnsi="Arial" w:cs="Arial"/>
          <w:b/>
          <w:color w:val="FF0000"/>
          <w:sz w:val="24"/>
          <w:szCs w:val="24"/>
        </w:rPr>
      </w:pPr>
      <w:r w:rsidRPr="005E51A9">
        <w:rPr>
          <w:rFonts w:ascii="Arial" w:hAnsi="Arial" w:cs="Arial"/>
          <w:b/>
          <w:color w:val="FF0000"/>
          <w:sz w:val="24"/>
          <w:szCs w:val="24"/>
        </w:rPr>
        <w:lastRenderedPageBreak/>
        <w:t>Attivo</w:t>
      </w:r>
    </w:p>
    <w:p w:rsidR="00F51CFF" w:rsidRPr="005E51A9" w:rsidRDefault="00CA2888" w:rsidP="00F51CFF">
      <w:pPr>
        <w:rPr>
          <w:rFonts w:ascii="Arial" w:hAnsi="Arial" w:cs="Arial"/>
          <w:sz w:val="24"/>
          <w:szCs w:val="24"/>
        </w:rPr>
      </w:pPr>
      <w:r w:rsidRPr="005E51A9">
        <w:rPr>
          <w:rFonts w:ascii="Arial" w:hAnsi="Arial" w:cs="Arial"/>
          <w:sz w:val="24"/>
          <w:szCs w:val="24"/>
        </w:rPr>
        <w:t xml:space="preserve">a) </w:t>
      </w:r>
      <w:r w:rsidRPr="005E51A9">
        <w:rPr>
          <w:rFonts w:ascii="Arial" w:hAnsi="Arial" w:cs="Arial"/>
          <w:b/>
          <w:sz w:val="24"/>
          <w:szCs w:val="24"/>
        </w:rPr>
        <w:t>le immobilizzazioni immateriali</w:t>
      </w:r>
      <w:r w:rsidRPr="005E51A9">
        <w:rPr>
          <w:rFonts w:ascii="Arial" w:hAnsi="Arial" w:cs="Arial"/>
          <w:sz w:val="24"/>
          <w:szCs w:val="24"/>
        </w:rPr>
        <w:t xml:space="preserve"> (costi pluriennali capitalizzati</w:t>
      </w:r>
      <w:r w:rsidR="00F51CFF" w:rsidRPr="005E51A9">
        <w:rPr>
          <w:rFonts w:ascii="Arial" w:hAnsi="Arial" w:cs="Arial"/>
          <w:sz w:val="24"/>
          <w:szCs w:val="24"/>
        </w:rPr>
        <w:sym w:font="Wingdings" w:char="F0E0"/>
      </w:r>
      <w:r w:rsidR="00F51CFF" w:rsidRPr="005E51A9">
        <w:rPr>
          <w:rFonts w:ascii="Arial" w:hAnsi="Arial" w:cs="Arial"/>
          <w:sz w:val="24"/>
          <w:szCs w:val="24"/>
          <w:u w:val="single"/>
        </w:rPr>
        <w:t xml:space="preserve"> Immobilizzazioni immateriali (AI)</w:t>
      </w:r>
      <w:r w:rsidR="00F51CFF" w:rsidRPr="005E51A9">
        <w:rPr>
          <w:rFonts w:ascii="Arial" w:hAnsi="Arial" w:cs="Arial"/>
          <w:sz w:val="24"/>
          <w:szCs w:val="24"/>
        </w:rPr>
        <w:t xml:space="preserve"> Comprende tutti i costi diversi da quelli relativi ai beni materiali che non esauriscono la loro utilità nell'esercizio e che possono essere economicamente sospesi in quanto correlabili a proventi (o utilità) futuri. Comprendono tutti i beni privi di consistenza fisica. Il presupposto per l'iscrizione nell'attivo di tali costi è rappresentato dalla possibilità di dimostrare il rapporto causa-effetto tra il costo e i benefici futuri attesi dallo stesso. Sono classificabili nella voce i costi per:</w:t>
      </w:r>
    </w:p>
    <w:p w:rsidR="00F51CFF" w:rsidRPr="005E51A9" w:rsidRDefault="00F51CFF" w:rsidP="00F51CFF">
      <w:pPr>
        <w:rPr>
          <w:rFonts w:ascii="Arial" w:hAnsi="Arial" w:cs="Arial"/>
          <w:sz w:val="24"/>
          <w:szCs w:val="24"/>
        </w:rPr>
      </w:pPr>
      <w:r w:rsidRPr="005E51A9">
        <w:rPr>
          <w:rFonts w:ascii="Arial" w:hAnsi="Arial" w:cs="Arial"/>
          <w:sz w:val="24"/>
          <w:szCs w:val="24"/>
        </w:rPr>
        <w:t>spese straordinarie su beni di terzi; (le cosiddette migliorie ad esempio una manutenzione particolare su beni che l’ente prende in locazione da terzi)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costi di ricerca, pubblicità;</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spese per emissione di prestiti obbligazionari;</w:t>
      </w:r>
    </w:p>
    <w:p w:rsidR="00F51CFF" w:rsidRPr="005E51A9" w:rsidRDefault="00F51CFF" w:rsidP="00F51CFF">
      <w:pPr>
        <w:rPr>
          <w:rFonts w:ascii="Arial" w:hAnsi="Arial" w:cs="Arial"/>
          <w:sz w:val="24"/>
          <w:szCs w:val="24"/>
        </w:rPr>
      </w:pPr>
      <w:r w:rsidRPr="005E51A9">
        <w:rPr>
          <w:rFonts w:ascii="Arial" w:hAnsi="Arial" w:cs="Arial"/>
          <w:sz w:val="24"/>
          <w:szCs w:val="24"/>
        </w:rPr>
        <w:t>-costi di software applicativo prodotto per uso interno</w:t>
      </w:r>
    </w:p>
    <w:p w:rsidR="00F51CFF" w:rsidRPr="005E51A9" w:rsidRDefault="00F51CFF" w:rsidP="00F51CFF">
      <w:pPr>
        <w:rPr>
          <w:rFonts w:ascii="Arial" w:hAnsi="Arial" w:cs="Arial"/>
          <w:sz w:val="24"/>
          <w:szCs w:val="24"/>
        </w:rPr>
      </w:pPr>
      <w:r w:rsidRPr="005E51A9">
        <w:rPr>
          <w:rFonts w:ascii="Arial" w:hAnsi="Arial" w:cs="Arial"/>
          <w:sz w:val="24"/>
          <w:szCs w:val="24"/>
        </w:rPr>
        <w:t>-marchi e brevetti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altri costi che non esauriscono la loro utilità nell'esercizio  </w:t>
      </w:r>
    </w:p>
    <w:p w:rsidR="00F51CFF" w:rsidRPr="005E51A9" w:rsidRDefault="00F51CFF" w:rsidP="00F51CFF">
      <w:pPr>
        <w:rPr>
          <w:rFonts w:ascii="Arial" w:hAnsi="Arial" w:cs="Arial"/>
          <w:sz w:val="24"/>
          <w:szCs w:val="24"/>
        </w:rPr>
      </w:pPr>
      <w:r w:rsidRPr="005E51A9">
        <w:rPr>
          <w:rFonts w:ascii="Arial" w:hAnsi="Arial" w:cs="Arial"/>
          <w:sz w:val="24"/>
          <w:szCs w:val="24"/>
        </w:rPr>
        <w:t>La durata massima dell’ammortamento dei costi capitalizzati è di 5 anni. ( ad eccezione delle migliorie su beni di terzi</w:t>
      </w:r>
    </w:p>
    <w:p w:rsidR="00CA2888" w:rsidRPr="005E51A9" w:rsidRDefault="00CA2888" w:rsidP="005145A4">
      <w:pPr>
        <w:rPr>
          <w:rFonts w:ascii="Arial" w:hAnsi="Arial" w:cs="Arial"/>
          <w:sz w:val="24"/>
          <w:szCs w:val="24"/>
        </w:rPr>
      </w:pPr>
    </w:p>
    <w:p w:rsidR="00F51CFF" w:rsidRPr="005E51A9" w:rsidRDefault="00CA2888" w:rsidP="00F51CFF">
      <w:pPr>
        <w:rPr>
          <w:rFonts w:ascii="Arial" w:hAnsi="Arial" w:cs="Arial"/>
          <w:sz w:val="24"/>
          <w:szCs w:val="24"/>
        </w:rPr>
      </w:pPr>
      <w:r w:rsidRPr="005E51A9">
        <w:rPr>
          <w:rFonts w:ascii="Arial" w:hAnsi="Arial" w:cs="Arial"/>
          <w:b/>
          <w:sz w:val="24"/>
          <w:szCs w:val="24"/>
        </w:rPr>
        <w:t xml:space="preserve"> b) le immobilizzazioni materiali (beni inventariati)</w:t>
      </w:r>
      <w:r w:rsidR="00F51CFF" w:rsidRPr="005E51A9">
        <w:rPr>
          <w:rFonts w:ascii="Arial" w:hAnsi="Arial" w:cs="Arial"/>
          <w:b/>
          <w:sz w:val="24"/>
          <w:szCs w:val="24"/>
        </w:rPr>
        <w:sym w:font="Wingdings" w:char="F0E0"/>
      </w:r>
      <w:r w:rsidR="00F51CFF" w:rsidRPr="005E51A9">
        <w:rPr>
          <w:rFonts w:ascii="Arial" w:hAnsi="Arial" w:cs="Arial"/>
          <w:sz w:val="24"/>
          <w:szCs w:val="24"/>
          <w:u w:val="single"/>
        </w:rPr>
        <w:t xml:space="preserve"> Immobilizzazioni materiali (AII)</w:t>
      </w:r>
      <w:r w:rsidR="00F51CFF" w:rsidRPr="005E51A9">
        <w:rPr>
          <w:rFonts w:ascii="Arial" w:hAnsi="Arial" w:cs="Arial"/>
          <w:sz w:val="24"/>
          <w:szCs w:val="24"/>
        </w:rPr>
        <w:t xml:space="preserve"> Le immobilizzazioni materiali sono costituite da tutti i beni fisici e di uso durevole di proprietà dell'ente. Le immobilizzazioni sono iscritte nello SP al costo di acquisto dei beni o al costo di produzione in economia, inclusi oneri accessori, e al netto delle quote di ammortamento. Se allla chiusura dell’esercizio il valore è durevolmente inferiore al costo iscritto nell’attivo, nelle scritture di assestamento è rettificato mediante apposita svalutazione . le rivalutazioni invece sono consentite solo se autorizzate da legge.</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Il gruppo comprende beni e diritti.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I beni sono distinti per destinazione in:</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beni demaniali (artt. 822 e 824 del Codice civile); </w:t>
      </w:r>
    </w:p>
    <w:p w:rsidR="00F51CFF" w:rsidRPr="005E51A9" w:rsidRDefault="00F51CFF" w:rsidP="00F51CFF">
      <w:pPr>
        <w:rPr>
          <w:rFonts w:ascii="Arial" w:hAnsi="Arial" w:cs="Arial"/>
          <w:sz w:val="24"/>
          <w:szCs w:val="24"/>
        </w:rPr>
      </w:pPr>
      <w:r w:rsidRPr="005E51A9">
        <w:rPr>
          <w:rFonts w:ascii="Arial" w:hAnsi="Arial" w:cs="Arial"/>
          <w:sz w:val="24"/>
          <w:szCs w:val="24"/>
        </w:rPr>
        <w:t>- beni patrimoniali indisponibili (commi 2 e 3 dell'art. 826 del Codice civile, di interesse storico, artistico ecc.);</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beni patrimoniali disponibili (destinati a produrre reddito o utilità). </w:t>
      </w:r>
    </w:p>
    <w:p w:rsidR="00CA2888" w:rsidRPr="005E51A9" w:rsidRDefault="00CA2888" w:rsidP="005145A4">
      <w:pPr>
        <w:rPr>
          <w:rFonts w:ascii="Arial" w:hAnsi="Arial" w:cs="Arial"/>
          <w:b/>
          <w:sz w:val="24"/>
          <w:szCs w:val="24"/>
        </w:rPr>
      </w:pPr>
    </w:p>
    <w:p w:rsidR="00F51CFF" w:rsidRPr="005E51A9" w:rsidRDefault="00CA2888" w:rsidP="00F51CFF">
      <w:pPr>
        <w:rPr>
          <w:rFonts w:ascii="Arial" w:hAnsi="Arial" w:cs="Arial"/>
          <w:sz w:val="24"/>
          <w:szCs w:val="24"/>
        </w:rPr>
      </w:pPr>
      <w:r w:rsidRPr="005E51A9">
        <w:rPr>
          <w:rFonts w:ascii="Arial" w:hAnsi="Arial" w:cs="Arial"/>
          <w:sz w:val="24"/>
          <w:szCs w:val="24"/>
        </w:rPr>
        <w:t xml:space="preserve"> </w:t>
      </w:r>
      <w:r w:rsidRPr="005E51A9">
        <w:rPr>
          <w:rFonts w:ascii="Arial" w:hAnsi="Arial" w:cs="Arial"/>
          <w:b/>
          <w:sz w:val="24"/>
          <w:szCs w:val="24"/>
        </w:rPr>
        <w:t>c) le immobilizzazioni finanziarie (partecipazioni e crediti)</w:t>
      </w:r>
      <w:r w:rsidR="00F51CFF" w:rsidRPr="005E51A9">
        <w:rPr>
          <w:rFonts w:ascii="Arial" w:hAnsi="Arial" w:cs="Arial"/>
          <w:b/>
          <w:sz w:val="24"/>
          <w:szCs w:val="24"/>
        </w:rPr>
        <w:sym w:font="Wingdings" w:char="F0E0"/>
      </w:r>
      <w:r w:rsidR="00F51CFF" w:rsidRPr="005E51A9">
        <w:rPr>
          <w:rFonts w:ascii="Arial" w:hAnsi="Arial" w:cs="Arial"/>
          <w:sz w:val="24"/>
          <w:szCs w:val="24"/>
          <w:u w:val="single"/>
        </w:rPr>
        <w:t xml:space="preserve"> Immobilizzazioni finanziarie (AIII)</w:t>
      </w:r>
      <w:r w:rsidR="00F51CFF" w:rsidRPr="005E51A9">
        <w:rPr>
          <w:rFonts w:ascii="Arial" w:hAnsi="Arial" w:cs="Arial"/>
          <w:sz w:val="24"/>
          <w:szCs w:val="24"/>
        </w:rPr>
        <w:t xml:space="preserve"> Comprende i crediti per finanziamenti a medio e lungo termine, quali gli </w:t>
      </w:r>
      <w:r w:rsidR="00F51CFF" w:rsidRPr="005E51A9">
        <w:rPr>
          <w:rFonts w:ascii="Arial" w:hAnsi="Arial" w:cs="Arial"/>
          <w:sz w:val="24"/>
          <w:szCs w:val="24"/>
        </w:rPr>
        <w:lastRenderedPageBreak/>
        <w:t>investimenti in titoli e partecipazioni. Sono iscritte al costo di acquisto  e le eventuali perdite saranno rettificate alla chiusura dell’esercizio .</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Il modello evidenzia cinque suddivisioni del gruppo distinte in:</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azioni /partecipazioni in imprese; </w:t>
      </w:r>
    </w:p>
    <w:p w:rsidR="00F51CFF" w:rsidRPr="005E51A9" w:rsidRDefault="00F51CFF" w:rsidP="00F51CFF">
      <w:pPr>
        <w:rPr>
          <w:rFonts w:ascii="Arial" w:hAnsi="Arial" w:cs="Arial"/>
          <w:sz w:val="24"/>
          <w:szCs w:val="24"/>
        </w:rPr>
      </w:pPr>
      <w:r w:rsidRPr="005E51A9">
        <w:rPr>
          <w:rFonts w:ascii="Arial" w:hAnsi="Arial" w:cs="Arial"/>
          <w:sz w:val="24"/>
          <w:szCs w:val="24"/>
        </w:rPr>
        <w:t>- partecipazioni non azionarie</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titoli; </w:t>
      </w:r>
    </w:p>
    <w:p w:rsidR="00F51CFF" w:rsidRPr="005E51A9" w:rsidRDefault="00F51CFF" w:rsidP="00F51CFF">
      <w:pPr>
        <w:rPr>
          <w:rFonts w:ascii="Arial" w:hAnsi="Arial" w:cs="Arial"/>
          <w:sz w:val="24"/>
          <w:szCs w:val="24"/>
        </w:rPr>
      </w:pPr>
      <w:r w:rsidRPr="005E51A9">
        <w:rPr>
          <w:rFonts w:ascii="Arial" w:hAnsi="Arial" w:cs="Arial"/>
          <w:sz w:val="24"/>
          <w:szCs w:val="24"/>
        </w:rPr>
        <w:t>- crediti concessi all’ente e;</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incassi realizzabili per riscossione creditii. </w:t>
      </w:r>
    </w:p>
    <w:p w:rsidR="00CA2888" w:rsidRPr="005E51A9" w:rsidRDefault="00CA2888" w:rsidP="005145A4">
      <w:pPr>
        <w:rPr>
          <w:rFonts w:ascii="Arial" w:hAnsi="Arial" w:cs="Arial"/>
          <w:b/>
          <w:sz w:val="24"/>
          <w:szCs w:val="24"/>
        </w:rPr>
      </w:pPr>
    </w:p>
    <w:p w:rsidR="005E51A9" w:rsidRDefault="00CA2888" w:rsidP="00F51CFF">
      <w:pPr>
        <w:rPr>
          <w:rFonts w:ascii="Arial" w:hAnsi="Arial" w:cs="Arial"/>
          <w:b/>
          <w:sz w:val="24"/>
          <w:szCs w:val="24"/>
        </w:rPr>
      </w:pPr>
      <w:r w:rsidRPr="005E51A9">
        <w:rPr>
          <w:rFonts w:ascii="Arial" w:hAnsi="Arial" w:cs="Arial"/>
          <w:b/>
          <w:sz w:val="24"/>
          <w:szCs w:val="24"/>
        </w:rPr>
        <w:t xml:space="preserve"> d) </w:t>
      </w:r>
      <w:r w:rsidR="005E51A9">
        <w:rPr>
          <w:rFonts w:ascii="Arial" w:hAnsi="Arial" w:cs="Arial"/>
          <w:b/>
          <w:sz w:val="24"/>
          <w:szCs w:val="24"/>
        </w:rPr>
        <w:t xml:space="preserve">attivo Circolante </w:t>
      </w:r>
    </w:p>
    <w:p w:rsidR="00F51CFF" w:rsidRPr="005E51A9" w:rsidRDefault="00CA2888" w:rsidP="00F51CFF">
      <w:pPr>
        <w:rPr>
          <w:rFonts w:ascii="Arial" w:hAnsi="Arial" w:cs="Arial"/>
          <w:sz w:val="24"/>
          <w:szCs w:val="24"/>
        </w:rPr>
      </w:pPr>
      <w:r w:rsidRPr="005E51A9">
        <w:rPr>
          <w:rFonts w:ascii="Arial" w:hAnsi="Arial" w:cs="Arial"/>
          <w:b/>
          <w:sz w:val="24"/>
          <w:szCs w:val="24"/>
        </w:rPr>
        <w:t>le rimanenze</w:t>
      </w:r>
      <w:r w:rsidR="00F51CFF" w:rsidRPr="005E51A9">
        <w:rPr>
          <w:rFonts w:ascii="Arial" w:hAnsi="Arial" w:cs="Arial"/>
          <w:b/>
          <w:sz w:val="24"/>
          <w:szCs w:val="24"/>
        </w:rPr>
        <w:sym w:font="Wingdings" w:char="F0E0"/>
      </w:r>
      <w:r w:rsidRPr="005E51A9">
        <w:rPr>
          <w:rFonts w:ascii="Arial" w:hAnsi="Arial" w:cs="Arial"/>
          <w:sz w:val="24"/>
          <w:szCs w:val="24"/>
        </w:rPr>
        <w:t xml:space="preserve"> </w:t>
      </w:r>
      <w:r w:rsidR="00F51CFF" w:rsidRPr="005E51A9">
        <w:rPr>
          <w:rFonts w:ascii="Arial" w:hAnsi="Arial" w:cs="Arial"/>
          <w:sz w:val="24"/>
          <w:szCs w:val="24"/>
          <w:u w:val="single"/>
        </w:rPr>
        <w:t>Rimanenze (BI)</w:t>
      </w:r>
      <w:r w:rsidR="00F51CFF" w:rsidRPr="005E51A9">
        <w:rPr>
          <w:rFonts w:ascii="Arial" w:hAnsi="Arial" w:cs="Arial"/>
          <w:sz w:val="24"/>
          <w:szCs w:val="24"/>
        </w:rPr>
        <w:t xml:space="preserve"> Le rimanenze sono distinte in:</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materie prime, sussidiarie e di consumo; </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merci; </w:t>
      </w:r>
    </w:p>
    <w:p w:rsidR="00F51CFF" w:rsidRPr="005E51A9" w:rsidRDefault="00F51CFF" w:rsidP="00F51CFF">
      <w:pPr>
        <w:rPr>
          <w:rFonts w:ascii="Arial" w:hAnsi="Arial" w:cs="Arial"/>
          <w:sz w:val="24"/>
          <w:szCs w:val="24"/>
        </w:rPr>
      </w:pPr>
      <w:r w:rsidRPr="005E51A9">
        <w:rPr>
          <w:rFonts w:ascii="Arial" w:hAnsi="Arial" w:cs="Arial"/>
          <w:sz w:val="24"/>
          <w:szCs w:val="24"/>
        </w:rPr>
        <w:t>- prodotti in corso di lavorazione e semilavorati;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lavori in corso di ordinazione;</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prodotti finiti. </w:t>
      </w:r>
    </w:p>
    <w:p w:rsidR="00CA2888" w:rsidRPr="005E51A9" w:rsidRDefault="00F51CFF" w:rsidP="00F51CFF">
      <w:pPr>
        <w:rPr>
          <w:rFonts w:ascii="Arial" w:hAnsi="Arial" w:cs="Arial"/>
          <w:sz w:val="24"/>
          <w:szCs w:val="24"/>
        </w:rPr>
      </w:pPr>
      <w:r w:rsidRPr="005E51A9">
        <w:rPr>
          <w:rFonts w:ascii="Arial" w:hAnsi="Arial" w:cs="Arial"/>
          <w:sz w:val="24"/>
          <w:szCs w:val="24"/>
        </w:rPr>
        <w:t>Esse devono essere rilevate con inventario fisico delle giacenze esistenti al termine dell'esercizio nel magazzino generale o nei vari magazzini, conciliate con la contabilità di magazzino se tenuta. Il dettaglio delle rimanenze finali deve essere elencato nell'inventario, oppure costituirne allegato integrante. Il criterio di valutazione all'interno delle opzioni previste dall'art. 2426 Codice civile deve essere previsto nel regolamento di contabilità.</w:t>
      </w:r>
    </w:p>
    <w:p w:rsidR="00F51CFF" w:rsidRPr="005E51A9" w:rsidRDefault="00CA2888" w:rsidP="00F51CFF">
      <w:pPr>
        <w:rPr>
          <w:rFonts w:ascii="Arial" w:hAnsi="Arial" w:cs="Arial"/>
          <w:sz w:val="24"/>
          <w:szCs w:val="24"/>
        </w:rPr>
      </w:pPr>
      <w:r w:rsidRPr="005E51A9">
        <w:rPr>
          <w:rFonts w:ascii="Arial" w:hAnsi="Arial" w:cs="Arial"/>
          <w:b/>
          <w:sz w:val="24"/>
          <w:szCs w:val="24"/>
        </w:rPr>
        <w:t>e) i residui attivi, compresi i crediti Iva;</w:t>
      </w:r>
      <w:r w:rsidR="00F51CFF" w:rsidRPr="005E51A9">
        <w:rPr>
          <w:rFonts w:ascii="Arial" w:hAnsi="Arial" w:cs="Arial"/>
          <w:b/>
          <w:sz w:val="24"/>
          <w:szCs w:val="24"/>
        </w:rPr>
        <w:sym w:font="Wingdings" w:char="F0E0"/>
      </w:r>
      <w:r w:rsidR="00F51CFF" w:rsidRPr="005E51A9">
        <w:rPr>
          <w:rFonts w:ascii="Arial" w:hAnsi="Arial" w:cs="Arial"/>
          <w:sz w:val="24"/>
          <w:szCs w:val="24"/>
          <w:u w:val="single"/>
        </w:rPr>
        <w:t xml:space="preserve"> Crediti  (BII</w:t>
      </w:r>
      <w:r w:rsidR="00F51CFF" w:rsidRPr="005E51A9">
        <w:rPr>
          <w:rFonts w:ascii="Arial" w:hAnsi="Arial" w:cs="Arial"/>
          <w:sz w:val="24"/>
          <w:szCs w:val="24"/>
        </w:rPr>
        <w:t>) Sono rilevati i crediti compresi nei residui attivi dei conto del bilancio con esclusione di: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crediti verso imprese a medio e lungo termine inclusi nelle immobilizzazioni finanziarie;</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crediti compresi nei residui attivi e inclusi nelle immobilizzazioni finanziarie perché ritenuti di dubbia esigibilità; </w:t>
      </w:r>
    </w:p>
    <w:p w:rsidR="00F51CFF" w:rsidRPr="005E51A9" w:rsidRDefault="00F51CFF" w:rsidP="00F51CFF">
      <w:pPr>
        <w:rPr>
          <w:rFonts w:ascii="Arial" w:hAnsi="Arial" w:cs="Arial"/>
          <w:sz w:val="24"/>
          <w:szCs w:val="24"/>
        </w:rPr>
      </w:pPr>
      <w:r w:rsidRPr="005E51A9">
        <w:rPr>
          <w:rFonts w:ascii="Arial" w:hAnsi="Arial" w:cs="Arial"/>
          <w:sz w:val="24"/>
          <w:szCs w:val="24"/>
        </w:rPr>
        <w:t>- crediti per depositi cauzionali inclusi nelle immobilizzazione finanziarie;</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crediti per acquisto titoli da rivendere a breve, da rilevarsi tra le attività finanziarie che non costituiscono immobilizzazioni. I crediti sono distinti nelle seguenti cinque voci per grado di liquidità: </w:t>
      </w:r>
    </w:p>
    <w:p w:rsidR="00F51CFF" w:rsidRPr="005E51A9" w:rsidRDefault="00F51CFF" w:rsidP="00F51CFF">
      <w:pPr>
        <w:rPr>
          <w:rFonts w:ascii="Arial" w:hAnsi="Arial" w:cs="Arial"/>
          <w:sz w:val="24"/>
          <w:szCs w:val="24"/>
        </w:rPr>
      </w:pPr>
      <w:r w:rsidRPr="005E51A9">
        <w:rPr>
          <w:rFonts w:ascii="Arial" w:hAnsi="Arial" w:cs="Arial"/>
          <w:sz w:val="24"/>
          <w:szCs w:val="24"/>
        </w:rPr>
        <w:lastRenderedPageBreak/>
        <w:t>- verso contribuenti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verso enti del settore pubblico allargato; </w:t>
      </w:r>
    </w:p>
    <w:p w:rsidR="00F51CFF" w:rsidRPr="005E51A9" w:rsidRDefault="00F51CFF" w:rsidP="00F51CFF">
      <w:pPr>
        <w:rPr>
          <w:rFonts w:ascii="Arial" w:hAnsi="Arial" w:cs="Arial"/>
          <w:sz w:val="24"/>
          <w:szCs w:val="24"/>
        </w:rPr>
      </w:pPr>
      <w:r w:rsidRPr="005E51A9">
        <w:rPr>
          <w:rFonts w:ascii="Arial" w:hAnsi="Arial" w:cs="Arial"/>
          <w:sz w:val="24"/>
          <w:szCs w:val="24"/>
        </w:rPr>
        <w:t>- verso debitori diversi;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per Iva;</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 per depositi.</w:t>
      </w:r>
    </w:p>
    <w:p w:rsidR="00CA2888" w:rsidRPr="005E51A9" w:rsidRDefault="00CA2888" w:rsidP="005145A4">
      <w:pPr>
        <w:rPr>
          <w:rFonts w:ascii="Arial" w:hAnsi="Arial" w:cs="Arial"/>
          <w:b/>
          <w:sz w:val="24"/>
          <w:szCs w:val="24"/>
        </w:rPr>
      </w:pPr>
    </w:p>
    <w:p w:rsidR="00CA2888" w:rsidRPr="005E51A9" w:rsidRDefault="00CA2888" w:rsidP="005145A4">
      <w:pPr>
        <w:rPr>
          <w:rFonts w:ascii="Arial" w:hAnsi="Arial" w:cs="Arial"/>
          <w:b/>
          <w:sz w:val="24"/>
          <w:szCs w:val="24"/>
        </w:rPr>
      </w:pPr>
      <w:r w:rsidRPr="005E51A9">
        <w:rPr>
          <w:rFonts w:ascii="Arial" w:hAnsi="Arial" w:cs="Arial"/>
          <w:b/>
          <w:sz w:val="24"/>
          <w:szCs w:val="24"/>
        </w:rPr>
        <w:t xml:space="preserve"> f) i titoli che non rappresentano investimenti o immobilizzi;</w:t>
      </w:r>
    </w:p>
    <w:p w:rsidR="00F51CFF" w:rsidRPr="005E51A9" w:rsidRDefault="00CA2888" w:rsidP="00F51CFF">
      <w:pPr>
        <w:rPr>
          <w:rFonts w:ascii="Arial" w:hAnsi="Arial" w:cs="Arial"/>
          <w:sz w:val="24"/>
          <w:szCs w:val="24"/>
        </w:rPr>
      </w:pPr>
      <w:r w:rsidRPr="005E51A9">
        <w:rPr>
          <w:rFonts w:ascii="Arial" w:hAnsi="Arial" w:cs="Arial"/>
          <w:b/>
          <w:sz w:val="24"/>
          <w:szCs w:val="24"/>
        </w:rPr>
        <w:t xml:space="preserve"> g) le disponibilità liquide (fondo di cassa ed eventuali depositi bancari)</w:t>
      </w:r>
      <w:r w:rsidR="00F51CFF" w:rsidRPr="005E51A9">
        <w:rPr>
          <w:rFonts w:ascii="Arial" w:hAnsi="Arial" w:cs="Arial"/>
          <w:b/>
          <w:sz w:val="24"/>
          <w:szCs w:val="24"/>
        </w:rPr>
        <w:sym w:font="Wingdings" w:char="F0E0"/>
      </w:r>
      <w:r w:rsidR="00F51CFF" w:rsidRPr="005E51A9">
        <w:rPr>
          <w:rFonts w:ascii="Arial" w:hAnsi="Arial" w:cs="Arial"/>
          <w:sz w:val="24"/>
          <w:szCs w:val="24"/>
          <w:u w:val="single"/>
        </w:rPr>
        <w:t xml:space="preserve"> Disponibilità liquide (BIV)</w:t>
      </w:r>
      <w:r w:rsidR="00F51CFF" w:rsidRPr="005E51A9">
        <w:rPr>
          <w:rFonts w:ascii="Arial" w:hAnsi="Arial" w:cs="Arial"/>
          <w:sz w:val="24"/>
          <w:szCs w:val="24"/>
        </w:rPr>
        <w:t xml:space="preserve"> Vanno rilevate nel gruppo le disponibilità di denaro riscuotibili a breve termine e depositate o presso il tesoriere o presso istituti bancari. Il gruppo è distinto in fondo di cassa e depositi bancari. Sono rappresentate dal conto di tesoreria, altri depositi bancari, postale e conti accesi presso la Tesoreria Statale  Le somme depositate in conti corrente postali alla chiusura dell'esercizio devono essere rilevate nella contabilità finanziaria come residui attivi e nel conto del patrimonio alla corrispondente voce dei gruppo BII "Crediti". Rilevazioni Fondo di cassa: dal fondo di cassa risultante dal conto del tesoriere al 31 dicembre; Depositi bancari: dal saldo dei conti intestati all'ente per depositi diversi da quelli rilevati nella voce BII5a</w:t>
      </w:r>
    </w:p>
    <w:p w:rsidR="00CA2888" w:rsidRPr="005E51A9" w:rsidRDefault="00CA2888" w:rsidP="005145A4">
      <w:pPr>
        <w:rPr>
          <w:rFonts w:ascii="Arial" w:hAnsi="Arial" w:cs="Arial"/>
          <w:b/>
          <w:sz w:val="24"/>
          <w:szCs w:val="24"/>
        </w:rPr>
      </w:pPr>
    </w:p>
    <w:p w:rsidR="00F51CFF" w:rsidRPr="005E51A9" w:rsidRDefault="00CA2888" w:rsidP="00F51CFF">
      <w:pPr>
        <w:rPr>
          <w:rFonts w:ascii="Arial" w:hAnsi="Arial" w:cs="Arial"/>
          <w:b/>
          <w:sz w:val="24"/>
          <w:szCs w:val="24"/>
        </w:rPr>
      </w:pPr>
      <w:r w:rsidRPr="005E51A9">
        <w:rPr>
          <w:rFonts w:ascii="Arial" w:hAnsi="Arial" w:cs="Arial"/>
          <w:b/>
          <w:sz w:val="24"/>
          <w:szCs w:val="24"/>
        </w:rPr>
        <w:t xml:space="preserve"> h) i ratei attivi</w:t>
      </w:r>
      <w:r w:rsidR="00F51CFF" w:rsidRPr="005E51A9">
        <w:rPr>
          <w:rFonts w:ascii="Arial" w:hAnsi="Arial" w:cs="Arial"/>
          <w:b/>
          <w:sz w:val="24"/>
          <w:szCs w:val="24"/>
        </w:rPr>
        <w:t xml:space="preserve"> e i) i risconti attivi.</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I ratei attivi sono rappresentati dalle quote di ricavi e proventi che sono di competenza economica dell’esercizio in chiusura ma avranno manifestazione finanziaria futura </w:t>
      </w:r>
    </w:p>
    <w:p w:rsidR="00F51CFF" w:rsidRPr="005E51A9" w:rsidRDefault="00F51CFF" w:rsidP="00F51CFF">
      <w:pPr>
        <w:rPr>
          <w:rFonts w:ascii="Arial" w:hAnsi="Arial" w:cs="Arial"/>
          <w:sz w:val="24"/>
          <w:szCs w:val="24"/>
        </w:rPr>
      </w:pPr>
      <w:r w:rsidRPr="005E51A9">
        <w:rPr>
          <w:rFonts w:ascii="Arial" w:hAnsi="Arial" w:cs="Arial"/>
          <w:sz w:val="24"/>
          <w:szCs w:val="24"/>
        </w:rPr>
        <w:t xml:space="preserve"> I risconti attivi sono rappresentati dalle quote di oneri e costi che hanno già avuto manifestazione finanziaria nell’esercizio con la liquidazione della spesa ma che sono di competenza economica di futuri esercizi </w:t>
      </w:r>
    </w:p>
    <w:p w:rsidR="00F51CFF" w:rsidRPr="005E51A9" w:rsidRDefault="00F51CFF" w:rsidP="00F51CFF">
      <w:pPr>
        <w:rPr>
          <w:rFonts w:ascii="Arial" w:hAnsi="Arial" w:cs="Arial"/>
          <w:sz w:val="24"/>
          <w:szCs w:val="24"/>
        </w:rPr>
      </w:pPr>
      <w:r w:rsidRPr="005E51A9">
        <w:rPr>
          <w:rFonts w:ascii="Arial" w:hAnsi="Arial" w:cs="Arial"/>
          <w:sz w:val="24"/>
          <w:szCs w:val="24"/>
        </w:rPr>
        <w:t>Il gruppo è distinto in CI "Ratei attivi" e CII "Risconti attivi". I valori derivano dalle integrazioni agli accertamenti e dalle rettifiche agli impegni, effettuate per ricondurli alla competenza economica. I costi di esercizi futuri possono essere compresi tra i risconti attivi, oppure distintamente rilevati nei conti d'ordine, analogamente ai residui passivi del titolo II, con specifica menzione nella relazione illustrativa al rendiconto. I ratei aggiungono ricavi, i risconti attivi riducono gli oneri, i costi di esercizi futuri riducono impegni non costituenti costi o oneri.</w:t>
      </w:r>
    </w:p>
    <w:p w:rsidR="00CA2888" w:rsidRDefault="00CA2888" w:rsidP="005145A4">
      <w:pPr>
        <w:rPr>
          <w:rFonts w:ascii="Arial" w:hAnsi="Arial" w:cs="Arial"/>
          <w:b/>
          <w:sz w:val="24"/>
          <w:szCs w:val="24"/>
        </w:rPr>
      </w:pPr>
    </w:p>
    <w:p w:rsidR="005E51A9" w:rsidRDefault="005E51A9" w:rsidP="005145A4">
      <w:pPr>
        <w:rPr>
          <w:rFonts w:ascii="Arial" w:hAnsi="Arial" w:cs="Arial"/>
          <w:b/>
          <w:sz w:val="24"/>
          <w:szCs w:val="24"/>
        </w:rPr>
      </w:pPr>
    </w:p>
    <w:p w:rsidR="005E51A9" w:rsidRPr="005E51A9" w:rsidRDefault="005E51A9" w:rsidP="005145A4">
      <w:pPr>
        <w:rPr>
          <w:rFonts w:ascii="Arial" w:hAnsi="Arial" w:cs="Arial"/>
          <w:b/>
          <w:sz w:val="24"/>
          <w:szCs w:val="24"/>
        </w:rPr>
      </w:pPr>
    </w:p>
    <w:p w:rsidR="00CA2888" w:rsidRPr="005E51A9" w:rsidRDefault="00CA2888" w:rsidP="005145A4">
      <w:pPr>
        <w:rPr>
          <w:rFonts w:ascii="Arial" w:hAnsi="Arial" w:cs="Arial"/>
          <w:b/>
          <w:color w:val="FF0000"/>
          <w:sz w:val="24"/>
          <w:szCs w:val="24"/>
        </w:rPr>
      </w:pPr>
      <w:r w:rsidRPr="005E51A9">
        <w:rPr>
          <w:rFonts w:ascii="Arial" w:hAnsi="Arial" w:cs="Arial"/>
          <w:b/>
          <w:color w:val="FF0000"/>
          <w:sz w:val="24"/>
          <w:szCs w:val="24"/>
        </w:rPr>
        <w:t xml:space="preserve">Passivo </w:t>
      </w:r>
    </w:p>
    <w:p w:rsidR="00F51CFF" w:rsidRPr="005E51A9" w:rsidRDefault="00CA2888" w:rsidP="00F51CFF">
      <w:pPr>
        <w:autoSpaceDE w:val="0"/>
        <w:autoSpaceDN w:val="0"/>
        <w:adjustRightInd w:val="0"/>
        <w:spacing w:line="240" w:lineRule="auto"/>
        <w:contextualSpacing/>
        <w:jc w:val="both"/>
        <w:rPr>
          <w:rFonts w:ascii="Arial" w:hAnsi="Arial" w:cs="Arial"/>
          <w:sz w:val="24"/>
          <w:szCs w:val="24"/>
        </w:rPr>
      </w:pPr>
      <w:r w:rsidRPr="005E51A9">
        <w:rPr>
          <w:rFonts w:ascii="Arial" w:hAnsi="Arial" w:cs="Arial"/>
          <w:b/>
          <w:sz w:val="24"/>
          <w:szCs w:val="24"/>
        </w:rPr>
        <w:lastRenderedPageBreak/>
        <w:t>a) il patrimonio netto (netto patrimoniale e da beni del demanio, ai fini del pareggio dei valori dei beni inventariati);</w:t>
      </w:r>
      <w:r w:rsidR="00F51CFF" w:rsidRPr="005E51A9">
        <w:rPr>
          <w:rFonts w:ascii="Arial" w:hAnsi="Arial" w:cs="Arial"/>
          <w:b/>
          <w:sz w:val="24"/>
          <w:szCs w:val="24"/>
        </w:rPr>
        <w:sym w:font="Wingdings" w:char="F0E0"/>
      </w:r>
      <w:r w:rsidR="00F51CFF" w:rsidRPr="005E51A9">
        <w:rPr>
          <w:rFonts w:ascii="Arial" w:hAnsi="Arial" w:cs="Arial"/>
          <w:sz w:val="24"/>
          <w:szCs w:val="24"/>
          <w:u w:val="single"/>
        </w:rPr>
        <w:t xml:space="preserve"> Patrimonio netto (A</w:t>
      </w:r>
      <w:r w:rsidR="00F51CFF" w:rsidRPr="005E51A9">
        <w:rPr>
          <w:rFonts w:ascii="Arial" w:hAnsi="Arial" w:cs="Arial"/>
          <w:sz w:val="24"/>
          <w:szCs w:val="24"/>
        </w:rPr>
        <w:t>) Per la denominazione e classificazione del capitale o fondo di dotazione dell’ente e delle riserve si applicano i criteri indicati nel documento n. 28 dei principi contabili “Il patrimonio netto”, nei limiti in cui siano compatibili con i presenti principi.</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Per le Amministrazioni pubbliche che fino ad oggi rappresentano il patrimonio netto all’interno di un’unica posta di bilancio, il patrimonio netto alla data di chiusura del bilancio dovrà essere articolato nelle seguenti poste:</w:t>
      </w:r>
    </w:p>
    <w:p w:rsidR="00F51CFF" w:rsidRPr="005E51A9" w:rsidRDefault="00F51CFF" w:rsidP="00F51CFF">
      <w:pPr>
        <w:numPr>
          <w:ilvl w:val="0"/>
          <w:numId w:val="3"/>
        </w:numPr>
        <w:spacing w:line="240" w:lineRule="auto"/>
        <w:contextualSpacing/>
        <w:jc w:val="both"/>
        <w:rPr>
          <w:rFonts w:ascii="Arial" w:hAnsi="Arial" w:cs="Arial"/>
          <w:sz w:val="24"/>
          <w:szCs w:val="24"/>
        </w:rPr>
      </w:pPr>
      <w:r w:rsidRPr="005E51A9">
        <w:rPr>
          <w:rFonts w:ascii="Arial" w:hAnsi="Arial" w:cs="Arial"/>
          <w:sz w:val="24"/>
          <w:szCs w:val="24"/>
        </w:rPr>
        <w:t>Fondo di dotazione</w:t>
      </w:r>
    </w:p>
    <w:p w:rsidR="00F51CFF" w:rsidRPr="005E51A9" w:rsidRDefault="00F51CFF" w:rsidP="00F51CFF">
      <w:pPr>
        <w:numPr>
          <w:ilvl w:val="0"/>
          <w:numId w:val="3"/>
        </w:numPr>
        <w:spacing w:line="240" w:lineRule="auto"/>
        <w:contextualSpacing/>
        <w:jc w:val="both"/>
        <w:rPr>
          <w:rFonts w:ascii="Arial" w:hAnsi="Arial" w:cs="Arial"/>
          <w:sz w:val="24"/>
          <w:szCs w:val="24"/>
        </w:rPr>
      </w:pPr>
      <w:r w:rsidRPr="005E51A9">
        <w:rPr>
          <w:rFonts w:ascii="Arial" w:hAnsi="Arial" w:cs="Arial"/>
          <w:sz w:val="24"/>
          <w:szCs w:val="24"/>
        </w:rPr>
        <w:t xml:space="preserve">Riserve </w:t>
      </w:r>
    </w:p>
    <w:p w:rsidR="00F51CFF" w:rsidRPr="005E51A9" w:rsidRDefault="00F51CFF" w:rsidP="00F51CFF">
      <w:pPr>
        <w:numPr>
          <w:ilvl w:val="0"/>
          <w:numId w:val="3"/>
        </w:numPr>
        <w:spacing w:line="240" w:lineRule="auto"/>
        <w:contextualSpacing/>
        <w:jc w:val="both"/>
        <w:rPr>
          <w:rFonts w:ascii="Arial" w:hAnsi="Arial" w:cs="Arial"/>
          <w:sz w:val="24"/>
          <w:szCs w:val="24"/>
        </w:rPr>
      </w:pPr>
      <w:r w:rsidRPr="005E51A9">
        <w:rPr>
          <w:rFonts w:ascii="Arial" w:hAnsi="Arial" w:cs="Arial"/>
          <w:sz w:val="24"/>
          <w:szCs w:val="24"/>
        </w:rPr>
        <w:t>Risultato economico di esercizio</w:t>
      </w:r>
    </w:p>
    <w:p w:rsidR="00F51CFF" w:rsidRPr="005E51A9" w:rsidRDefault="00F51CFF" w:rsidP="00F51CFF">
      <w:pPr>
        <w:spacing w:line="240" w:lineRule="auto"/>
        <w:contextualSpacing/>
        <w:jc w:val="both"/>
        <w:rPr>
          <w:rFonts w:ascii="Arial" w:hAnsi="Arial" w:cs="Arial"/>
          <w:sz w:val="24"/>
          <w:szCs w:val="24"/>
        </w:rPr>
      </w:pP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 xml:space="preserve">La suddetta articolazione è realizzata mediante apposita delibera assunta dalla Giunta. A tal fine si potrà fare riferimento ai risultati economici dei primi esercizi di adozione della contabilità economico-patrimoniale o, per le amministrazioni che già adottano la contabilità economico patrimoniale, si potrà fare riferimento ai risultati economici degli esercizi più recenti che rappresentano una prima indicazione di quanto appostare nel fondo di dotazione e di quanto appostare tra le riserve di utili. </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 xml:space="preserve">Il fondo di dotazione rappresenta la parte indisponibile del patrimonio netto, a garanzia della struttura patrimoniale dell’Amministrazione pubblica. </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Il fondo di dotazione può essere alimentato mediante destinazione degli utili di esercizio sulla base di apposita delibera del Consiglio in sede di approvazione del bilancio consuntivo.</w:t>
      </w:r>
    </w:p>
    <w:p w:rsidR="00F51CFF" w:rsidRPr="005E51A9" w:rsidRDefault="00F51CFF" w:rsidP="00F51CFF">
      <w:pPr>
        <w:spacing w:line="240" w:lineRule="auto"/>
        <w:contextualSpacing/>
        <w:jc w:val="both"/>
        <w:rPr>
          <w:rFonts w:ascii="Arial" w:hAnsi="Arial" w:cs="Arial"/>
          <w:sz w:val="24"/>
          <w:szCs w:val="24"/>
        </w:rPr>
      </w:pP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Le riserve costituiscono la parte del patrimonio netto che, in caso di perdita, è primariamente utilizzabile per la copertura, a garanzia del fondo di dotazione previa apposita delibera del Consiglio. Al pari del fondo di dotazione, sono alimentate anche mediante destinazione degli utili di esercizio, con apposita delibera del Consiglio in occasione dell’approvazione del bilancio consuntivo. L’Amministrazione è chiamata a fornire un’adeguata informativa all’interno della relazione sulla gestione del Presidente/Sindaco dell’Amministrazione, sulla copertura delle perdite; in particolare, l’eventuale perdita risultante dal bilancio d’esercizio deve trovare copertura all’interno del patrimonio netto, escluso il fondo di dotazione. Qualora il patrimonio netto (escluso il fondo di dotazione) non dovesse essere capiente rispetto alla perdita d’esercizio, la parte eccedente è rinviata agli esercizi successivi (perdita portata a nuovo) al fine di assicurarne la copertura con i ricavi futuri.</w:t>
      </w:r>
    </w:p>
    <w:p w:rsidR="00CA2888" w:rsidRPr="005E51A9" w:rsidRDefault="00F51CFF" w:rsidP="00F51CFF">
      <w:pPr>
        <w:rPr>
          <w:rFonts w:ascii="Arial" w:hAnsi="Arial" w:cs="Arial"/>
          <w:b/>
          <w:sz w:val="24"/>
          <w:szCs w:val="24"/>
        </w:rPr>
      </w:pPr>
      <w:r w:rsidRPr="005E51A9">
        <w:rPr>
          <w:rFonts w:ascii="Arial" w:hAnsi="Arial" w:cs="Arial"/>
          <w:sz w:val="24"/>
          <w:szCs w:val="24"/>
        </w:rPr>
        <w:t>Per i comuni, la quota dei permessi di costruire che - nei limiti stabiliti dalla legge - non è destinata al finanziamento delle spese correnti, costituisce incremento delle riserve</w:t>
      </w:r>
    </w:p>
    <w:p w:rsidR="00CA2888" w:rsidRPr="005E51A9" w:rsidRDefault="00CA2888" w:rsidP="005145A4">
      <w:pPr>
        <w:rPr>
          <w:rFonts w:ascii="Arial" w:hAnsi="Arial" w:cs="Arial"/>
          <w:b/>
          <w:sz w:val="24"/>
          <w:szCs w:val="24"/>
        </w:rPr>
      </w:pPr>
      <w:r w:rsidRPr="005E51A9">
        <w:rPr>
          <w:rFonts w:ascii="Arial" w:hAnsi="Arial" w:cs="Arial"/>
          <w:b/>
          <w:sz w:val="24"/>
          <w:szCs w:val="24"/>
        </w:rPr>
        <w:t xml:space="preserve"> b) i conferimenti da trasferimenti in capitale e da concessioni a edificare;</w:t>
      </w:r>
    </w:p>
    <w:p w:rsidR="00F51CFF" w:rsidRPr="005E51A9" w:rsidRDefault="00CA2888" w:rsidP="00F51CFF">
      <w:pPr>
        <w:spacing w:line="240" w:lineRule="auto"/>
        <w:contextualSpacing/>
        <w:jc w:val="both"/>
        <w:rPr>
          <w:rFonts w:ascii="Arial" w:hAnsi="Arial" w:cs="Arial"/>
          <w:b/>
          <w:sz w:val="24"/>
          <w:szCs w:val="24"/>
        </w:rPr>
      </w:pPr>
      <w:r w:rsidRPr="005E51A9">
        <w:rPr>
          <w:rFonts w:ascii="Arial" w:hAnsi="Arial" w:cs="Arial"/>
          <w:b/>
          <w:sz w:val="24"/>
          <w:szCs w:val="24"/>
        </w:rPr>
        <w:t xml:space="preserve"> c) i residui passivi, compresi i debiti Iva e quelli verso imprese controllate e/o collegate</w:t>
      </w:r>
      <w:r w:rsidR="00F51CFF" w:rsidRPr="005E51A9">
        <w:rPr>
          <w:rFonts w:ascii="Arial" w:hAnsi="Arial" w:cs="Arial"/>
          <w:b/>
          <w:sz w:val="24"/>
          <w:szCs w:val="24"/>
        </w:rPr>
        <w:sym w:font="Wingdings" w:char="F0E0"/>
      </w:r>
      <w:r w:rsidR="00F51CFF" w:rsidRPr="005E51A9">
        <w:rPr>
          <w:rFonts w:ascii="Arial" w:hAnsi="Arial" w:cs="Arial"/>
          <w:b/>
          <w:sz w:val="24"/>
          <w:szCs w:val="24"/>
        </w:rPr>
        <w:t xml:space="preserve"> a) Debiti di funzionamento (residui passivi) </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I debiti di funzionamento sono iscritti nello stato patrimoniale solo se corrispondenti a obbligazioni giuridiche perfezionate esigibili per le quali il servizio è stato reso o è avvenuto lo scambio dei beni.</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 xml:space="preserve">La corretta applicazione del principio della competenza finanziaria garantisce la corrispondenza tra i residui passivi diversi da quelli di finanziamento e l’ammontare dei debiti di funzionamento. </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 xml:space="preserve">I debiti sono esposti al loro valore nominale. </w:t>
      </w:r>
    </w:p>
    <w:p w:rsidR="00CA2888" w:rsidRPr="005E51A9" w:rsidRDefault="00CA2888" w:rsidP="005145A4">
      <w:pPr>
        <w:rPr>
          <w:rFonts w:ascii="Arial" w:hAnsi="Arial" w:cs="Arial"/>
          <w:b/>
          <w:sz w:val="24"/>
          <w:szCs w:val="24"/>
        </w:rPr>
      </w:pPr>
    </w:p>
    <w:p w:rsidR="00CA2888" w:rsidRPr="005E51A9" w:rsidRDefault="00CA2888" w:rsidP="005145A4">
      <w:pPr>
        <w:rPr>
          <w:rFonts w:ascii="Arial" w:hAnsi="Arial" w:cs="Arial"/>
          <w:sz w:val="24"/>
          <w:szCs w:val="24"/>
        </w:rPr>
      </w:pPr>
      <w:r w:rsidRPr="005E51A9">
        <w:rPr>
          <w:rFonts w:ascii="Arial" w:hAnsi="Arial" w:cs="Arial"/>
          <w:b/>
          <w:sz w:val="24"/>
          <w:szCs w:val="24"/>
        </w:rPr>
        <w:lastRenderedPageBreak/>
        <w:t xml:space="preserve"> d) i ratei passivi</w:t>
      </w:r>
      <w:r w:rsidR="00F51CFF" w:rsidRPr="005E51A9">
        <w:rPr>
          <w:rFonts w:ascii="Arial" w:hAnsi="Arial" w:cs="Arial"/>
          <w:b/>
          <w:sz w:val="24"/>
          <w:szCs w:val="24"/>
        </w:rPr>
        <w:t xml:space="preserve"> </w:t>
      </w:r>
      <w:r w:rsidRPr="005E51A9">
        <w:rPr>
          <w:rFonts w:ascii="Arial" w:hAnsi="Arial" w:cs="Arial"/>
          <w:b/>
          <w:sz w:val="24"/>
          <w:szCs w:val="24"/>
        </w:rPr>
        <w:t>e i risconti passivi</w:t>
      </w:r>
      <w:r w:rsidRPr="005E51A9">
        <w:rPr>
          <w:rFonts w:ascii="Arial" w:hAnsi="Arial" w:cs="Arial"/>
          <w:sz w:val="24"/>
          <w:szCs w:val="24"/>
        </w:rPr>
        <w:t>.</w:t>
      </w:r>
    </w:p>
    <w:p w:rsidR="00F51CFF" w:rsidRPr="005E51A9" w:rsidRDefault="00CA2888" w:rsidP="00F51CFF">
      <w:pPr>
        <w:spacing w:line="240" w:lineRule="auto"/>
        <w:contextualSpacing/>
        <w:jc w:val="both"/>
        <w:rPr>
          <w:rFonts w:ascii="Arial" w:hAnsi="Arial" w:cs="Arial"/>
          <w:sz w:val="24"/>
          <w:szCs w:val="24"/>
        </w:rPr>
      </w:pPr>
      <w:r w:rsidRPr="005E51A9">
        <w:rPr>
          <w:rFonts w:ascii="Arial" w:hAnsi="Arial" w:cs="Arial"/>
          <w:sz w:val="24"/>
          <w:szCs w:val="24"/>
        </w:rPr>
        <w:t xml:space="preserve"> Il documento annota anche i "conti d'ordine" (di pari importo iscritto nell’attivo e nel passivo), ossia le opere impegnate e non ancora realizzate, i conferimenti ad aziende speciali e i beni di terzi.</w:t>
      </w:r>
      <w:r w:rsidR="00F51CFF" w:rsidRPr="005E51A9">
        <w:rPr>
          <w:rFonts w:ascii="Arial" w:hAnsi="Arial" w:cs="Arial"/>
          <w:sz w:val="24"/>
          <w:szCs w:val="24"/>
        </w:rPr>
        <w:t xml:space="preserve"> I ratei e risconti sono iscritti e valutati in conformità a quanto precisato dall’art. 2424-bis, comma 6, codice civile.</w:t>
      </w:r>
    </w:p>
    <w:p w:rsidR="005E51A9" w:rsidRDefault="005E51A9" w:rsidP="00F51CFF">
      <w:pPr>
        <w:spacing w:line="240" w:lineRule="auto"/>
        <w:contextualSpacing/>
        <w:jc w:val="both"/>
        <w:rPr>
          <w:rFonts w:ascii="Arial" w:hAnsi="Arial" w:cs="Arial"/>
          <w:sz w:val="24"/>
          <w:szCs w:val="24"/>
        </w:rPr>
      </w:pP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I ratei passivi sono rappresentati, rispettivamente, dalle quote di costi/oneri che avranno manifestazione finanziaria futura (liquidazione della spesa), ma che devono, per competenza, essere attribuiti all’esercizio in chiusura (ad es. fitti passivi o premi di assicurazione con pagamento posticipato).</w:t>
      </w:r>
    </w:p>
    <w:p w:rsidR="005E51A9" w:rsidRDefault="005E51A9" w:rsidP="00F51CFF">
      <w:pPr>
        <w:spacing w:line="240" w:lineRule="auto"/>
        <w:contextualSpacing/>
        <w:jc w:val="both"/>
        <w:rPr>
          <w:rFonts w:ascii="Arial" w:hAnsi="Arial" w:cs="Arial"/>
          <w:sz w:val="24"/>
          <w:szCs w:val="24"/>
        </w:rPr>
      </w:pPr>
    </w:p>
    <w:p w:rsidR="00F51CFF"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Le quote di competenza dei singoli esercizi si determinano in ragione del tempo di utilizzazione delle risorse economiche (beni e servizi) il cui costo/onere deve essere imputato.</w:t>
      </w:r>
    </w:p>
    <w:p w:rsidR="005E51A9" w:rsidRPr="005E51A9" w:rsidRDefault="005E51A9" w:rsidP="00F51CFF">
      <w:pPr>
        <w:spacing w:line="240" w:lineRule="auto"/>
        <w:contextualSpacing/>
        <w:jc w:val="both"/>
        <w:rPr>
          <w:rFonts w:ascii="Arial" w:hAnsi="Arial" w:cs="Arial"/>
          <w:sz w:val="24"/>
          <w:szCs w:val="24"/>
        </w:rPr>
      </w:pP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I risconti passivi sono rappresentati dalle quote di ricavi che hanno avuto manifestazione finanziaria nell’esercizio (accertamento dell’entrata/incasso), ma che vanno rinviati in quanto di competenza di futuri esercizi.</w:t>
      </w:r>
    </w:p>
    <w:p w:rsidR="005E51A9" w:rsidRDefault="005E51A9" w:rsidP="00F51CFF">
      <w:pPr>
        <w:spacing w:line="240" w:lineRule="auto"/>
        <w:contextualSpacing/>
        <w:jc w:val="both"/>
        <w:rPr>
          <w:rFonts w:ascii="Arial" w:hAnsi="Arial" w:cs="Arial"/>
          <w:sz w:val="24"/>
          <w:szCs w:val="24"/>
        </w:rPr>
      </w:pP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 xml:space="preserve">La determinazione dei risconti passivi avviene considerando il periodo di validità della prestazione, indipendentemente dal momento della manifestazione finanziaria. </w:t>
      </w:r>
    </w:p>
    <w:p w:rsidR="00F51CFF" w:rsidRPr="005E51A9" w:rsidRDefault="00F51CFF" w:rsidP="00F51CFF">
      <w:pPr>
        <w:spacing w:line="240" w:lineRule="auto"/>
        <w:contextualSpacing/>
        <w:jc w:val="both"/>
        <w:rPr>
          <w:rFonts w:ascii="Arial" w:hAnsi="Arial" w:cs="Arial"/>
          <w:sz w:val="24"/>
          <w:szCs w:val="24"/>
        </w:rPr>
      </w:pPr>
      <w:r w:rsidRPr="005E51A9">
        <w:rPr>
          <w:rFonts w:ascii="Arial" w:hAnsi="Arial" w:cs="Arial"/>
          <w:sz w:val="24"/>
          <w:szCs w:val="24"/>
        </w:rPr>
        <w:t>In sede di chiusura del bilancio consuntivo i ricavi rilevati nel corso dell’esercizio sono rettificati rispettivamente con l’iscrizione di risconti passivi commisurati alla quota da rinviare alla competenza dell’esercizio successivo.</w:t>
      </w:r>
    </w:p>
    <w:p w:rsidR="00F51CFF" w:rsidRPr="005E51A9" w:rsidRDefault="00F51CFF" w:rsidP="00F51CFF">
      <w:pPr>
        <w:spacing w:line="240" w:lineRule="auto"/>
        <w:contextualSpacing/>
        <w:jc w:val="both"/>
        <w:rPr>
          <w:rFonts w:ascii="Arial" w:hAnsi="Arial" w:cs="Arial"/>
          <w:sz w:val="24"/>
          <w:szCs w:val="24"/>
        </w:rPr>
      </w:pPr>
    </w:p>
    <w:p w:rsidR="000159F6" w:rsidRPr="005E51A9" w:rsidRDefault="000159F6" w:rsidP="000159F6">
      <w:pPr>
        <w:spacing w:line="240" w:lineRule="auto"/>
        <w:contextualSpacing/>
        <w:jc w:val="both"/>
        <w:rPr>
          <w:rFonts w:ascii="Arial" w:hAnsi="Arial" w:cs="Arial"/>
          <w:sz w:val="24"/>
          <w:szCs w:val="24"/>
        </w:rPr>
      </w:pPr>
    </w:p>
    <w:p w:rsidR="000159F6" w:rsidRPr="005E51A9" w:rsidRDefault="0073696D" w:rsidP="000159F6">
      <w:pPr>
        <w:spacing w:line="240" w:lineRule="auto"/>
        <w:contextualSpacing/>
        <w:jc w:val="both"/>
        <w:rPr>
          <w:rFonts w:ascii="Arial" w:hAnsi="Arial" w:cs="Arial"/>
          <w:b/>
          <w:sz w:val="24"/>
          <w:szCs w:val="24"/>
        </w:rPr>
      </w:pPr>
      <w:r w:rsidRPr="005E51A9">
        <w:rPr>
          <w:rFonts w:ascii="Arial" w:hAnsi="Arial" w:cs="Arial"/>
          <w:b/>
          <w:sz w:val="24"/>
          <w:szCs w:val="24"/>
        </w:rPr>
        <w:t>e</w:t>
      </w:r>
      <w:r w:rsidR="000159F6" w:rsidRPr="005E51A9">
        <w:rPr>
          <w:rFonts w:ascii="Arial" w:hAnsi="Arial" w:cs="Arial"/>
          <w:b/>
          <w:sz w:val="24"/>
          <w:szCs w:val="24"/>
        </w:rPr>
        <w:t>) Fondi per rischi e oneri</w:t>
      </w:r>
    </w:p>
    <w:p w:rsidR="000159F6" w:rsidRPr="005E51A9" w:rsidRDefault="0073696D" w:rsidP="000159F6">
      <w:pPr>
        <w:spacing w:line="240" w:lineRule="auto"/>
        <w:contextualSpacing/>
        <w:jc w:val="both"/>
        <w:rPr>
          <w:rFonts w:ascii="Arial" w:hAnsi="Arial" w:cs="Arial"/>
          <w:sz w:val="24"/>
          <w:szCs w:val="24"/>
        </w:rPr>
      </w:pPr>
      <w:r w:rsidRPr="005E51A9">
        <w:rPr>
          <w:rFonts w:ascii="Arial" w:hAnsi="Arial" w:cs="Arial"/>
          <w:sz w:val="24"/>
          <w:szCs w:val="24"/>
        </w:rPr>
        <w:t>a</w:t>
      </w:r>
      <w:r w:rsidR="000159F6" w:rsidRPr="005E51A9">
        <w:rPr>
          <w:rFonts w:ascii="Arial" w:hAnsi="Arial" w:cs="Arial"/>
          <w:sz w:val="24"/>
          <w:szCs w:val="24"/>
        </w:rPr>
        <w:t>lla data di chiusura del bilancio occorre valutare i necessari accantonamenti a fondi rischi ed oneri destinati a coprire perdite o debiti aventi le seguenti caratteristiche:</w:t>
      </w:r>
    </w:p>
    <w:p w:rsidR="000159F6" w:rsidRPr="005E51A9" w:rsidRDefault="000159F6" w:rsidP="000159F6">
      <w:pPr>
        <w:numPr>
          <w:ilvl w:val="0"/>
          <w:numId w:val="8"/>
        </w:numPr>
        <w:spacing w:line="240" w:lineRule="auto"/>
        <w:contextualSpacing/>
        <w:jc w:val="both"/>
        <w:rPr>
          <w:rFonts w:ascii="Arial" w:hAnsi="Arial" w:cs="Arial"/>
          <w:sz w:val="24"/>
          <w:szCs w:val="24"/>
        </w:rPr>
      </w:pPr>
      <w:r w:rsidRPr="005E51A9">
        <w:rPr>
          <w:rFonts w:ascii="Arial" w:hAnsi="Arial" w:cs="Arial"/>
          <w:sz w:val="24"/>
          <w:szCs w:val="24"/>
        </w:rPr>
        <w:t>Natura determinata</w:t>
      </w:r>
    </w:p>
    <w:p w:rsidR="000159F6" w:rsidRPr="005E51A9" w:rsidRDefault="000159F6" w:rsidP="000159F6">
      <w:pPr>
        <w:numPr>
          <w:ilvl w:val="0"/>
          <w:numId w:val="8"/>
        </w:numPr>
        <w:spacing w:line="240" w:lineRule="auto"/>
        <w:contextualSpacing/>
        <w:jc w:val="both"/>
        <w:rPr>
          <w:rFonts w:ascii="Arial" w:hAnsi="Arial" w:cs="Arial"/>
          <w:sz w:val="24"/>
          <w:szCs w:val="24"/>
        </w:rPr>
      </w:pPr>
      <w:r w:rsidRPr="005E51A9">
        <w:rPr>
          <w:rFonts w:ascii="Arial" w:hAnsi="Arial" w:cs="Arial"/>
          <w:sz w:val="24"/>
          <w:szCs w:val="24"/>
        </w:rPr>
        <w:t>Esistenza certa o probabile</w:t>
      </w:r>
    </w:p>
    <w:p w:rsidR="000159F6" w:rsidRPr="005E51A9" w:rsidRDefault="000159F6" w:rsidP="000159F6">
      <w:pPr>
        <w:numPr>
          <w:ilvl w:val="0"/>
          <w:numId w:val="8"/>
        </w:numPr>
        <w:spacing w:line="240" w:lineRule="auto"/>
        <w:contextualSpacing/>
        <w:jc w:val="both"/>
        <w:rPr>
          <w:rFonts w:ascii="Arial" w:hAnsi="Arial" w:cs="Arial"/>
          <w:sz w:val="24"/>
          <w:szCs w:val="24"/>
        </w:rPr>
      </w:pPr>
      <w:r w:rsidRPr="005E51A9">
        <w:rPr>
          <w:rFonts w:ascii="Arial" w:hAnsi="Arial" w:cs="Arial"/>
          <w:sz w:val="24"/>
          <w:szCs w:val="24"/>
        </w:rPr>
        <w:t>Ammontare o data di sopravvenienza indeterminati alla chiusura dell’esercizio.</w:t>
      </w:r>
    </w:p>
    <w:p w:rsidR="000159F6" w:rsidRPr="005E51A9" w:rsidRDefault="000159F6" w:rsidP="000159F6">
      <w:pPr>
        <w:spacing w:line="240" w:lineRule="auto"/>
        <w:contextualSpacing/>
        <w:jc w:val="both"/>
        <w:rPr>
          <w:rFonts w:ascii="Arial" w:hAnsi="Arial" w:cs="Arial"/>
          <w:sz w:val="24"/>
          <w:szCs w:val="24"/>
        </w:rPr>
      </w:pPr>
    </w:p>
    <w:p w:rsidR="000159F6" w:rsidRPr="005E51A9" w:rsidRDefault="000159F6" w:rsidP="000159F6">
      <w:pPr>
        <w:spacing w:line="240" w:lineRule="auto"/>
        <w:contextualSpacing/>
        <w:jc w:val="both"/>
        <w:rPr>
          <w:rFonts w:ascii="Arial" w:hAnsi="Arial" w:cs="Arial"/>
          <w:sz w:val="24"/>
          <w:szCs w:val="24"/>
        </w:rPr>
      </w:pPr>
      <w:r w:rsidRPr="005E51A9">
        <w:rPr>
          <w:rFonts w:ascii="Arial" w:hAnsi="Arial" w:cs="Arial"/>
          <w:sz w:val="24"/>
          <w:szCs w:val="24"/>
        </w:rPr>
        <w:t>Fattispecie tipiche delle Amministrazioni pubbliche sono rappresentate da eventuali controversie con il personale o con terzi, per le quali occorre stanziare a chiusura dell’esercizio un accantonamento commisurato all’esborso che si stima di dover sostenere al momento della definizione della controversia; la stima dei suddetti accantonamenti deve essere attendibile e pertanto si rende necessario avvalersi delle opportune fonti informative, quali le stime effettuate dai legali.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Le passività che danno luogo ad accantonamenti a fondi per rischi ed oneri sono di due tipi:</w:t>
      </w:r>
    </w:p>
    <w:p w:rsidR="000159F6" w:rsidRPr="005E51A9" w:rsidRDefault="000159F6" w:rsidP="000159F6">
      <w:pPr>
        <w:autoSpaceDE w:val="0"/>
        <w:autoSpaceDN w:val="0"/>
        <w:adjustRightInd w:val="0"/>
        <w:spacing w:after="0" w:line="240" w:lineRule="auto"/>
        <w:ind w:left="142"/>
        <w:jc w:val="both"/>
        <w:rPr>
          <w:rFonts w:ascii="Arial" w:hAnsi="Arial" w:cs="Arial"/>
          <w:sz w:val="24"/>
          <w:szCs w:val="24"/>
        </w:rPr>
      </w:pPr>
      <w:r w:rsidRPr="005E51A9">
        <w:rPr>
          <w:rFonts w:ascii="Arial" w:hAnsi="Arial" w:cs="Arial"/>
          <w:i/>
          <w:iCs/>
          <w:sz w:val="24"/>
          <w:szCs w:val="24"/>
        </w:rPr>
        <w:t>a</w:t>
      </w:r>
      <w:r w:rsidRPr="005E51A9">
        <w:rPr>
          <w:rFonts w:ascii="Arial" w:hAnsi="Arial" w:cs="Arial"/>
          <w:sz w:val="24"/>
          <w:szCs w:val="24"/>
        </w:rPr>
        <w:t xml:space="preserve">) accantonamenti per passività certe, il cui ammontare o la cui data di estinzione sono indeterminati. Si tratta in sostanza di </w:t>
      </w:r>
      <w:r w:rsidRPr="005E51A9">
        <w:rPr>
          <w:rFonts w:ascii="Arial" w:hAnsi="Arial" w:cs="Arial"/>
          <w:sz w:val="24"/>
          <w:szCs w:val="24"/>
          <w:u w:val="single"/>
        </w:rPr>
        <w:t>fondi oneri</w:t>
      </w:r>
      <w:r w:rsidRPr="005E51A9">
        <w:rPr>
          <w:rFonts w:ascii="Arial" w:hAnsi="Arial" w:cs="Arial"/>
          <w:sz w:val="24"/>
          <w:szCs w:val="24"/>
        </w:rPr>
        <w:t xml:space="preserve">, ossia di costi, spese e perdite di competenza dell'esercizio in corso per obbligazioni già assunte alla data di bilancio od altri eventi già verificatisi (maturati) alla stessa data ma non ancora definiti esattamente nell'ammontare o nella data di estinzione. Si tratta, quindi, di obbligazioni che maturano con il passare del tempo o che sorgono con il verificarsi di un evento specifico dell'esercizio in corso, ovvero di perdite che si riferiscono ad un evento specifico verificatosi nell'esercizio in corso, le quali non sono ancora definite esattamente nell'ammontare ma che comportano un procedimento ragionieristico di stima. Gli </w:t>
      </w:r>
      <w:r w:rsidRPr="005E51A9">
        <w:rPr>
          <w:rFonts w:ascii="Arial" w:hAnsi="Arial" w:cs="Arial"/>
          <w:sz w:val="24"/>
          <w:szCs w:val="24"/>
        </w:rPr>
        <w:lastRenderedPageBreak/>
        <w:t>stanziamenti per le predette obbligazioni vanno effettuati sulla base di una stima realistica dell'onere necessario per soddisfarle, misurato dai costi in vigore alla data di chiusura dell'esercizio, tenendo però conto di tutti gli aumenti di costo già noti a tale data, documentati e verificabili, che dovranno essere sostenuti per soddisfare le obbligazioni assunte.</w:t>
      </w:r>
    </w:p>
    <w:p w:rsidR="000159F6" w:rsidRPr="005E51A9" w:rsidRDefault="000159F6" w:rsidP="000159F6">
      <w:pPr>
        <w:autoSpaceDE w:val="0"/>
        <w:autoSpaceDN w:val="0"/>
        <w:adjustRightInd w:val="0"/>
        <w:spacing w:after="0" w:line="240" w:lineRule="auto"/>
        <w:ind w:left="142"/>
        <w:jc w:val="both"/>
        <w:rPr>
          <w:rFonts w:ascii="Arial" w:hAnsi="Arial" w:cs="Arial"/>
          <w:sz w:val="24"/>
          <w:szCs w:val="24"/>
        </w:rPr>
      </w:pPr>
      <w:r w:rsidRPr="005E51A9">
        <w:rPr>
          <w:rFonts w:ascii="Arial" w:hAnsi="Arial" w:cs="Arial"/>
          <w:i/>
          <w:iCs/>
          <w:sz w:val="24"/>
          <w:szCs w:val="24"/>
        </w:rPr>
        <w:t>b</w:t>
      </w:r>
      <w:r w:rsidRPr="005E51A9">
        <w:rPr>
          <w:rFonts w:ascii="Arial" w:hAnsi="Arial" w:cs="Arial"/>
          <w:sz w:val="24"/>
          <w:szCs w:val="24"/>
        </w:rPr>
        <w:t xml:space="preserve">) Accantonamenti per passività la cui esistenza è solo probabile; si tratta delle cosiddette “passività potenziali” o </w:t>
      </w:r>
      <w:r w:rsidRPr="005E51A9">
        <w:rPr>
          <w:rFonts w:ascii="Arial" w:hAnsi="Arial" w:cs="Arial"/>
          <w:sz w:val="24"/>
          <w:szCs w:val="24"/>
          <w:u w:val="single"/>
        </w:rPr>
        <w:t>fondi rischi</w:t>
      </w:r>
      <w:r w:rsidRPr="005E51A9">
        <w:rPr>
          <w:rFonts w:ascii="Arial" w:hAnsi="Arial" w:cs="Arial"/>
          <w:sz w:val="24"/>
          <w:szCs w:val="24"/>
        </w:rPr>
        <w:t>.</w:t>
      </w:r>
    </w:p>
    <w:p w:rsidR="000159F6" w:rsidRPr="005E51A9" w:rsidRDefault="000159F6" w:rsidP="000159F6">
      <w:pPr>
        <w:autoSpaceDE w:val="0"/>
        <w:autoSpaceDN w:val="0"/>
        <w:adjustRightInd w:val="0"/>
        <w:spacing w:after="0" w:line="240" w:lineRule="auto"/>
        <w:ind w:left="142"/>
        <w:jc w:val="both"/>
        <w:rPr>
          <w:rFonts w:ascii="Arial" w:hAnsi="Arial" w:cs="Arial"/>
          <w:sz w:val="24"/>
          <w:szCs w:val="24"/>
        </w:rPr>
      </w:pP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I fondi del passivo non possono essere utilizzati per attuare “politiche di bilancio”, tramite la costituzione di generici fondi rischi privi di giustificazione economica.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 xml:space="preserve">Nella valutazione dei </w:t>
      </w:r>
      <w:r w:rsidRPr="005E51A9">
        <w:rPr>
          <w:rFonts w:ascii="Arial" w:hAnsi="Arial" w:cs="Arial"/>
          <w:b/>
          <w:sz w:val="24"/>
          <w:szCs w:val="24"/>
          <w:u w:val="single"/>
        </w:rPr>
        <w:t>Fondi per oneri</w:t>
      </w:r>
      <w:r w:rsidRPr="005E51A9">
        <w:rPr>
          <w:rFonts w:ascii="Arial" w:hAnsi="Arial" w:cs="Arial"/>
          <w:sz w:val="24"/>
          <w:szCs w:val="24"/>
        </w:rPr>
        <w:t xml:space="preserve"> occorre tenere presente i principi generali del bilancio, in particolare i postulati della competenza e della prudenza.</w:t>
      </w:r>
    </w:p>
    <w:p w:rsidR="000159F6" w:rsidRPr="005E51A9" w:rsidRDefault="000159F6" w:rsidP="000159F6">
      <w:pPr>
        <w:pStyle w:val="Paragrafoelenco"/>
        <w:autoSpaceDE w:val="0"/>
        <w:autoSpaceDN w:val="0"/>
        <w:adjustRightInd w:val="0"/>
        <w:spacing w:after="0" w:line="240" w:lineRule="auto"/>
        <w:ind w:left="0"/>
        <w:jc w:val="both"/>
        <w:rPr>
          <w:rFonts w:ascii="Arial" w:hAnsi="Arial" w:cs="Arial"/>
          <w:b/>
          <w:i/>
          <w:iCs/>
          <w:sz w:val="24"/>
          <w:szCs w:val="24"/>
        </w:rPr>
      </w:pPr>
      <w:r w:rsidRPr="005E51A9">
        <w:rPr>
          <w:rFonts w:ascii="Arial" w:hAnsi="Arial" w:cs="Arial"/>
          <w:b/>
          <w:i/>
          <w:iCs/>
          <w:sz w:val="24"/>
          <w:szCs w:val="24"/>
        </w:rPr>
        <w:t>-Fondi di quiescenza e obblighi simili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La voce accoglie i fondi diversi dal trattamento di fine rapporto ex art. 2120 Codice Civile, quali ad esempio:</w:t>
      </w:r>
    </w:p>
    <w:p w:rsidR="000159F6" w:rsidRPr="005E51A9" w:rsidRDefault="000159F6" w:rsidP="000159F6">
      <w:pPr>
        <w:numPr>
          <w:ilvl w:val="0"/>
          <w:numId w:val="4"/>
        </w:num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i fondi di pensione costituiti in aggiunta al trattamento previdenziale di legge (ad es. INPS ecc.) per il personale dipendente;</w:t>
      </w:r>
    </w:p>
    <w:p w:rsidR="000159F6" w:rsidRPr="005E51A9" w:rsidRDefault="000159F6" w:rsidP="000159F6">
      <w:pPr>
        <w:numPr>
          <w:ilvl w:val="0"/>
          <w:numId w:val="4"/>
        </w:num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i fondi di pensione integrativa derivanti da accordi aziendali, interaziendali o collettivi per il personale dipendente;</w:t>
      </w:r>
    </w:p>
    <w:p w:rsidR="000159F6" w:rsidRPr="005E51A9" w:rsidRDefault="000159F6" w:rsidP="000159F6">
      <w:pPr>
        <w:numPr>
          <w:ilvl w:val="0"/>
          <w:numId w:val="4"/>
        </w:numPr>
        <w:spacing w:line="240" w:lineRule="auto"/>
        <w:jc w:val="both"/>
        <w:rPr>
          <w:rFonts w:ascii="Arial" w:hAnsi="Arial" w:cs="Arial"/>
          <w:sz w:val="24"/>
          <w:szCs w:val="24"/>
        </w:rPr>
      </w:pPr>
      <w:r w:rsidRPr="005E51A9">
        <w:rPr>
          <w:rFonts w:ascii="Arial" w:hAnsi="Arial" w:cs="Arial"/>
          <w:sz w:val="24"/>
          <w:szCs w:val="24"/>
        </w:rPr>
        <w:t>i fondi di indennità per cessazione di rapporti di collaborazione coordinata e continuativa.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Tali fondi sono certi nell'esistenza e indeterminati nell'ammontare, in quanto basati su calcoli matematico-attuariali o condizionati da eventi futuri come il raggiungimento di una determinata anzianità di servizio e la vita utile lavorativa, ma sono stimabili con ragionevolezza.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w:t>
      </w:r>
      <w:r w:rsidRPr="005E51A9">
        <w:rPr>
          <w:rFonts w:ascii="Arial" w:hAnsi="Arial" w:cs="Arial"/>
          <w:b/>
          <w:i/>
          <w:iCs/>
          <w:sz w:val="24"/>
          <w:szCs w:val="24"/>
        </w:rPr>
        <w:t>Fondo manutenzione ciclica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A fronte delle spese di manutenzione ordinaria svolte periodicamente dopo un certo numero di anni o ore di servizio maturate in più esercizi su certi grandi impianti o su immobilizzazioni sulla base di norme di legge o regolamenti dell’ente viene iscritto nello stato patrimoniale un fondo manutenzione ciclica o periodica.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Tale fondo non intende coprire costi per apportare migliorie, modifiche, ristrutturazioni o rinnovamenti che si concretizzino in un incremento significativo e tangibile di capacità o di produttività o di sicurezza (manutenzioni di tipo straordinario), per i quali si rimanda al paragrafo sulle immobilizzazioni materiali.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Gli stanziamenti a tale fondo hanno l'obiettivo di ripartire, secondo il principio della competenza fra i vari esercizi, il costo di manutenzione che, benché effettuata dopo un certo numero di anni, si riferisce ad un'usura del bene verificatasi anche negli esercizi precedenti a quello in cui la manutenzione viene eseguita. Pertanto, accantonamenti periodici a questo fondo vanno effettuati se ricorrono le seguenti condizioni:</w:t>
      </w:r>
    </w:p>
    <w:p w:rsidR="000159F6" w:rsidRPr="005E51A9" w:rsidRDefault="000159F6" w:rsidP="000159F6">
      <w:pPr>
        <w:autoSpaceDE w:val="0"/>
        <w:autoSpaceDN w:val="0"/>
        <w:adjustRightInd w:val="0"/>
        <w:spacing w:after="0" w:line="240" w:lineRule="auto"/>
        <w:ind w:left="480"/>
        <w:jc w:val="both"/>
        <w:rPr>
          <w:rFonts w:ascii="Arial" w:hAnsi="Arial" w:cs="Arial"/>
          <w:sz w:val="24"/>
          <w:szCs w:val="24"/>
        </w:rPr>
      </w:pPr>
      <w:r w:rsidRPr="005E51A9">
        <w:rPr>
          <w:rFonts w:ascii="Arial" w:hAnsi="Arial" w:cs="Arial"/>
          <w:i/>
          <w:iCs/>
          <w:sz w:val="24"/>
          <w:szCs w:val="24"/>
        </w:rPr>
        <w:t>a</w:t>
      </w:r>
      <w:r w:rsidRPr="005E51A9">
        <w:rPr>
          <w:rFonts w:ascii="Arial" w:hAnsi="Arial" w:cs="Arial"/>
          <w:sz w:val="24"/>
          <w:szCs w:val="24"/>
        </w:rPr>
        <w:t>) trattasi di manutenzione che sicuramente verrà eseguita (ed è già pianificata) ad intervalli periodici;</w:t>
      </w:r>
    </w:p>
    <w:p w:rsidR="000159F6" w:rsidRPr="005E51A9" w:rsidRDefault="000159F6" w:rsidP="000159F6">
      <w:pPr>
        <w:autoSpaceDE w:val="0"/>
        <w:autoSpaceDN w:val="0"/>
        <w:adjustRightInd w:val="0"/>
        <w:spacing w:after="0" w:line="240" w:lineRule="auto"/>
        <w:ind w:left="480"/>
        <w:jc w:val="both"/>
        <w:rPr>
          <w:rFonts w:ascii="Arial" w:hAnsi="Arial" w:cs="Arial"/>
          <w:sz w:val="24"/>
          <w:szCs w:val="24"/>
        </w:rPr>
      </w:pPr>
      <w:r w:rsidRPr="005E51A9">
        <w:rPr>
          <w:rFonts w:ascii="Arial" w:hAnsi="Arial" w:cs="Arial"/>
          <w:i/>
          <w:iCs/>
          <w:sz w:val="24"/>
          <w:szCs w:val="24"/>
        </w:rPr>
        <w:t>b</w:t>
      </w:r>
      <w:r w:rsidRPr="005E51A9">
        <w:rPr>
          <w:rFonts w:ascii="Arial" w:hAnsi="Arial" w:cs="Arial"/>
          <w:sz w:val="24"/>
          <w:szCs w:val="24"/>
        </w:rPr>
        <w:t>) vi è la ragionevole certezza che il bene continuerà ad essere utilizzato almeno fino al prossimo ciclo di manutenzione;</w:t>
      </w:r>
    </w:p>
    <w:p w:rsidR="000159F6" w:rsidRPr="005E51A9" w:rsidRDefault="000159F6" w:rsidP="000159F6">
      <w:pPr>
        <w:autoSpaceDE w:val="0"/>
        <w:autoSpaceDN w:val="0"/>
        <w:adjustRightInd w:val="0"/>
        <w:spacing w:after="0" w:line="240" w:lineRule="auto"/>
        <w:ind w:left="480"/>
        <w:jc w:val="both"/>
        <w:rPr>
          <w:rFonts w:ascii="Arial" w:hAnsi="Arial" w:cs="Arial"/>
          <w:sz w:val="24"/>
          <w:szCs w:val="24"/>
        </w:rPr>
      </w:pPr>
      <w:r w:rsidRPr="005E51A9">
        <w:rPr>
          <w:rFonts w:ascii="Arial" w:hAnsi="Arial" w:cs="Arial"/>
          <w:i/>
          <w:iCs/>
          <w:sz w:val="24"/>
          <w:szCs w:val="24"/>
        </w:rPr>
        <w:t>c</w:t>
      </w:r>
      <w:r w:rsidRPr="005E51A9">
        <w:rPr>
          <w:rFonts w:ascii="Arial" w:hAnsi="Arial" w:cs="Arial"/>
          <w:sz w:val="24"/>
          <w:szCs w:val="24"/>
        </w:rPr>
        <w:t>) la manutenzione ciclica non può essere sostituita da più frequenti, ma comunque sporadici, interventi di manutenzione ordinaria;</w:t>
      </w:r>
    </w:p>
    <w:p w:rsidR="000159F6" w:rsidRPr="005E51A9" w:rsidRDefault="000159F6" w:rsidP="000159F6">
      <w:pPr>
        <w:autoSpaceDE w:val="0"/>
        <w:autoSpaceDN w:val="0"/>
        <w:adjustRightInd w:val="0"/>
        <w:spacing w:after="0" w:line="240" w:lineRule="auto"/>
        <w:ind w:left="480"/>
        <w:jc w:val="both"/>
        <w:rPr>
          <w:rFonts w:ascii="Arial" w:hAnsi="Arial" w:cs="Arial"/>
          <w:sz w:val="24"/>
          <w:szCs w:val="24"/>
        </w:rPr>
      </w:pPr>
      <w:r w:rsidRPr="005E51A9">
        <w:rPr>
          <w:rFonts w:ascii="Arial" w:hAnsi="Arial" w:cs="Arial"/>
          <w:i/>
          <w:iCs/>
          <w:sz w:val="24"/>
          <w:szCs w:val="24"/>
        </w:rPr>
        <w:t>d</w:t>
      </w:r>
      <w:r w:rsidRPr="005E51A9">
        <w:rPr>
          <w:rFonts w:ascii="Arial" w:hAnsi="Arial" w:cs="Arial"/>
          <w:sz w:val="24"/>
          <w:szCs w:val="24"/>
        </w:rPr>
        <w:t>) la manutenzione ciclica ad intervalli pluriennali non viene sostituita da una serie di interventi ciclici con periodicità annuale, i cui costi vengono sistematicamente addebitati all'esercizio.</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Lo stanziamento è effettuato suddividendo la spesa prevista in base ad appropriati parametri che riflettano il principio della competenza.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lastRenderedPageBreak/>
        <w:t>Il costo totale stimato dei lavori deve essere pari a quello che si sosterrebbe se la manutenzione fosse effettuata alla data di chiusura dell'esercizio, tenendo però conto di tutti gli aumenti di costo già noti a tale data, documentati e verificabili, che dovranno essere sostenuti per svolgere la manutenzione. Pertanto, non sono anticipati gli effetti di eventuali incrementi dei costi sulla base di proiezioni future di tassi inflazionistici.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La congruità del fondo, stimato per categorie omogenee di beni, deve essere riesaminata periodicamente per tenere conto di eventuali variazioni nei tempi di esecuzione dei lavori di manutenzione e del costo stimato dei lavori stessi.</w:t>
      </w:r>
    </w:p>
    <w:p w:rsidR="000159F6" w:rsidRPr="005E51A9" w:rsidRDefault="000159F6" w:rsidP="000159F6">
      <w:pPr>
        <w:autoSpaceDE w:val="0"/>
        <w:autoSpaceDN w:val="0"/>
        <w:adjustRightInd w:val="0"/>
        <w:spacing w:after="0" w:line="240" w:lineRule="auto"/>
        <w:jc w:val="both"/>
        <w:rPr>
          <w:rFonts w:ascii="Arial" w:hAnsi="Arial" w:cs="Arial"/>
          <w:b/>
          <w:i/>
          <w:iCs/>
          <w:sz w:val="24"/>
          <w:szCs w:val="24"/>
        </w:rPr>
      </w:pPr>
      <w:r w:rsidRPr="005E51A9">
        <w:rPr>
          <w:rFonts w:ascii="Arial" w:hAnsi="Arial" w:cs="Arial"/>
          <w:sz w:val="24"/>
          <w:szCs w:val="24"/>
        </w:rPr>
        <w:t>-</w:t>
      </w:r>
      <w:r w:rsidRPr="005E51A9">
        <w:rPr>
          <w:rFonts w:ascii="Arial" w:hAnsi="Arial" w:cs="Arial"/>
          <w:b/>
          <w:i/>
          <w:iCs/>
          <w:sz w:val="24"/>
          <w:szCs w:val="24"/>
        </w:rPr>
        <w:t>Fondo per copertura perdite di società partecipate</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Qualora l’ente abbia partecipazioni immobilizzate in società che registrano perdite che non hanno natura durevole (in caso di durevolezza della perdita, infatti, occorre svalutare direttamente le partecipazioni) e abbia l'obbligo o l'intenzione di coprire tali perdite per la quota di pertinenza, accantona ad un fondo del passivo di stato patrimoniale un ammontare pari all'onere assunto.</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In relazione alla tipologia dell'impegno, se il relativo onere ha già la natura di debito, sarà classificato come tale.</w:t>
      </w:r>
    </w:p>
    <w:p w:rsidR="000159F6" w:rsidRPr="005E51A9" w:rsidRDefault="000159F6" w:rsidP="000159F6">
      <w:pPr>
        <w:autoSpaceDE w:val="0"/>
        <w:autoSpaceDN w:val="0"/>
        <w:adjustRightInd w:val="0"/>
        <w:spacing w:after="0" w:line="240" w:lineRule="auto"/>
        <w:ind w:left="360"/>
        <w:jc w:val="both"/>
        <w:rPr>
          <w:rFonts w:ascii="Arial" w:hAnsi="Arial" w:cs="Arial"/>
          <w:sz w:val="24"/>
          <w:szCs w:val="24"/>
        </w:rPr>
      </w:pPr>
    </w:p>
    <w:p w:rsidR="000159F6" w:rsidRPr="005E51A9" w:rsidRDefault="000159F6" w:rsidP="000159F6">
      <w:pPr>
        <w:pStyle w:val="Paragrafoelenco"/>
        <w:autoSpaceDE w:val="0"/>
        <w:autoSpaceDN w:val="0"/>
        <w:adjustRightInd w:val="0"/>
        <w:spacing w:after="0" w:line="240" w:lineRule="auto"/>
        <w:ind w:left="0"/>
        <w:jc w:val="both"/>
        <w:rPr>
          <w:rFonts w:ascii="Arial" w:hAnsi="Arial" w:cs="Arial"/>
          <w:sz w:val="24"/>
          <w:szCs w:val="24"/>
        </w:rPr>
      </w:pPr>
      <w:r w:rsidRPr="005E51A9">
        <w:rPr>
          <w:rFonts w:ascii="Arial" w:hAnsi="Arial" w:cs="Arial"/>
          <w:sz w:val="24"/>
          <w:szCs w:val="24"/>
        </w:rPr>
        <w:t>Con l'espressione “</w:t>
      </w:r>
      <w:r w:rsidRPr="005E51A9">
        <w:rPr>
          <w:rFonts w:ascii="Arial" w:hAnsi="Arial" w:cs="Arial"/>
          <w:sz w:val="24"/>
          <w:szCs w:val="24"/>
          <w:u w:val="single"/>
        </w:rPr>
        <w:t>passività potenziali</w:t>
      </w:r>
      <w:r w:rsidRPr="005E51A9">
        <w:rPr>
          <w:rFonts w:ascii="Arial" w:hAnsi="Arial" w:cs="Arial"/>
          <w:sz w:val="24"/>
          <w:szCs w:val="24"/>
        </w:rPr>
        <w:t>” ci si riferisce a passività connesse a “potenzialità”, cioè a situazioni già esistenti ma con esito pendente in quanto si risolveranno in futuro.</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In particolare, per “potenzialità” si intendono una situazione, una condizione od una fattispecie esistenti alla data del bilancio, caratterizzate da uno stato d'incertezza, le quali, al verificarsi o meno di uno o più eventi futuri, potranno concretizzarsi per l’ente in una perdita, confermando il sorgere di una passività o la perdita parziale o totale di un'attività (ad esempio, una causa passiva, l'inosservanza di una clausola contrattuale o di una norma di legge, un pignoramento, rischi non assicurati, ecc.).</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La valutazione delle potenzialità deve essere sorretta dalle conoscenze delle specifiche situazioni, dall'esperienza del passato e da ogni altro elemento utile e devono essere effettuati nel rispetto dei postulati del bilancio d'esercizio ed in particolare di quelli della imparzialità e della verificabilità.</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Il trattamento contabile delle perdite derivanti da potenzialità dipende dai seguenti due elementi:</w:t>
      </w:r>
    </w:p>
    <w:p w:rsidR="000159F6" w:rsidRPr="005E51A9" w:rsidRDefault="000159F6" w:rsidP="000159F6">
      <w:pPr>
        <w:autoSpaceDE w:val="0"/>
        <w:autoSpaceDN w:val="0"/>
        <w:adjustRightInd w:val="0"/>
        <w:spacing w:after="0" w:line="240" w:lineRule="auto"/>
        <w:ind w:left="480"/>
        <w:jc w:val="both"/>
        <w:rPr>
          <w:rFonts w:ascii="Arial" w:hAnsi="Arial" w:cs="Arial"/>
          <w:sz w:val="24"/>
          <w:szCs w:val="24"/>
        </w:rPr>
      </w:pPr>
      <w:r w:rsidRPr="005E51A9">
        <w:rPr>
          <w:rFonts w:ascii="Arial" w:hAnsi="Arial" w:cs="Arial"/>
          <w:sz w:val="24"/>
          <w:szCs w:val="24"/>
        </w:rPr>
        <w:t>1) dal grado di realizzazione e di avveramento dell'evento futuro;</w:t>
      </w:r>
    </w:p>
    <w:p w:rsidR="000159F6" w:rsidRPr="005E51A9" w:rsidRDefault="000159F6" w:rsidP="000159F6">
      <w:pPr>
        <w:autoSpaceDE w:val="0"/>
        <w:autoSpaceDN w:val="0"/>
        <w:adjustRightInd w:val="0"/>
        <w:spacing w:after="0" w:line="240" w:lineRule="auto"/>
        <w:ind w:left="480"/>
        <w:jc w:val="both"/>
        <w:rPr>
          <w:rFonts w:ascii="Arial" w:hAnsi="Arial" w:cs="Arial"/>
          <w:sz w:val="24"/>
          <w:szCs w:val="24"/>
        </w:rPr>
      </w:pPr>
      <w:r w:rsidRPr="005E51A9">
        <w:rPr>
          <w:rFonts w:ascii="Arial" w:hAnsi="Arial" w:cs="Arial"/>
          <w:sz w:val="24"/>
          <w:szCs w:val="24"/>
        </w:rPr>
        <w:t>2) dalla possibilità di stimare l'ammontare delle perdite.</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Tali determinazioni sono spesso difficili da effettuare e richiedono discernimento, oculatezza e giudizio da parte del redattore del bilancio, applicati con competenza ed onestà e con l'utilizzo della più ampia conoscenza dei fatti e delle circostanze.</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Le informazioni da utilizzare comprendono anche pareri legali e di altri esperti, dati relativi alla esperienza passata dell’ente in casi similari, le decisioni che l’ente intenderà adottare, ecc.</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Al fine di misurare il grado di realizzazione e di avveramento dell'evento futuro tali eventi possono classificarsi in: probabili, possibili o remoti.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Un evento dicesi probabile qualora se ne ammetta l'accadimento in base a motivi seri o attendibili ma non certi, ossia se l'accadimento è credibile, verosimile o ammissibile in base a motivi ed argomenti abbastanza sicuri. Opinione probabile è del resto quella basata su ragioni tali da meritare l'assenso di persona prudente.</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Con il termine possibile, il grado di realizzazione e di avveramento dell'evento futuro è inferiore al probabile. L'evento possibile è quello che può accadere o verificarsi, che cioè è eventuale o può avvenire.</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L'evento remoto è invece quello che ha scarsissime possibilità di verificarsi, ossia, che potrà accadere molto difficilmente.</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lastRenderedPageBreak/>
        <w:t>Le perdite derivanti da potenzialità e pertanto anche quelle connesse a passività potenziali sono rilevate in bilancio come fondi accesi a costi, spese e perdite di competenza stimati quando sussistono le seguenti condizioni:</w:t>
      </w:r>
    </w:p>
    <w:p w:rsidR="000159F6" w:rsidRPr="005E51A9" w:rsidRDefault="000159F6" w:rsidP="000159F6">
      <w:pPr>
        <w:numPr>
          <w:ilvl w:val="1"/>
          <w:numId w:val="6"/>
        </w:num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la disponibilità, al momento della redazione del bilancio, di informazioni che facciano ritenere probabile il verificarsi degli eventi comportanti il sorgere di una passività o la diminuzione di una attività;</w:t>
      </w:r>
    </w:p>
    <w:p w:rsidR="000159F6" w:rsidRPr="005E51A9" w:rsidRDefault="000159F6" w:rsidP="000159F6">
      <w:pPr>
        <w:numPr>
          <w:ilvl w:val="1"/>
          <w:numId w:val="5"/>
        </w:num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la possibilità di stimare l'entità dell'onere con sufficiente ragionevolezza.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Se una perdita connessa ad una potenzialità è stata stanziata in bilancio, la situazione d'incertezza e l'ammontare dello stanziamento sono indicati in nota integrativa se tali informazioni sono necessarie per una corretta comprensibilità del bilancio.</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Tali stanziamenti sono rilevati nei fondi per rischi ed oneri.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Se è probabile che l'evento futuro si verifichi ma la stima non può essere effettuata, in quanto l'ammontare che ne risulterebbe sarebbe particolarmente aleatorio ed arbitrario, salvo il caso in cui sia possibile stimare e stanziare in bilancio un importo minimo, sono fornite in nota integrativa le stesse informazioni da indicare nel caso che l'evento sia possibile; inoltre si indicherà che è probabile che la perdita verrà sostenuta.</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Nel caso in cui l'evento e quindi la perdita sia possibile, ma non probabile, sono indicate in nota integrativa le seguenti informazioni:</w:t>
      </w:r>
    </w:p>
    <w:p w:rsidR="000159F6" w:rsidRPr="005E51A9" w:rsidRDefault="000159F6" w:rsidP="000159F6">
      <w:pPr>
        <w:numPr>
          <w:ilvl w:val="0"/>
          <w:numId w:val="7"/>
        </w:numPr>
        <w:autoSpaceDE w:val="0"/>
        <w:autoSpaceDN w:val="0"/>
        <w:adjustRightInd w:val="0"/>
        <w:spacing w:after="0" w:line="240" w:lineRule="auto"/>
        <w:ind w:firstLine="87"/>
        <w:jc w:val="both"/>
        <w:rPr>
          <w:rFonts w:ascii="Arial" w:hAnsi="Arial" w:cs="Arial"/>
          <w:sz w:val="24"/>
          <w:szCs w:val="24"/>
        </w:rPr>
      </w:pPr>
      <w:r w:rsidRPr="005E51A9">
        <w:rPr>
          <w:rFonts w:ascii="Arial" w:hAnsi="Arial" w:cs="Arial"/>
          <w:sz w:val="24"/>
          <w:szCs w:val="24"/>
        </w:rPr>
        <w:t xml:space="preserve"> la situazione d'incertezza che potrebbe procurare la perdita;</w:t>
      </w:r>
    </w:p>
    <w:p w:rsidR="000159F6" w:rsidRPr="005E51A9" w:rsidRDefault="000159F6" w:rsidP="000159F6">
      <w:pPr>
        <w:numPr>
          <w:ilvl w:val="0"/>
          <w:numId w:val="7"/>
        </w:numPr>
        <w:autoSpaceDE w:val="0"/>
        <w:autoSpaceDN w:val="0"/>
        <w:adjustRightInd w:val="0"/>
        <w:spacing w:after="0" w:line="240" w:lineRule="auto"/>
        <w:ind w:firstLine="87"/>
        <w:jc w:val="both"/>
        <w:rPr>
          <w:rFonts w:ascii="Arial" w:hAnsi="Arial" w:cs="Arial"/>
          <w:sz w:val="24"/>
          <w:szCs w:val="24"/>
        </w:rPr>
      </w:pPr>
      <w:r w:rsidRPr="005E51A9">
        <w:rPr>
          <w:rFonts w:ascii="Arial" w:hAnsi="Arial" w:cs="Arial"/>
          <w:sz w:val="24"/>
          <w:szCs w:val="24"/>
        </w:rPr>
        <w:t xml:space="preserve"> l'ammontare stimato della possibile perdita o l'indicazione che la stessa non può essere effettuata;</w:t>
      </w:r>
    </w:p>
    <w:p w:rsidR="000159F6" w:rsidRPr="005E51A9" w:rsidRDefault="000159F6" w:rsidP="000159F6">
      <w:pPr>
        <w:numPr>
          <w:ilvl w:val="0"/>
          <w:numId w:val="7"/>
        </w:numPr>
        <w:autoSpaceDE w:val="0"/>
        <w:autoSpaceDN w:val="0"/>
        <w:adjustRightInd w:val="0"/>
        <w:spacing w:after="0" w:line="240" w:lineRule="auto"/>
        <w:ind w:firstLine="87"/>
        <w:jc w:val="both"/>
        <w:rPr>
          <w:rFonts w:ascii="Arial" w:hAnsi="Arial" w:cs="Arial"/>
          <w:sz w:val="24"/>
          <w:szCs w:val="24"/>
        </w:rPr>
      </w:pPr>
      <w:r w:rsidRPr="005E51A9">
        <w:rPr>
          <w:rFonts w:ascii="Arial" w:hAnsi="Arial" w:cs="Arial"/>
          <w:sz w:val="24"/>
          <w:szCs w:val="24"/>
        </w:rPr>
        <w:t xml:space="preserve"> altri possibili effetti se non evidenti;</w:t>
      </w:r>
    </w:p>
    <w:p w:rsidR="000159F6" w:rsidRPr="005E51A9" w:rsidRDefault="000159F6" w:rsidP="000159F6">
      <w:pPr>
        <w:numPr>
          <w:ilvl w:val="0"/>
          <w:numId w:val="7"/>
        </w:numPr>
        <w:autoSpaceDE w:val="0"/>
        <w:autoSpaceDN w:val="0"/>
        <w:adjustRightInd w:val="0"/>
        <w:spacing w:after="0" w:line="240" w:lineRule="auto"/>
        <w:ind w:firstLine="87"/>
        <w:jc w:val="both"/>
        <w:rPr>
          <w:rFonts w:ascii="Arial" w:hAnsi="Arial" w:cs="Arial"/>
          <w:sz w:val="24"/>
          <w:szCs w:val="24"/>
        </w:rPr>
      </w:pPr>
      <w:r w:rsidRPr="005E51A9">
        <w:rPr>
          <w:rFonts w:ascii="Arial" w:hAnsi="Arial" w:cs="Arial"/>
          <w:sz w:val="24"/>
          <w:szCs w:val="24"/>
        </w:rPr>
        <w:t xml:space="preserve"> preferibilmente, l'indicazione del parere di consulenti legali ed altri esperti.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Quando gli ammontari richiesti in una causa o in una controversia sono marcatamente esagerati rispetto alla reale situazione non è necessario, anzi può essere fuorviante, mettere in evidenza l'ammontare dei danni richiesti.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L'esistenza e l'ammontare di garanzie prestate direttamente o indirettamente (fidejussioni, avalli, altre garanzie personali e reali), sono posti in evidenza nei conti d'ordine e in nota integrativa anche se la perdita che l’ente potrà subire è improbabile. Qualora invece la perdita sia probabile si stanzia un apposito fondo rischi.</w:t>
      </w:r>
    </w:p>
    <w:p w:rsidR="000159F6" w:rsidRPr="005E51A9" w:rsidRDefault="000159F6" w:rsidP="000159F6">
      <w:pPr>
        <w:autoSpaceDE w:val="0"/>
        <w:autoSpaceDN w:val="0"/>
        <w:adjustRightInd w:val="0"/>
        <w:spacing w:after="0" w:line="240" w:lineRule="auto"/>
        <w:jc w:val="both"/>
        <w:rPr>
          <w:rFonts w:ascii="Arial" w:hAnsi="Arial" w:cs="Arial"/>
          <w:sz w:val="24"/>
          <w:szCs w:val="24"/>
        </w:rPr>
      </w:pPr>
      <w:r w:rsidRPr="005E51A9">
        <w:rPr>
          <w:rFonts w:ascii="Arial" w:hAnsi="Arial" w:cs="Arial"/>
          <w:sz w:val="24"/>
          <w:szCs w:val="24"/>
        </w:rPr>
        <w:t>Gli stanziamenti a fronte delle perdite connesse a potenzialità includono anche la stima delle spese legali e degli altri costi che saranno sostenuti per quella fattispecie.</w:t>
      </w:r>
    </w:p>
    <w:p w:rsidR="000159F6" w:rsidRPr="005E51A9" w:rsidRDefault="000159F6" w:rsidP="000159F6">
      <w:pPr>
        <w:spacing w:line="240" w:lineRule="auto"/>
        <w:contextualSpacing/>
        <w:jc w:val="both"/>
        <w:rPr>
          <w:rFonts w:ascii="Arial" w:hAnsi="Arial" w:cs="Arial"/>
          <w:b/>
          <w:sz w:val="24"/>
          <w:szCs w:val="24"/>
          <w:lang w:eastAsia="zh-TW"/>
        </w:rPr>
      </w:pPr>
    </w:p>
    <w:p w:rsidR="009771A9" w:rsidRPr="005E51A9" w:rsidRDefault="009771A9" w:rsidP="005145A4">
      <w:pPr>
        <w:rPr>
          <w:rFonts w:ascii="Arial" w:hAnsi="Arial" w:cs="Arial"/>
          <w:b/>
          <w:sz w:val="24"/>
          <w:szCs w:val="24"/>
        </w:rPr>
      </w:pPr>
      <w:r w:rsidRPr="005E51A9">
        <w:rPr>
          <w:rFonts w:ascii="Arial" w:hAnsi="Arial" w:cs="Arial"/>
          <w:b/>
          <w:sz w:val="24"/>
          <w:szCs w:val="24"/>
        </w:rPr>
        <w:t>CONTO ECONOMICO</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Il conto economico risulta redatto a struttura scalare, in cui le voci sono classificate secondo la loro natura, con rilevazione di risultati parziali e dei risultati economici finali. In tale modo il conto economico evidenzia le componenti positive e negative dell'attività dell'ente, secondo criteri di competenza economica. Il conto economico ricomprende: </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1) gli accertamenti e gli impegni del conto del bilancio, rettificati in maniera da costituire la dimensione finanziaria dei valori economici riferiti alla gestione di competenza; </w:t>
      </w:r>
    </w:p>
    <w:p w:rsidR="009771A9" w:rsidRPr="005E51A9" w:rsidRDefault="009771A9" w:rsidP="005145A4">
      <w:pPr>
        <w:rPr>
          <w:rFonts w:ascii="Arial" w:hAnsi="Arial" w:cs="Arial"/>
          <w:sz w:val="24"/>
          <w:szCs w:val="24"/>
        </w:rPr>
      </w:pPr>
      <w:r w:rsidRPr="005E51A9">
        <w:rPr>
          <w:rFonts w:ascii="Arial" w:hAnsi="Arial" w:cs="Arial"/>
          <w:sz w:val="24"/>
          <w:szCs w:val="24"/>
        </w:rPr>
        <w:t>2) le insussistenze e le sopravvenienze conseguenti alla gestione dei residui (minori e maggiori riaccertamenti di residui);</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3) gli elementi economici non rilevati nel conto del bilancio.</w:t>
      </w:r>
    </w:p>
    <w:p w:rsidR="009771A9" w:rsidRPr="005E51A9" w:rsidRDefault="009771A9" w:rsidP="005145A4">
      <w:pPr>
        <w:rPr>
          <w:rFonts w:ascii="Arial" w:hAnsi="Arial" w:cs="Arial"/>
          <w:sz w:val="24"/>
          <w:szCs w:val="24"/>
        </w:rPr>
      </w:pPr>
      <w:r w:rsidRPr="005E51A9">
        <w:rPr>
          <w:rFonts w:ascii="Arial" w:hAnsi="Arial" w:cs="Arial"/>
          <w:b/>
          <w:sz w:val="24"/>
          <w:szCs w:val="24"/>
        </w:rPr>
        <w:t>Costituiscono componenti positivi del conto</w:t>
      </w:r>
      <w:r w:rsidRPr="005E51A9">
        <w:rPr>
          <w:rFonts w:ascii="Arial" w:hAnsi="Arial" w:cs="Arial"/>
          <w:sz w:val="24"/>
          <w:szCs w:val="24"/>
        </w:rPr>
        <w:t xml:space="preserve">: </w:t>
      </w:r>
    </w:p>
    <w:p w:rsidR="009771A9" w:rsidRPr="005E51A9" w:rsidRDefault="009771A9" w:rsidP="005145A4">
      <w:pPr>
        <w:rPr>
          <w:rFonts w:ascii="Arial" w:hAnsi="Arial" w:cs="Arial"/>
          <w:sz w:val="24"/>
          <w:szCs w:val="24"/>
        </w:rPr>
      </w:pPr>
      <w:r w:rsidRPr="005E51A9">
        <w:rPr>
          <w:rFonts w:ascii="Arial" w:hAnsi="Arial" w:cs="Arial"/>
          <w:sz w:val="24"/>
          <w:szCs w:val="24"/>
        </w:rPr>
        <w:lastRenderedPageBreak/>
        <w:t xml:space="preserve">a) i tributi dei quali l'ente è soggetto attivo; </w:t>
      </w:r>
    </w:p>
    <w:p w:rsidR="009771A9" w:rsidRPr="005E51A9" w:rsidRDefault="009771A9" w:rsidP="005145A4">
      <w:pPr>
        <w:rPr>
          <w:rFonts w:ascii="Arial" w:hAnsi="Arial" w:cs="Arial"/>
          <w:sz w:val="24"/>
          <w:szCs w:val="24"/>
        </w:rPr>
      </w:pPr>
      <w:r w:rsidRPr="005E51A9">
        <w:rPr>
          <w:rFonts w:ascii="Arial" w:hAnsi="Arial" w:cs="Arial"/>
          <w:sz w:val="24"/>
          <w:szCs w:val="24"/>
        </w:rPr>
        <w:t>b) i trasferimenti correnti in favore dell'ente;</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c) i proventi dei servizi pubblici; </w:t>
      </w:r>
    </w:p>
    <w:p w:rsidR="009771A9" w:rsidRPr="005E51A9" w:rsidRDefault="009771A9" w:rsidP="005145A4">
      <w:pPr>
        <w:rPr>
          <w:rFonts w:ascii="Arial" w:hAnsi="Arial" w:cs="Arial"/>
          <w:sz w:val="24"/>
          <w:szCs w:val="24"/>
        </w:rPr>
      </w:pPr>
      <w:r w:rsidRPr="005E51A9">
        <w:rPr>
          <w:rFonts w:ascii="Arial" w:hAnsi="Arial" w:cs="Arial"/>
          <w:sz w:val="24"/>
          <w:szCs w:val="24"/>
        </w:rPr>
        <w:t>d) i proventi derivanti dalla gestione del patrimonio;</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e) i proventi finanziari; </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f) le insussistenze passive (minori riaccertamenti di residui passivi); </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g) le sopravvenienze attive (maggiori riaccertamenti di residui attivi); </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h) le plusvalenze risultanti da alienazioni e rivalutazioni patrimoniali. </w:t>
      </w:r>
    </w:p>
    <w:p w:rsidR="009771A9" w:rsidRPr="005E51A9" w:rsidRDefault="009771A9" w:rsidP="005145A4">
      <w:pPr>
        <w:rPr>
          <w:rFonts w:ascii="Arial" w:hAnsi="Arial" w:cs="Arial"/>
          <w:b/>
          <w:sz w:val="24"/>
          <w:szCs w:val="24"/>
        </w:rPr>
      </w:pPr>
      <w:r w:rsidRPr="005E51A9">
        <w:rPr>
          <w:rFonts w:ascii="Arial" w:hAnsi="Arial" w:cs="Arial"/>
          <w:b/>
          <w:sz w:val="24"/>
          <w:szCs w:val="24"/>
        </w:rPr>
        <w:t xml:space="preserve">Costituiscono componenti negativi del conto: </w:t>
      </w:r>
    </w:p>
    <w:p w:rsidR="009771A9" w:rsidRPr="005E51A9" w:rsidRDefault="009771A9" w:rsidP="005145A4">
      <w:pPr>
        <w:rPr>
          <w:rFonts w:ascii="Arial" w:hAnsi="Arial" w:cs="Arial"/>
          <w:sz w:val="24"/>
          <w:szCs w:val="24"/>
        </w:rPr>
      </w:pPr>
      <w:r w:rsidRPr="005E51A9">
        <w:rPr>
          <w:rFonts w:ascii="Arial" w:hAnsi="Arial" w:cs="Arial"/>
          <w:sz w:val="24"/>
          <w:szCs w:val="24"/>
        </w:rPr>
        <w:t>a) le spese di personale;</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b) gli acquisti di materie prime e di beni di consumo; </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c) le spese per prestazioni di servizi; d) le spese per l'utilizzo di beni di terzi; </w:t>
      </w:r>
    </w:p>
    <w:p w:rsidR="009771A9" w:rsidRPr="005E51A9" w:rsidRDefault="009771A9" w:rsidP="005145A4">
      <w:pPr>
        <w:rPr>
          <w:rFonts w:ascii="Arial" w:hAnsi="Arial" w:cs="Arial"/>
          <w:sz w:val="24"/>
          <w:szCs w:val="24"/>
        </w:rPr>
      </w:pPr>
      <w:r w:rsidRPr="005E51A9">
        <w:rPr>
          <w:rFonts w:ascii="Arial" w:hAnsi="Arial" w:cs="Arial"/>
          <w:sz w:val="24"/>
          <w:szCs w:val="24"/>
        </w:rPr>
        <w:t>e) i trasferimenti correnti a terzi;</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f) gli interessi passivi e gli oneri finanziari a carico dell'ente; </w:t>
      </w:r>
    </w:p>
    <w:p w:rsidR="009771A9" w:rsidRPr="005E51A9" w:rsidRDefault="009771A9" w:rsidP="005145A4">
      <w:pPr>
        <w:rPr>
          <w:rFonts w:ascii="Arial" w:hAnsi="Arial" w:cs="Arial"/>
          <w:sz w:val="24"/>
          <w:szCs w:val="24"/>
        </w:rPr>
      </w:pPr>
      <w:r w:rsidRPr="005E51A9">
        <w:rPr>
          <w:rFonts w:ascii="Arial" w:hAnsi="Arial" w:cs="Arial"/>
          <w:sz w:val="24"/>
          <w:szCs w:val="24"/>
        </w:rPr>
        <w:t>g) le imposte e tasse a carico dell'ente;</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h) gli oneri straordinari;</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i) le insussistenze attive (minori riaccertamenti di residui attivi); </w:t>
      </w:r>
    </w:p>
    <w:p w:rsidR="009771A9" w:rsidRPr="005E51A9" w:rsidRDefault="009771A9" w:rsidP="005145A4">
      <w:pPr>
        <w:rPr>
          <w:rFonts w:ascii="Arial" w:hAnsi="Arial" w:cs="Arial"/>
          <w:sz w:val="24"/>
          <w:szCs w:val="24"/>
        </w:rPr>
      </w:pPr>
      <w:r w:rsidRPr="005E51A9">
        <w:rPr>
          <w:rFonts w:ascii="Arial" w:hAnsi="Arial" w:cs="Arial"/>
          <w:sz w:val="24"/>
          <w:szCs w:val="24"/>
        </w:rPr>
        <w:t>l) le minusvalenze risultanti da alienazioni e svalutazioni patrimoniali;</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m) gli ammortamenti.</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Per ciò che riguarda gli accertamenti, essi vanno rettificati rilevando: a) i "ratei attivi", cioè le quote di ricavi che numericamente avverranno nell'esercizio futuro, ma che, in parte, interessano l'esercizio che si va a chiudere. I ratei attivi potrebbero già correttamente essere rilevati nella contabilità finanziaria, ove si provvedesse, al momento dell'insorgenza del diritto a riscuotere, a effettuare l'accertamento nell'esercizio di competenza per trasformarlo, alla chiusura dell'esercizio medesimo, in residuo attivo;</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b) i "risconti attivi", ossia i costi sostenuti in via anticipata, anche se relativi, per una quota, all'esercizio futuro, e che, pertanto, hanno la manifestazione numeraria nell'esercizio che si va a chiudere. Nell'esercizio in cui è avvenuta la manifestazione numeraria, il risconto attivo viene sottratto agli impegni e iscritto nello stato patrimoniale. Nell'esercizio successivo verrà riportato fra i costi, in attuazione del principio della competenza economica; </w:t>
      </w:r>
    </w:p>
    <w:p w:rsidR="009771A9" w:rsidRPr="005E51A9" w:rsidRDefault="009771A9" w:rsidP="005145A4">
      <w:pPr>
        <w:rPr>
          <w:rFonts w:ascii="Arial" w:hAnsi="Arial" w:cs="Arial"/>
          <w:sz w:val="24"/>
          <w:szCs w:val="24"/>
        </w:rPr>
      </w:pPr>
      <w:r w:rsidRPr="005E51A9">
        <w:rPr>
          <w:rFonts w:ascii="Arial" w:hAnsi="Arial" w:cs="Arial"/>
          <w:sz w:val="24"/>
          <w:szCs w:val="24"/>
        </w:rPr>
        <w:lastRenderedPageBreak/>
        <w:t>c) le variazioni in aumento delle rimanenze;</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 d) i "costi capitalizzati", costituiti da quella parte di costi sostenuti fra le spese correnti per la produzione in economia di valori da porre, dal punto di vista economico, a carico di più esercizi. Le entità finanziarie di costo relative agli esercizi futuri vengono scorporate alla chiusura dell'esercizio e iscritte nello stato patrimoniale. Negli esercizi successivi (in ciascuno per la relativa quota di esercizio) verranno riportati fra i costi; </w:t>
      </w:r>
    </w:p>
    <w:p w:rsidR="009771A9" w:rsidRPr="005E51A9" w:rsidRDefault="009771A9" w:rsidP="005145A4">
      <w:pPr>
        <w:rPr>
          <w:rFonts w:ascii="Arial" w:hAnsi="Arial" w:cs="Arial"/>
          <w:sz w:val="24"/>
          <w:szCs w:val="24"/>
        </w:rPr>
      </w:pPr>
      <w:r w:rsidRPr="005E51A9">
        <w:rPr>
          <w:rFonts w:ascii="Arial" w:hAnsi="Arial" w:cs="Arial"/>
          <w:sz w:val="24"/>
          <w:szCs w:val="24"/>
        </w:rPr>
        <w:t xml:space="preserve">e) le quote di ricavi già inserite nei risconti di anni precedenti; </w:t>
      </w:r>
    </w:p>
    <w:p w:rsidR="009771A9" w:rsidRPr="005E51A9" w:rsidRDefault="009771A9" w:rsidP="005145A4">
      <w:pPr>
        <w:rPr>
          <w:rFonts w:ascii="Arial" w:hAnsi="Arial" w:cs="Arial"/>
          <w:sz w:val="24"/>
          <w:szCs w:val="24"/>
        </w:rPr>
      </w:pPr>
      <w:r w:rsidRPr="005E51A9">
        <w:rPr>
          <w:rFonts w:ascii="Arial" w:hAnsi="Arial" w:cs="Arial"/>
          <w:sz w:val="24"/>
          <w:szCs w:val="24"/>
        </w:rPr>
        <w:t>f) le quote di ricavi pluriennali pari agli accertamenti degli introiti vincolati, anche di parte corrente, che alla chiusura dell'esercizio non si trasformano in costi e, pertanto, devono essere mantenuti disponibili nella spesa per essere utilizzati nell'esercizio successivo o restituiti se non impiegati. Le somme non utilizzate non costituiscono "costi" (in quanto ciò falserebbe le rilevazioni economiche), ma fondi da considerare nel passivo patrimoniale. A sua volta, la parte di introiti vincolati non utilizzata non può costituire "ricavo", ma una permutazione patrimoniale analoga al risconto passivo; g) l'imposta sul valore aggiunto, per le attività effettuate in regime di impresa.</w:t>
      </w:r>
    </w:p>
    <w:p w:rsidR="009771A9" w:rsidRPr="005E51A9" w:rsidRDefault="009771A9" w:rsidP="005145A4">
      <w:pPr>
        <w:rPr>
          <w:rFonts w:ascii="Arial" w:hAnsi="Arial" w:cs="Arial"/>
          <w:sz w:val="24"/>
          <w:szCs w:val="24"/>
        </w:rPr>
      </w:pPr>
    </w:p>
    <w:sectPr w:rsidR="009771A9" w:rsidRPr="005E51A9" w:rsidSect="00606A5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54316"/>
    <w:multiLevelType w:val="hybridMultilevel"/>
    <w:tmpl w:val="BF802E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D82273"/>
    <w:multiLevelType w:val="singleLevel"/>
    <w:tmpl w:val="040C000F"/>
    <w:lvl w:ilvl="0">
      <w:start w:val="1"/>
      <w:numFmt w:val="decimal"/>
      <w:lvlText w:val="%1."/>
      <w:lvlJc w:val="left"/>
      <w:pPr>
        <w:tabs>
          <w:tab w:val="num" w:pos="360"/>
        </w:tabs>
        <w:ind w:left="360" w:hanging="360"/>
      </w:pPr>
    </w:lvl>
  </w:abstractNum>
  <w:abstractNum w:abstractNumId="2">
    <w:nsid w:val="25072A89"/>
    <w:multiLevelType w:val="hybridMultilevel"/>
    <w:tmpl w:val="57B400F0"/>
    <w:lvl w:ilvl="0" w:tplc="04100001">
      <w:start w:val="1"/>
      <w:numFmt w:val="bullet"/>
      <w:lvlText w:val=""/>
      <w:lvlJc w:val="left"/>
      <w:pPr>
        <w:ind w:left="1200" w:hanging="360"/>
      </w:pPr>
      <w:rPr>
        <w:rFonts w:ascii="Symbol" w:hAnsi="Symbol" w:hint="default"/>
      </w:rPr>
    </w:lvl>
    <w:lvl w:ilvl="1" w:tplc="68342524">
      <w:numFmt w:val="bullet"/>
      <w:lvlText w:val="—"/>
      <w:lvlJc w:val="left"/>
      <w:pPr>
        <w:ind w:left="1920" w:hanging="360"/>
      </w:pPr>
      <w:rPr>
        <w:rFonts w:ascii="Times New Roman" w:eastAsia="Times New Roman" w:hAnsi="Times New Roman" w:hint="default"/>
      </w:rPr>
    </w:lvl>
    <w:lvl w:ilvl="2" w:tplc="04100005" w:tentative="1">
      <w:start w:val="1"/>
      <w:numFmt w:val="bullet"/>
      <w:lvlText w:val=""/>
      <w:lvlJc w:val="left"/>
      <w:pPr>
        <w:ind w:left="2640" w:hanging="360"/>
      </w:pPr>
      <w:rPr>
        <w:rFonts w:ascii="Wingdings" w:hAnsi="Wingdings"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hint="default"/>
      </w:rPr>
    </w:lvl>
    <w:lvl w:ilvl="8" w:tplc="04100005" w:tentative="1">
      <w:start w:val="1"/>
      <w:numFmt w:val="bullet"/>
      <w:lvlText w:val=""/>
      <w:lvlJc w:val="left"/>
      <w:pPr>
        <w:ind w:left="6960" w:hanging="360"/>
      </w:pPr>
      <w:rPr>
        <w:rFonts w:ascii="Wingdings" w:hAnsi="Wingdings" w:hint="default"/>
      </w:rPr>
    </w:lvl>
  </w:abstractNum>
  <w:abstractNum w:abstractNumId="3">
    <w:nsid w:val="2DE900BA"/>
    <w:multiLevelType w:val="hybridMultilevel"/>
    <w:tmpl w:val="1F508338"/>
    <w:lvl w:ilvl="0" w:tplc="0410000B">
      <w:start w:val="1"/>
      <w:numFmt w:val="bullet"/>
      <w:lvlText w:val=""/>
      <w:lvlJc w:val="left"/>
      <w:pPr>
        <w:ind w:left="1065" w:hanging="360"/>
      </w:pPr>
      <w:rPr>
        <w:rFonts w:ascii="Wingdings" w:hAnsi="Wingdings" w:hint="default"/>
        <w:b/>
      </w:rPr>
    </w:lvl>
    <w:lvl w:ilvl="1" w:tplc="04100019" w:tentative="1">
      <w:start w:val="1"/>
      <w:numFmt w:val="lowerLetter"/>
      <w:lvlText w:val="%2."/>
      <w:lvlJc w:val="left"/>
      <w:pPr>
        <w:ind w:left="1785" w:hanging="360"/>
      </w:pPr>
      <w:rPr>
        <w:rFonts w:cs="Times New Roman"/>
      </w:rPr>
    </w:lvl>
    <w:lvl w:ilvl="2" w:tplc="0410001B" w:tentative="1">
      <w:start w:val="1"/>
      <w:numFmt w:val="lowerRoman"/>
      <w:lvlText w:val="%3."/>
      <w:lvlJc w:val="right"/>
      <w:pPr>
        <w:ind w:left="2505" w:hanging="180"/>
      </w:pPr>
      <w:rPr>
        <w:rFonts w:cs="Times New Roman"/>
      </w:rPr>
    </w:lvl>
    <w:lvl w:ilvl="3" w:tplc="0410000F" w:tentative="1">
      <w:start w:val="1"/>
      <w:numFmt w:val="decimal"/>
      <w:lvlText w:val="%4."/>
      <w:lvlJc w:val="left"/>
      <w:pPr>
        <w:ind w:left="3225" w:hanging="360"/>
      </w:pPr>
      <w:rPr>
        <w:rFonts w:cs="Times New Roman"/>
      </w:rPr>
    </w:lvl>
    <w:lvl w:ilvl="4" w:tplc="04100019" w:tentative="1">
      <w:start w:val="1"/>
      <w:numFmt w:val="lowerLetter"/>
      <w:lvlText w:val="%5."/>
      <w:lvlJc w:val="left"/>
      <w:pPr>
        <w:ind w:left="3945" w:hanging="360"/>
      </w:pPr>
      <w:rPr>
        <w:rFonts w:cs="Times New Roman"/>
      </w:rPr>
    </w:lvl>
    <w:lvl w:ilvl="5" w:tplc="0410001B" w:tentative="1">
      <w:start w:val="1"/>
      <w:numFmt w:val="lowerRoman"/>
      <w:lvlText w:val="%6."/>
      <w:lvlJc w:val="right"/>
      <w:pPr>
        <w:ind w:left="4665" w:hanging="180"/>
      </w:pPr>
      <w:rPr>
        <w:rFonts w:cs="Times New Roman"/>
      </w:rPr>
    </w:lvl>
    <w:lvl w:ilvl="6" w:tplc="0410000F" w:tentative="1">
      <w:start w:val="1"/>
      <w:numFmt w:val="decimal"/>
      <w:lvlText w:val="%7."/>
      <w:lvlJc w:val="left"/>
      <w:pPr>
        <w:ind w:left="5385" w:hanging="360"/>
      </w:pPr>
      <w:rPr>
        <w:rFonts w:cs="Times New Roman"/>
      </w:rPr>
    </w:lvl>
    <w:lvl w:ilvl="7" w:tplc="04100019" w:tentative="1">
      <w:start w:val="1"/>
      <w:numFmt w:val="lowerLetter"/>
      <w:lvlText w:val="%8."/>
      <w:lvlJc w:val="left"/>
      <w:pPr>
        <w:ind w:left="6105" w:hanging="360"/>
      </w:pPr>
      <w:rPr>
        <w:rFonts w:cs="Times New Roman"/>
      </w:rPr>
    </w:lvl>
    <w:lvl w:ilvl="8" w:tplc="0410001B" w:tentative="1">
      <w:start w:val="1"/>
      <w:numFmt w:val="lowerRoman"/>
      <w:lvlText w:val="%9."/>
      <w:lvlJc w:val="right"/>
      <w:pPr>
        <w:ind w:left="6825" w:hanging="180"/>
      </w:pPr>
      <w:rPr>
        <w:rFonts w:cs="Times New Roman"/>
      </w:rPr>
    </w:lvl>
  </w:abstractNum>
  <w:abstractNum w:abstractNumId="4">
    <w:nsid w:val="31BB08F0"/>
    <w:multiLevelType w:val="hybridMultilevel"/>
    <w:tmpl w:val="B2BEBFA4"/>
    <w:lvl w:ilvl="0" w:tplc="04100001">
      <w:start w:val="1"/>
      <w:numFmt w:val="bullet"/>
      <w:lvlText w:val=""/>
      <w:lvlJc w:val="left"/>
      <w:pPr>
        <w:ind w:left="1200" w:hanging="360"/>
      </w:pPr>
      <w:rPr>
        <w:rFonts w:ascii="Symbol" w:hAnsi="Symbol" w:hint="default"/>
      </w:rPr>
    </w:lvl>
    <w:lvl w:ilvl="1" w:tplc="04100001">
      <w:start w:val="1"/>
      <w:numFmt w:val="bullet"/>
      <w:lvlText w:val=""/>
      <w:lvlJc w:val="left"/>
      <w:pPr>
        <w:ind w:left="1920" w:hanging="360"/>
      </w:pPr>
      <w:rPr>
        <w:rFonts w:ascii="Symbol" w:hAnsi="Symbol" w:hint="default"/>
      </w:rPr>
    </w:lvl>
    <w:lvl w:ilvl="2" w:tplc="B04E558A">
      <w:numFmt w:val="bullet"/>
      <w:lvlText w:val="-"/>
      <w:lvlJc w:val="left"/>
      <w:pPr>
        <w:ind w:left="2640" w:hanging="360"/>
      </w:pPr>
      <w:rPr>
        <w:rFonts w:ascii="Times New Roman" w:eastAsia="Times New Roman" w:hAnsi="Times New Roman"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hint="default"/>
      </w:rPr>
    </w:lvl>
    <w:lvl w:ilvl="8" w:tplc="04100005" w:tentative="1">
      <w:start w:val="1"/>
      <w:numFmt w:val="bullet"/>
      <w:lvlText w:val=""/>
      <w:lvlJc w:val="left"/>
      <w:pPr>
        <w:ind w:left="6960" w:hanging="360"/>
      </w:pPr>
      <w:rPr>
        <w:rFonts w:ascii="Wingdings" w:hAnsi="Wingdings" w:hint="default"/>
      </w:rPr>
    </w:lvl>
  </w:abstractNum>
  <w:abstractNum w:abstractNumId="5">
    <w:nsid w:val="54B742B0"/>
    <w:multiLevelType w:val="multilevel"/>
    <w:tmpl w:val="4260EEAC"/>
    <w:lvl w:ilvl="0">
      <w:start w:val="1"/>
      <w:numFmt w:val="bullet"/>
      <w:lvlText w:val=""/>
      <w:lvlJc w:val="left"/>
      <w:pPr>
        <w:ind w:left="480" w:hanging="480"/>
      </w:pPr>
      <w:rPr>
        <w:rFonts w:ascii="Symbol" w:hAnsi="Symbol" w:hint="default"/>
      </w:rPr>
    </w:lvl>
    <w:lvl w:ilvl="1">
      <w:start w:val="5"/>
      <w:numFmt w:val="decimal"/>
      <w:lvlText w:val="%1.%2"/>
      <w:lvlJc w:val="left"/>
      <w:pPr>
        <w:ind w:left="480" w:hanging="480"/>
      </w:pPr>
      <w:rPr>
        <w:rFonts w:cs="Times New Roman" w:hint="default"/>
      </w:rPr>
    </w:lvl>
    <w:lvl w:ilvl="2">
      <w:start w:val="4"/>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5C81084F"/>
    <w:multiLevelType w:val="hybridMultilevel"/>
    <w:tmpl w:val="8E92F834"/>
    <w:lvl w:ilvl="0" w:tplc="483C8700">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nsid w:val="69470FEF"/>
    <w:multiLevelType w:val="hybridMultilevel"/>
    <w:tmpl w:val="9762333C"/>
    <w:lvl w:ilvl="0" w:tplc="04100001">
      <w:start w:val="1"/>
      <w:numFmt w:val="bullet"/>
      <w:lvlText w:val=""/>
      <w:lvlJc w:val="left"/>
      <w:pPr>
        <w:ind w:left="1200" w:hanging="360"/>
      </w:pPr>
      <w:rPr>
        <w:rFonts w:ascii="Symbol" w:hAnsi="Symbol" w:hint="default"/>
      </w:rPr>
    </w:lvl>
    <w:lvl w:ilvl="1" w:tplc="04100001">
      <w:start w:val="1"/>
      <w:numFmt w:val="bullet"/>
      <w:lvlText w:val=""/>
      <w:lvlJc w:val="left"/>
      <w:pPr>
        <w:ind w:left="1920" w:hanging="360"/>
      </w:pPr>
      <w:rPr>
        <w:rFonts w:ascii="Symbol" w:hAnsi="Symbol" w:hint="default"/>
      </w:rPr>
    </w:lvl>
    <w:lvl w:ilvl="2" w:tplc="04100005" w:tentative="1">
      <w:start w:val="1"/>
      <w:numFmt w:val="bullet"/>
      <w:lvlText w:val=""/>
      <w:lvlJc w:val="left"/>
      <w:pPr>
        <w:ind w:left="2640" w:hanging="360"/>
      </w:pPr>
      <w:rPr>
        <w:rFonts w:ascii="Wingdings" w:hAnsi="Wingdings"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hint="default"/>
      </w:rPr>
    </w:lvl>
    <w:lvl w:ilvl="8" w:tplc="04100005" w:tentative="1">
      <w:start w:val="1"/>
      <w:numFmt w:val="bullet"/>
      <w:lvlText w:val=""/>
      <w:lvlJc w:val="left"/>
      <w:pPr>
        <w:ind w:left="6960" w:hanging="360"/>
      </w:pPr>
      <w:rPr>
        <w:rFonts w:ascii="Wingdings" w:hAnsi="Wingdings" w:hint="default"/>
      </w:rPr>
    </w:lvl>
  </w:abstractNum>
  <w:num w:numId="1">
    <w:abstractNumId w:val="0"/>
  </w:num>
  <w:num w:numId="2">
    <w:abstractNumId w:val="1"/>
  </w:num>
  <w:num w:numId="3">
    <w:abstractNumId w:val="6"/>
  </w:num>
  <w:num w:numId="4">
    <w:abstractNumId w:val="2"/>
  </w:num>
  <w:num w:numId="5">
    <w:abstractNumId w:val="7"/>
  </w:num>
  <w:num w:numId="6">
    <w:abstractNumId w:val="4"/>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5145A4"/>
    <w:rsid w:val="000159F6"/>
    <w:rsid w:val="00080EC2"/>
    <w:rsid w:val="00137176"/>
    <w:rsid w:val="00180A67"/>
    <w:rsid w:val="001F5B74"/>
    <w:rsid w:val="003246B0"/>
    <w:rsid w:val="0032713C"/>
    <w:rsid w:val="00331595"/>
    <w:rsid w:val="00341682"/>
    <w:rsid w:val="004644CF"/>
    <w:rsid w:val="00485D47"/>
    <w:rsid w:val="004A39A1"/>
    <w:rsid w:val="004A5564"/>
    <w:rsid w:val="005145A4"/>
    <w:rsid w:val="0055174F"/>
    <w:rsid w:val="005A5555"/>
    <w:rsid w:val="005E51A9"/>
    <w:rsid w:val="005E69F5"/>
    <w:rsid w:val="00606A58"/>
    <w:rsid w:val="006E524A"/>
    <w:rsid w:val="0073696D"/>
    <w:rsid w:val="00780829"/>
    <w:rsid w:val="009771A9"/>
    <w:rsid w:val="0099633A"/>
    <w:rsid w:val="009C6018"/>
    <w:rsid w:val="00B563DE"/>
    <w:rsid w:val="00C07D1C"/>
    <w:rsid w:val="00C214A7"/>
    <w:rsid w:val="00CA2888"/>
    <w:rsid w:val="00F51CF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06A5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145A4"/>
    <w:pPr>
      <w:ind w:left="720"/>
      <w:contextualSpacing/>
    </w:pPr>
  </w:style>
  <w:style w:type="paragraph" w:styleId="Corpodeltesto">
    <w:name w:val="Body Text"/>
    <w:basedOn w:val="Normale"/>
    <w:link w:val="CorpodeltestoCarattere"/>
    <w:semiHidden/>
    <w:rsid w:val="00780829"/>
    <w:pPr>
      <w:spacing w:after="0" w:line="360" w:lineRule="atLeast"/>
      <w:jc w:val="both"/>
    </w:pPr>
    <w:rPr>
      <w:rFonts w:ascii="Times New Roman" w:eastAsia="Times New Roman" w:hAnsi="Times New Roman" w:cs="Times New Roman"/>
      <w:szCs w:val="20"/>
      <w:lang w:eastAsia="it-IT"/>
    </w:rPr>
  </w:style>
  <w:style w:type="character" w:customStyle="1" w:styleId="CorpodeltestoCarattere">
    <w:name w:val="Corpo del testo Carattere"/>
    <w:basedOn w:val="Carpredefinitoparagrafo"/>
    <w:link w:val="Corpodeltesto"/>
    <w:semiHidden/>
    <w:rsid w:val="00780829"/>
    <w:rPr>
      <w:rFonts w:ascii="Times New Roman" w:eastAsia="Times New Roman" w:hAnsi="Times New Roman" w:cs="Times New Roman"/>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867</TotalTime>
  <Pages>1</Pages>
  <Words>6169</Words>
  <Characters>35168</Characters>
  <Application>Microsoft Office Word</Application>
  <DocSecurity>0</DocSecurity>
  <Lines>293</Lines>
  <Paragraphs>82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2017-11-08T11:02:00Z</dcterms:created>
  <dcterms:modified xsi:type="dcterms:W3CDTF">2019-09-26T16:31:00Z</dcterms:modified>
</cp:coreProperties>
</file>