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0F71" w:rsidRPr="00F60F71" w:rsidRDefault="00F60F71" w:rsidP="00F60F71">
      <w:pPr>
        <w:shd w:val="clear" w:color="auto" w:fill="FFFFFF"/>
        <w:spacing w:after="0" w:line="421" w:lineRule="atLeast"/>
        <w:textAlignment w:val="baseline"/>
        <w:rPr>
          <w:rFonts w:ascii="Lato" w:eastAsia="Times New Roman" w:hAnsi="Lato" w:cs="Times New Roman"/>
          <w:color w:val="0C0C0F"/>
          <w:sz w:val="26"/>
          <w:szCs w:val="26"/>
          <w:lang w:eastAsia="it-IT"/>
        </w:rPr>
      </w:pPr>
      <w:r w:rsidRPr="00F60F71">
        <w:rPr>
          <w:rFonts w:ascii="inherit" w:eastAsia="Times New Roman" w:hAnsi="inherit" w:cs="Times New Roman"/>
          <w:color w:val="0C0C0F"/>
          <w:sz w:val="26"/>
          <w:szCs w:val="26"/>
          <w:bdr w:val="none" w:sz="0" w:space="0" w:color="auto" w:frame="1"/>
          <w:lang w:eastAsia="it-IT"/>
        </w:rPr>
        <w:t xml:space="preserve">Performance organizzativa ed individuale, </w:t>
      </w:r>
      <w:proofErr w:type="spellStart"/>
      <w:r w:rsidRPr="00F60F71">
        <w:rPr>
          <w:rFonts w:ascii="inherit" w:eastAsia="Times New Roman" w:hAnsi="inherit" w:cs="Times New Roman"/>
          <w:color w:val="0C0C0F"/>
          <w:sz w:val="26"/>
          <w:szCs w:val="26"/>
          <w:bdr w:val="none" w:sz="0" w:space="0" w:color="auto" w:frame="1"/>
          <w:lang w:eastAsia="it-IT"/>
        </w:rPr>
        <w:t>premialità</w:t>
      </w:r>
      <w:proofErr w:type="spellEnd"/>
      <w:r w:rsidRPr="00F60F71">
        <w:rPr>
          <w:rFonts w:ascii="inherit" w:eastAsia="Times New Roman" w:hAnsi="inherit" w:cs="Times New Roman"/>
          <w:color w:val="0C0C0F"/>
          <w:sz w:val="26"/>
          <w:szCs w:val="26"/>
          <w:bdr w:val="none" w:sz="0" w:space="0" w:color="auto" w:frame="1"/>
          <w:lang w:eastAsia="it-IT"/>
        </w:rPr>
        <w:t>, licenziamenti disciplinari, tecnologia. Ma anche un più agevole accesso per i disabili e la valorizzazione dei titoli nei concorsi pubblici, insieme all’ennesimo ritocco normativo ai premi di produttività. </w:t>
      </w:r>
    </w:p>
    <w:p w:rsidR="00F60F71" w:rsidRPr="00F60F71" w:rsidRDefault="00F60F71" w:rsidP="00F60F71">
      <w:pPr>
        <w:shd w:val="clear" w:color="auto" w:fill="FFFFFF"/>
        <w:spacing w:after="0" w:line="421" w:lineRule="atLeast"/>
        <w:textAlignment w:val="baseline"/>
        <w:rPr>
          <w:rFonts w:ascii="Lato" w:eastAsia="Times New Roman" w:hAnsi="Lato" w:cs="Times New Roman"/>
          <w:color w:val="0C0C0F"/>
          <w:sz w:val="26"/>
          <w:szCs w:val="26"/>
          <w:lang w:eastAsia="it-IT"/>
        </w:rPr>
      </w:pPr>
      <w:r w:rsidRPr="00F60F71">
        <w:rPr>
          <w:rFonts w:ascii="Lato" w:eastAsia="Times New Roman" w:hAnsi="Lato" w:cs="Times New Roman"/>
          <w:color w:val="0C0C0F"/>
          <w:sz w:val="26"/>
          <w:szCs w:val="26"/>
          <w:lang w:eastAsia="it-IT"/>
        </w:rPr>
        <w:t>Questi alcuni degli argomenti trattati dai due decreti legislativi pubblicati sulla </w:t>
      </w:r>
      <w:r w:rsidR="00F71338">
        <w:rPr>
          <w:rFonts w:ascii="Lato" w:eastAsia="Times New Roman" w:hAnsi="Lato" w:cs="Times New Roman"/>
          <w:color w:val="0C0C0F"/>
          <w:sz w:val="26"/>
          <w:szCs w:val="26"/>
          <w:lang w:eastAsia="it-IT"/>
        </w:rPr>
        <w:t xml:space="preserve">GU 7 GIUGNO 2017 </w:t>
      </w:r>
      <w:r w:rsidRPr="00F60F71">
        <w:rPr>
          <w:rFonts w:ascii="Lato" w:eastAsia="Times New Roman" w:hAnsi="Lato" w:cs="Times New Roman"/>
          <w:color w:val="0C0C0F"/>
          <w:sz w:val="26"/>
          <w:szCs w:val="26"/>
          <w:lang w:eastAsia="it-IT"/>
        </w:rPr>
        <w:t>, approvati dal </w:t>
      </w:r>
      <w:r w:rsidR="00F71338">
        <w:rPr>
          <w:rFonts w:ascii="Lato" w:eastAsia="Times New Roman" w:hAnsi="Lato" w:cs="Times New Roman"/>
          <w:color w:val="0C0C0F"/>
          <w:sz w:val="26"/>
          <w:szCs w:val="26"/>
          <w:lang w:eastAsia="it-IT"/>
        </w:rPr>
        <w:t>CDM</w:t>
      </w:r>
      <w:r w:rsidRPr="00F60F71">
        <w:rPr>
          <w:rFonts w:ascii="inherit" w:eastAsia="Times New Roman" w:hAnsi="inherit" w:cs="Times New Roman"/>
          <w:color w:val="0C0C0F"/>
          <w:sz w:val="26"/>
          <w:szCs w:val="26"/>
          <w:bdr w:val="none" w:sz="0" w:space="0" w:color="auto" w:frame="1"/>
          <w:lang w:eastAsia="it-IT"/>
        </w:rPr>
        <w:t> nella seduta del 19 maggio scorso (nella quale, fra gli altri, è stato pure adottato il </w:t>
      </w:r>
      <w:proofErr w:type="spellStart"/>
      <w:r w:rsidR="00F71338">
        <w:rPr>
          <w:rFonts w:ascii="inherit" w:eastAsia="Times New Roman" w:hAnsi="inherit" w:cs="Times New Roman"/>
          <w:color w:val="0C0C0F"/>
          <w:sz w:val="26"/>
          <w:szCs w:val="26"/>
          <w:bdr w:val="none" w:sz="0" w:space="0" w:color="auto" w:frame="1"/>
          <w:lang w:eastAsia="it-IT"/>
        </w:rPr>
        <w:t>DL</w:t>
      </w:r>
      <w:proofErr w:type="spellEnd"/>
      <w:r w:rsidR="00F71338">
        <w:rPr>
          <w:rFonts w:ascii="inherit" w:eastAsia="Times New Roman" w:hAnsi="inherit" w:cs="Times New Roman"/>
          <w:color w:val="0C0C0F"/>
          <w:sz w:val="26"/>
          <w:szCs w:val="26"/>
          <w:bdr w:val="none" w:sz="0" w:space="0" w:color="auto" w:frame="1"/>
          <w:lang w:eastAsia="it-IT"/>
        </w:rPr>
        <w:t xml:space="preserve"> sui vaccini</w:t>
      </w:r>
      <w:r w:rsidRPr="00F60F71">
        <w:rPr>
          <w:rFonts w:ascii="inherit" w:eastAsia="Times New Roman" w:hAnsi="inherit" w:cs="Times New Roman"/>
          <w:color w:val="0C0C0F"/>
          <w:sz w:val="26"/>
          <w:szCs w:val="26"/>
          <w:bdr w:val="none" w:sz="0" w:space="0" w:color="auto" w:frame="1"/>
          <w:lang w:eastAsia="it-IT"/>
        </w:rPr>
        <w:t>).</w:t>
      </w:r>
    </w:p>
    <w:p w:rsidR="00F60F71" w:rsidRPr="00F60F71" w:rsidRDefault="00F60F71" w:rsidP="00F60F71">
      <w:pPr>
        <w:shd w:val="clear" w:color="auto" w:fill="FFFFFF"/>
        <w:spacing w:after="0" w:line="421" w:lineRule="atLeast"/>
        <w:textAlignment w:val="baseline"/>
        <w:rPr>
          <w:rFonts w:ascii="Lato" w:eastAsia="Times New Roman" w:hAnsi="Lato" w:cs="Times New Roman"/>
          <w:color w:val="0C0C0F"/>
          <w:sz w:val="26"/>
          <w:szCs w:val="26"/>
          <w:lang w:eastAsia="it-IT"/>
        </w:rPr>
      </w:pPr>
      <w:r w:rsidRPr="00F60F71">
        <w:rPr>
          <w:rFonts w:ascii="inherit" w:eastAsia="Times New Roman" w:hAnsi="inherit" w:cs="Times New Roman"/>
          <w:color w:val="0C0C0F"/>
          <w:sz w:val="26"/>
          <w:szCs w:val="26"/>
          <w:bdr w:val="none" w:sz="0" w:space="0" w:color="auto" w:frame="1"/>
          <w:lang w:eastAsia="it-IT"/>
        </w:rPr>
        <w:t>Giunge così al termine un altro capitolo della tormentata riforma della pubblica amministrazione (</w:t>
      </w:r>
      <w:r w:rsidR="00F71338">
        <w:rPr>
          <w:rFonts w:ascii="inherit" w:eastAsia="Times New Roman" w:hAnsi="inherit" w:cs="Times New Roman"/>
          <w:color w:val="0C0C0F"/>
          <w:sz w:val="26"/>
          <w:szCs w:val="26"/>
          <w:bdr w:val="none" w:sz="0" w:space="0" w:color="auto" w:frame="1"/>
          <w:lang w:eastAsia="it-IT"/>
        </w:rPr>
        <w:t>LEGGE 124/2015</w:t>
      </w:r>
      <w:r w:rsidRPr="00F60F71">
        <w:rPr>
          <w:rFonts w:ascii="inherit" w:eastAsia="Times New Roman" w:hAnsi="inherit" w:cs="Times New Roman"/>
          <w:color w:val="0C0C0F"/>
          <w:sz w:val="26"/>
          <w:szCs w:val="26"/>
          <w:bdr w:val="none" w:sz="0" w:space="0" w:color="auto" w:frame="1"/>
          <w:lang w:eastAsia="it-IT"/>
        </w:rPr>
        <w:t>), nonostante gli ostacoli incontrati lungo l’iter: uno per tutti, la </w:t>
      </w:r>
      <w:r w:rsidR="00F71338">
        <w:rPr>
          <w:rFonts w:ascii="inherit" w:eastAsia="Times New Roman" w:hAnsi="inherit" w:cs="Times New Roman"/>
          <w:color w:val="0C0C0F"/>
          <w:sz w:val="26"/>
          <w:szCs w:val="26"/>
          <w:bdr w:val="none" w:sz="0" w:space="0" w:color="auto" w:frame="1"/>
          <w:lang w:eastAsia="it-IT"/>
        </w:rPr>
        <w:t>SENTENZA CONSULTA 2016</w:t>
      </w:r>
      <w:r w:rsidRPr="00F60F71">
        <w:rPr>
          <w:rFonts w:ascii="inherit" w:eastAsia="Times New Roman" w:hAnsi="inherit" w:cs="Times New Roman"/>
          <w:color w:val="0C0C0F"/>
          <w:sz w:val="26"/>
          <w:szCs w:val="26"/>
          <w:bdr w:val="none" w:sz="0" w:space="0" w:color="auto" w:frame="1"/>
          <w:lang w:eastAsia="it-IT"/>
        </w:rPr>
        <w:t>, che aveva bocciato alcune disposizioni nella parte in cui si prevedeva che i decreti legislativi fossero adottati previo “parere” e non previa “intesa”. </w:t>
      </w:r>
    </w:p>
    <w:p w:rsidR="00F60F71" w:rsidRPr="00F60F71" w:rsidRDefault="00F60F71" w:rsidP="00F60F71">
      <w:pPr>
        <w:shd w:val="clear" w:color="auto" w:fill="FFFFFF"/>
        <w:spacing w:after="0" w:line="421" w:lineRule="atLeast"/>
        <w:textAlignment w:val="baseline"/>
        <w:rPr>
          <w:rFonts w:ascii="Lato" w:eastAsia="Times New Roman" w:hAnsi="Lato" w:cs="Times New Roman"/>
          <w:color w:val="0C0C0F"/>
          <w:sz w:val="26"/>
          <w:szCs w:val="26"/>
          <w:lang w:eastAsia="it-IT"/>
        </w:rPr>
      </w:pPr>
      <w:r w:rsidRPr="00F60F71">
        <w:rPr>
          <w:rFonts w:ascii="inherit" w:eastAsia="Times New Roman" w:hAnsi="inherit" w:cs="Times New Roman"/>
          <w:color w:val="0C0C0F"/>
          <w:sz w:val="26"/>
          <w:szCs w:val="26"/>
          <w:bdr w:val="none" w:sz="0" w:space="0" w:color="auto" w:frame="1"/>
          <w:lang w:eastAsia="it-IT"/>
        </w:rPr>
        <w:t>&gt;&gt;</w:t>
      </w:r>
      <w:r w:rsidRPr="00F60F71">
        <w:rPr>
          <w:rFonts w:ascii="inherit" w:eastAsia="Times New Roman" w:hAnsi="inherit" w:cs="Times New Roman"/>
          <w:b/>
          <w:bCs/>
          <w:color w:val="0C0C0F"/>
          <w:sz w:val="26"/>
          <w:lang w:eastAsia="it-IT"/>
        </w:rPr>
        <w:t>Per approfondimenti</w:t>
      </w:r>
      <w:r w:rsidRPr="00F60F71">
        <w:rPr>
          <w:rFonts w:ascii="inherit" w:eastAsia="Times New Roman" w:hAnsi="inherit" w:cs="Times New Roman"/>
          <w:color w:val="0C0C0F"/>
          <w:sz w:val="26"/>
          <w:szCs w:val="26"/>
          <w:bdr w:val="none" w:sz="0" w:space="0" w:color="auto" w:frame="1"/>
          <w:lang w:eastAsia="it-IT"/>
        </w:rPr>
        <w:t>:</w:t>
      </w:r>
    </w:p>
    <w:p w:rsidR="00F60F71" w:rsidRPr="00F60F71" w:rsidRDefault="00F71338" w:rsidP="00F60F71">
      <w:pPr>
        <w:shd w:val="clear" w:color="auto" w:fill="FFFFFF"/>
        <w:spacing w:after="0" w:line="421" w:lineRule="atLeast"/>
        <w:textAlignment w:val="baseline"/>
        <w:rPr>
          <w:rFonts w:ascii="Lato" w:eastAsia="Times New Roman" w:hAnsi="Lato" w:cs="Times New Roman"/>
          <w:color w:val="0C0C0F"/>
          <w:sz w:val="26"/>
          <w:szCs w:val="26"/>
          <w:lang w:eastAsia="it-IT"/>
        </w:rPr>
      </w:pPr>
      <w:r>
        <w:rPr>
          <w:rFonts w:ascii="Lato" w:eastAsia="Times New Roman" w:hAnsi="Lato" w:cs="Times New Roman"/>
          <w:color w:val="0C0C0F"/>
          <w:sz w:val="26"/>
          <w:szCs w:val="26"/>
          <w:lang w:eastAsia="it-IT"/>
        </w:rPr>
        <w:t>DLGS 74-75 DEL 2017</w:t>
      </w:r>
      <w:r w:rsidR="00F60F71" w:rsidRPr="00F60F71">
        <w:rPr>
          <w:rFonts w:ascii="Lato" w:eastAsia="Times New Roman" w:hAnsi="Lato" w:cs="Times New Roman"/>
          <w:color w:val="0C0C0F"/>
          <w:sz w:val="26"/>
          <w:szCs w:val="26"/>
          <w:lang w:eastAsia="it-IT"/>
        </w:rPr>
        <w:t>, recante “Modifiche al decreto legislativo 27 ottobre 2009, n.150, in attuazione dell’articolo 17, comma 1, lettera r), della legge n. 124 del 2015", riguarda più in particolare la valutazione della performance dei lavoratori pubblici.</w:t>
      </w:r>
    </w:p>
    <w:p w:rsidR="00F60F71" w:rsidRPr="00F60F71" w:rsidRDefault="00F60F71" w:rsidP="00F60F71">
      <w:pPr>
        <w:shd w:val="clear" w:color="auto" w:fill="FFFFFF"/>
        <w:spacing w:after="0" w:line="421" w:lineRule="atLeast"/>
        <w:textAlignment w:val="baseline"/>
        <w:rPr>
          <w:rFonts w:ascii="Lato" w:eastAsia="Times New Roman" w:hAnsi="Lato" w:cs="Times New Roman"/>
          <w:color w:val="0C0C0F"/>
          <w:sz w:val="26"/>
          <w:szCs w:val="26"/>
          <w:lang w:eastAsia="it-IT"/>
        </w:rPr>
      </w:pPr>
      <w:r w:rsidRPr="00F60F71">
        <w:rPr>
          <w:rFonts w:ascii="inherit" w:eastAsia="Times New Roman" w:hAnsi="inherit" w:cs="Times New Roman"/>
          <w:color w:val="0C0C0F"/>
          <w:sz w:val="26"/>
          <w:szCs w:val="26"/>
          <w:bdr w:val="none" w:sz="0" w:space="0" w:color="auto" w:frame="1"/>
          <w:lang w:eastAsia="it-IT"/>
        </w:rPr>
        <w:t>Questi i punti salienti del provvedimento, che persegue l’obiettivo generale di ottimizzare la produttività del lavoro pubblico e di garantire l’efficienza e la trasparenza delle pubbliche amministrazioni:</w:t>
      </w:r>
    </w:p>
    <w:p w:rsidR="00F60F71" w:rsidRPr="00F60F71" w:rsidRDefault="00F60F71" w:rsidP="00F60F71">
      <w:pPr>
        <w:numPr>
          <w:ilvl w:val="0"/>
          <w:numId w:val="2"/>
        </w:numPr>
        <w:shd w:val="clear" w:color="auto" w:fill="FFFFFF"/>
        <w:spacing w:after="0" w:line="240" w:lineRule="auto"/>
        <w:ind w:left="300"/>
        <w:textAlignment w:val="baseline"/>
        <w:rPr>
          <w:rFonts w:ascii="inherit" w:eastAsia="Times New Roman" w:hAnsi="inherit" w:cs="Times New Roman"/>
          <w:color w:val="0C0C0F"/>
          <w:sz w:val="26"/>
          <w:szCs w:val="26"/>
          <w:lang w:eastAsia="it-IT"/>
        </w:rPr>
      </w:pPr>
      <w:r w:rsidRPr="00F60F71">
        <w:rPr>
          <w:rFonts w:ascii="inherit" w:eastAsia="Times New Roman" w:hAnsi="inherit" w:cs="Times New Roman"/>
          <w:b/>
          <w:bCs/>
          <w:color w:val="0C0C0F"/>
          <w:sz w:val="26"/>
          <w:lang w:eastAsia="it-IT"/>
        </w:rPr>
        <w:t>PREMIALITA</w:t>
      </w:r>
      <w:r w:rsidRPr="00F60F71">
        <w:rPr>
          <w:rFonts w:ascii="inherit" w:eastAsia="Times New Roman" w:hAnsi="inherit" w:cs="Times New Roman"/>
          <w:color w:val="0C0C0F"/>
          <w:sz w:val="26"/>
          <w:szCs w:val="26"/>
          <w:bdr w:val="none" w:sz="0" w:space="0" w:color="auto" w:frame="1"/>
          <w:lang w:eastAsia="it-IT"/>
        </w:rPr>
        <w:t>’. Il rispetto delle norme in tema di valutazione sarà condizione necessaria per l’erogazione di premi e per il riconoscimento delle progressioni economiche, per l’attribuzione di incarichi di responsabilità al personale ed il conferimento degli incarichi dirigenziali. La valutazione negativa delle performance rileverà ai fini dell’accertamento della responsabilità dirigenziale, oltre che a fini disciplinari;</w:t>
      </w:r>
    </w:p>
    <w:p w:rsidR="00F60F71" w:rsidRPr="00F60F71" w:rsidRDefault="00F60F71" w:rsidP="00F60F71">
      <w:pPr>
        <w:numPr>
          <w:ilvl w:val="0"/>
          <w:numId w:val="2"/>
        </w:numPr>
        <w:shd w:val="clear" w:color="auto" w:fill="FFFFFF"/>
        <w:spacing w:after="0" w:line="240" w:lineRule="auto"/>
        <w:ind w:left="300"/>
        <w:textAlignment w:val="baseline"/>
        <w:rPr>
          <w:rFonts w:ascii="inherit" w:eastAsia="Times New Roman" w:hAnsi="inherit" w:cs="Times New Roman"/>
          <w:color w:val="0C0C0F"/>
          <w:sz w:val="26"/>
          <w:szCs w:val="26"/>
          <w:lang w:eastAsia="it-IT"/>
        </w:rPr>
      </w:pPr>
      <w:r w:rsidRPr="00F60F71">
        <w:rPr>
          <w:rFonts w:ascii="inherit" w:eastAsia="Times New Roman" w:hAnsi="inherit" w:cs="Times New Roman"/>
          <w:b/>
          <w:bCs/>
          <w:color w:val="0C0C0F"/>
          <w:sz w:val="26"/>
          <w:lang w:eastAsia="it-IT"/>
        </w:rPr>
        <w:t>MISURA DELLA PERFORMANCE</w:t>
      </w:r>
      <w:r w:rsidRPr="00F60F71">
        <w:rPr>
          <w:rFonts w:ascii="inherit" w:eastAsia="Times New Roman" w:hAnsi="inherit" w:cs="Times New Roman"/>
          <w:color w:val="0C0C0F"/>
          <w:sz w:val="26"/>
          <w:szCs w:val="26"/>
          <w:bdr w:val="none" w:sz="0" w:space="0" w:color="auto" w:frame="1"/>
          <w:lang w:eastAsia="it-IT"/>
        </w:rPr>
        <w:t>. Ogni singola amministrazione dovrà valutare la performance con riferimento all’amministrazione nella globalità, alle unità organizzative o aree di responsabilità in cui si suddivide, nonché ai singoli dipendenti o team.</w:t>
      </w:r>
    </w:p>
    <w:p w:rsidR="00F60F71" w:rsidRPr="00F60F71" w:rsidRDefault="00F60F71" w:rsidP="00F60F71">
      <w:pPr>
        <w:numPr>
          <w:ilvl w:val="0"/>
          <w:numId w:val="2"/>
        </w:numPr>
        <w:shd w:val="clear" w:color="auto" w:fill="FFFFFF"/>
        <w:spacing w:after="0" w:line="240" w:lineRule="auto"/>
        <w:ind w:left="300"/>
        <w:textAlignment w:val="baseline"/>
        <w:rPr>
          <w:rFonts w:ascii="inherit" w:eastAsia="Times New Roman" w:hAnsi="inherit" w:cs="Times New Roman"/>
          <w:color w:val="0C0C0F"/>
          <w:sz w:val="26"/>
          <w:szCs w:val="26"/>
          <w:lang w:eastAsia="it-IT"/>
        </w:rPr>
      </w:pPr>
      <w:r w:rsidRPr="00F60F71">
        <w:rPr>
          <w:rFonts w:ascii="inherit" w:eastAsia="Times New Roman" w:hAnsi="inherit" w:cs="Times New Roman"/>
          <w:b/>
          <w:bCs/>
          <w:color w:val="0C0C0F"/>
          <w:sz w:val="26"/>
          <w:lang w:eastAsia="it-IT"/>
        </w:rPr>
        <w:t>OBIETTIVI GENERALI</w:t>
      </w:r>
      <w:r w:rsidRPr="00F60F71">
        <w:rPr>
          <w:rFonts w:ascii="inherit" w:eastAsia="Times New Roman" w:hAnsi="inherit" w:cs="Times New Roman"/>
          <w:color w:val="0C0C0F"/>
          <w:sz w:val="26"/>
          <w:szCs w:val="26"/>
          <w:bdr w:val="none" w:sz="0" w:space="0" w:color="auto" w:frame="1"/>
          <w:lang w:eastAsia="it-IT"/>
        </w:rPr>
        <w:t>. Fermi restando gli obiettivi specifici di ogni amministrazione, si introduce la categoria degli obiettivi generali, che individuano le priorità, in termini di attività, delle pubbliche amministrazioni.</w:t>
      </w:r>
    </w:p>
    <w:p w:rsidR="00F60F71" w:rsidRPr="00F60F71" w:rsidRDefault="00F60F71" w:rsidP="00F60F71">
      <w:pPr>
        <w:numPr>
          <w:ilvl w:val="0"/>
          <w:numId w:val="2"/>
        </w:numPr>
        <w:shd w:val="clear" w:color="auto" w:fill="FFFFFF"/>
        <w:spacing w:after="0" w:line="240" w:lineRule="auto"/>
        <w:ind w:left="300"/>
        <w:textAlignment w:val="baseline"/>
        <w:rPr>
          <w:rFonts w:ascii="inherit" w:eastAsia="Times New Roman" w:hAnsi="inherit" w:cs="Times New Roman"/>
          <w:color w:val="0C0C0F"/>
          <w:sz w:val="26"/>
          <w:szCs w:val="26"/>
          <w:lang w:eastAsia="it-IT"/>
        </w:rPr>
      </w:pPr>
      <w:r w:rsidRPr="00F60F71">
        <w:rPr>
          <w:rFonts w:ascii="inherit" w:eastAsia="Times New Roman" w:hAnsi="inherit" w:cs="Times New Roman"/>
          <w:b/>
          <w:bCs/>
          <w:color w:val="0C0C0F"/>
          <w:sz w:val="26"/>
          <w:lang w:eastAsia="it-IT"/>
        </w:rPr>
        <w:t>OIV</w:t>
      </w:r>
      <w:r w:rsidRPr="00F60F71">
        <w:rPr>
          <w:rFonts w:ascii="inherit" w:eastAsia="Times New Roman" w:hAnsi="inherit" w:cs="Times New Roman"/>
          <w:color w:val="0C0C0F"/>
          <w:sz w:val="26"/>
          <w:szCs w:val="26"/>
          <w:bdr w:val="none" w:sz="0" w:space="0" w:color="auto" w:frame="1"/>
          <w:lang w:eastAsia="it-IT"/>
        </w:rPr>
        <w:t>. Gli Organismi indipendenti di valutazione, interamente rinnovati nella struttura (tre membri), nella durata (un triennio), nell’investitura (procedura selettiva ad evidenza pubblica da un elenco), nelle funzioni e nella dotazione di strumenti, saranno chiamati a riscontrare l’andamento delle performance rispetto agli obiettivi pianificati nell’intervallo temporale di riferimento, segnalando eventuali interventi correttivi.</w:t>
      </w:r>
    </w:p>
    <w:p w:rsidR="00F60F71" w:rsidRPr="00F60F71" w:rsidRDefault="00F60F71" w:rsidP="00F60F71">
      <w:pPr>
        <w:numPr>
          <w:ilvl w:val="0"/>
          <w:numId w:val="2"/>
        </w:numPr>
        <w:shd w:val="clear" w:color="auto" w:fill="FFFFFF"/>
        <w:spacing w:after="0" w:line="240" w:lineRule="auto"/>
        <w:ind w:left="300"/>
        <w:textAlignment w:val="baseline"/>
        <w:rPr>
          <w:rFonts w:ascii="inherit" w:eastAsia="Times New Roman" w:hAnsi="inherit" w:cs="Times New Roman"/>
          <w:color w:val="0C0C0F"/>
          <w:sz w:val="26"/>
          <w:szCs w:val="26"/>
          <w:lang w:eastAsia="it-IT"/>
        </w:rPr>
      </w:pPr>
      <w:r w:rsidRPr="00F60F71">
        <w:rPr>
          <w:rFonts w:ascii="inherit" w:eastAsia="Times New Roman" w:hAnsi="inherit" w:cs="Times New Roman"/>
          <w:b/>
          <w:bCs/>
          <w:color w:val="0C0C0F"/>
          <w:sz w:val="26"/>
          <w:lang w:eastAsia="it-IT"/>
        </w:rPr>
        <w:t>CITTADINI</w:t>
      </w:r>
      <w:r w:rsidRPr="00F60F71">
        <w:rPr>
          <w:rFonts w:ascii="inherit" w:eastAsia="Times New Roman" w:hAnsi="inherit" w:cs="Times New Roman"/>
          <w:color w:val="0C0C0F"/>
          <w:sz w:val="26"/>
          <w:szCs w:val="26"/>
          <w:bdr w:val="none" w:sz="0" w:space="0" w:color="auto" w:frame="1"/>
          <w:lang w:eastAsia="it-IT"/>
        </w:rPr>
        <w:t>. Riconosciuto un ruolo attivo dei destinatari dell’azione pubblica nella valutazione della performance organizzativa.</w:t>
      </w:r>
    </w:p>
    <w:p w:rsidR="00F60F71" w:rsidRPr="00F60F71" w:rsidRDefault="00F60F71" w:rsidP="00F60F71">
      <w:pPr>
        <w:numPr>
          <w:ilvl w:val="0"/>
          <w:numId w:val="2"/>
        </w:numPr>
        <w:shd w:val="clear" w:color="auto" w:fill="FFFFFF"/>
        <w:spacing w:after="0" w:line="240" w:lineRule="auto"/>
        <w:ind w:left="300"/>
        <w:textAlignment w:val="baseline"/>
        <w:rPr>
          <w:rFonts w:ascii="inherit" w:eastAsia="Times New Roman" w:hAnsi="inherit" w:cs="Times New Roman"/>
          <w:color w:val="0C0C0F"/>
          <w:sz w:val="26"/>
          <w:szCs w:val="26"/>
          <w:lang w:eastAsia="it-IT"/>
        </w:rPr>
      </w:pPr>
      <w:r w:rsidRPr="00F60F71">
        <w:rPr>
          <w:rFonts w:ascii="inherit" w:eastAsia="Times New Roman" w:hAnsi="inherit" w:cs="Times New Roman"/>
          <w:b/>
          <w:bCs/>
          <w:color w:val="0C0C0F"/>
          <w:sz w:val="26"/>
          <w:lang w:eastAsia="it-IT"/>
        </w:rPr>
        <w:t>DIRIGENTI</w:t>
      </w:r>
      <w:r w:rsidRPr="00F60F71">
        <w:rPr>
          <w:rFonts w:ascii="inherit" w:eastAsia="Times New Roman" w:hAnsi="inherit" w:cs="Times New Roman"/>
          <w:color w:val="0C0C0F"/>
          <w:sz w:val="26"/>
          <w:szCs w:val="26"/>
          <w:bdr w:val="none" w:sz="0" w:space="0" w:color="auto" w:frame="1"/>
          <w:lang w:eastAsia="it-IT"/>
        </w:rPr>
        <w:t xml:space="preserve">. Nell’accertamento della performance individuale del dirigente è assegnata priorità agli esiti della performance dell’ambito organizzativo di cui hanno la gestione. L’eventuale rilevazione di una performance negativa spiegherà rilevanza ai fini della </w:t>
      </w:r>
      <w:r w:rsidRPr="00F60F71">
        <w:rPr>
          <w:rFonts w:ascii="inherit" w:eastAsia="Times New Roman" w:hAnsi="inherit" w:cs="Times New Roman"/>
          <w:color w:val="0C0C0F"/>
          <w:sz w:val="26"/>
          <w:szCs w:val="26"/>
          <w:bdr w:val="none" w:sz="0" w:space="0" w:color="auto" w:frame="1"/>
          <w:lang w:eastAsia="it-IT"/>
        </w:rPr>
        <w:lastRenderedPageBreak/>
        <w:t>responsabilità dirigenziale e, limitatamente ad alcune fattispecie, per gli illeciti deontologici.</w:t>
      </w:r>
    </w:p>
    <w:p w:rsidR="00F60F71" w:rsidRPr="00F60F71" w:rsidRDefault="00F60F71" w:rsidP="00F60F71">
      <w:pPr>
        <w:numPr>
          <w:ilvl w:val="0"/>
          <w:numId w:val="2"/>
        </w:numPr>
        <w:shd w:val="clear" w:color="auto" w:fill="FFFFFF"/>
        <w:spacing w:after="0" w:line="240" w:lineRule="auto"/>
        <w:ind w:left="300"/>
        <w:textAlignment w:val="baseline"/>
        <w:rPr>
          <w:rFonts w:ascii="inherit" w:eastAsia="Times New Roman" w:hAnsi="inherit" w:cs="Times New Roman"/>
          <w:color w:val="0C0C0F"/>
          <w:sz w:val="26"/>
          <w:szCs w:val="26"/>
          <w:lang w:eastAsia="it-IT"/>
        </w:rPr>
      </w:pPr>
      <w:r w:rsidRPr="00F60F71">
        <w:rPr>
          <w:rFonts w:ascii="inherit" w:eastAsia="Times New Roman" w:hAnsi="inherit" w:cs="Times New Roman"/>
          <w:b/>
          <w:bCs/>
          <w:color w:val="0C0C0F"/>
          <w:sz w:val="26"/>
          <w:lang w:eastAsia="it-IT"/>
        </w:rPr>
        <w:t>SANZIONI</w:t>
      </w:r>
      <w:r w:rsidRPr="00F60F71">
        <w:rPr>
          <w:rFonts w:ascii="inherit" w:eastAsia="Times New Roman" w:hAnsi="inherit" w:cs="Times New Roman"/>
          <w:color w:val="0C0C0F"/>
          <w:sz w:val="26"/>
          <w:szCs w:val="26"/>
          <w:bdr w:val="none" w:sz="0" w:space="0" w:color="auto" w:frame="1"/>
          <w:lang w:eastAsia="it-IT"/>
        </w:rPr>
        <w:t>. Previste per la mancata adozione del Piano della performance.</w:t>
      </w:r>
    </w:p>
    <w:p w:rsidR="00F60F71" w:rsidRPr="00F60F71" w:rsidRDefault="00F60F71" w:rsidP="00F60F71">
      <w:pPr>
        <w:numPr>
          <w:ilvl w:val="0"/>
          <w:numId w:val="2"/>
        </w:numPr>
        <w:shd w:val="clear" w:color="auto" w:fill="FFFFFF"/>
        <w:spacing w:after="0" w:line="240" w:lineRule="auto"/>
        <w:ind w:left="300"/>
        <w:textAlignment w:val="baseline"/>
        <w:rPr>
          <w:rFonts w:ascii="inherit" w:eastAsia="Times New Roman" w:hAnsi="inherit" w:cs="Times New Roman"/>
          <w:color w:val="0C0C0F"/>
          <w:sz w:val="26"/>
          <w:szCs w:val="26"/>
          <w:lang w:eastAsia="it-IT"/>
        </w:rPr>
      </w:pPr>
      <w:r w:rsidRPr="00F60F71">
        <w:rPr>
          <w:rFonts w:ascii="inherit" w:eastAsia="Times New Roman" w:hAnsi="inherit" w:cs="Times New Roman"/>
          <w:b/>
          <w:bCs/>
          <w:color w:val="0C0C0F"/>
          <w:sz w:val="26"/>
          <w:lang w:eastAsia="it-IT"/>
        </w:rPr>
        <w:t>REMUNERAZIONE DELLA PERFORMANCE</w:t>
      </w:r>
      <w:r w:rsidRPr="00F60F71">
        <w:rPr>
          <w:rFonts w:ascii="inherit" w:eastAsia="Times New Roman" w:hAnsi="inherit" w:cs="Times New Roman"/>
          <w:color w:val="0C0C0F"/>
          <w:sz w:val="26"/>
          <w:szCs w:val="26"/>
          <w:bdr w:val="none" w:sz="0" w:space="0" w:color="auto" w:frame="1"/>
          <w:lang w:eastAsia="it-IT"/>
        </w:rPr>
        <w:t>. I meccanismi per la distribuzione delle risorse destinate a remunerare la performance vengono affidati al contratto collettivo nazionale, che stabilirà la quota delle risorse destinate a premiare la performance organizzativa, cioè quella degli uffici, in termini di servizi resi, unitamente a quella individuale, nonché le relative regole.</w:t>
      </w:r>
    </w:p>
    <w:p w:rsidR="00F60F71" w:rsidRPr="00F60F71" w:rsidRDefault="00F60F71" w:rsidP="00F60F71">
      <w:pPr>
        <w:shd w:val="clear" w:color="auto" w:fill="FFFFFF"/>
        <w:spacing w:after="0" w:line="421" w:lineRule="atLeast"/>
        <w:textAlignment w:val="baseline"/>
        <w:rPr>
          <w:rFonts w:ascii="Lato" w:eastAsia="Times New Roman" w:hAnsi="Lato" w:cs="Times New Roman"/>
          <w:color w:val="0C0C0F"/>
          <w:sz w:val="26"/>
          <w:szCs w:val="26"/>
          <w:lang w:eastAsia="it-IT"/>
        </w:rPr>
      </w:pPr>
      <w:r w:rsidRPr="00F60F71">
        <w:rPr>
          <w:rFonts w:ascii="Lato" w:eastAsia="Times New Roman" w:hAnsi="Lato" w:cs="Times New Roman"/>
          <w:color w:val="0C0C0F"/>
          <w:sz w:val="26"/>
          <w:szCs w:val="26"/>
          <w:lang w:eastAsia="it-IT"/>
        </w:rPr>
        <w:t>Il </w:t>
      </w:r>
      <w:r w:rsidR="00F71338">
        <w:rPr>
          <w:rFonts w:ascii="Lato" w:eastAsia="Times New Roman" w:hAnsi="Lato" w:cs="Times New Roman"/>
          <w:color w:val="0C0C0F"/>
          <w:sz w:val="26"/>
          <w:szCs w:val="26"/>
          <w:lang w:eastAsia="it-IT"/>
        </w:rPr>
        <w:t>DLGS 75/17</w:t>
      </w:r>
      <w:r w:rsidRPr="00F60F71">
        <w:rPr>
          <w:rFonts w:ascii="Lato" w:eastAsia="Times New Roman" w:hAnsi="Lato" w:cs="Times New Roman"/>
          <w:color w:val="0C0C0F"/>
          <w:sz w:val="26"/>
          <w:szCs w:val="26"/>
          <w:lang w:eastAsia="it-IT"/>
        </w:rPr>
        <w:t>, apporta “Modifiche e integrazioni al decreto legislativo 30 marzo 2001, n. 165, ai sensi degli articoli 16, commi 1, lettera a), e 2, lettere b), c), d) ed e) e 17, comma 1, lettere a), c), e), f), g), h), l) m), n), o), q), r), s) e z), della legge 7 agosto 2015, n. 124, in materia di riorganizzazione delle amministrazioni pubbliche”.</w:t>
      </w:r>
    </w:p>
    <w:p w:rsidR="00F60F71" w:rsidRPr="00F60F71" w:rsidRDefault="00F60F71" w:rsidP="00F60F71">
      <w:pPr>
        <w:shd w:val="clear" w:color="auto" w:fill="FFFFFF"/>
        <w:spacing w:after="0" w:line="240" w:lineRule="auto"/>
        <w:textAlignment w:val="baseline"/>
        <w:rPr>
          <w:rFonts w:ascii="Lato" w:eastAsia="Times New Roman" w:hAnsi="Lato" w:cs="Times New Roman"/>
          <w:color w:val="0C0C0F"/>
          <w:sz w:val="26"/>
          <w:szCs w:val="26"/>
          <w:lang w:eastAsia="it-IT"/>
        </w:rPr>
      </w:pPr>
      <w:r w:rsidRPr="00F60F71">
        <w:rPr>
          <w:rFonts w:ascii="inherit" w:eastAsia="Times New Roman" w:hAnsi="inherit" w:cs="Times New Roman"/>
          <w:color w:val="0C0C0F"/>
          <w:sz w:val="26"/>
          <w:szCs w:val="26"/>
          <w:bdr w:val="none" w:sz="0" w:space="0" w:color="auto" w:frame="1"/>
          <w:lang w:eastAsia="it-IT"/>
        </w:rPr>
        <w:t>Il decreto integra e modifica il T.U. del pubblico impiego (</w:t>
      </w:r>
      <w:r w:rsidR="00F71338">
        <w:rPr>
          <w:rFonts w:ascii="inherit" w:eastAsia="Times New Roman" w:hAnsi="inherit" w:cs="Times New Roman"/>
          <w:color w:val="0C0C0F"/>
          <w:sz w:val="26"/>
          <w:szCs w:val="26"/>
          <w:bdr w:val="none" w:sz="0" w:space="0" w:color="auto" w:frame="1"/>
          <w:lang w:eastAsia="it-IT"/>
        </w:rPr>
        <w:t>DLGS 165/01</w:t>
      </w:r>
      <w:r w:rsidRPr="00F60F71">
        <w:rPr>
          <w:rFonts w:ascii="inherit" w:eastAsia="Times New Roman" w:hAnsi="inherit" w:cs="Times New Roman"/>
          <w:color w:val="0C0C0F"/>
          <w:sz w:val="26"/>
          <w:szCs w:val="26"/>
          <w:bdr w:val="none" w:sz="0" w:space="0" w:color="auto" w:frame="1"/>
          <w:lang w:eastAsia="it-IT"/>
        </w:rPr>
        <w:t>), in conformità alla delega prevista dalla Legge 7 agosto 2015, n. 124, sulla riorganizzazione delle pubbliche amministrazioni. Questi alcuni dei temi trattati dalle nuove disposizioni: </w:t>
      </w:r>
    </w:p>
    <w:p w:rsidR="00F60F71" w:rsidRPr="00F60F71" w:rsidRDefault="00F60F71" w:rsidP="00F60F71">
      <w:pPr>
        <w:numPr>
          <w:ilvl w:val="0"/>
          <w:numId w:val="3"/>
        </w:numPr>
        <w:shd w:val="clear" w:color="auto" w:fill="FFFFFF"/>
        <w:spacing w:after="0" w:line="240" w:lineRule="auto"/>
        <w:ind w:left="300"/>
        <w:textAlignment w:val="baseline"/>
        <w:rPr>
          <w:rFonts w:ascii="inherit" w:eastAsia="Times New Roman" w:hAnsi="inherit" w:cs="Times New Roman"/>
          <w:color w:val="0C0C0F"/>
          <w:sz w:val="26"/>
          <w:szCs w:val="26"/>
          <w:lang w:eastAsia="it-IT"/>
        </w:rPr>
      </w:pPr>
      <w:r w:rsidRPr="00F60F71">
        <w:rPr>
          <w:rFonts w:ascii="inherit" w:eastAsia="Times New Roman" w:hAnsi="inherit" w:cs="Times New Roman"/>
          <w:b/>
          <w:bCs/>
          <w:color w:val="0C0C0F"/>
          <w:sz w:val="26"/>
          <w:lang w:eastAsia="it-IT"/>
        </w:rPr>
        <w:t>AZIONE DISCIPLINARE</w:t>
      </w:r>
      <w:r w:rsidRPr="00F60F71">
        <w:rPr>
          <w:rFonts w:ascii="inherit" w:eastAsia="Times New Roman" w:hAnsi="inherit" w:cs="Times New Roman"/>
          <w:color w:val="0C0C0F"/>
          <w:sz w:val="26"/>
          <w:szCs w:val="26"/>
          <w:bdr w:val="none" w:sz="0" w:space="0" w:color="auto" w:frame="1"/>
          <w:lang w:eastAsia="it-IT"/>
        </w:rPr>
        <w:t>. Le nuove norme in tema di azione disciplinare, applicabili alle infrazioni commesse a seguito della relativa entrata in vigore, sono finalizzate a velocizzare e rendere maggiormente concreta e certa la relativa tempistica, fissata perentoriamente in 120 giorni, come indicato dal Consiglio di Stato. Introdotti nuovi limiti all’annullabilità delle sanzioni per vizi formali.</w:t>
      </w:r>
    </w:p>
    <w:p w:rsidR="00F60F71" w:rsidRPr="00F60F71" w:rsidRDefault="00F60F71" w:rsidP="00F60F71">
      <w:pPr>
        <w:numPr>
          <w:ilvl w:val="0"/>
          <w:numId w:val="3"/>
        </w:numPr>
        <w:shd w:val="clear" w:color="auto" w:fill="FFFFFF"/>
        <w:spacing w:after="0" w:line="240" w:lineRule="auto"/>
        <w:ind w:left="300"/>
        <w:textAlignment w:val="baseline"/>
        <w:rPr>
          <w:rFonts w:ascii="inherit" w:eastAsia="Times New Roman" w:hAnsi="inherit" w:cs="Times New Roman"/>
          <w:color w:val="0C0C0F"/>
          <w:sz w:val="26"/>
          <w:szCs w:val="26"/>
          <w:lang w:eastAsia="it-IT"/>
        </w:rPr>
      </w:pPr>
      <w:r w:rsidRPr="00F60F71">
        <w:rPr>
          <w:rFonts w:ascii="inherit" w:eastAsia="Times New Roman" w:hAnsi="inherit" w:cs="Times New Roman"/>
          <w:b/>
          <w:bCs/>
          <w:color w:val="0C0C0F"/>
          <w:sz w:val="26"/>
          <w:lang w:eastAsia="it-IT"/>
        </w:rPr>
        <w:t>INFRAZIONI DISCIPLINARI</w:t>
      </w:r>
      <w:r w:rsidRPr="00F60F71">
        <w:rPr>
          <w:rFonts w:ascii="inherit" w:eastAsia="Times New Roman" w:hAnsi="inherit" w:cs="Times New Roman"/>
          <w:color w:val="0C0C0F"/>
          <w:sz w:val="26"/>
          <w:szCs w:val="26"/>
          <w:bdr w:val="none" w:sz="0" w:space="0" w:color="auto" w:frame="1"/>
          <w:lang w:eastAsia="it-IT"/>
        </w:rPr>
        <w:t>. Le inosservanze che comportano il licenziamento sono dieci: alle confermate assenze ingiustificate, false timbrature, false dichiarazioni per ottenere promozioni e posti, vengono affiancate nuove fattispecie, quali la reiterata e grave violazione alle regole deontologiche,  la valutazione negativa della performance per tre anni consecutivi, lo scarso rendimento legato alla reiterata violazione degli obblighi per i quali è stato già sanzionato e, limitatamente ai dirigenti, la mancata attivazione o definizione di procedimenti disciplinari, commessa con dolo o colpa grave.</w:t>
      </w:r>
    </w:p>
    <w:p w:rsidR="00F60F71" w:rsidRPr="00F60F71" w:rsidRDefault="00F60F71" w:rsidP="00F60F71">
      <w:pPr>
        <w:numPr>
          <w:ilvl w:val="0"/>
          <w:numId w:val="3"/>
        </w:numPr>
        <w:shd w:val="clear" w:color="auto" w:fill="FFFFFF"/>
        <w:spacing w:after="0" w:line="240" w:lineRule="auto"/>
        <w:ind w:left="300"/>
        <w:textAlignment w:val="baseline"/>
        <w:rPr>
          <w:rFonts w:ascii="inherit" w:eastAsia="Times New Roman" w:hAnsi="inherit" w:cs="Times New Roman"/>
          <w:color w:val="0C0C0F"/>
          <w:sz w:val="26"/>
          <w:szCs w:val="26"/>
          <w:lang w:eastAsia="it-IT"/>
        </w:rPr>
      </w:pPr>
      <w:r w:rsidRPr="00F60F71">
        <w:rPr>
          <w:rFonts w:ascii="inherit" w:eastAsia="Times New Roman" w:hAnsi="inherit" w:cs="Times New Roman"/>
          <w:b/>
          <w:bCs/>
          <w:color w:val="0C0C0F"/>
          <w:sz w:val="26"/>
          <w:lang w:eastAsia="it-IT"/>
        </w:rPr>
        <w:t>PROCEDURE</w:t>
      </w:r>
      <w:r w:rsidRPr="00F60F71">
        <w:rPr>
          <w:rFonts w:ascii="inherit" w:eastAsia="Times New Roman" w:hAnsi="inherit" w:cs="Times New Roman"/>
          <w:color w:val="0C0C0F"/>
          <w:sz w:val="26"/>
          <w:szCs w:val="26"/>
          <w:bdr w:val="none" w:sz="0" w:space="0" w:color="auto" w:frame="1"/>
          <w:lang w:eastAsia="it-IT"/>
        </w:rPr>
        <w:t>. Vengono modernizzate attraverso l’utilizzazione delle tecnologie dell’informazione e della comunicazione, anche nelle relazioni coi destinatari dell’azione amministrativa.</w:t>
      </w:r>
    </w:p>
    <w:p w:rsidR="00F60F71" w:rsidRPr="00F60F71" w:rsidRDefault="00F60F71" w:rsidP="00F60F71">
      <w:pPr>
        <w:numPr>
          <w:ilvl w:val="0"/>
          <w:numId w:val="3"/>
        </w:numPr>
        <w:shd w:val="clear" w:color="auto" w:fill="FFFFFF"/>
        <w:spacing w:after="0" w:line="240" w:lineRule="auto"/>
        <w:ind w:left="300"/>
        <w:textAlignment w:val="baseline"/>
        <w:rPr>
          <w:rFonts w:ascii="inherit" w:eastAsia="Times New Roman" w:hAnsi="inherit" w:cs="Times New Roman"/>
          <w:color w:val="0C0C0F"/>
          <w:sz w:val="26"/>
          <w:szCs w:val="26"/>
          <w:lang w:eastAsia="it-IT"/>
        </w:rPr>
      </w:pPr>
      <w:r w:rsidRPr="00F60F71">
        <w:rPr>
          <w:rFonts w:ascii="inherit" w:eastAsia="Times New Roman" w:hAnsi="inherit" w:cs="Times New Roman"/>
          <w:b/>
          <w:bCs/>
          <w:color w:val="0C0C0F"/>
          <w:sz w:val="26"/>
          <w:lang w:eastAsia="it-IT"/>
        </w:rPr>
        <w:t>CONCORSI</w:t>
      </w:r>
      <w:r w:rsidRPr="00F60F71">
        <w:rPr>
          <w:rFonts w:ascii="inherit" w:eastAsia="Times New Roman" w:hAnsi="inherit" w:cs="Times New Roman"/>
          <w:color w:val="0C0C0F"/>
          <w:sz w:val="26"/>
          <w:szCs w:val="26"/>
          <w:bdr w:val="none" w:sz="0" w:space="0" w:color="auto" w:frame="1"/>
          <w:lang w:eastAsia="it-IT"/>
        </w:rPr>
        <w:t>. Maggior valore all’esperienza professionale acquisita da coloro che hanno avuto rapporti di lavoro flessibile con le amministrazioni pubbliche, escludendo tutti i servizi prestati presso uffici in stretto contatto con organi politici. </w:t>
      </w:r>
    </w:p>
    <w:p w:rsidR="00F60F71" w:rsidRPr="00F60F71" w:rsidRDefault="00F60F71" w:rsidP="00F60F71">
      <w:pPr>
        <w:numPr>
          <w:ilvl w:val="0"/>
          <w:numId w:val="3"/>
        </w:numPr>
        <w:shd w:val="clear" w:color="auto" w:fill="FFFFFF"/>
        <w:spacing w:after="0" w:line="240" w:lineRule="auto"/>
        <w:ind w:left="300"/>
        <w:textAlignment w:val="baseline"/>
        <w:rPr>
          <w:rFonts w:ascii="inherit" w:eastAsia="Times New Roman" w:hAnsi="inherit" w:cs="Times New Roman"/>
          <w:color w:val="0C0C0F"/>
          <w:sz w:val="26"/>
          <w:szCs w:val="26"/>
          <w:lang w:eastAsia="it-IT"/>
        </w:rPr>
      </w:pPr>
      <w:r w:rsidRPr="00F60F71">
        <w:rPr>
          <w:rFonts w:ascii="inherit" w:eastAsia="Times New Roman" w:hAnsi="inherit" w:cs="Times New Roman"/>
          <w:b/>
          <w:bCs/>
          <w:color w:val="0C0C0F"/>
          <w:sz w:val="26"/>
          <w:lang w:eastAsia="it-IT"/>
        </w:rPr>
        <w:t>LINGUE ESTERE</w:t>
      </w:r>
      <w:r w:rsidRPr="00F60F71">
        <w:rPr>
          <w:rFonts w:ascii="inherit" w:eastAsia="Times New Roman" w:hAnsi="inherit" w:cs="Times New Roman"/>
          <w:color w:val="0C0C0F"/>
          <w:sz w:val="26"/>
          <w:szCs w:val="26"/>
          <w:bdr w:val="none" w:sz="0" w:space="0" w:color="auto" w:frame="1"/>
          <w:lang w:eastAsia="it-IT"/>
        </w:rPr>
        <w:t>. La padronanza delle lingue straniere sarà requisito per accedere ai concorsi, o comunque titolo di merito valutabile dalle commissioni giudicatrici. Maggior valore anche al titolo di dottore di ricerca.</w:t>
      </w:r>
    </w:p>
    <w:p w:rsidR="00F60F71" w:rsidRPr="00F60F71" w:rsidRDefault="00F60F71" w:rsidP="00F60F71">
      <w:pPr>
        <w:numPr>
          <w:ilvl w:val="0"/>
          <w:numId w:val="3"/>
        </w:numPr>
        <w:shd w:val="clear" w:color="auto" w:fill="FFFFFF"/>
        <w:spacing w:after="0" w:line="240" w:lineRule="auto"/>
        <w:ind w:left="300"/>
        <w:textAlignment w:val="baseline"/>
        <w:rPr>
          <w:rFonts w:ascii="inherit" w:eastAsia="Times New Roman" w:hAnsi="inherit" w:cs="Times New Roman"/>
          <w:color w:val="0C0C0F"/>
          <w:sz w:val="26"/>
          <w:szCs w:val="26"/>
          <w:lang w:eastAsia="it-IT"/>
        </w:rPr>
      </w:pPr>
      <w:r w:rsidRPr="00F60F71">
        <w:rPr>
          <w:rFonts w:ascii="inherit" w:eastAsia="Times New Roman" w:hAnsi="inherit" w:cs="Times New Roman"/>
          <w:b/>
          <w:bCs/>
          <w:color w:val="0C0C0F"/>
          <w:sz w:val="26"/>
          <w:lang w:eastAsia="it-IT"/>
        </w:rPr>
        <w:t>LAVORO FLESSIBILE</w:t>
      </w:r>
      <w:r w:rsidRPr="00F60F71">
        <w:rPr>
          <w:rFonts w:ascii="inherit" w:eastAsia="Times New Roman" w:hAnsi="inherit" w:cs="Times New Roman"/>
          <w:color w:val="0C0C0F"/>
          <w:sz w:val="26"/>
          <w:szCs w:val="26"/>
          <w:bdr w:val="none" w:sz="0" w:space="0" w:color="auto" w:frame="1"/>
          <w:lang w:eastAsia="it-IT"/>
        </w:rPr>
        <w:t>. Fissato il divieto per le pubbliche amministrazioni, dall’inizio del prossimo anno, di stipulare contratti di collaborazione (</w:t>
      </w:r>
      <w:proofErr w:type="spellStart"/>
      <w:r w:rsidRPr="00F60F71">
        <w:rPr>
          <w:rFonts w:ascii="inherit" w:eastAsia="Times New Roman" w:hAnsi="inherit" w:cs="Times New Roman"/>
          <w:color w:val="0C0C0F"/>
          <w:sz w:val="26"/>
          <w:szCs w:val="26"/>
          <w:bdr w:val="none" w:sz="0" w:space="0" w:color="auto" w:frame="1"/>
          <w:lang w:eastAsia="it-IT"/>
        </w:rPr>
        <w:t>co.co.co.</w:t>
      </w:r>
      <w:proofErr w:type="spellEnd"/>
      <w:r w:rsidRPr="00F60F71">
        <w:rPr>
          <w:rFonts w:ascii="inherit" w:eastAsia="Times New Roman" w:hAnsi="inherit" w:cs="Times New Roman"/>
          <w:color w:val="0C0C0F"/>
          <w:sz w:val="26"/>
          <w:szCs w:val="26"/>
          <w:bdr w:val="none" w:sz="0" w:space="0" w:color="auto" w:frame="1"/>
          <w:lang w:eastAsia="it-IT"/>
        </w:rPr>
        <w:t>), con contestuale facoltà di utilizzare tipologie di lavoro flessibile quale il contratto di formazione e lavoro, e con previsione di maglie più strette, nella finalità di evitare l’abuso del precariato.</w:t>
      </w:r>
    </w:p>
    <w:p w:rsidR="00F60F71" w:rsidRPr="00F60F71" w:rsidRDefault="00F60F71" w:rsidP="00F60F71">
      <w:pPr>
        <w:numPr>
          <w:ilvl w:val="0"/>
          <w:numId w:val="3"/>
        </w:numPr>
        <w:shd w:val="clear" w:color="auto" w:fill="FFFFFF"/>
        <w:spacing w:after="0" w:line="240" w:lineRule="auto"/>
        <w:ind w:left="300"/>
        <w:textAlignment w:val="baseline"/>
        <w:rPr>
          <w:rFonts w:ascii="inherit" w:eastAsia="Times New Roman" w:hAnsi="inherit" w:cs="Times New Roman"/>
          <w:color w:val="0C0C0F"/>
          <w:sz w:val="26"/>
          <w:szCs w:val="26"/>
          <w:lang w:eastAsia="it-IT"/>
        </w:rPr>
      </w:pPr>
      <w:r w:rsidRPr="00F60F71">
        <w:rPr>
          <w:rFonts w:ascii="inherit" w:eastAsia="Times New Roman" w:hAnsi="inherit" w:cs="Times New Roman"/>
          <w:b/>
          <w:bCs/>
          <w:color w:val="0C0C0F"/>
          <w:sz w:val="26"/>
          <w:lang w:eastAsia="it-IT"/>
        </w:rPr>
        <w:t>ASSUNZIONI</w:t>
      </w:r>
      <w:r w:rsidRPr="00F60F71">
        <w:rPr>
          <w:rFonts w:ascii="inherit" w:eastAsia="Times New Roman" w:hAnsi="inherit" w:cs="Times New Roman"/>
          <w:color w:val="0C0C0F"/>
          <w:sz w:val="26"/>
          <w:szCs w:val="26"/>
          <w:bdr w:val="none" w:sz="0" w:space="0" w:color="auto" w:frame="1"/>
          <w:lang w:eastAsia="it-IT"/>
        </w:rPr>
        <w:t>. Il numero delle unità da immettere in servizio varierà in base ai fabbisogni rilevati per ciascun ente, e stanziati dalla programmazione con cadenza triennale. Un quinto dei posti previsti nella programmazione potrà essere assegnato alle progressioni, da svolgersi attraverso selezioni interne. Per quest’ultime si eviterà la forma del concorso, ma con contestuale diminuzione dei posti per gli esterni.</w:t>
      </w:r>
    </w:p>
    <w:p w:rsidR="00F60F71" w:rsidRPr="00F60F71" w:rsidRDefault="00F60F71" w:rsidP="00F60F71">
      <w:pPr>
        <w:numPr>
          <w:ilvl w:val="0"/>
          <w:numId w:val="3"/>
        </w:numPr>
        <w:shd w:val="clear" w:color="auto" w:fill="FFFFFF"/>
        <w:spacing w:after="0" w:line="240" w:lineRule="auto"/>
        <w:ind w:left="300"/>
        <w:textAlignment w:val="baseline"/>
        <w:rPr>
          <w:rFonts w:ascii="inherit" w:eastAsia="Times New Roman" w:hAnsi="inherit" w:cs="Times New Roman"/>
          <w:color w:val="0C0C0F"/>
          <w:sz w:val="26"/>
          <w:szCs w:val="26"/>
          <w:lang w:eastAsia="it-IT"/>
        </w:rPr>
      </w:pPr>
      <w:r w:rsidRPr="00F60F71">
        <w:rPr>
          <w:rFonts w:ascii="inherit" w:eastAsia="Times New Roman" w:hAnsi="inherit" w:cs="Times New Roman"/>
          <w:b/>
          <w:bCs/>
          <w:color w:val="0C0C0F"/>
          <w:sz w:val="26"/>
          <w:lang w:eastAsia="it-IT"/>
        </w:rPr>
        <w:lastRenderedPageBreak/>
        <w:t>STABILIZZAZIONI</w:t>
      </w:r>
      <w:r w:rsidRPr="00F60F71">
        <w:rPr>
          <w:rFonts w:ascii="inherit" w:eastAsia="Times New Roman" w:hAnsi="inherit" w:cs="Times New Roman"/>
          <w:color w:val="0C0C0F"/>
          <w:sz w:val="26"/>
          <w:szCs w:val="26"/>
          <w:bdr w:val="none" w:sz="0" w:space="0" w:color="auto" w:frame="1"/>
          <w:lang w:eastAsia="it-IT"/>
        </w:rPr>
        <w:t>. Rinnovati gli iter per l’assunzione a tempo indeterminato di personale in possesso di specifici requisiti. Specifico piano straordinario di stabilizzazione previsto per il prossimo triennio, che si prefigge di consolidare circa cinquantamila precari, con almeno tre anni di servizio prestato negli ultimi otto, presso l’ente che assume ovvero bandisce il concorso. Possibilità aperta anche a chi non collabora già più, purché in servizio alla data di entrata in vigore della legge delega, ovvero il 28 agosto 2015.</w:t>
      </w:r>
    </w:p>
    <w:p w:rsidR="00F60F71" w:rsidRPr="00F60F71" w:rsidRDefault="00F60F71" w:rsidP="00F60F71">
      <w:pPr>
        <w:numPr>
          <w:ilvl w:val="0"/>
          <w:numId w:val="3"/>
        </w:numPr>
        <w:shd w:val="clear" w:color="auto" w:fill="FFFFFF"/>
        <w:spacing w:after="0" w:line="240" w:lineRule="auto"/>
        <w:ind w:left="300"/>
        <w:textAlignment w:val="baseline"/>
        <w:rPr>
          <w:rFonts w:ascii="inherit" w:eastAsia="Times New Roman" w:hAnsi="inherit" w:cs="Times New Roman"/>
          <w:color w:val="0C0C0F"/>
          <w:sz w:val="26"/>
          <w:szCs w:val="26"/>
          <w:lang w:eastAsia="it-IT"/>
        </w:rPr>
      </w:pPr>
      <w:r w:rsidRPr="00F60F71">
        <w:rPr>
          <w:rFonts w:ascii="inherit" w:eastAsia="Times New Roman" w:hAnsi="inherit" w:cs="Times New Roman"/>
          <w:b/>
          <w:bCs/>
          <w:color w:val="0C0C0F"/>
          <w:sz w:val="26"/>
          <w:lang w:eastAsia="it-IT"/>
        </w:rPr>
        <w:t>DISABILI</w:t>
      </w:r>
      <w:r w:rsidRPr="00F60F71">
        <w:rPr>
          <w:rFonts w:ascii="inherit" w:eastAsia="Times New Roman" w:hAnsi="inherit" w:cs="Times New Roman"/>
          <w:color w:val="0C0C0F"/>
          <w:sz w:val="26"/>
          <w:szCs w:val="26"/>
          <w:bdr w:val="none" w:sz="0" w:space="0" w:color="auto" w:frame="1"/>
          <w:lang w:eastAsia="it-IT"/>
        </w:rPr>
        <w:t>. Integrazione nell’ambiente di lavoro di soggetti disabili mediante l’istituzione di una Consulta nazionale e la nomina e di un responsabile dei processi di inserimento.</w:t>
      </w:r>
    </w:p>
    <w:p w:rsidR="00F60F71" w:rsidRPr="00F60F71" w:rsidRDefault="00F60F71" w:rsidP="00F60F71">
      <w:pPr>
        <w:numPr>
          <w:ilvl w:val="0"/>
          <w:numId w:val="3"/>
        </w:numPr>
        <w:shd w:val="clear" w:color="auto" w:fill="FFFFFF"/>
        <w:spacing w:after="0" w:line="240" w:lineRule="auto"/>
        <w:ind w:left="300"/>
        <w:textAlignment w:val="baseline"/>
        <w:rPr>
          <w:rFonts w:ascii="inherit" w:eastAsia="Times New Roman" w:hAnsi="inherit" w:cs="Times New Roman"/>
          <w:color w:val="0C0C0F"/>
          <w:sz w:val="26"/>
          <w:szCs w:val="26"/>
          <w:lang w:eastAsia="it-IT"/>
        </w:rPr>
      </w:pPr>
      <w:r w:rsidRPr="00F60F71">
        <w:rPr>
          <w:rFonts w:ascii="inherit" w:eastAsia="Times New Roman" w:hAnsi="inherit" w:cs="Times New Roman"/>
          <w:b/>
          <w:bCs/>
          <w:color w:val="0C0C0F"/>
          <w:sz w:val="26"/>
          <w:lang w:eastAsia="it-IT"/>
        </w:rPr>
        <w:t xml:space="preserve">TUTELA IN CASO </w:t>
      </w:r>
      <w:proofErr w:type="spellStart"/>
      <w:r w:rsidRPr="00F60F71">
        <w:rPr>
          <w:rFonts w:ascii="inherit" w:eastAsia="Times New Roman" w:hAnsi="inherit" w:cs="Times New Roman"/>
          <w:b/>
          <w:bCs/>
          <w:color w:val="0C0C0F"/>
          <w:sz w:val="26"/>
          <w:lang w:eastAsia="it-IT"/>
        </w:rPr>
        <w:t>DI</w:t>
      </w:r>
      <w:proofErr w:type="spellEnd"/>
      <w:r w:rsidRPr="00F60F71">
        <w:rPr>
          <w:rFonts w:ascii="inherit" w:eastAsia="Times New Roman" w:hAnsi="inherit" w:cs="Times New Roman"/>
          <w:b/>
          <w:bCs/>
          <w:color w:val="0C0C0F"/>
          <w:sz w:val="26"/>
          <w:lang w:eastAsia="it-IT"/>
        </w:rPr>
        <w:t xml:space="preserve"> LICENZIAMENTO</w:t>
      </w:r>
      <w:r w:rsidRPr="00F60F71">
        <w:rPr>
          <w:rFonts w:ascii="inherit" w:eastAsia="Times New Roman" w:hAnsi="inherit" w:cs="Times New Roman"/>
          <w:color w:val="0C0C0F"/>
          <w:sz w:val="26"/>
          <w:szCs w:val="26"/>
          <w:bdr w:val="none" w:sz="0" w:space="0" w:color="auto" w:frame="1"/>
          <w:lang w:eastAsia="it-IT"/>
        </w:rPr>
        <w:t>. Viene inserito un correttivo alla tutela reale prevista dall’art. 18 della </w:t>
      </w:r>
      <w:r w:rsidR="00F71338">
        <w:rPr>
          <w:rFonts w:ascii="inherit" w:eastAsia="Times New Roman" w:hAnsi="inherit" w:cs="Times New Roman"/>
          <w:color w:val="0C0C0F"/>
          <w:sz w:val="26"/>
          <w:szCs w:val="26"/>
          <w:bdr w:val="none" w:sz="0" w:space="0" w:color="auto" w:frame="1"/>
          <w:lang w:eastAsia="it-IT"/>
        </w:rPr>
        <w:t>legge 300/70</w:t>
      </w:r>
      <w:r w:rsidRPr="00F60F71">
        <w:rPr>
          <w:rFonts w:ascii="inherit" w:eastAsia="Times New Roman" w:hAnsi="inherit" w:cs="Times New Roman"/>
          <w:color w:val="0C0C0F"/>
          <w:sz w:val="26"/>
          <w:szCs w:val="26"/>
          <w:bdr w:val="none" w:sz="0" w:space="0" w:color="auto" w:frame="1"/>
          <w:lang w:eastAsia="it-IT"/>
        </w:rPr>
        <w:t>ovvero quando il licenziamento viene accertato come illegittimo, l’indennizzo contestuale al reintegro nel posto di lavoro non potrà oltrepassare le 18 mensilità. Se il giudice ritiene la sanzione irrogata dall’ente come viziata da difetto di proporzionalità, avrà il potere di modificarla prendendo a parametro la gravità del comportamento del lavoratore pubblico e la lesione degli interessi. </w:t>
      </w:r>
    </w:p>
    <w:p w:rsidR="00F60F71" w:rsidRPr="00F60F71" w:rsidRDefault="00F60F71" w:rsidP="00F60F71">
      <w:pPr>
        <w:numPr>
          <w:ilvl w:val="0"/>
          <w:numId w:val="3"/>
        </w:numPr>
        <w:shd w:val="clear" w:color="auto" w:fill="FFFFFF"/>
        <w:spacing w:after="0" w:line="240" w:lineRule="auto"/>
        <w:ind w:left="300"/>
        <w:textAlignment w:val="baseline"/>
        <w:rPr>
          <w:rFonts w:ascii="inherit" w:eastAsia="Times New Roman" w:hAnsi="inherit" w:cs="Times New Roman"/>
          <w:color w:val="0C0C0F"/>
          <w:sz w:val="26"/>
          <w:szCs w:val="26"/>
          <w:lang w:eastAsia="it-IT"/>
        </w:rPr>
      </w:pPr>
      <w:r w:rsidRPr="00F60F71">
        <w:rPr>
          <w:rFonts w:ascii="inherit" w:eastAsia="Times New Roman" w:hAnsi="inherit" w:cs="Times New Roman"/>
          <w:b/>
          <w:bCs/>
          <w:color w:val="0C0C0F"/>
          <w:sz w:val="26"/>
          <w:lang w:eastAsia="it-IT"/>
        </w:rPr>
        <w:t>VISITE FISCALI</w:t>
      </w:r>
      <w:r w:rsidRPr="00F60F71">
        <w:rPr>
          <w:rFonts w:ascii="inherit" w:eastAsia="Times New Roman" w:hAnsi="inherit" w:cs="Times New Roman"/>
          <w:color w:val="0C0C0F"/>
          <w:sz w:val="26"/>
          <w:szCs w:val="26"/>
          <w:bdr w:val="none" w:sz="0" w:space="0" w:color="auto" w:frame="1"/>
          <w:lang w:eastAsia="it-IT"/>
        </w:rPr>
        <w:t>. Riorganizzazione delle funzioni di accertamento medico legale in ipotesi di assenze per malattia, ed assegnazione, dal settembre prossimo, all’INPS, delle relative competenze. Le specifiche vengono demandate ad un decreto attuativo da emanare nel termine di giorni 30 dall’entrata in vigore della riforma sul pubblico impiego.</w:t>
      </w:r>
    </w:p>
    <w:p w:rsidR="00F60F71" w:rsidRPr="00F60F71" w:rsidRDefault="00F60F71" w:rsidP="00F60F71">
      <w:pPr>
        <w:numPr>
          <w:ilvl w:val="0"/>
          <w:numId w:val="3"/>
        </w:numPr>
        <w:shd w:val="clear" w:color="auto" w:fill="FFFFFF"/>
        <w:spacing w:after="0" w:line="240" w:lineRule="auto"/>
        <w:ind w:left="300"/>
        <w:textAlignment w:val="baseline"/>
        <w:rPr>
          <w:rFonts w:ascii="inherit" w:eastAsia="Times New Roman" w:hAnsi="inherit" w:cs="Times New Roman"/>
          <w:color w:val="0C0C0F"/>
          <w:sz w:val="26"/>
          <w:szCs w:val="26"/>
          <w:lang w:eastAsia="it-IT"/>
        </w:rPr>
      </w:pPr>
      <w:r w:rsidRPr="00F60F71">
        <w:rPr>
          <w:rFonts w:ascii="inherit" w:eastAsia="Times New Roman" w:hAnsi="inherit" w:cs="Times New Roman"/>
          <w:b/>
          <w:bCs/>
          <w:color w:val="0C0C0F"/>
          <w:sz w:val="26"/>
          <w:lang w:eastAsia="it-IT"/>
        </w:rPr>
        <w:t>RISULTATI</w:t>
      </w:r>
      <w:r w:rsidRPr="00F60F71">
        <w:rPr>
          <w:rFonts w:ascii="inherit" w:eastAsia="Times New Roman" w:hAnsi="inherit" w:cs="Times New Roman"/>
          <w:color w:val="0C0C0F"/>
          <w:sz w:val="26"/>
          <w:szCs w:val="26"/>
          <w:bdr w:val="none" w:sz="0" w:space="0" w:color="auto" w:frame="1"/>
          <w:lang w:eastAsia="it-IT"/>
        </w:rPr>
        <w:t>. Razionalizzazione dei sistemi di valutazione, estensione di metodi di misurazione dei risultati raggiunti dall’organizzazione e dai singoli dipendenti, forme di semplificazione specifiche per le differenti aree della pubblica amministrazione.</w:t>
      </w:r>
    </w:p>
    <w:p w:rsidR="00F60F71" w:rsidRDefault="00F60F71" w:rsidP="00F60F71">
      <w:pPr>
        <w:shd w:val="clear" w:color="auto" w:fill="FFFFFF"/>
        <w:spacing w:after="0" w:line="240" w:lineRule="auto"/>
        <w:textAlignment w:val="baseline"/>
        <w:rPr>
          <w:rFonts w:ascii="inherit" w:eastAsia="Times New Roman" w:hAnsi="inherit" w:cs="Times New Roman"/>
          <w:color w:val="0C0C0F"/>
          <w:sz w:val="26"/>
          <w:szCs w:val="26"/>
          <w:lang w:eastAsia="it-IT"/>
        </w:rPr>
      </w:pPr>
    </w:p>
    <w:p w:rsidR="00F60F71" w:rsidRPr="00F60F71" w:rsidRDefault="00F60F71" w:rsidP="00F60F71">
      <w:pPr>
        <w:shd w:val="clear" w:color="auto" w:fill="FFFFFF"/>
        <w:spacing w:after="0" w:line="240" w:lineRule="auto"/>
        <w:textAlignment w:val="baseline"/>
        <w:rPr>
          <w:rFonts w:ascii="inherit" w:eastAsia="Times New Roman" w:hAnsi="inherit" w:cs="Times New Roman"/>
          <w:color w:val="0C0C0F"/>
          <w:sz w:val="26"/>
          <w:szCs w:val="26"/>
          <w:lang w:eastAsia="it-IT"/>
        </w:rPr>
      </w:pPr>
      <w:r>
        <w:rPr>
          <w:rFonts w:ascii="inherit" w:eastAsia="Times New Roman" w:hAnsi="inherit" w:cs="Times New Roman"/>
          <w:color w:val="0C0C0F"/>
          <w:sz w:val="26"/>
          <w:szCs w:val="26"/>
          <w:lang w:eastAsia="it-IT"/>
        </w:rPr>
        <w:t>RESPONSABILITA</w:t>
      </w:r>
      <w:r>
        <w:rPr>
          <w:rFonts w:ascii="inherit" w:eastAsia="Times New Roman" w:hAnsi="inherit" w:cs="Times New Roman" w:hint="eastAsia"/>
          <w:color w:val="0C0C0F"/>
          <w:sz w:val="26"/>
          <w:szCs w:val="26"/>
          <w:lang w:eastAsia="it-IT"/>
        </w:rPr>
        <w:t>’</w:t>
      </w:r>
      <w:r>
        <w:rPr>
          <w:rFonts w:ascii="inherit" w:eastAsia="Times New Roman" w:hAnsi="inherit" w:cs="Times New Roman"/>
          <w:color w:val="0C0C0F"/>
          <w:sz w:val="26"/>
          <w:szCs w:val="26"/>
          <w:lang w:eastAsia="it-IT"/>
        </w:rPr>
        <w:t xml:space="preserve"> DISCIPLINARI</w:t>
      </w:r>
    </w:p>
    <w:p w:rsidR="00497C13" w:rsidRDefault="00497C13" w:rsidP="00F60F71">
      <w:pPr>
        <w:pStyle w:val="NormaleWeb"/>
        <w:shd w:val="clear" w:color="auto" w:fill="FFFFFF"/>
        <w:spacing w:before="0" w:beforeAutospacing="0" w:after="0" w:afterAutospacing="0"/>
        <w:textAlignment w:val="baseline"/>
        <w:rPr>
          <w:rStyle w:val="Enfasigrassetto"/>
          <w:rFonts w:ascii="Arial" w:hAnsi="Arial" w:cs="Arial"/>
          <w:color w:val="333333"/>
          <w:bdr w:val="none" w:sz="0" w:space="0" w:color="auto" w:frame="1"/>
        </w:rPr>
      </w:pPr>
    </w:p>
    <w:p w:rsidR="00F60F71" w:rsidRPr="00CC7FB7" w:rsidRDefault="00F60F71" w:rsidP="00F60F71">
      <w:pPr>
        <w:pStyle w:val="NormaleWeb"/>
        <w:shd w:val="clear" w:color="auto" w:fill="FFFFFF"/>
        <w:spacing w:before="0" w:beforeAutospacing="0" w:after="0" w:afterAutospacing="0"/>
        <w:textAlignment w:val="baseline"/>
        <w:rPr>
          <w:rFonts w:ascii="Arial" w:hAnsi="Arial" w:cs="Arial"/>
          <w:color w:val="333333"/>
        </w:rPr>
      </w:pPr>
      <w:r w:rsidRPr="00CC7FB7">
        <w:rPr>
          <w:rStyle w:val="Enfasigrassetto"/>
          <w:rFonts w:ascii="Arial" w:hAnsi="Arial" w:cs="Arial"/>
          <w:color w:val="333333"/>
          <w:bdr w:val="none" w:sz="0" w:space="0" w:color="auto" w:frame="1"/>
        </w:rPr>
        <w:t>le infrazioni di minore gravità che, come è stato sino ad oggi comportano le sanzioni:</w:t>
      </w:r>
    </w:p>
    <w:p w:rsidR="00F60F71" w:rsidRPr="00CC7FB7" w:rsidRDefault="00F60F71" w:rsidP="00F60F71">
      <w:pPr>
        <w:pStyle w:val="NormaleWeb"/>
        <w:shd w:val="clear" w:color="auto" w:fill="FFFFFF"/>
        <w:spacing w:before="215" w:beforeAutospacing="0" w:after="215" w:afterAutospacing="0"/>
        <w:textAlignment w:val="baseline"/>
        <w:rPr>
          <w:rFonts w:ascii="Arial" w:hAnsi="Arial" w:cs="Arial"/>
          <w:color w:val="333333"/>
        </w:rPr>
      </w:pPr>
      <w:r w:rsidRPr="00CC7FB7">
        <w:rPr>
          <w:rFonts w:ascii="Arial" w:hAnsi="Arial" w:cs="Arial"/>
          <w:color w:val="333333"/>
        </w:rPr>
        <w:t>del rimprovero verbale e scritto</w:t>
      </w:r>
      <w:r w:rsidRPr="00CC7FB7">
        <w:rPr>
          <w:rFonts w:ascii="Arial" w:hAnsi="Arial" w:cs="Arial"/>
          <w:color w:val="333333"/>
        </w:rPr>
        <w:br/>
        <w:t>nella multa fino a quattro ore di retribuzione</w:t>
      </w:r>
      <w:r w:rsidRPr="00CC7FB7">
        <w:rPr>
          <w:rFonts w:ascii="Arial" w:hAnsi="Arial" w:cs="Arial"/>
          <w:color w:val="333333"/>
        </w:rPr>
        <w:br/>
        <w:t>nella sospensione fino a dieci giorni</w:t>
      </w:r>
      <w:r w:rsidRPr="00CC7FB7">
        <w:rPr>
          <w:rFonts w:ascii="Arial" w:hAnsi="Arial" w:cs="Arial"/>
          <w:color w:val="333333"/>
        </w:rPr>
        <w:br/>
        <w:t>sospensione dal servizio con privazione della retribuzione per più dieci giorni.</w:t>
      </w:r>
    </w:p>
    <w:p w:rsidR="00F60F71" w:rsidRPr="00CC7FB7" w:rsidRDefault="00F60F71" w:rsidP="00F60F71">
      <w:pPr>
        <w:pStyle w:val="NormaleWeb"/>
        <w:shd w:val="clear" w:color="auto" w:fill="FFFFFF"/>
        <w:spacing w:before="215" w:beforeAutospacing="0" w:after="215" w:afterAutospacing="0"/>
        <w:textAlignment w:val="baseline"/>
        <w:rPr>
          <w:rFonts w:ascii="Arial" w:hAnsi="Arial" w:cs="Arial"/>
          <w:color w:val="333333"/>
        </w:rPr>
      </w:pPr>
      <w:r w:rsidRPr="00CC7FB7">
        <w:rPr>
          <w:rFonts w:ascii="Arial" w:hAnsi="Arial" w:cs="Arial"/>
          <w:color w:val="333333"/>
        </w:rPr>
        <w:t>Per l’irrogazione della sanzioni del rimprovero verbale, recita il nuovo art. 55-bis del Testo unico del pubblico impiego come riformato dalla Madia, è competente il responsabile della struttura presso cui presta servizio il dipendente.</w:t>
      </w:r>
    </w:p>
    <w:p w:rsidR="00F60F71" w:rsidRPr="00CC7FB7" w:rsidRDefault="00F60F71" w:rsidP="00F60F71">
      <w:pPr>
        <w:pStyle w:val="NormaleWeb"/>
        <w:shd w:val="clear" w:color="auto" w:fill="FFFFFF"/>
        <w:spacing w:before="215" w:beforeAutospacing="0" w:after="215" w:afterAutospacing="0"/>
        <w:textAlignment w:val="baseline"/>
        <w:rPr>
          <w:rFonts w:ascii="Arial" w:hAnsi="Arial" w:cs="Arial"/>
          <w:color w:val="333333"/>
        </w:rPr>
      </w:pPr>
      <w:r w:rsidRPr="00CC7FB7">
        <w:rPr>
          <w:rFonts w:ascii="Arial" w:hAnsi="Arial" w:cs="Arial"/>
          <w:color w:val="333333"/>
        </w:rPr>
        <w:t>Alle infrazioni per le quali è previsto il rimprovero verbale si applica la disciplina stabilita dal contratto collettivo.</w:t>
      </w:r>
    </w:p>
    <w:p w:rsidR="00F60F71" w:rsidRPr="00CC7FB7" w:rsidRDefault="00F60F71" w:rsidP="00F60F71">
      <w:pPr>
        <w:pStyle w:val="NormaleWeb"/>
        <w:shd w:val="clear" w:color="auto" w:fill="FFFFFF"/>
        <w:spacing w:before="215" w:beforeAutospacing="0" w:after="215" w:afterAutospacing="0"/>
        <w:textAlignment w:val="baseline"/>
        <w:rPr>
          <w:rFonts w:ascii="Arial" w:hAnsi="Arial" w:cs="Arial"/>
          <w:color w:val="333333"/>
        </w:rPr>
      </w:pPr>
      <w:r w:rsidRPr="00CC7FB7">
        <w:rPr>
          <w:rFonts w:ascii="Arial" w:hAnsi="Arial" w:cs="Arial"/>
          <w:color w:val="333333"/>
        </w:rPr>
        <w:t>Per le infrazioni punibili con una sanzione superiore al rimprovero verbale è invece competente l’ufficio per i procedimenti disciplinari individuato da ciascuna Amministrazione.</w:t>
      </w:r>
    </w:p>
    <w:p w:rsidR="00F60F71" w:rsidRPr="00CC7FB7" w:rsidRDefault="00F60F71" w:rsidP="00F60F71">
      <w:pPr>
        <w:pStyle w:val="NormaleWeb"/>
        <w:shd w:val="clear" w:color="auto" w:fill="FFFFFF"/>
        <w:spacing w:before="215" w:beforeAutospacing="0" w:after="215" w:afterAutospacing="0"/>
        <w:textAlignment w:val="baseline"/>
        <w:rPr>
          <w:rFonts w:ascii="Arial" w:hAnsi="Arial" w:cs="Arial"/>
          <w:color w:val="333333"/>
        </w:rPr>
      </w:pPr>
      <w:r w:rsidRPr="00CC7FB7">
        <w:rPr>
          <w:rFonts w:ascii="Arial" w:hAnsi="Arial" w:cs="Arial"/>
          <w:color w:val="333333"/>
        </w:rPr>
        <w:t>Forme e termini del procedimento disciplinare</w:t>
      </w:r>
    </w:p>
    <w:p w:rsidR="00F60F71" w:rsidRPr="00CC7FB7" w:rsidRDefault="00F60F71" w:rsidP="00F60F71">
      <w:pPr>
        <w:pStyle w:val="NormaleWeb"/>
        <w:shd w:val="clear" w:color="auto" w:fill="FFFFFF"/>
        <w:spacing w:before="215" w:beforeAutospacing="0" w:after="215" w:afterAutospacing="0"/>
        <w:textAlignment w:val="baseline"/>
        <w:rPr>
          <w:rFonts w:ascii="Arial" w:hAnsi="Arial" w:cs="Arial"/>
          <w:color w:val="333333"/>
        </w:rPr>
      </w:pPr>
      <w:r w:rsidRPr="00CC7FB7">
        <w:rPr>
          <w:rFonts w:ascii="Arial" w:hAnsi="Arial" w:cs="Arial"/>
          <w:color w:val="333333"/>
        </w:rPr>
        <w:lastRenderedPageBreak/>
        <w:t>Il nuovo art 55-bis del Testo unico in merito alla responsabilità disciplinare nel pubblico impiego dispone che per le infrazioni meno gravi per le quali è prevista l’irrogazione di sanzioni superiori al rimprovero verbale.</w:t>
      </w:r>
    </w:p>
    <w:p w:rsidR="00F60F71" w:rsidRPr="00CC7FB7" w:rsidRDefault="00F60F71" w:rsidP="00F60F71">
      <w:pPr>
        <w:pStyle w:val="NormaleWeb"/>
        <w:shd w:val="clear" w:color="auto" w:fill="FFFFFF"/>
        <w:spacing w:before="215" w:beforeAutospacing="0" w:after="215" w:afterAutospacing="0"/>
        <w:textAlignment w:val="baseline"/>
        <w:rPr>
          <w:rFonts w:ascii="Arial" w:hAnsi="Arial" w:cs="Arial"/>
          <w:color w:val="333333"/>
        </w:rPr>
      </w:pPr>
      <w:r w:rsidRPr="00CC7FB7">
        <w:rPr>
          <w:rFonts w:ascii="Arial" w:hAnsi="Arial" w:cs="Arial"/>
          <w:color w:val="333333"/>
        </w:rPr>
        <w:t>Il responsabile della struttura presso cui presta servizio il dipendente, segnala immediatamente, e comunque entro dieci giorni, all’ufficio competente per i procedimenti disciplinari i fatti ritenuti di rilevanza disciplinare di cui abbia avuto conoscenza.</w:t>
      </w:r>
    </w:p>
    <w:p w:rsidR="00F60F71" w:rsidRPr="00CC7FB7" w:rsidRDefault="00F60F71" w:rsidP="00F60F71">
      <w:pPr>
        <w:pStyle w:val="NormaleWeb"/>
        <w:shd w:val="clear" w:color="auto" w:fill="FFFFFF"/>
        <w:spacing w:before="215" w:beforeAutospacing="0" w:after="215" w:afterAutospacing="0"/>
        <w:textAlignment w:val="baseline"/>
        <w:rPr>
          <w:rFonts w:ascii="Arial" w:hAnsi="Arial" w:cs="Arial"/>
          <w:color w:val="333333"/>
        </w:rPr>
      </w:pPr>
      <w:r w:rsidRPr="00CC7FB7">
        <w:rPr>
          <w:rFonts w:ascii="Arial" w:hAnsi="Arial" w:cs="Arial"/>
          <w:color w:val="333333"/>
        </w:rPr>
        <w:t>L’Ufficio competente con immediatezza e comunque non oltre trenta giorni decorrenti dal ricevimento della predetta segnalazione, provvede alla contestazione scritta dell’addebito e convoca l’interessato, con un preavviso di almeno venti giorni, per l’audizione.</w:t>
      </w:r>
    </w:p>
    <w:p w:rsidR="00F60F71" w:rsidRPr="00CC7FB7" w:rsidRDefault="00F60F71" w:rsidP="00F60F71">
      <w:pPr>
        <w:pStyle w:val="NormaleWeb"/>
        <w:shd w:val="clear" w:color="auto" w:fill="FFFFFF"/>
        <w:spacing w:before="215" w:beforeAutospacing="0" w:after="215" w:afterAutospacing="0"/>
        <w:textAlignment w:val="baseline"/>
        <w:rPr>
          <w:rFonts w:ascii="Arial" w:hAnsi="Arial" w:cs="Arial"/>
          <w:color w:val="333333"/>
        </w:rPr>
      </w:pPr>
      <w:r w:rsidRPr="00CC7FB7">
        <w:rPr>
          <w:rFonts w:ascii="Arial" w:hAnsi="Arial" w:cs="Arial"/>
          <w:color w:val="333333"/>
        </w:rPr>
        <w:t>Il lavoratore può farsi assistere da un rappresentante sindacale o da un procuratore e può, in caso di grave e oggettivo impedimento chiedere il differimento dell’audizione.</w:t>
      </w:r>
    </w:p>
    <w:p w:rsidR="00F60F71" w:rsidRPr="00CC7FB7" w:rsidRDefault="00F60F71" w:rsidP="00F60F71">
      <w:pPr>
        <w:pStyle w:val="NormaleWeb"/>
        <w:shd w:val="clear" w:color="auto" w:fill="FFFFFF"/>
        <w:spacing w:before="215" w:beforeAutospacing="0" w:after="215" w:afterAutospacing="0"/>
        <w:textAlignment w:val="baseline"/>
        <w:rPr>
          <w:rFonts w:ascii="Arial" w:hAnsi="Arial" w:cs="Arial"/>
          <w:color w:val="333333"/>
        </w:rPr>
      </w:pPr>
      <w:r w:rsidRPr="00CC7FB7">
        <w:rPr>
          <w:rFonts w:ascii="Arial" w:hAnsi="Arial" w:cs="Arial"/>
          <w:color w:val="333333"/>
        </w:rPr>
        <w:t xml:space="preserve">Il procedimento deve essere concluso nel termine di </w:t>
      </w:r>
      <w:r w:rsidR="00110325">
        <w:rPr>
          <w:rFonts w:ascii="Arial" w:hAnsi="Arial" w:cs="Arial"/>
          <w:color w:val="333333"/>
        </w:rPr>
        <w:t>120</w:t>
      </w:r>
      <w:r w:rsidRPr="00CC7FB7">
        <w:rPr>
          <w:rFonts w:ascii="Arial" w:hAnsi="Arial" w:cs="Arial"/>
          <w:color w:val="333333"/>
        </w:rPr>
        <w:t xml:space="preserve"> giorni dalla contestazione dell’addebito con l’atto di archiviazione o di irrogazione della sanzione, dandone comunicazione anche all’Ispettorato per la funzione pubblica.</w:t>
      </w:r>
    </w:p>
    <w:p w:rsidR="00F60F71" w:rsidRPr="00CC7FB7" w:rsidRDefault="00F60F71" w:rsidP="00F60F71">
      <w:pPr>
        <w:pStyle w:val="NormaleWeb"/>
        <w:shd w:val="clear" w:color="auto" w:fill="FFFFFF"/>
        <w:spacing w:before="215" w:beforeAutospacing="0" w:after="215" w:afterAutospacing="0"/>
        <w:textAlignment w:val="baseline"/>
        <w:rPr>
          <w:rFonts w:ascii="Arial" w:hAnsi="Arial" w:cs="Arial"/>
          <w:color w:val="333333"/>
        </w:rPr>
      </w:pPr>
      <w:r w:rsidRPr="00CC7FB7">
        <w:rPr>
          <w:rFonts w:ascii="Arial" w:hAnsi="Arial" w:cs="Arial"/>
          <w:color w:val="333333"/>
        </w:rPr>
        <w:t>Il nuovo comma 9 dell’art 55 bis dispone che La cessazione del rapporto di lavoro estingue il procedimento disciplinare salvo che per l’infrazione commessa sia prevista la sanzione del licenziamento o comunque sia stata disposta la sospensione cautelare dal servizio.</w:t>
      </w:r>
    </w:p>
    <w:p w:rsidR="00F60F71" w:rsidRPr="00CC7FB7" w:rsidRDefault="00F60F71" w:rsidP="00F60F71">
      <w:pPr>
        <w:pStyle w:val="NormaleWeb"/>
        <w:shd w:val="clear" w:color="auto" w:fill="FFFFFF"/>
        <w:spacing w:before="215" w:beforeAutospacing="0" w:after="215" w:afterAutospacing="0"/>
        <w:textAlignment w:val="baseline"/>
        <w:rPr>
          <w:rFonts w:ascii="Arial" w:hAnsi="Arial" w:cs="Arial"/>
          <w:color w:val="333333"/>
        </w:rPr>
      </w:pPr>
      <w:r w:rsidRPr="00CC7FB7">
        <w:rPr>
          <w:rFonts w:ascii="Arial" w:hAnsi="Arial" w:cs="Arial"/>
          <w:color w:val="333333"/>
        </w:rPr>
        <w:t>In tal caso le determinazioni conclusive sono assunte ai fini degli effetti giuridici non preclusi dalla cessazione del rapporto di lavoro.</w:t>
      </w:r>
    </w:p>
    <w:p w:rsidR="00F60F71" w:rsidRPr="00CC7FB7" w:rsidRDefault="00F60F71" w:rsidP="00F60F71">
      <w:pPr>
        <w:pStyle w:val="NormaleWeb"/>
        <w:shd w:val="clear" w:color="auto" w:fill="FFFFFF"/>
        <w:spacing w:before="0" w:beforeAutospacing="0" w:after="0" w:afterAutospacing="0"/>
        <w:textAlignment w:val="baseline"/>
        <w:rPr>
          <w:rFonts w:ascii="Arial" w:hAnsi="Arial" w:cs="Arial"/>
          <w:color w:val="333333"/>
        </w:rPr>
      </w:pPr>
      <w:r w:rsidRPr="00CC7FB7">
        <w:rPr>
          <w:rStyle w:val="Enfasigrassetto"/>
          <w:rFonts w:ascii="Arial" w:hAnsi="Arial" w:cs="Arial"/>
          <w:color w:val="333333"/>
          <w:bdr w:val="none" w:sz="0" w:space="0" w:color="auto" w:frame="1"/>
        </w:rPr>
        <w:t>Rapporti fra procedimento disciplinare e procedimento penale</w:t>
      </w:r>
    </w:p>
    <w:p w:rsidR="00F60F71" w:rsidRPr="00CC7FB7" w:rsidRDefault="00F60F71" w:rsidP="00F60F71">
      <w:pPr>
        <w:pStyle w:val="NormaleWeb"/>
        <w:shd w:val="clear" w:color="auto" w:fill="FFFFFF"/>
        <w:spacing w:before="215" w:beforeAutospacing="0" w:after="215" w:afterAutospacing="0"/>
        <w:textAlignment w:val="baseline"/>
        <w:rPr>
          <w:rFonts w:ascii="Arial" w:hAnsi="Arial" w:cs="Arial"/>
          <w:color w:val="333333"/>
        </w:rPr>
      </w:pPr>
      <w:r w:rsidRPr="00CC7FB7">
        <w:rPr>
          <w:rFonts w:ascii="Arial" w:hAnsi="Arial" w:cs="Arial"/>
          <w:color w:val="333333"/>
        </w:rPr>
        <w:t xml:space="preserve">L’art 55 </w:t>
      </w:r>
      <w:proofErr w:type="spellStart"/>
      <w:r w:rsidRPr="00CC7FB7">
        <w:rPr>
          <w:rFonts w:ascii="Arial" w:hAnsi="Arial" w:cs="Arial"/>
          <w:color w:val="333333"/>
        </w:rPr>
        <w:t>ter</w:t>
      </w:r>
      <w:proofErr w:type="spellEnd"/>
      <w:r w:rsidRPr="00CC7FB7">
        <w:rPr>
          <w:rFonts w:ascii="Arial" w:hAnsi="Arial" w:cs="Arial"/>
          <w:color w:val="333333"/>
        </w:rPr>
        <w:t xml:space="preserve"> disciplina il rapporto tra procedimento disciplinare e procedimento </w:t>
      </w:r>
      <w:proofErr w:type="spellStart"/>
      <w:r w:rsidRPr="00CC7FB7">
        <w:rPr>
          <w:rFonts w:ascii="Arial" w:hAnsi="Arial" w:cs="Arial"/>
          <w:color w:val="333333"/>
        </w:rPr>
        <w:t>penale.stabilendo</w:t>
      </w:r>
      <w:proofErr w:type="spellEnd"/>
      <w:r w:rsidRPr="00CC7FB7">
        <w:rPr>
          <w:rFonts w:ascii="Arial" w:hAnsi="Arial" w:cs="Arial"/>
          <w:color w:val="333333"/>
        </w:rPr>
        <w:t xml:space="preserve"> la prosecuzione e conclusione del primo anche in caso in cui il comportamento del dipendente integri una fattispecie penale.</w:t>
      </w:r>
    </w:p>
    <w:p w:rsidR="00F60F71" w:rsidRPr="00CC7FB7" w:rsidRDefault="00F60F71" w:rsidP="00F60F71">
      <w:pPr>
        <w:pStyle w:val="NormaleWeb"/>
        <w:shd w:val="clear" w:color="auto" w:fill="FFFFFF"/>
        <w:spacing w:before="215" w:beforeAutospacing="0" w:after="215" w:afterAutospacing="0"/>
        <w:textAlignment w:val="baseline"/>
        <w:rPr>
          <w:rFonts w:ascii="Arial" w:hAnsi="Arial" w:cs="Arial"/>
          <w:color w:val="333333"/>
        </w:rPr>
      </w:pPr>
      <w:r w:rsidRPr="00CC7FB7">
        <w:rPr>
          <w:rFonts w:ascii="Arial" w:hAnsi="Arial" w:cs="Arial"/>
          <w:color w:val="333333"/>
        </w:rPr>
        <w:t>Tuttavia la Madia ha previsto la possibilità di sospensione del procedimento disciplinare nel caso di particolare complessità dell’accertamento del fatto addebitato al dipendente e per il quale sono previste sanzioni superiori alla sospensione dal servizio con privazione della retribuzione fino a dieci giorni.</w:t>
      </w:r>
    </w:p>
    <w:p w:rsidR="00F60F71" w:rsidRPr="00CC7FB7" w:rsidRDefault="00F60F71" w:rsidP="00F60F71">
      <w:pPr>
        <w:pStyle w:val="NormaleWeb"/>
        <w:shd w:val="clear" w:color="auto" w:fill="FFFFFF"/>
        <w:spacing w:before="215" w:beforeAutospacing="0" w:after="215" w:afterAutospacing="0"/>
        <w:textAlignment w:val="baseline"/>
        <w:rPr>
          <w:rFonts w:ascii="Arial" w:hAnsi="Arial" w:cs="Arial"/>
          <w:color w:val="333333"/>
        </w:rPr>
      </w:pPr>
      <w:r w:rsidRPr="00CC7FB7">
        <w:rPr>
          <w:rFonts w:ascii="Arial" w:hAnsi="Arial" w:cs="Arial"/>
          <w:color w:val="333333"/>
        </w:rPr>
        <w:t>Il procedimento disciplinare sospeso può essere riattivato “qualora l’amministrazione giunga in possesso di elementi sufficienti per concludere il procedimento, anche sulla base di un provvedimento giurisdizionale non definitivo.</w:t>
      </w:r>
    </w:p>
    <w:p w:rsidR="00F60F71" w:rsidRPr="00CC7FB7" w:rsidRDefault="00F60F71" w:rsidP="00F60F71">
      <w:pPr>
        <w:pStyle w:val="NormaleWeb"/>
        <w:shd w:val="clear" w:color="auto" w:fill="FFFFFF"/>
        <w:spacing w:before="215" w:beforeAutospacing="0" w:after="215" w:afterAutospacing="0"/>
        <w:textAlignment w:val="baseline"/>
        <w:rPr>
          <w:rFonts w:ascii="Arial" w:hAnsi="Arial" w:cs="Arial"/>
          <w:color w:val="333333"/>
        </w:rPr>
      </w:pPr>
      <w:r w:rsidRPr="00CC7FB7">
        <w:rPr>
          <w:rFonts w:ascii="Arial" w:hAnsi="Arial" w:cs="Arial"/>
          <w:color w:val="333333"/>
        </w:rPr>
        <w:t>Resta in ogni caso salva la possibilità di adottare la sospensione o altri provvedimenti cautelari nei confronti del dipendente”.</w:t>
      </w:r>
    </w:p>
    <w:p w:rsidR="00F60F71" w:rsidRPr="00CC7FB7" w:rsidRDefault="00F60F71" w:rsidP="00F60F71">
      <w:pPr>
        <w:pStyle w:val="NormaleWeb"/>
        <w:shd w:val="clear" w:color="auto" w:fill="FFFFFF"/>
        <w:spacing w:before="215" w:beforeAutospacing="0" w:after="215" w:afterAutospacing="0"/>
        <w:textAlignment w:val="baseline"/>
        <w:rPr>
          <w:rFonts w:ascii="Arial" w:hAnsi="Arial" w:cs="Arial"/>
          <w:color w:val="333333"/>
        </w:rPr>
      </w:pPr>
      <w:r w:rsidRPr="00CC7FB7">
        <w:rPr>
          <w:rFonts w:ascii="Arial" w:hAnsi="Arial" w:cs="Arial"/>
          <w:color w:val="333333"/>
        </w:rPr>
        <w:t xml:space="preserve">Se vi è assoluzione nel procedimento penale, </w:t>
      </w:r>
      <w:proofErr w:type="spellStart"/>
      <w:r w:rsidRPr="00CC7FB7">
        <w:rPr>
          <w:rFonts w:ascii="Arial" w:hAnsi="Arial" w:cs="Arial"/>
          <w:color w:val="333333"/>
        </w:rPr>
        <w:t>perchè</w:t>
      </w:r>
      <w:proofErr w:type="spellEnd"/>
      <w:r w:rsidRPr="00CC7FB7">
        <w:rPr>
          <w:rFonts w:ascii="Arial" w:hAnsi="Arial" w:cs="Arial"/>
          <w:color w:val="333333"/>
        </w:rPr>
        <w:t xml:space="preserve"> il fatto non sussiste o non costituisce illecito penale o </w:t>
      </w:r>
      <w:proofErr w:type="spellStart"/>
      <w:r w:rsidRPr="00CC7FB7">
        <w:rPr>
          <w:rFonts w:ascii="Arial" w:hAnsi="Arial" w:cs="Arial"/>
          <w:color w:val="333333"/>
        </w:rPr>
        <w:t>perchè</w:t>
      </w:r>
      <w:proofErr w:type="spellEnd"/>
      <w:r w:rsidRPr="00CC7FB7">
        <w:rPr>
          <w:rFonts w:ascii="Arial" w:hAnsi="Arial" w:cs="Arial"/>
          <w:color w:val="333333"/>
        </w:rPr>
        <w:t xml:space="preserve"> il dipendente non lo ha commesso,” l’ufficio competente per i procedimenti disciplinari, ad istanza di parte da proporsi entro sei mesi dall’irrevocabilità della pronuncia penale, riapre il procedimento disciplinare per modificarne o confermarne l’atto conclusivo in relazione all’esito del giudizio penale”.</w:t>
      </w:r>
    </w:p>
    <w:p w:rsidR="00F60F71" w:rsidRPr="00CC7FB7" w:rsidRDefault="00F60F71" w:rsidP="00F60F71">
      <w:pPr>
        <w:pStyle w:val="NormaleWeb"/>
        <w:shd w:val="clear" w:color="auto" w:fill="FFFFFF"/>
        <w:spacing w:before="0" w:beforeAutospacing="0" w:after="0" w:afterAutospacing="0"/>
        <w:textAlignment w:val="baseline"/>
        <w:rPr>
          <w:rFonts w:ascii="Arial" w:hAnsi="Arial" w:cs="Arial"/>
          <w:color w:val="333333"/>
        </w:rPr>
      </w:pPr>
      <w:r w:rsidRPr="00CC7FB7">
        <w:rPr>
          <w:rStyle w:val="Enfasigrassetto"/>
          <w:rFonts w:ascii="Arial" w:hAnsi="Arial" w:cs="Arial"/>
          <w:color w:val="333333"/>
          <w:bdr w:val="none" w:sz="0" w:space="0" w:color="auto" w:frame="1"/>
        </w:rPr>
        <w:t>I casi di licenziamento disciplinare nel pubblico impiego</w:t>
      </w:r>
    </w:p>
    <w:p w:rsidR="00F60F71" w:rsidRPr="00CC7FB7" w:rsidRDefault="00F60F71" w:rsidP="00F60F71">
      <w:pPr>
        <w:pStyle w:val="NormaleWeb"/>
        <w:shd w:val="clear" w:color="auto" w:fill="FFFFFF"/>
        <w:spacing w:before="215" w:beforeAutospacing="0" w:after="215" w:afterAutospacing="0"/>
        <w:textAlignment w:val="baseline"/>
        <w:rPr>
          <w:rFonts w:ascii="Arial" w:hAnsi="Arial" w:cs="Arial"/>
          <w:color w:val="333333"/>
        </w:rPr>
      </w:pPr>
      <w:r w:rsidRPr="00CC7FB7">
        <w:rPr>
          <w:rFonts w:ascii="Arial" w:hAnsi="Arial" w:cs="Arial"/>
          <w:color w:val="333333"/>
        </w:rPr>
        <w:t xml:space="preserve">L’art 55 </w:t>
      </w:r>
      <w:proofErr w:type="spellStart"/>
      <w:r w:rsidRPr="00CC7FB7">
        <w:rPr>
          <w:rFonts w:ascii="Arial" w:hAnsi="Arial" w:cs="Arial"/>
          <w:color w:val="333333"/>
        </w:rPr>
        <w:t>quater</w:t>
      </w:r>
      <w:proofErr w:type="spellEnd"/>
      <w:r w:rsidRPr="00CC7FB7">
        <w:rPr>
          <w:rFonts w:ascii="Arial" w:hAnsi="Arial" w:cs="Arial"/>
          <w:color w:val="333333"/>
        </w:rPr>
        <w:t xml:space="preserve"> (su cui più pesantemente è intervenuta la riforma Madia) prevede i casi di licenziamento disciplinare che sono 10 ipotesi. Alle già esistenti ipotesi di:</w:t>
      </w:r>
    </w:p>
    <w:p w:rsidR="00F60F71" w:rsidRPr="00CC7FB7" w:rsidRDefault="00F60F71" w:rsidP="00F60F71">
      <w:pPr>
        <w:pStyle w:val="NormaleWeb"/>
        <w:numPr>
          <w:ilvl w:val="0"/>
          <w:numId w:val="4"/>
        </w:numPr>
        <w:shd w:val="clear" w:color="auto" w:fill="FFFFFF"/>
        <w:spacing w:before="215" w:beforeAutospacing="0" w:after="215" w:afterAutospacing="0"/>
        <w:textAlignment w:val="baseline"/>
        <w:rPr>
          <w:rFonts w:ascii="Arial" w:hAnsi="Arial" w:cs="Arial"/>
          <w:color w:val="333333"/>
        </w:rPr>
      </w:pPr>
      <w:r w:rsidRPr="00CC7FB7">
        <w:rPr>
          <w:rFonts w:ascii="Arial" w:hAnsi="Arial" w:cs="Arial"/>
          <w:color w:val="333333"/>
        </w:rPr>
        <w:lastRenderedPageBreak/>
        <w:t>assenze ingiustificate per più di tre giorni in un biennio o più di sette giorni in dieci anni;</w:t>
      </w:r>
    </w:p>
    <w:p w:rsidR="00F60F71" w:rsidRPr="00CC7FB7" w:rsidRDefault="00F60F71" w:rsidP="00F60F71">
      <w:pPr>
        <w:pStyle w:val="NormaleWeb"/>
        <w:numPr>
          <w:ilvl w:val="0"/>
          <w:numId w:val="4"/>
        </w:numPr>
        <w:shd w:val="clear" w:color="auto" w:fill="FFFFFF"/>
        <w:spacing w:before="215" w:beforeAutospacing="0" w:after="215" w:afterAutospacing="0"/>
        <w:textAlignment w:val="baseline"/>
        <w:rPr>
          <w:rFonts w:ascii="Arial" w:hAnsi="Arial" w:cs="Arial"/>
          <w:color w:val="333333"/>
        </w:rPr>
      </w:pPr>
      <w:r w:rsidRPr="00CC7FB7">
        <w:rPr>
          <w:rFonts w:ascii="Arial" w:hAnsi="Arial" w:cs="Arial"/>
          <w:color w:val="333333"/>
        </w:rPr>
        <w:t>false timbrature;</w:t>
      </w:r>
    </w:p>
    <w:p w:rsidR="00F60F71" w:rsidRPr="00CC7FB7" w:rsidRDefault="00F60F71" w:rsidP="00F60F71">
      <w:pPr>
        <w:pStyle w:val="NormaleWeb"/>
        <w:numPr>
          <w:ilvl w:val="0"/>
          <w:numId w:val="4"/>
        </w:numPr>
        <w:shd w:val="clear" w:color="auto" w:fill="FFFFFF"/>
        <w:spacing w:before="215" w:beforeAutospacing="0" w:after="215" w:afterAutospacing="0"/>
        <w:textAlignment w:val="baseline"/>
        <w:rPr>
          <w:rFonts w:ascii="Arial" w:hAnsi="Arial" w:cs="Arial"/>
          <w:color w:val="333333"/>
        </w:rPr>
      </w:pPr>
      <w:r w:rsidRPr="00CC7FB7">
        <w:rPr>
          <w:rFonts w:ascii="Arial" w:hAnsi="Arial" w:cs="Arial"/>
          <w:color w:val="333333"/>
        </w:rPr>
        <w:t>ingiustificato rifiuto del trasferimento disposto dall’amministrazione per motivate esigenze di servizio;</w:t>
      </w:r>
    </w:p>
    <w:p w:rsidR="00F60F71" w:rsidRPr="00CC7FB7" w:rsidRDefault="00F60F71" w:rsidP="00F60F71">
      <w:pPr>
        <w:pStyle w:val="NormaleWeb"/>
        <w:numPr>
          <w:ilvl w:val="0"/>
          <w:numId w:val="4"/>
        </w:numPr>
        <w:shd w:val="clear" w:color="auto" w:fill="FFFFFF"/>
        <w:spacing w:before="215" w:beforeAutospacing="0" w:after="215" w:afterAutospacing="0"/>
        <w:textAlignment w:val="baseline"/>
        <w:rPr>
          <w:rFonts w:ascii="Arial" w:hAnsi="Arial" w:cs="Arial"/>
          <w:color w:val="333333"/>
        </w:rPr>
      </w:pPr>
      <w:r w:rsidRPr="00CC7FB7">
        <w:rPr>
          <w:rFonts w:ascii="Arial" w:hAnsi="Arial" w:cs="Arial"/>
          <w:color w:val="333333"/>
        </w:rPr>
        <w:t>false dichiarazioni per ottenere promozioni e posti;</w:t>
      </w:r>
    </w:p>
    <w:p w:rsidR="00F60F71" w:rsidRPr="00CC7FB7" w:rsidRDefault="00F60F71" w:rsidP="00F60F71">
      <w:pPr>
        <w:pStyle w:val="NormaleWeb"/>
        <w:numPr>
          <w:ilvl w:val="0"/>
          <w:numId w:val="4"/>
        </w:numPr>
        <w:shd w:val="clear" w:color="auto" w:fill="FFFFFF"/>
        <w:spacing w:before="215" w:beforeAutospacing="0" w:after="215" w:afterAutospacing="0"/>
        <w:textAlignment w:val="baseline"/>
        <w:rPr>
          <w:rFonts w:ascii="Arial" w:hAnsi="Arial" w:cs="Arial"/>
          <w:color w:val="333333"/>
        </w:rPr>
      </w:pPr>
      <w:r w:rsidRPr="00CC7FB7">
        <w:rPr>
          <w:rFonts w:ascii="Arial" w:hAnsi="Arial" w:cs="Arial"/>
          <w:color w:val="333333"/>
        </w:rPr>
        <w:t>reiterazione nell’ambiente di lavoro di gravi condotte aggressive o moleste o minacciose o ingiuriose o comunque lesive dell’onore e della dignità personale altrui;</w:t>
      </w:r>
    </w:p>
    <w:p w:rsidR="00F60F71" w:rsidRPr="00CC7FB7" w:rsidRDefault="00F60F71" w:rsidP="00F60F71">
      <w:pPr>
        <w:pStyle w:val="NormaleWeb"/>
        <w:numPr>
          <w:ilvl w:val="0"/>
          <w:numId w:val="4"/>
        </w:numPr>
        <w:shd w:val="clear" w:color="auto" w:fill="FFFFFF"/>
        <w:spacing w:before="215" w:beforeAutospacing="0" w:after="215" w:afterAutospacing="0"/>
        <w:textAlignment w:val="baseline"/>
        <w:rPr>
          <w:rFonts w:ascii="Arial" w:hAnsi="Arial" w:cs="Arial"/>
          <w:color w:val="333333"/>
        </w:rPr>
      </w:pPr>
      <w:r w:rsidRPr="00CC7FB7">
        <w:rPr>
          <w:rFonts w:ascii="Arial" w:hAnsi="Arial" w:cs="Arial"/>
          <w:color w:val="333333"/>
        </w:rPr>
        <w:t>condanna penale con l’interdizione perpetua dai pubblici uffici</w:t>
      </w:r>
      <w:r w:rsidRPr="00CC7FB7">
        <w:rPr>
          <w:rFonts w:ascii="Arial" w:hAnsi="Arial" w:cs="Arial"/>
          <w:color w:val="333333"/>
        </w:rPr>
        <w:br/>
      </w:r>
    </w:p>
    <w:p w:rsidR="00F60F71" w:rsidRPr="00CC7FB7" w:rsidRDefault="00F60F71" w:rsidP="00F60F71">
      <w:pPr>
        <w:pStyle w:val="NormaleWeb"/>
        <w:shd w:val="clear" w:color="auto" w:fill="FFFFFF"/>
        <w:spacing w:before="215" w:beforeAutospacing="0" w:after="215" w:afterAutospacing="0"/>
        <w:textAlignment w:val="baseline"/>
        <w:rPr>
          <w:rFonts w:ascii="Arial" w:hAnsi="Arial" w:cs="Arial"/>
          <w:color w:val="333333"/>
        </w:rPr>
      </w:pPr>
      <w:r w:rsidRPr="00CC7FB7">
        <w:rPr>
          <w:rFonts w:ascii="Arial" w:hAnsi="Arial" w:cs="Arial"/>
          <w:color w:val="333333"/>
        </w:rPr>
        <w:t>Si affiancano nuove ipotesi di licenziamento disciplinare date da:</w:t>
      </w:r>
    </w:p>
    <w:p w:rsidR="00F60F71" w:rsidRPr="00CC7FB7" w:rsidRDefault="00F60F71" w:rsidP="00F60F71">
      <w:pPr>
        <w:pStyle w:val="NormaleWeb"/>
        <w:numPr>
          <w:ilvl w:val="0"/>
          <w:numId w:val="5"/>
        </w:numPr>
        <w:shd w:val="clear" w:color="auto" w:fill="FFFFFF"/>
        <w:spacing w:before="215" w:beforeAutospacing="0" w:after="215" w:afterAutospacing="0"/>
        <w:textAlignment w:val="baseline"/>
        <w:rPr>
          <w:rFonts w:ascii="Arial" w:hAnsi="Arial" w:cs="Arial"/>
          <w:color w:val="333333"/>
        </w:rPr>
      </w:pPr>
      <w:r w:rsidRPr="00CC7FB7">
        <w:rPr>
          <w:rFonts w:ascii="Arial" w:hAnsi="Arial" w:cs="Arial"/>
          <w:color w:val="333333"/>
        </w:rPr>
        <w:t>gravi o reiterate violazioni dei codici di comportamento;</w:t>
      </w:r>
    </w:p>
    <w:p w:rsidR="00F60F71" w:rsidRPr="00CC7FB7" w:rsidRDefault="00F60F71" w:rsidP="00F60F71">
      <w:pPr>
        <w:pStyle w:val="NormaleWeb"/>
        <w:numPr>
          <w:ilvl w:val="0"/>
          <w:numId w:val="5"/>
        </w:numPr>
        <w:shd w:val="clear" w:color="auto" w:fill="FFFFFF"/>
        <w:spacing w:before="215" w:beforeAutospacing="0" w:after="215" w:afterAutospacing="0"/>
        <w:textAlignment w:val="baseline"/>
        <w:rPr>
          <w:rFonts w:ascii="Arial" w:hAnsi="Arial" w:cs="Arial"/>
          <w:color w:val="333333"/>
        </w:rPr>
      </w:pPr>
      <w:r w:rsidRPr="00CC7FB7">
        <w:rPr>
          <w:rFonts w:ascii="Arial" w:hAnsi="Arial" w:cs="Arial"/>
          <w:color w:val="333333"/>
        </w:rPr>
        <w:t>commissione dolosa, o gravemente colposa, per i dirigenti circa la mancata attivazione o definizione di procedimenti disciplinari;</w:t>
      </w:r>
    </w:p>
    <w:p w:rsidR="00F60F71" w:rsidRPr="00CC7FB7" w:rsidRDefault="00F60F71" w:rsidP="00F60F71">
      <w:pPr>
        <w:pStyle w:val="NormaleWeb"/>
        <w:numPr>
          <w:ilvl w:val="0"/>
          <w:numId w:val="5"/>
        </w:numPr>
        <w:shd w:val="clear" w:color="auto" w:fill="FFFFFF"/>
        <w:spacing w:before="215" w:beforeAutospacing="0" w:after="215" w:afterAutospacing="0"/>
        <w:textAlignment w:val="baseline"/>
        <w:rPr>
          <w:rFonts w:ascii="Arial" w:hAnsi="Arial" w:cs="Arial"/>
          <w:color w:val="333333"/>
        </w:rPr>
      </w:pPr>
      <w:r w:rsidRPr="00CC7FB7">
        <w:rPr>
          <w:rFonts w:ascii="Arial" w:hAnsi="Arial" w:cs="Arial"/>
          <w:color w:val="333333"/>
        </w:rPr>
        <w:t>la reiterata violazione di obblighi concernenti la prestazione lavorativa, che abbia determinato l’applicazione, in sede disciplinare, della sospensione dal servizio per un periodo complessivo superiore a un anno nell’arco di un biennio;</w:t>
      </w:r>
    </w:p>
    <w:p w:rsidR="00F60F71" w:rsidRPr="00CC7FB7" w:rsidRDefault="00F60F71" w:rsidP="00F60F71">
      <w:pPr>
        <w:pStyle w:val="NormaleWeb"/>
        <w:numPr>
          <w:ilvl w:val="0"/>
          <w:numId w:val="5"/>
        </w:numPr>
        <w:shd w:val="clear" w:color="auto" w:fill="FFFFFF"/>
        <w:spacing w:before="215" w:beforeAutospacing="0" w:after="215" w:afterAutospacing="0"/>
        <w:textAlignment w:val="baseline"/>
        <w:rPr>
          <w:rFonts w:ascii="Arial" w:hAnsi="Arial" w:cs="Arial"/>
          <w:color w:val="333333"/>
        </w:rPr>
      </w:pPr>
      <w:r w:rsidRPr="00CC7FB7">
        <w:rPr>
          <w:rFonts w:ascii="Arial" w:hAnsi="Arial" w:cs="Arial"/>
          <w:color w:val="333333"/>
        </w:rPr>
        <w:t>insufficiente rendimento rilevato dalla reiterata valutazione negativa della performance del dipendente nell’arco dell’ultimo triennio.</w:t>
      </w:r>
    </w:p>
    <w:p w:rsidR="00F60F71" w:rsidRPr="00CC7FB7" w:rsidRDefault="00F60F71" w:rsidP="00F60F71">
      <w:pPr>
        <w:pStyle w:val="NormaleWeb"/>
        <w:numPr>
          <w:ilvl w:val="0"/>
          <w:numId w:val="5"/>
        </w:numPr>
        <w:shd w:val="clear" w:color="auto" w:fill="FFFFFF"/>
        <w:spacing w:before="215" w:beforeAutospacing="0" w:after="215" w:afterAutospacing="0"/>
        <w:textAlignment w:val="baseline"/>
        <w:rPr>
          <w:rFonts w:ascii="Arial" w:hAnsi="Arial" w:cs="Arial"/>
          <w:color w:val="333333"/>
        </w:rPr>
      </w:pPr>
      <w:r w:rsidRPr="00CC7FB7">
        <w:rPr>
          <w:rFonts w:ascii="Arial" w:hAnsi="Arial" w:cs="Arial"/>
          <w:color w:val="333333"/>
        </w:rPr>
        <w:t>Falsa attestazione in servizio</w:t>
      </w:r>
    </w:p>
    <w:p w:rsidR="00F60F71" w:rsidRPr="00CC7FB7" w:rsidRDefault="00F60F71" w:rsidP="00F60F71">
      <w:pPr>
        <w:pStyle w:val="NormaleWeb"/>
        <w:shd w:val="clear" w:color="auto" w:fill="FFFFFF"/>
        <w:spacing w:before="215" w:beforeAutospacing="0" w:after="215" w:afterAutospacing="0"/>
        <w:textAlignment w:val="baseline"/>
        <w:rPr>
          <w:rFonts w:ascii="Arial" w:hAnsi="Arial" w:cs="Arial"/>
          <w:color w:val="333333"/>
        </w:rPr>
      </w:pPr>
      <w:r w:rsidRPr="00CC7FB7">
        <w:rPr>
          <w:rFonts w:ascii="Arial" w:hAnsi="Arial" w:cs="Arial"/>
          <w:color w:val="333333"/>
        </w:rPr>
        <w:t>Il comma 3-bis e seguenti disciplina la procedura per il licenziamento disciplinare a seguito di falsa attestazione in servizio..</w:t>
      </w:r>
    </w:p>
    <w:p w:rsidR="00F60F71" w:rsidRPr="00CC7FB7" w:rsidRDefault="00F60F71" w:rsidP="00F60F71">
      <w:pPr>
        <w:pStyle w:val="NormaleWeb"/>
        <w:shd w:val="clear" w:color="auto" w:fill="FFFFFF"/>
        <w:spacing w:before="215" w:beforeAutospacing="0" w:after="215" w:afterAutospacing="0"/>
        <w:textAlignment w:val="baseline"/>
        <w:rPr>
          <w:rFonts w:ascii="Arial" w:hAnsi="Arial" w:cs="Arial"/>
          <w:color w:val="333333"/>
        </w:rPr>
      </w:pPr>
      <w:r w:rsidRPr="00CC7FB7">
        <w:rPr>
          <w:rFonts w:ascii="Arial" w:hAnsi="Arial" w:cs="Arial"/>
          <w:color w:val="333333"/>
        </w:rPr>
        <w:t xml:space="preserve">L’art 55-quinquies sempre sulla falsa attestazione in servizio prevede una fattispecie </w:t>
      </w:r>
      <w:proofErr w:type="spellStart"/>
      <w:r w:rsidRPr="00CC7FB7">
        <w:rPr>
          <w:rFonts w:ascii="Arial" w:hAnsi="Arial" w:cs="Arial"/>
          <w:color w:val="333333"/>
        </w:rPr>
        <w:t>incriminatrice</w:t>
      </w:r>
      <w:proofErr w:type="spellEnd"/>
      <w:r w:rsidRPr="00CC7FB7">
        <w:rPr>
          <w:rFonts w:ascii="Arial" w:hAnsi="Arial" w:cs="Arial"/>
          <w:color w:val="333333"/>
        </w:rPr>
        <w:t xml:space="preserve"> punita con la reclusione da uno a cinque anni e con la multa da euro 400 ad euro 1.600 per chi, attesta falsamente il servizio mediante alterazione di sistemi di rilevamento della presenza o per chi giustifica l’assenza dal servizio mediante una certificazione medica falsa o falsamente attestante uno stato di malattia.</w:t>
      </w:r>
    </w:p>
    <w:p w:rsidR="00F60F71" w:rsidRPr="00CC7FB7" w:rsidRDefault="00F60F71" w:rsidP="00F60F71">
      <w:pPr>
        <w:pStyle w:val="NormaleWeb"/>
        <w:shd w:val="clear" w:color="auto" w:fill="FFFFFF"/>
        <w:spacing w:before="215" w:beforeAutospacing="0" w:after="215" w:afterAutospacing="0"/>
        <w:textAlignment w:val="baseline"/>
        <w:rPr>
          <w:rFonts w:ascii="Arial" w:hAnsi="Arial" w:cs="Arial"/>
          <w:color w:val="333333"/>
        </w:rPr>
      </w:pPr>
      <w:r w:rsidRPr="00CC7FB7">
        <w:rPr>
          <w:rFonts w:ascii="Arial" w:hAnsi="Arial" w:cs="Arial"/>
          <w:color w:val="333333"/>
        </w:rPr>
        <w:t>La stessa pena si applica al medico e a chiunque altro concorre nella commissione del delitto. In questi casi, inoltre, il lavoratore, è obbligato a risarcire il danno patrimoniale, pari al compenso corrisposto a titolo di retribuzione nei periodi per i quali sia accertata la mancata prestazione, nonché il danno d’immagine.</w:t>
      </w:r>
    </w:p>
    <w:p w:rsidR="00F60F71" w:rsidRPr="00CC7FB7" w:rsidRDefault="00F60F71" w:rsidP="00F60F71">
      <w:pPr>
        <w:shd w:val="clear" w:color="auto" w:fill="FFFFFF"/>
        <w:spacing w:after="301" w:line="240" w:lineRule="auto"/>
        <w:rPr>
          <w:rFonts w:ascii="Arial" w:eastAsia="Times New Roman" w:hAnsi="Arial" w:cs="Arial"/>
          <w:color w:val="444444"/>
          <w:sz w:val="24"/>
          <w:szCs w:val="24"/>
          <w:lang w:eastAsia="it-IT"/>
        </w:rPr>
      </w:pPr>
      <w:r w:rsidRPr="00CC7FB7">
        <w:rPr>
          <w:rFonts w:ascii="Arial" w:eastAsia="Times New Roman" w:hAnsi="Arial" w:cs="Arial"/>
          <w:color w:val="444444"/>
          <w:sz w:val="24"/>
          <w:szCs w:val="24"/>
          <w:lang w:eastAsia="it-IT"/>
        </w:rPr>
        <w:t>E’ infatti oggetto di sanzione disciplinare non solo il caso di alterazione/manomissione del sistema, ma tutti i casi in cui la timbratura, o altro sistema di registrazione della presenza in ufficio, miri a far risultare falsamente che il lavoratore è rimasto in ufficio durante l’intervallo temporale compreso tra le timbrature/registrazioni in entrata ed in uscita.</w:t>
      </w:r>
    </w:p>
    <w:p w:rsidR="00F60F71" w:rsidRPr="00CC7FB7" w:rsidRDefault="00F60F71" w:rsidP="00F60F71">
      <w:pPr>
        <w:spacing w:after="0" w:line="240" w:lineRule="auto"/>
        <w:rPr>
          <w:rFonts w:ascii="Times New Roman" w:eastAsia="Times New Roman" w:hAnsi="Times New Roman" w:cs="Times New Roman"/>
          <w:sz w:val="24"/>
          <w:szCs w:val="24"/>
          <w:lang w:eastAsia="it-IT"/>
        </w:rPr>
      </w:pPr>
      <w:r w:rsidRPr="00CC7FB7">
        <w:rPr>
          <w:rFonts w:ascii="Arial" w:eastAsia="Times New Roman" w:hAnsi="Arial" w:cs="Arial"/>
          <w:color w:val="444444"/>
          <w:sz w:val="24"/>
          <w:szCs w:val="24"/>
          <w:lang w:eastAsia="it-IT"/>
        </w:rPr>
        <w:br/>
      </w:r>
    </w:p>
    <w:p w:rsidR="00F60F71" w:rsidRPr="00CC7FB7" w:rsidRDefault="00F60F71" w:rsidP="00F60F71">
      <w:pPr>
        <w:shd w:val="clear" w:color="auto" w:fill="FFFFFF"/>
        <w:spacing w:after="301" w:line="240" w:lineRule="auto"/>
        <w:rPr>
          <w:rFonts w:ascii="Arial" w:eastAsia="Times New Roman" w:hAnsi="Arial" w:cs="Arial"/>
          <w:color w:val="444444"/>
          <w:sz w:val="24"/>
          <w:szCs w:val="24"/>
          <w:lang w:eastAsia="it-IT"/>
        </w:rPr>
      </w:pPr>
      <w:r w:rsidRPr="00CC7FB7">
        <w:rPr>
          <w:rFonts w:ascii="Arial" w:eastAsia="Times New Roman" w:hAnsi="Arial" w:cs="Arial"/>
          <w:color w:val="444444"/>
          <w:sz w:val="24"/>
          <w:szCs w:val="24"/>
          <w:lang w:eastAsia="it-IT"/>
        </w:rPr>
        <w:lastRenderedPageBreak/>
        <w:t xml:space="preserve">Nella fattispecie (Cass. n. 25750/2016), al lavoratore era stato contestato di avere tratto in inganno il datore di lavoro in ordine all’orario di servizio per essersi allontanato, con inganno, senza alcuna autorizzazione dall’ufficio, a fronte del sistema di rilevazione delle presenze a mezzo “badge” che attestava l’entrata e l’uscita dal lavoro, rispettivamente, alle ore 9,16 ed alle ore 15,46. Entrambe le pronunce di merito avevano escluso che una tale condotta potesse giustificarne il licenziamento, attenendosi al dato letterale dell’articolo 55 </w:t>
      </w:r>
      <w:proofErr w:type="spellStart"/>
      <w:r w:rsidRPr="00CC7FB7">
        <w:rPr>
          <w:rFonts w:ascii="Arial" w:eastAsia="Times New Roman" w:hAnsi="Arial" w:cs="Arial"/>
          <w:color w:val="444444"/>
          <w:sz w:val="24"/>
          <w:szCs w:val="24"/>
          <w:lang w:eastAsia="it-IT"/>
        </w:rPr>
        <w:t>quater</w:t>
      </w:r>
      <w:proofErr w:type="spellEnd"/>
      <w:r w:rsidRPr="00CC7FB7">
        <w:rPr>
          <w:rFonts w:ascii="Arial" w:eastAsia="Times New Roman" w:hAnsi="Arial" w:cs="Arial"/>
          <w:color w:val="444444"/>
          <w:sz w:val="24"/>
          <w:szCs w:val="24"/>
          <w:lang w:eastAsia="it-IT"/>
        </w:rPr>
        <w:t xml:space="preserve"> cit. ante riforma cd. Madia, la quale sanzionava il comportamento fraudolento volto ad alterare e/o manomettere i sistemi di rilevamento della presenza.</w:t>
      </w:r>
      <w:r w:rsidRPr="00CC7FB7">
        <w:rPr>
          <w:rFonts w:ascii="Arial" w:eastAsia="Times New Roman" w:hAnsi="Arial" w:cs="Arial"/>
          <w:color w:val="444444"/>
          <w:sz w:val="24"/>
          <w:szCs w:val="24"/>
          <w:lang w:eastAsia="it-IT"/>
        </w:rPr>
        <w:br/>
        <w:t xml:space="preserve">In cassazione, però, il ricorrente sottolinea che ai sensi dell’art. 55 </w:t>
      </w:r>
      <w:proofErr w:type="spellStart"/>
      <w:r w:rsidRPr="00CC7FB7">
        <w:rPr>
          <w:rFonts w:ascii="Arial" w:eastAsia="Times New Roman" w:hAnsi="Arial" w:cs="Arial"/>
          <w:color w:val="444444"/>
          <w:sz w:val="24"/>
          <w:szCs w:val="24"/>
          <w:lang w:eastAsia="it-IT"/>
        </w:rPr>
        <w:t>quater</w:t>
      </w:r>
      <w:proofErr w:type="spellEnd"/>
      <w:r w:rsidRPr="00CC7FB7">
        <w:rPr>
          <w:rFonts w:ascii="Arial" w:eastAsia="Times New Roman" w:hAnsi="Arial" w:cs="Arial"/>
          <w:color w:val="444444"/>
          <w:sz w:val="24"/>
          <w:szCs w:val="24"/>
          <w:lang w:eastAsia="it-IT"/>
        </w:rPr>
        <w:t xml:space="preserve"> del D. </w:t>
      </w:r>
      <w:proofErr w:type="spellStart"/>
      <w:r w:rsidRPr="00CC7FB7">
        <w:rPr>
          <w:rFonts w:ascii="Arial" w:eastAsia="Times New Roman" w:hAnsi="Arial" w:cs="Arial"/>
          <w:color w:val="444444"/>
          <w:sz w:val="24"/>
          <w:szCs w:val="24"/>
          <w:lang w:eastAsia="it-IT"/>
        </w:rPr>
        <w:t>Lgs</w:t>
      </w:r>
      <w:proofErr w:type="spellEnd"/>
      <w:r w:rsidRPr="00CC7FB7">
        <w:rPr>
          <w:rFonts w:ascii="Arial" w:eastAsia="Times New Roman" w:hAnsi="Arial" w:cs="Arial"/>
          <w:color w:val="444444"/>
          <w:sz w:val="24"/>
          <w:szCs w:val="24"/>
          <w:lang w:eastAsia="it-IT"/>
        </w:rPr>
        <w:t>. 165/2001, l’uso fraudolento delle apparecchiature atte a documentare la presenza sul luogo di lavoro e l’utilizzo alterato di queste ultime non si consuma solo nella commissione di condotte volte ad alterare fisicamente il sistema di rilevazione delle presenze ovvero nel far timbrare il cartellino da altri colleghi, ma anche nell’omessa registrazione dell’uscita dal luogo di lavoro e nella attestazione non veritiera sulla effettiva presenza sul luogo di lavoro.</w:t>
      </w:r>
      <w:r w:rsidRPr="00CC7FB7">
        <w:rPr>
          <w:rFonts w:ascii="Arial" w:eastAsia="Times New Roman" w:hAnsi="Arial" w:cs="Arial"/>
          <w:color w:val="444444"/>
          <w:sz w:val="24"/>
          <w:szCs w:val="24"/>
          <w:lang w:eastAsia="it-IT"/>
        </w:rPr>
        <w:br/>
        <w:t xml:space="preserve">Il motivo è stato considerato fondato, in quanto il citato articolo 55 </w:t>
      </w:r>
      <w:proofErr w:type="spellStart"/>
      <w:r w:rsidRPr="00CC7FB7">
        <w:rPr>
          <w:rFonts w:ascii="Arial" w:eastAsia="Times New Roman" w:hAnsi="Arial" w:cs="Arial"/>
          <w:color w:val="444444"/>
          <w:sz w:val="24"/>
          <w:szCs w:val="24"/>
          <w:lang w:eastAsia="it-IT"/>
        </w:rPr>
        <w:t>quater</w:t>
      </w:r>
      <w:proofErr w:type="spellEnd"/>
      <w:r w:rsidRPr="00CC7FB7">
        <w:rPr>
          <w:rFonts w:ascii="Arial" w:eastAsia="Times New Roman" w:hAnsi="Arial" w:cs="Arial"/>
          <w:color w:val="444444"/>
          <w:sz w:val="24"/>
          <w:szCs w:val="24"/>
          <w:lang w:eastAsia="it-IT"/>
        </w:rPr>
        <w:t xml:space="preserve"> c. 1 lett. a) del D. </w:t>
      </w:r>
      <w:proofErr w:type="spellStart"/>
      <w:r w:rsidRPr="00CC7FB7">
        <w:rPr>
          <w:rFonts w:ascii="Arial" w:eastAsia="Times New Roman" w:hAnsi="Arial" w:cs="Arial"/>
          <w:color w:val="444444"/>
          <w:sz w:val="24"/>
          <w:szCs w:val="24"/>
          <w:lang w:eastAsia="it-IT"/>
        </w:rPr>
        <w:t>Lgs</w:t>
      </w:r>
      <w:proofErr w:type="spellEnd"/>
      <w:r w:rsidRPr="00CC7FB7">
        <w:rPr>
          <w:rFonts w:ascii="Arial" w:eastAsia="Times New Roman" w:hAnsi="Arial" w:cs="Arial"/>
          <w:color w:val="444444"/>
          <w:sz w:val="24"/>
          <w:szCs w:val="24"/>
          <w:lang w:eastAsia="it-IT"/>
        </w:rPr>
        <w:t>. n. 165/2001 sanziona con il licenziamento la falsa attestazione della presenza in servizio, mediante l’alterazione dei sistemi di rilevamento della presenza o con altre modalità fraudolente e la giustificazione dell’assenza dal servizio mediante una certificazione medica falsa o che attesta falsamente uno stato di malattia. La chiara formulazione della disposizione, nonché la sua “</w:t>
      </w:r>
      <w:proofErr w:type="spellStart"/>
      <w:r w:rsidRPr="00CC7FB7">
        <w:rPr>
          <w:rFonts w:ascii="Arial" w:eastAsia="Times New Roman" w:hAnsi="Arial" w:cs="Arial"/>
          <w:color w:val="444444"/>
          <w:sz w:val="24"/>
          <w:szCs w:val="24"/>
          <w:lang w:eastAsia="it-IT"/>
        </w:rPr>
        <w:t>ratio</w:t>
      </w:r>
      <w:proofErr w:type="spellEnd"/>
      <w:r w:rsidRPr="00CC7FB7">
        <w:rPr>
          <w:rFonts w:ascii="Arial" w:eastAsia="Times New Roman" w:hAnsi="Arial" w:cs="Arial"/>
          <w:color w:val="444444"/>
          <w:sz w:val="24"/>
          <w:szCs w:val="24"/>
          <w:lang w:eastAsia="it-IT"/>
        </w:rPr>
        <w:t>” di contrastare i fenomeni di scarsa produttività e di assenteismo, inducono ad affermare che la registrazione effettuata attraverso l’utilizzo del sistema di rilevazione della presenza sul luogo di lavoro è corretta e non falsa solo se nell’intervallo compreso tra le timbrature in entrata ed in uscita il lavoratore è effettivamente presente in ufficio, mentre è falsa e fraudolentemente attestata nei casi in cui miri a far emergere, in contrasto con il vero, che il lavoratore è presente in ufficio dal momento della timbratura in entrata a quello della timbratura in uscita.</w:t>
      </w:r>
      <w:r w:rsidRPr="00CC7FB7">
        <w:rPr>
          <w:rFonts w:ascii="Arial" w:eastAsia="Times New Roman" w:hAnsi="Arial" w:cs="Arial"/>
          <w:color w:val="444444"/>
          <w:sz w:val="24"/>
          <w:szCs w:val="24"/>
          <w:lang w:eastAsia="it-IT"/>
        </w:rPr>
        <w:br/>
        <w:t xml:space="preserve">A conforto dell’esposta ricostruzione, l’art. 3, </w:t>
      </w:r>
      <w:proofErr w:type="spellStart"/>
      <w:r w:rsidRPr="00CC7FB7">
        <w:rPr>
          <w:rFonts w:ascii="Arial" w:eastAsia="Times New Roman" w:hAnsi="Arial" w:cs="Arial"/>
          <w:color w:val="444444"/>
          <w:sz w:val="24"/>
          <w:szCs w:val="24"/>
          <w:lang w:eastAsia="it-IT"/>
        </w:rPr>
        <w:t>co</w:t>
      </w:r>
      <w:proofErr w:type="spellEnd"/>
      <w:r w:rsidRPr="00CC7FB7">
        <w:rPr>
          <w:rFonts w:ascii="Arial" w:eastAsia="Times New Roman" w:hAnsi="Arial" w:cs="Arial"/>
          <w:color w:val="444444"/>
          <w:sz w:val="24"/>
          <w:szCs w:val="24"/>
          <w:lang w:eastAsia="it-IT"/>
        </w:rPr>
        <w:t xml:space="preserve">. 1 del </w:t>
      </w:r>
      <w:proofErr w:type="spellStart"/>
      <w:r w:rsidRPr="00CC7FB7">
        <w:rPr>
          <w:rFonts w:ascii="Arial" w:eastAsia="Times New Roman" w:hAnsi="Arial" w:cs="Arial"/>
          <w:color w:val="444444"/>
          <w:sz w:val="24"/>
          <w:szCs w:val="24"/>
          <w:lang w:eastAsia="it-IT"/>
        </w:rPr>
        <w:t>D.Lgs.</w:t>
      </w:r>
      <w:proofErr w:type="spellEnd"/>
      <w:r w:rsidRPr="00CC7FB7">
        <w:rPr>
          <w:rFonts w:ascii="Arial" w:eastAsia="Times New Roman" w:hAnsi="Arial" w:cs="Arial"/>
          <w:color w:val="444444"/>
          <w:sz w:val="24"/>
          <w:szCs w:val="24"/>
          <w:lang w:eastAsia="it-IT"/>
        </w:rPr>
        <w:t xml:space="preserve"> n. 116/2016 (cd. Riforma Madia) ha introdotto nell’art. 55 </w:t>
      </w:r>
      <w:proofErr w:type="spellStart"/>
      <w:r w:rsidRPr="00CC7FB7">
        <w:rPr>
          <w:rFonts w:ascii="Arial" w:eastAsia="Times New Roman" w:hAnsi="Arial" w:cs="Arial"/>
          <w:color w:val="444444"/>
          <w:sz w:val="24"/>
          <w:szCs w:val="24"/>
          <w:lang w:eastAsia="it-IT"/>
        </w:rPr>
        <w:t>quater</w:t>
      </w:r>
      <w:proofErr w:type="spellEnd"/>
      <w:r w:rsidRPr="00CC7FB7">
        <w:rPr>
          <w:rFonts w:ascii="Arial" w:eastAsia="Times New Roman" w:hAnsi="Arial" w:cs="Arial"/>
          <w:color w:val="444444"/>
          <w:sz w:val="24"/>
          <w:szCs w:val="24"/>
          <w:lang w:eastAsia="it-IT"/>
        </w:rPr>
        <w:t>, il comma 1 bis che dispone “</w:t>
      </w:r>
      <w:r w:rsidRPr="00CC7FB7">
        <w:rPr>
          <w:rFonts w:ascii="Arial" w:eastAsia="Times New Roman" w:hAnsi="Arial" w:cs="Arial"/>
          <w:i/>
          <w:iCs/>
          <w:color w:val="444444"/>
          <w:sz w:val="24"/>
          <w:szCs w:val="24"/>
          <w:lang w:eastAsia="it-IT"/>
        </w:rPr>
        <w:t>costituisce falsa attestazione della presenza in servizio qualunque modalità fraudolenta posta in essere, anche avvalendosi di terzi, per far risultare il dipendente in servizio o trarre in inganno l’amministrazione presso la quale il dipendente presta attività lavorativa circa il rispetto dell’orario di lavoro dello stesso. Della violazione risponde anche chi abbia agevolato con la propria condotta attiva o omissiva la condotta fraudolenta</w:t>
      </w:r>
      <w:r w:rsidRPr="00CC7FB7">
        <w:rPr>
          <w:rFonts w:ascii="Arial" w:eastAsia="Times New Roman" w:hAnsi="Arial" w:cs="Arial"/>
          <w:color w:val="444444"/>
          <w:sz w:val="24"/>
          <w:szCs w:val="24"/>
          <w:lang w:eastAsia="it-IT"/>
        </w:rPr>
        <w:t>“.</w:t>
      </w:r>
      <w:r w:rsidRPr="00CC7FB7">
        <w:rPr>
          <w:rFonts w:ascii="Arial" w:eastAsia="Times New Roman" w:hAnsi="Arial" w:cs="Arial"/>
          <w:color w:val="444444"/>
          <w:sz w:val="24"/>
          <w:szCs w:val="24"/>
          <w:lang w:eastAsia="it-IT"/>
        </w:rPr>
        <w:br/>
        <w:t>Chiaramente I ‘intervento additivo non ha efficacia retroattiva, ma è indiscutibile la potestà del Legislatore di produrre norme chiarificatrici, idonee, sia pure senza vincolare per il passato, ad orientare l’interprete nella lettura di norme preesistenti, in applicazione del principio di unità ed organicità dell’ordinamento giuridico.</w:t>
      </w:r>
      <w:r w:rsidRPr="00CC7FB7">
        <w:rPr>
          <w:rFonts w:ascii="Arial" w:eastAsia="Times New Roman" w:hAnsi="Arial" w:cs="Arial"/>
          <w:color w:val="444444"/>
          <w:sz w:val="24"/>
          <w:szCs w:val="24"/>
          <w:lang w:eastAsia="it-IT"/>
        </w:rPr>
        <w:br/>
        <w:t>Resta fermo – precisa la Cassazione – il principio secondo cui, in questi casi, non esiste alcun automatismo nell’irrogazione di sanzioni disciplinari, permanendo il sindacato giurisdizionale sulla proporzionalità della sanzione rispetto al fatto addebitato. Ciò precisato, va rilevato che non è mai stato contestato che il dipendente, nel giorno oggetto di contestazione, negli intervalli temporali compresi tra le timbrature in ingresso (ore 9,16) e in uscita (15,46), si fosse allontanato dal lavoro senza alcuna autorizzazione e senza che risultasse alcuna timbratura intermedia che attestasse il suo allontanamento dal luogo di lavoro. Non vi sono, pertanto, dubbi sul fatto che, dal punto di vista oggettivo, il comportamento contestato è sussumibile entro la fattispecie astratta prevista dalla disposizione sopra richiamata, nella parte in cui, appunto punisce con il licenziamento la “falsa attestazione della presenza in servizio, mediante l’alterazione dei sistemi di rilevamento della presenza o con altre modalità fraudolente”.</w:t>
      </w:r>
    </w:p>
    <w:p w:rsidR="007D1473" w:rsidRDefault="007D1473"/>
    <w:sectPr w:rsidR="007D1473" w:rsidSect="007D1473">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ato">
    <w:panose1 w:val="020F0502020204030203"/>
    <w:charset w:val="00"/>
    <w:family w:val="swiss"/>
    <w:pitch w:val="variable"/>
    <w:sig w:usb0="800000AF" w:usb1="4000604A" w:usb2="00000000" w:usb3="00000000" w:csb0="00000001" w:csb1="00000000"/>
  </w:font>
  <w:font w:name="inheri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8437D5"/>
    <w:multiLevelType w:val="hybridMultilevel"/>
    <w:tmpl w:val="5B30B9D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5C7C4385"/>
    <w:multiLevelType w:val="hybridMultilevel"/>
    <w:tmpl w:val="10803A4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62AA4CBC"/>
    <w:multiLevelType w:val="multilevel"/>
    <w:tmpl w:val="5A420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657631CB"/>
    <w:multiLevelType w:val="multilevel"/>
    <w:tmpl w:val="CFDE3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7E53129C"/>
    <w:multiLevelType w:val="multilevel"/>
    <w:tmpl w:val="3E9C3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F60F71"/>
    <w:rsid w:val="00110325"/>
    <w:rsid w:val="001C2149"/>
    <w:rsid w:val="0047322A"/>
    <w:rsid w:val="00497C13"/>
    <w:rsid w:val="004E6250"/>
    <w:rsid w:val="007D1473"/>
    <w:rsid w:val="00D90CF9"/>
    <w:rsid w:val="00F60F71"/>
    <w:rsid w:val="00F71338"/>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D147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F60F71"/>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F60F71"/>
    <w:rPr>
      <w:b/>
      <w:bCs/>
    </w:rPr>
  </w:style>
  <w:style w:type="character" w:styleId="Collegamentoipertestuale">
    <w:name w:val="Hyperlink"/>
    <w:basedOn w:val="Carpredefinitoparagrafo"/>
    <w:uiPriority w:val="99"/>
    <w:semiHidden/>
    <w:unhideWhenUsed/>
    <w:rsid w:val="00F60F71"/>
    <w:rPr>
      <w:color w:val="0000FF"/>
      <w:u w:val="single"/>
    </w:rPr>
  </w:style>
</w:styles>
</file>

<file path=word/webSettings.xml><?xml version="1.0" encoding="utf-8"?>
<w:webSettings xmlns:r="http://schemas.openxmlformats.org/officeDocument/2006/relationships" xmlns:w="http://schemas.openxmlformats.org/wordprocessingml/2006/main">
  <w:divs>
    <w:div w:id="865411999">
      <w:bodyDiv w:val="1"/>
      <w:marLeft w:val="0"/>
      <w:marRight w:val="0"/>
      <w:marTop w:val="0"/>
      <w:marBottom w:val="0"/>
      <w:divBdr>
        <w:top w:val="none" w:sz="0" w:space="0" w:color="auto"/>
        <w:left w:val="none" w:sz="0" w:space="0" w:color="auto"/>
        <w:bottom w:val="none" w:sz="0" w:space="0" w:color="auto"/>
        <w:right w:val="none" w:sz="0" w:space="0" w:color="auto"/>
      </w:divBdr>
      <w:divsChild>
        <w:div w:id="7781364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2874</Words>
  <Characters>16387</Characters>
  <Application>Microsoft Office Word</Application>
  <DocSecurity>0</DocSecurity>
  <Lines>136</Lines>
  <Paragraphs>38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2018-04-12T11:54:00Z</dcterms:created>
  <dcterms:modified xsi:type="dcterms:W3CDTF">2018-04-12T11:54:00Z</dcterms:modified>
</cp:coreProperties>
</file>