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7540B" w:rsidRDefault="002D3E35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Le stesse si suddividono in ulteriori 10 interventi di spesa che individuano la tipologia di spesa da effettuare ( ad esempio acquisizione di beni immobili, espropri, acquisti di </w:t>
      </w:r>
      <w:r w:rsidRPr="0037540B">
        <w:rPr>
          <w:rFonts w:ascii="Arial" w:hAnsi="Arial" w:cs="Arial"/>
          <w:sz w:val="24"/>
          <w:szCs w:val="24"/>
        </w:rPr>
        <w:t>beni mobili e attrezzature tecnico- scientifiche, trasferimenti in conto capitale ad altri soggetti)</w:t>
      </w:r>
    </w:p>
    <w:p w:rsidR="00000000" w:rsidRPr="0037540B" w:rsidRDefault="002D3E35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Le spese di investimento previste nel Bilancio </w:t>
      </w:r>
      <w:r>
        <w:rPr>
          <w:rFonts w:ascii="Arial" w:hAnsi="Arial" w:cs="Arial"/>
          <w:sz w:val="24"/>
          <w:szCs w:val="24"/>
        </w:rPr>
        <w:t xml:space="preserve">previsionale </w:t>
      </w:r>
      <w:r w:rsidRPr="0037540B">
        <w:rPr>
          <w:rFonts w:ascii="Arial" w:hAnsi="Arial" w:cs="Arial"/>
          <w:sz w:val="24"/>
          <w:szCs w:val="24"/>
        </w:rPr>
        <w:t>devono essere coerenti con i programmi e gli eventuali progetti del</w:t>
      </w:r>
      <w:r>
        <w:rPr>
          <w:rFonts w:ascii="Arial" w:hAnsi="Arial" w:cs="Arial"/>
          <w:sz w:val="24"/>
          <w:szCs w:val="24"/>
        </w:rPr>
        <w:t xml:space="preserve"> DUP</w:t>
      </w:r>
    </w:p>
    <w:p w:rsidR="005675DB" w:rsidRPr="0037540B" w:rsidRDefault="0037540B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Inoltre, a seconda della tipologia di spesa da realizzare, le stesse devono essere anche indicate nel Programma Triennale delle Opere Pubbliche e nel relativo Elenco Annuale</w:t>
      </w:r>
    </w:p>
    <w:p w:rsidR="00000000" w:rsidRPr="0037540B" w:rsidRDefault="002D3E35" w:rsidP="0037540B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Sono spese di investimento quelle che determinano un inc</w:t>
      </w:r>
      <w:r w:rsidRPr="0037540B">
        <w:rPr>
          <w:rFonts w:ascii="Arial" w:hAnsi="Arial" w:cs="Arial"/>
          <w:sz w:val="24"/>
          <w:szCs w:val="24"/>
        </w:rPr>
        <w:t xml:space="preserve">remento del patrimonio dell’ente e/o azienda di riferimento. Sono spese, pertanto, che intervengono nel processo produttivo e/o </w:t>
      </w:r>
      <w:proofErr w:type="spellStart"/>
      <w:r w:rsidRPr="0037540B">
        <w:rPr>
          <w:rFonts w:ascii="Arial" w:hAnsi="Arial" w:cs="Arial"/>
          <w:sz w:val="24"/>
          <w:szCs w:val="24"/>
        </w:rPr>
        <w:t>erogativo</w:t>
      </w:r>
      <w:proofErr w:type="spellEnd"/>
      <w:r w:rsidRPr="0037540B">
        <w:rPr>
          <w:rFonts w:ascii="Arial" w:hAnsi="Arial" w:cs="Arial"/>
          <w:sz w:val="24"/>
          <w:szCs w:val="24"/>
        </w:rPr>
        <w:t xml:space="preserve"> di un’azienda o di un ente locale per un periodo ripetuto di anni</w:t>
      </w:r>
    </w:p>
    <w:p w:rsidR="00000000" w:rsidRPr="0037540B" w:rsidRDefault="002D3E35" w:rsidP="0037540B">
      <w:pPr>
        <w:rPr>
          <w:rFonts w:ascii="Arial" w:hAnsi="Arial" w:cs="Arial"/>
        </w:rPr>
      </w:pPr>
      <w:r w:rsidRPr="0037540B">
        <w:rPr>
          <w:rFonts w:ascii="Arial" w:eastAsia="+mn-ea" w:hAnsi="Arial" w:cs="Arial"/>
        </w:rPr>
        <w:t>L’art. 199 del TUEL individua le principali fonti d</w:t>
      </w:r>
      <w:r w:rsidRPr="0037540B">
        <w:rPr>
          <w:rFonts w:ascii="Arial" w:eastAsia="+mn-ea" w:hAnsi="Arial" w:cs="Arial"/>
        </w:rPr>
        <w:t xml:space="preserve">i finanziamento degli investimenti. </w:t>
      </w:r>
    </w:p>
    <w:p w:rsidR="0037540B" w:rsidRPr="0037540B" w:rsidRDefault="0037540B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Prima di elencarle, è necessario ricordare che la scelta di quest’ultime va effettuata nell’ottica generale del pareggio complessivo di bilancio e in quella particolare dell’equilibrio di parte corrente e dell’equilibrio di parte degli investimenti</w:t>
      </w:r>
    </w:p>
    <w:p w:rsidR="0037540B" w:rsidRPr="0037540B" w:rsidRDefault="0037540B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ai sensi dell’art. 199 del </w:t>
      </w:r>
      <w:proofErr w:type="spellStart"/>
      <w:r w:rsidRPr="0037540B">
        <w:rPr>
          <w:rFonts w:ascii="Arial" w:hAnsi="Arial" w:cs="Arial"/>
          <w:sz w:val="24"/>
          <w:szCs w:val="24"/>
        </w:rPr>
        <w:t>Tuel</w:t>
      </w:r>
      <w:proofErr w:type="spellEnd"/>
      <w:r w:rsidRPr="0037540B">
        <w:rPr>
          <w:rFonts w:ascii="Arial" w:hAnsi="Arial" w:cs="Arial"/>
          <w:sz w:val="24"/>
          <w:szCs w:val="24"/>
        </w:rPr>
        <w:t xml:space="preserve"> sono fonti di finanziamento degli investimenti:</w:t>
      </w:r>
      <w:r w:rsidRPr="0037540B">
        <w:rPr>
          <w:rFonts w:ascii="Arial" w:hAnsi="Arial" w:cs="Arial"/>
          <w:sz w:val="24"/>
          <w:szCs w:val="24"/>
        </w:rPr>
        <w:br/>
      </w:r>
      <w:r w:rsidRPr="0037540B">
        <w:rPr>
          <w:rFonts w:ascii="Arial" w:hAnsi="Arial" w:cs="Arial"/>
          <w:sz w:val="24"/>
          <w:szCs w:val="24"/>
        </w:rPr>
        <w:br/>
        <w:t xml:space="preserve">a) </w:t>
      </w:r>
      <w:r w:rsidRPr="0037540B">
        <w:rPr>
          <w:rFonts w:ascii="Arial" w:hAnsi="Arial" w:cs="Arial"/>
          <w:i/>
          <w:iCs/>
          <w:sz w:val="24"/>
          <w:szCs w:val="24"/>
        </w:rPr>
        <w:t>Le entrate correnti destinate per legge agli investimenti</w:t>
      </w:r>
      <w:r w:rsidRPr="0037540B">
        <w:rPr>
          <w:rFonts w:ascii="Arial" w:hAnsi="Arial" w:cs="Arial"/>
          <w:sz w:val="24"/>
          <w:szCs w:val="24"/>
        </w:rPr>
        <w:t>. In questa categoria vi rientrano, ad esempio, le risorse relative a funzioni delegate o eventuali fondi comunitari e internazionali.</w:t>
      </w:r>
      <w:r w:rsidRPr="0037540B">
        <w:rPr>
          <w:rFonts w:ascii="Arial" w:hAnsi="Arial" w:cs="Arial"/>
          <w:sz w:val="24"/>
          <w:szCs w:val="24"/>
        </w:rPr>
        <w:br/>
        <w:t>b</w:t>
      </w:r>
      <w:r w:rsidRPr="0037540B">
        <w:rPr>
          <w:rFonts w:ascii="Arial" w:hAnsi="Arial" w:cs="Arial"/>
          <w:i/>
          <w:iCs/>
          <w:sz w:val="24"/>
          <w:szCs w:val="24"/>
        </w:rPr>
        <w:t>)  Gli avanzi di bilancio</w:t>
      </w:r>
      <w:r w:rsidRPr="0037540B">
        <w:rPr>
          <w:rFonts w:ascii="Arial" w:hAnsi="Arial" w:cs="Arial"/>
          <w:sz w:val="24"/>
          <w:szCs w:val="24"/>
        </w:rPr>
        <w:t>, ossia avanzi economici che derivano da un’eccedenza di entrate correnti rispetto alle spese correnti aumentate delle quote capitali di ammortamento dei prestiti</w:t>
      </w:r>
    </w:p>
    <w:p w:rsidR="0037540B" w:rsidRPr="0037540B" w:rsidRDefault="0037540B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c) </w:t>
      </w:r>
      <w:r w:rsidRPr="0037540B">
        <w:rPr>
          <w:rFonts w:ascii="Arial" w:hAnsi="Arial" w:cs="Arial"/>
          <w:i/>
          <w:iCs/>
          <w:sz w:val="24"/>
          <w:szCs w:val="24"/>
        </w:rPr>
        <w:t>Le entrate derivanti dall’alienazione di beni e diritti patrimoniali, riscossioni di crediti, proventi da concessioni edilizie e relative sanzioni</w:t>
      </w:r>
      <w:r w:rsidRPr="0037540B">
        <w:rPr>
          <w:rFonts w:ascii="Arial" w:hAnsi="Arial" w:cs="Arial"/>
          <w:sz w:val="24"/>
          <w:szCs w:val="24"/>
        </w:rPr>
        <w:t xml:space="preserve">. Si tratta di entrate in c/capitale da destinare in via esclusiva al finanziamento degli investimenti. </w:t>
      </w:r>
      <w:r w:rsidRPr="0037540B">
        <w:rPr>
          <w:rFonts w:ascii="Arial" w:hAnsi="Arial" w:cs="Arial"/>
          <w:sz w:val="24"/>
          <w:szCs w:val="24"/>
        </w:rPr>
        <w:br/>
        <w:t>L’unica eccezione è rappresentata dagli oneri di urbanizzazione di cui all’art. 12, L.10/1977 i quali, secondo le disposizioni della finanziaria 2006, possono essere destinati nella misura del 50% al finanziamento di spese correnti.</w:t>
      </w:r>
    </w:p>
    <w:p w:rsidR="0037540B" w:rsidRPr="0037540B" w:rsidRDefault="0037540B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i/>
          <w:iCs/>
          <w:sz w:val="24"/>
          <w:szCs w:val="24"/>
        </w:rPr>
        <w:t xml:space="preserve">d) Le entrate derivanti da trasferimenti in conto capitale dello Stato, delle Regioni, da altri interventi pubblici e privati finalizzati agli investimenti, da interventi finalizzati da parte di organismi comunitari e internazionali. </w:t>
      </w:r>
      <w:r w:rsidRPr="0037540B">
        <w:rPr>
          <w:rFonts w:ascii="Arial" w:hAnsi="Arial" w:cs="Arial"/>
          <w:sz w:val="24"/>
          <w:szCs w:val="24"/>
        </w:rPr>
        <w:t xml:space="preserve">Per i trasferimenti in conto capitale da parte dello Stato, si deve far riferimento al fondo nazionale ordinario, destinato alla realizzazione di opere pubbliche di preminente interesse sociale ed economico e al fondo nazionale speciale destinato al finanziamento di opere pubbliche in aree o per situazioni definite dalla legge statale (c. 9 e 10, art. 149, D. </w:t>
      </w:r>
      <w:proofErr w:type="spellStart"/>
      <w:r w:rsidRPr="0037540B">
        <w:rPr>
          <w:rFonts w:ascii="Arial" w:hAnsi="Arial" w:cs="Arial"/>
          <w:sz w:val="24"/>
          <w:szCs w:val="24"/>
        </w:rPr>
        <w:t>Lgs</w:t>
      </w:r>
      <w:proofErr w:type="spellEnd"/>
      <w:r w:rsidRPr="0037540B">
        <w:rPr>
          <w:rFonts w:ascii="Arial" w:hAnsi="Arial" w:cs="Arial"/>
          <w:sz w:val="24"/>
          <w:szCs w:val="24"/>
        </w:rPr>
        <w:t>. 267/2000)</w:t>
      </w:r>
    </w:p>
    <w:p w:rsidR="0037540B" w:rsidRPr="0037540B" w:rsidRDefault="0037540B" w:rsidP="0037540B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e) </w:t>
      </w:r>
      <w:r w:rsidRPr="0037540B">
        <w:rPr>
          <w:rFonts w:ascii="Arial" w:hAnsi="Arial" w:cs="Arial"/>
          <w:i/>
          <w:iCs/>
          <w:sz w:val="24"/>
          <w:szCs w:val="24"/>
        </w:rPr>
        <w:t>L’Avanzo di amministrazione</w:t>
      </w:r>
      <w:r w:rsidRPr="0037540B">
        <w:rPr>
          <w:rFonts w:ascii="Arial" w:hAnsi="Arial" w:cs="Arial"/>
          <w:sz w:val="24"/>
          <w:szCs w:val="24"/>
        </w:rPr>
        <w:t>, che può essere utilizzato per il finanziamento degli investimenti esclusivamente dopo il suo accertamento, che avviene in sede di approvazione del Rendiconto di esercizio (entro il 30/6 di ogni anno).</w:t>
      </w:r>
    </w:p>
    <w:p w:rsidR="00000000" w:rsidRPr="0037540B" w:rsidRDefault="0037540B" w:rsidP="0037540B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lastRenderedPageBreak/>
        <w:t>E’ destinato al finanziamento degli investimenti la parte dell’avanzo di amministrazione relativo a:</w:t>
      </w:r>
      <w:r w:rsidRPr="0037540B">
        <w:rPr>
          <w:rFonts w:ascii="Arial" w:hAnsi="Arial" w:cs="Arial"/>
          <w:sz w:val="24"/>
          <w:szCs w:val="24"/>
        </w:rPr>
        <w:br/>
        <w:t xml:space="preserve">- fondi per il finanziamento delle spese in c/capitale relativi a fondi da destinare obbligatoriamente al finanziamento degli investimenti </w:t>
      </w:r>
      <w:r w:rsidRPr="0037540B">
        <w:rPr>
          <w:rFonts w:ascii="Arial" w:hAnsi="Arial" w:cs="Arial"/>
          <w:sz w:val="24"/>
          <w:szCs w:val="24"/>
        </w:rPr>
        <w:br/>
        <w:t>- quote libere dell’avanzo di amministrazione da utilizzare a discrezione dell’amministrazione;</w:t>
      </w:r>
      <w:r w:rsidRPr="0037540B">
        <w:rPr>
          <w:rFonts w:ascii="Arial" w:hAnsi="Arial" w:cs="Arial"/>
          <w:sz w:val="24"/>
          <w:szCs w:val="24"/>
        </w:rPr>
        <w:br/>
      </w:r>
      <w:r w:rsidRPr="0037540B">
        <w:rPr>
          <w:rFonts w:ascii="Arial" w:hAnsi="Arial" w:cs="Arial"/>
          <w:sz w:val="24"/>
          <w:szCs w:val="24"/>
        </w:rPr>
        <w:br/>
        <w:t>e infine i Fondi Ammortamento (</w:t>
      </w:r>
      <w:r w:rsidR="002D3E35" w:rsidRPr="0037540B">
        <w:rPr>
          <w:rFonts w:ascii="Arial" w:hAnsi="Arial" w:cs="Arial"/>
          <w:sz w:val="24"/>
          <w:szCs w:val="24"/>
        </w:rPr>
        <w:t>Si tratta di accantonamenti di spesa, determinati nel misura max. del 30% degli ammortamenti stabiliti d</w:t>
      </w:r>
      <w:r w:rsidR="002D3E35" w:rsidRPr="0037540B">
        <w:rPr>
          <w:rFonts w:ascii="Arial" w:hAnsi="Arial" w:cs="Arial"/>
          <w:sz w:val="24"/>
          <w:szCs w:val="24"/>
        </w:rPr>
        <w:t xml:space="preserve">al Codice Civile e dall’art. 229 del D. </w:t>
      </w:r>
      <w:proofErr w:type="spellStart"/>
      <w:r w:rsidR="002D3E35" w:rsidRPr="0037540B">
        <w:rPr>
          <w:rFonts w:ascii="Arial" w:hAnsi="Arial" w:cs="Arial"/>
          <w:sz w:val="24"/>
          <w:szCs w:val="24"/>
        </w:rPr>
        <w:t>Lgs</w:t>
      </w:r>
      <w:proofErr w:type="spellEnd"/>
      <w:r w:rsidR="002D3E35" w:rsidRPr="0037540B">
        <w:rPr>
          <w:rFonts w:ascii="Arial" w:hAnsi="Arial" w:cs="Arial"/>
          <w:sz w:val="24"/>
          <w:szCs w:val="24"/>
        </w:rPr>
        <w:t>. 267/2000. Gli stanziamenti di spesa relativi a questa voce di bilancio, non potendo essere impegnati, determineranno economie di spesa da sostenere per il finanziamento degli investimenti.</w:t>
      </w:r>
      <w:r w:rsidRPr="0037540B">
        <w:rPr>
          <w:rFonts w:ascii="Arial" w:hAnsi="Arial" w:cs="Arial"/>
          <w:sz w:val="24"/>
          <w:szCs w:val="24"/>
        </w:rPr>
        <w:t>)</w:t>
      </w:r>
    </w:p>
    <w:p w:rsidR="0037540B" w:rsidRPr="0037540B" w:rsidRDefault="0037540B" w:rsidP="002D3E35">
      <w:p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f) </w:t>
      </w:r>
      <w:r w:rsidRPr="0037540B">
        <w:rPr>
          <w:rFonts w:ascii="Arial" w:hAnsi="Arial" w:cs="Arial"/>
          <w:i/>
          <w:iCs/>
          <w:sz w:val="24"/>
          <w:szCs w:val="24"/>
        </w:rPr>
        <w:t>I mutui passivi</w:t>
      </w:r>
      <w:r w:rsidRPr="0037540B">
        <w:rPr>
          <w:rFonts w:ascii="Arial" w:hAnsi="Arial" w:cs="Arial"/>
          <w:sz w:val="24"/>
          <w:szCs w:val="24"/>
        </w:rPr>
        <w:t xml:space="preserve">, che costituiscono la principale fonte di finanziamento degli investimenti negli enti locali e che determinano l’indebitamento della struttura dell’Ente. Il D. </w:t>
      </w:r>
      <w:proofErr w:type="spellStart"/>
      <w:r w:rsidRPr="0037540B">
        <w:rPr>
          <w:rFonts w:ascii="Arial" w:hAnsi="Arial" w:cs="Arial"/>
          <w:sz w:val="24"/>
          <w:szCs w:val="24"/>
        </w:rPr>
        <w:t>Lgs</w:t>
      </w:r>
      <w:proofErr w:type="spellEnd"/>
      <w:r w:rsidRPr="0037540B">
        <w:rPr>
          <w:rFonts w:ascii="Arial" w:hAnsi="Arial" w:cs="Arial"/>
          <w:sz w:val="24"/>
          <w:szCs w:val="24"/>
        </w:rPr>
        <w:t>. 267/2000 all’art. 203 e 204 stabilisce condizioni e regole per l’assunzione dei mutui passivi</w:t>
      </w:r>
    </w:p>
    <w:p w:rsidR="0037540B" w:rsidRPr="0037540B" w:rsidRDefault="0037540B" w:rsidP="0037540B">
      <w:pPr>
        <w:ind w:left="360"/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gli enti locali possono contrarre mutui passivi attraverso</w:t>
      </w:r>
    </w:p>
    <w:p w:rsidR="00000000" w:rsidRPr="0037540B" w:rsidRDefault="002D3E35" w:rsidP="0037540B">
      <w:pPr>
        <w:pStyle w:val="Paragrafoelenco"/>
        <w:numPr>
          <w:ilvl w:val="0"/>
          <w:numId w:val="11"/>
        </w:numPr>
        <w:rPr>
          <w:rFonts w:ascii="Arial" w:eastAsiaTheme="minorHAnsi" w:hAnsi="Arial" w:cs="Arial"/>
        </w:rPr>
      </w:pPr>
      <w:r w:rsidRPr="0037540B">
        <w:rPr>
          <w:rFonts w:ascii="Arial" w:eastAsiaTheme="minorHAnsi" w:hAnsi="Arial" w:cs="Arial"/>
        </w:rPr>
        <w:t>La Cassa Depositi e Prestiti Spa;</w:t>
      </w:r>
    </w:p>
    <w:p w:rsidR="00000000" w:rsidRPr="0037540B" w:rsidRDefault="002D3E35" w:rsidP="0037540B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L’Istituto di credito sportivo per il finanziamento di infrastrutture sportive;</w:t>
      </w:r>
    </w:p>
    <w:p w:rsidR="00000000" w:rsidRPr="0037540B" w:rsidRDefault="002D3E35" w:rsidP="0037540B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La BEI (Banca Europea degli Investimenti);</w:t>
      </w:r>
    </w:p>
    <w:p w:rsidR="00000000" w:rsidRPr="0037540B" w:rsidRDefault="002D3E35" w:rsidP="0037540B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Gli Istituti di credito autorizzati all’esercizio delle attività bancarie </w:t>
      </w:r>
    </w:p>
    <w:p w:rsidR="0037540B" w:rsidRPr="0037540B" w:rsidRDefault="0037540B" w:rsidP="0037540B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 xml:space="preserve"> </w:t>
      </w:r>
      <w:r w:rsidRPr="0037540B">
        <w:rPr>
          <w:rFonts w:ascii="Arial" w:hAnsi="Arial" w:cs="Arial"/>
          <w:i/>
          <w:iCs/>
          <w:sz w:val="24"/>
          <w:szCs w:val="24"/>
        </w:rPr>
        <w:t>Altre forme di ricorso al mercato finanziario consentite dalla legge</w:t>
      </w:r>
      <w:r w:rsidRPr="0037540B">
        <w:rPr>
          <w:rFonts w:ascii="Arial" w:hAnsi="Arial" w:cs="Arial"/>
          <w:sz w:val="24"/>
          <w:szCs w:val="24"/>
        </w:rPr>
        <w:t xml:space="preserve">, come i prestiti obbligazionari e le aperture di credito (art. 205 e 205 bis del D. </w:t>
      </w:r>
      <w:proofErr w:type="spellStart"/>
      <w:r w:rsidRPr="0037540B">
        <w:rPr>
          <w:rFonts w:ascii="Arial" w:hAnsi="Arial" w:cs="Arial"/>
          <w:sz w:val="24"/>
          <w:szCs w:val="24"/>
        </w:rPr>
        <w:t>Lgs</w:t>
      </w:r>
      <w:proofErr w:type="spellEnd"/>
      <w:r w:rsidRPr="0037540B">
        <w:rPr>
          <w:rFonts w:ascii="Arial" w:hAnsi="Arial" w:cs="Arial"/>
          <w:sz w:val="24"/>
          <w:szCs w:val="24"/>
        </w:rPr>
        <w:t>. 267/2000) quest’ultime introdotte dalla finanziaria per il 2005 (L. 311/2004</w:t>
      </w:r>
    </w:p>
    <w:p w:rsidR="0037540B" w:rsidRPr="0037540B" w:rsidRDefault="0037540B" w:rsidP="0037540B">
      <w:pPr>
        <w:ind w:left="360"/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I limiti che incontrano per la contrazione di mutui sono i seguenti:</w:t>
      </w:r>
    </w:p>
    <w:p w:rsidR="00000000" w:rsidRPr="0037540B" w:rsidRDefault="002D3E35" w:rsidP="0037540B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37540B">
        <w:rPr>
          <w:rFonts w:ascii="Arial" w:eastAsia="+mn-ea" w:hAnsi="Arial" w:cs="Arial"/>
        </w:rPr>
        <w:t>Avvenuta Approvazione del Bilancio Annuale e Pluriennale di Previsione dell’esercizio in cui si contrae il mutuo;</w:t>
      </w:r>
    </w:p>
    <w:p w:rsidR="00000000" w:rsidRPr="0037540B" w:rsidRDefault="002D3E35" w:rsidP="0037540B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37540B">
        <w:rPr>
          <w:rFonts w:ascii="Arial" w:eastAsia="+mn-ea" w:hAnsi="Arial" w:cs="Arial"/>
        </w:rPr>
        <w:t>Avvenuta Approvazione del Rendiconto d’esercizio relativo al penultimo anno precedente quello in cui avviene la contrazione del mutuo passivo</w:t>
      </w:r>
      <w:r w:rsidRPr="0037540B">
        <w:rPr>
          <w:rFonts w:ascii="Arial" w:eastAsia="+mn-ea" w:hAnsi="Arial" w:cs="Arial"/>
        </w:rPr>
        <w:t>;</w:t>
      </w:r>
    </w:p>
    <w:p w:rsidR="00000000" w:rsidRPr="0037540B" w:rsidRDefault="002D3E35" w:rsidP="0037540B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37540B">
        <w:rPr>
          <w:rFonts w:ascii="Arial" w:eastAsia="+mn-ea" w:hAnsi="Arial" w:cs="Arial"/>
        </w:rPr>
        <w:t>Destinazione vincolata al finanziamento delle spese di investimento (art. 119 della Costituzione) così come definite dall’art. 3, L. 350/2003 (finanziaria 2004);</w:t>
      </w:r>
    </w:p>
    <w:p w:rsidR="00000000" w:rsidRPr="0037540B" w:rsidRDefault="002D3E35" w:rsidP="0037540B">
      <w:pPr>
        <w:pStyle w:val="Paragrafoelenco"/>
        <w:numPr>
          <w:ilvl w:val="0"/>
          <w:numId w:val="8"/>
        </w:numPr>
        <w:rPr>
          <w:rFonts w:ascii="Arial" w:hAnsi="Arial" w:cs="Arial"/>
        </w:rPr>
      </w:pPr>
      <w:r w:rsidRPr="0037540B">
        <w:rPr>
          <w:rFonts w:ascii="Arial" w:eastAsia="+mn-ea" w:hAnsi="Arial" w:cs="Arial"/>
        </w:rPr>
        <w:t xml:space="preserve">Limite di bilancio ex art. 204 del D. </w:t>
      </w:r>
      <w:proofErr w:type="spellStart"/>
      <w:r w:rsidRPr="0037540B">
        <w:rPr>
          <w:rFonts w:ascii="Arial" w:eastAsia="+mn-ea" w:hAnsi="Arial" w:cs="Arial"/>
        </w:rPr>
        <w:t>Lgs</w:t>
      </w:r>
      <w:proofErr w:type="spellEnd"/>
      <w:r w:rsidRPr="0037540B">
        <w:rPr>
          <w:rFonts w:ascii="Arial" w:eastAsia="+mn-ea" w:hAnsi="Arial" w:cs="Arial"/>
        </w:rPr>
        <w:t>. 267/2000</w:t>
      </w:r>
    </w:p>
    <w:p w:rsidR="00000000" w:rsidRPr="0037540B" w:rsidRDefault="002D3E35" w:rsidP="0037540B">
      <w:pPr>
        <w:ind w:left="360"/>
        <w:rPr>
          <w:rFonts w:ascii="Arial" w:hAnsi="Arial" w:cs="Arial"/>
          <w:sz w:val="24"/>
          <w:szCs w:val="24"/>
        </w:rPr>
      </w:pPr>
      <w:r w:rsidRPr="0037540B">
        <w:rPr>
          <w:rFonts w:ascii="Arial" w:hAnsi="Arial" w:cs="Arial"/>
          <w:sz w:val="24"/>
          <w:szCs w:val="24"/>
        </w:rPr>
        <w:t>Uno dei principali limiti all’indebit</w:t>
      </w:r>
      <w:r w:rsidRPr="0037540B">
        <w:rPr>
          <w:rFonts w:ascii="Arial" w:hAnsi="Arial" w:cs="Arial"/>
          <w:sz w:val="24"/>
          <w:szCs w:val="24"/>
        </w:rPr>
        <w:t xml:space="preserve">amento è contenuto nell’art. 204 del D. </w:t>
      </w:r>
      <w:proofErr w:type="spellStart"/>
      <w:r w:rsidRPr="0037540B">
        <w:rPr>
          <w:rFonts w:ascii="Arial" w:hAnsi="Arial" w:cs="Arial"/>
          <w:sz w:val="24"/>
          <w:szCs w:val="24"/>
        </w:rPr>
        <w:t>Lgs</w:t>
      </w:r>
      <w:proofErr w:type="spellEnd"/>
      <w:r w:rsidRPr="0037540B">
        <w:rPr>
          <w:rFonts w:ascii="Arial" w:hAnsi="Arial" w:cs="Arial"/>
          <w:sz w:val="24"/>
          <w:szCs w:val="24"/>
        </w:rPr>
        <w:t xml:space="preserve">. 267/2000 e riguarda sia i mutui passivi che i prestiti obbligazionari e le aperture di credito. </w:t>
      </w:r>
      <w:r w:rsidRPr="0037540B">
        <w:rPr>
          <w:rFonts w:ascii="Arial" w:hAnsi="Arial" w:cs="Arial"/>
          <w:sz w:val="24"/>
          <w:szCs w:val="24"/>
        </w:rPr>
        <w:t>Ai sensi del predetto articolo, l’ente locale può assumere nuovi mutui o accendere ad altre forme di indebitament</w:t>
      </w:r>
      <w:r w:rsidRPr="0037540B">
        <w:rPr>
          <w:rFonts w:ascii="Arial" w:hAnsi="Arial" w:cs="Arial"/>
          <w:sz w:val="24"/>
          <w:szCs w:val="24"/>
        </w:rPr>
        <w:t>o se l’importo annuale degli interessi passivi sommato a quello delle altre forme di indebitamento già contratte al netto dei contributi statali e regionali non supera il 1</w:t>
      </w:r>
      <w:r>
        <w:rPr>
          <w:rFonts w:ascii="Arial" w:hAnsi="Arial" w:cs="Arial"/>
          <w:sz w:val="24"/>
          <w:szCs w:val="24"/>
        </w:rPr>
        <w:t>0</w:t>
      </w:r>
      <w:r w:rsidRPr="0037540B">
        <w:rPr>
          <w:rFonts w:ascii="Arial" w:hAnsi="Arial" w:cs="Arial"/>
          <w:sz w:val="24"/>
          <w:szCs w:val="24"/>
        </w:rPr>
        <w:t>% delle entrate relative ai primi tre titoli.</w:t>
      </w:r>
    </w:p>
    <w:p w:rsidR="0037540B" w:rsidRPr="0037540B" w:rsidRDefault="0037540B" w:rsidP="0037540B">
      <w:pPr>
        <w:ind w:left="360"/>
        <w:rPr>
          <w:rFonts w:ascii="Arial" w:hAnsi="Arial" w:cs="Arial"/>
          <w:sz w:val="24"/>
          <w:szCs w:val="24"/>
        </w:rPr>
      </w:pPr>
    </w:p>
    <w:p w:rsidR="0037540B" w:rsidRPr="0037540B" w:rsidRDefault="0037540B" w:rsidP="0037540B">
      <w:pPr>
        <w:ind w:left="360"/>
        <w:rPr>
          <w:rFonts w:ascii="Arial" w:hAnsi="Arial" w:cs="Arial"/>
          <w:sz w:val="24"/>
          <w:szCs w:val="24"/>
        </w:rPr>
      </w:pPr>
    </w:p>
    <w:p w:rsidR="0037540B" w:rsidRPr="0037540B" w:rsidRDefault="0037540B" w:rsidP="0037540B">
      <w:pPr>
        <w:rPr>
          <w:rFonts w:ascii="Arial" w:hAnsi="Arial" w:cs="Arial"/>
          <w:sz w:val="24"/>
          <w:szCs w:val="24"/>
        </w:rPr>
      </w:pPr>
    </w:p>
    <w:sectPr w:rsidR="0037540B" w:rsidRPr="0037540B" w:rsidSect="00D975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453F1"/>
    <w:multiLevelType w:val="hybridMultilevel"/>
    <w:tmpl w:val="2D789FE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FB3AEC"/>
    <w:multiLevelType w:val="hybridMultilevel"/>
    <w:tmpl w:val="6ADAA192"/>
    <w:lvl w:ilvl="0" w:tplc="CD723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1CF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24A1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DAF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F6F9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4ED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80A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6815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20E3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2CF341E"/>
    <w:multiLevelType w:val="hybridMultilevel"/>
    <w:tmpl w:val="5426CCD2"/>
    <w:lvl w:ilvl="0" w:tplc="4DECD4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C49D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82B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408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EC50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24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82C1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70D8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0C9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AD7603F"/>
    <w:multiLevelType w:val="hybridMultilevel"/>
    <w:tmpl w:val="55ECD4B6"/>
    <w:lvl w:ilvl="0" w:tplc="D65638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F02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C83E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7AE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EEB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26C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F4DF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5EA9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E880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3FC20D7"/>
    <w:multiLevelType w:val="hybridMultilevel"/>
    <w:tmpl w:val="2BA6032A"/>
    <w:lvl w:ilvl="0" w:tplc="A4422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96EB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76AC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3AC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DA03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F6A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4C63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EC3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C00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9A2C7D"/>
    <w:multiLevelType w:val="hybridMultilevel"/>
    <w:tmpl w:val="DB96BE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DA30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12E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260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E07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126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F8F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48D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FE9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76D4714"/>
    <w:multiLevelType w:val="hybridMultilevel"/>
    <w:tmpl w:val="4EEAEB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DA30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12E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260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E073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126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F8F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48D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FE9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6645B8C"/>
    <w:multiLevelType w:val="hybridMultilevel"/>
    <w:tmpl w:val="BED4502A"/>
    <w:lvl w:ilvl="0" w:tplc="DC5C75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4CD3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DEF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5A5A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26A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4015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FA8F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9EC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9A0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FE34C7E"/>
    <w:multiLevelType w:val="hybridMultilevel"/>
    <w:tmpl w:val="A4BE7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573228"/>
    <w:multiLevelType w:val="hybridMultilevel"/>
    <w:tmpl w:val="B9C2F0F2"/>
    <w:lvl w:ilvl="0" w:tplc="99AA7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4A8A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F06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34E4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220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B029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EA5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B8E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2F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FFB279A"/>
    <w:multiLevelType w:val="hybridMultilevel"/>
    <w:tmpl w:val="68C48474"/>
    <w:lvl w:ilvl="0" w:tplc="E3086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026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B06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A8F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58DF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BE7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645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366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549F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3"/>
  </w:num>
  <w:num w:numId="10">
    <w:abstractNumId w:val="2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37540B"/>
    <w:rsid w:val="002D3E35"/>
    <w:rsid w:val="0037540B"/>
    <w:rsid w:val="005E69F5"/>
    <w:rsid w:val="009C6018"/>
    <w:rsid w:val="00D97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755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754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18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78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07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92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3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76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6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6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167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0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466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0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6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35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1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2018-01-01T11:07:00Z</dcterms:created>
  <dcterms:modified xsi:type="dcterms:W3CDTF">2018-01-01T11:26:00Z</dcterms:modified>
</cp:coreProperties>
</file>