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0D9" w:rsidRDefault="00282E38">
      <w:r>
        <w:t xml:space="preserve">ULTIME MODIFICHE LEGGE 241/90 </w:t>
      </w:r>
    </w:p>
    <w:p w:rsidR="00282E38" w:rsidRPr="00282E38" w:rsidRDefault="00282E38" w:rsidP="00282E38">
      <w:pPr>
        <w:shd w:val="clear" w:color="auto" w:fill="FFFFFF"/>
        <w:spacing w:before="100" w:beforeAutospacing="1" w:after="100" w:afterAutospacing="1" w:line="240" w:lineRule="auto"/>
        <w:jc w:val="both"/>
        <w:rPr>
          <w:rFonts w:ascii="Arial" w:eastAsia="Times New Roman" w:hAnsi="Arial" w:cs="Arial"/>
          <w:color w:val="000000"/>
          <w:sz w:val="20"/>
          <w:szCs w:val="20"/>
          <w:lang w:eastAsia="it-IT"/>
        </w:rPr>
      </w:pPr>
      <w:r w:rsidRPr="00282E38">
        <w:rPr>
          <w:rFonts w:ascii="Arial" w:eastAsia="Times New Roman" w:hAnsi="Arial" w:cs="Arial"/>
          <w:color w:val="000000"/>
          <w:sz w:val="20"/>
          <w:szCs w:val="20"/>
          <w:lang w:eastAsia="it-IT"/>
        </w:rPr>
        <w:t>Con la pubblicazione in Gazzetta ufficiale, il 31 luglio scorso è entrata in vigore la legge n. 108/2021, che ha convertito, con modificazioni, il Dl n. 77/2021, noto come decreto “Semplificazioni-</w:t>
      </w:r>
      <w:r w:rsidRPr="00282E38">
        <w:rPr>
          <w:rFonts w:ascii="Arial" w:eastAsia="Times New Roman" w:hAnsi="Arial" w:cs="Arial"/>
          <w:i/>
          <w:iCs/>
          <w:color w:val="000000"/>
          <w:sz w:val="20"/>
          <w:lang w:eastAsia="it-IT"/>
        </w:rPr>
        <w:t>bis</w:t>
      </w:r>
      <w:r w:rsidRPr="00282E38">
        <w:rPr>
          <w:rFonts w:ascii="Arial" w:eastAsia="Times New Roman" w:hAnsi="Arial" w:cs="Arial"/>
          <w:color w:val="000000"/>
          <w:sz w:val="20"/>
          <w:szCs w:val="20"/>
          <w:lang w:eastAsia="it-IT"/>
        </w:rPr>
        <w:t>”. La norma detta disposizioni in materia di </w:t>
      </w:r>
      <w:r w:rsidRPr="00282E38">
        <w:rPr>
          <w:rFonts w:ascii="Arial" w:eastAsia="Times New Roman" w:hAnsi="Arial" w:cs="Arial"/>
          <w:i/>
          <w:iCs/>
          <w:color w:val="000000"/>
          <w:sz w:val="20"/>
          <w:lang w:eastAsia="it-IT"/>
        </w:rPr>
        <w:t>Governance</w:t>
      </w:r>
      <w:r w:rsidRPr="00282E38">
        <w:rPr>
          <w:rFonts w:ascii="Arial" w:eastAsia="Times New Roman" w:hAnsi="Arial" w:cs="Arial"/>
          <w:color w:val="000000"/>
          <w:sz w:val="20"/>
          <w:szCs w:val="20"/>
          <w:lang w:eastAsia="it-IT"/>
        </w:rPr>
        <w:t> del Piano nazionale di ripresa e resilienza (Pnrr) e misure di rafforzamento delle strutture amministrative e di accelerazione e snellimento delle procedure.</w:t>
      </w:r>
      <w:r w:rsidRPr="00282E38">
        <w:rPr>
          <w:rFonts w:ascii="Arial" w:eastAsia="Times New Roman" w:hAnsi="Arial" w:cs="Arial"/>
          <w:color w:val="000000"/>
          <w:sz w:val="20"/>
          <w:szCs w:val="20"/>
          <w:lang w:eastAsia="it-IT"/>
        </w:rPr>
        <w:br/>
        <w:t>Nell’ottica di miglioramento della capacità amministrativa, il provvedimento introduce alcune modifiche alla legge sul procedimento amministrativo (la n. 241/1990), ossia la disciplina generale che si applica a ogni procedimento, salvo deroghe specifiche.</w:t>
      </w:r>
      <w:r w:rsidRPr="00282E38">
        <w:rPr>
          <w:rFonts w:ascii="Arial" w:eastAsia="Times New Roman" w:hAnsi="Arial" w:cs="Arial"/>
          <w:color w:val="000000"/>
          <w:sz w:val="20"/>
          <w:szCs w:val="20"/>
          <w:lang w:eastAsia="it-IT"/>
        </w:rPr>
        <w:br/>
        <w:t>Le importanti novità sono contenute negli articoli 61, 62 e 63 del Dl in questione e riguardano:</w:t>
      </w:r>
    </w:p>
    <w:p w:rsidR="00282E38" w:rsidRPr="00282E38" w:rsidRDefault="00282E38" w:rsidP="00282E38">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it-IT"/>
        </w:rPr>
      </w:pPr>
      <w:r w:rsidRPr="00282E38">
        <w:rPr>
          <w:rFonts w:ascii="Arial" w:eastAsia="Times New Roman" w:hAnsi="Arial" w:cs="Arial"/>
          <w:color w:val="000000"/>
          <w:sz w:val="20"/>
          <w:szCs w:val="20"/>
          <w:lang w:eastAsia="it-IT"/>
        </w:rPr>
        <w:t>il potere sostitutivo in caso di inerzia dell’amministrazione</w:t>
      </w:r>
    </w:p>
    <w:p w:rsidR="00282E38" w:rsidRPr="00282E38" w:rsidRDefault="00282E38" w:rsidP="00282E38">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it-IT"/>
        </w:rPr>
      </w:pPr>
      <w:r w:rsidRPr="00282E38">
        <w:rPr>
          <w:rFonts w:ascii="Arial" w:eastAsia="Times New Roman" w:hAnsi="Arial" w:cs="Arial"/>
          <w:color w:val="000000"/>
          <w:sz w:val="20"/>
          <w:szCs w:val="20"/>
          <w:lang w:eastAsia="it-IT"/>
        </w:rPr>
        <w:t>la disciplina del silenzio assenso</w:t>
      </w:r>
    </w:p>
    <w:p w:rsidR="00282E38" w:rsidRPr="00282E38" w:rsidRDefault="00282E38" w:rsidP="00282E38">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it-IT"/>
        </w:rPr>
      </w:pPr>
      <w:r w:rsidRPr="00282E38">
        <w:rPr>
          <w:rFonts w:ascii="Arial" w:eastAsia="Times New Roman" w:hAnsi="Arial" w:cs="Arial"/>
          <w:color w:val="000000"/>
          <w:sz w:val="20"/>
          <w:szCs w:val="20"/>
          <w:lang w:eastAsia="it-IT"/>
        </w:rPr>
        <w:t>il regime dell’annullamento d’ufficio.</w:t>
      </w:r>
    </w:p>
    <w:p w:rsidR="00282E38" w:rsidRPr="00282E38" w:rsidRDefault="00282E38" w:rsidP="00282E38">
      <w:pPr>
        <w:shd w:val="clear" w:color="auto" w:fill="FFFFFF"/>
        <w:spacing w:before="100" w:beforeAutospacing="1" w:after="100" w:afterAutospacing="1" w:line="240" w:lineRule="auto"/>
        <w:jc w:val="both"/>
        <w:rPr>
          <w:rFonts w:ascii="Arial" w:eastAsia="Times New Roman" w:hAnsi="Arial" w:cs="Arial"/>
          <w:color w:val="000000"/>
          <w:sz w:val="20"/>
          <w:szCs w:val="20"/>
          <w:lang w:eastAsia="it-IT"/>
        </w:rPr>
      </w:pPr>
      <w:r w:rsidRPr="00282E38">
        <w:rPr>
          <w:rFonts w:ascii="Arial" w:eastAsia="Times New Roman" w:hAnsi="Arial" w:cs="Arial"/>
          <w:color w:val="000000"/>
          <w:sz w:val="20"/>
          <w:szCs w:val="20"/>
          <w:lang w:eastAsia="it-IT"/>
        </w:rPr>
        <w:t>Nello specifico, l’</w:t>
      </w:r>
      <w:r>
        <w:rPr>
          <w:rFonts w:ascii="Arial" w:eastAsia="Times New Roman" w:hAnsi="Arial" w:cs="Arial"/>
          <w:color w:val="000000"/>
          <w:sz w:val="20"/>
          <w:szCs w:val="20"/>
          <w:lang w:eastAsia="it-IT"/>
        </w:rPr>
        <w:t>ART 61</w:t>
      </w:r>
      <w:r w:rsidRPr="00282E38">
        <w:rPr>
          <w:rFonts w:ascii="Arial" w:eastAsia="Times New Roman" w:hAnsi="Arial" w:cs="Arial"/>
          <w:color w:val="000000"/>
          <w:sz w:val="20"/>
          <w:szCs w:val="20"/>
          <w:lang w:eastAsia="it-IT"/>
        </w:rPr>
        <w:t> ha modificato i commi 9-</w:t>
      </w:r>
      <w:r w:rsidRPr="00282E38">
        <w:rPr>
          <w:rFonts w:ascii="Arial" w:eastAsia="Times New Roman" w:hAnsi="Arial" w:cs="Arial"/>
          <w:i/>
          <w:iCs/>
          <w:color w:val="000000"/>
          <w:sz w:val="20"/>
          <w:lang w:eastAsia="it-IT"/>
        </w:rPr>
        <w:t>bis</w:t>
      </w:r>
      <w:r w:rsidRPr="00282E38">
        <w:rPr>
          <w:rFonts w:ascii="Arial" w:eastAsia="Times New Roman" w:hAnsi="Arial" w:cs="Arial"/>
          <w:color w:val="000000"/>
          <w:sz w:val="20"/>
          <w:szCs w:val="20"/>
          <w:lang w:eastAsia="it-IT"/>
        </w:rPr>
        <w:t> e 9-</w:t>
      </w:r>
      <w:r w:rsidRPr="00282E38">
        <w:rPr>
          <w:rFonts w:ascii="Arial" w:eastAsia="Times New Roman" w:hAnsi="Arial" w:cs="Arial"/>
          <w:i/>
          <w:iCs/>
          <w:color w:val="000000"/>
          <w:sz w:val="20"/>
          <w:lang w:eastAsia="it-IT"/>
        </w:rPr>
        <w:t>ter</w:t>
      </w:r>
      <w:r w:rsidRPr="00282E38">
        <w:rPr>
          <w:rFonts w:ascii="Arial" w:eastAsia="Times New Roman" w:hAnsi="Arial" w:cs="Arial"/>
          <w:color w:val="000000"/>
          <w:sz w:val="20"/>
          <w:szCs w:val="20"/>
          <w:lang w:eastAsia="it-IT"/>
        </w:rPr>
        <w:t> dell’</w:t>
      </w:r>
      <w:r>
        <w:rPr>
          <w:rFonts w:ascii="Arial" w:eastAsia="Times New Roman" w:hAnsi="Arial" w:cs="Arial"/>
          <w:color w:val="000000"/>
          <w:sz w:val="20"/>
          <w:szCs w:val="20"/>
          <w:lang w:eastAsia="it-IT"/>
        </w:rPr>
        <w:t>ART 2</w:t>
      </w:r>
      <w:r w:rsidRPr="00282E38">
        <w:rPr>
          <w:rFonts w:ascii="Arial" w:eastAsia="Times New Roman" w:hAnsi="Arial" w:cs="Arial"/>
          <w:color w:val="000000"/>
          <w:sz w:val="20"/>
          <w:szCs w:val="20"/>
          <w:lang w:eastAsia="it-IT"/>
        </w:rPr>
        <w:t> della legge n. 241/1990 (conclusione del procedimento) al fine di rafforzare i poteri sostitutivi attivabili in caso di inerzia dell’amministrazione.</w:t>
      </w:r>
      <w:r w:rsidRPr="00282E38">
        <w:rPr>
          <w:rFonts w:ascii="Arial" w:eastAsia="Times New Roman" w:hAnsi="Arial" w:cs="Arial"/>
          <w:color w:val="000000"/>
          <w:sz w:val="20"/>
          <w:szCs w:val="20"/>
          <w:lang w:eastAsia="it-IT"/>
        </w:rPr>
        <w:br/>
      </w:r>
      <w:r w:rsidRPr="00282E38">
        <w:rPr>
          <w:rFonts w:ascii="Arial" w:eastAsia="Times New Roman" w:hAnsi="Arial" w:cs="Arial"/>
          <w:color w:val="000000"/>
          <w:sz w:val="20"/>
          <w:szCs w:val="20"/>
          <w:lang w:eastAsia="it-IT"/>
        </w:rPr>
        <w:br/>
        <w:t>Una prima modifica ha previsto che il </w:t>
      </w:r>
      <w:r w:rsidRPr="00282E38">
        <w:rPr>
          <w:rFonts w:ascii="Arial" w:eastAsia="Times New Roman" w:hAnsi="Arial" w:cs="Arial"/>
          <w:b/>
          <w:bCs/>
          <w:color w:val="000000"/>
          <w:sz w:val="20"/>
          <w:lang w:eastAsia="it-IT"/>
        </w:rPr>
        <w:t>potere sostitutivo </w:t>
      </w:r>
      <w:r w:rsidRPr="00282E38">
        <w:rPr>
          <w:rFonts w:ascii="Arial" w:eastAsia="Times New Roman" w:hAnsi="Arial" w:cs="Arial"/>
          <w:color w:val="000000"/>
          <w:sz w:val="20"/>
          <w:szCs w:val="20"/>
          <w:lang w:eastAsia="it-IT"/>
        </w:rPr>
        <w:t>in caso di inerzia procedimentale della Pa  possa essere attribuito, oltre che a un soggetto nell’ambito delle figure apicali, anche a un’unità organizzativa. In secondo luogo, è stata introdotta la possibilità che l’attivazione del potere sostitutivo possa avvenire anche d’ufficio, oltre che su istanza del privato. Decorso inutilmente il termine per la conclusione del procedimento, il responsabile o l’unità organizzativa cui è attribuito il potere sostitutivo, d’ufficio o su richiesta dell'interessato, può esercitare il suddetto potere sostitutivo e, entro un termine pari alla metà di quello originariamente previsto, concludere il procedimento attraverso le strutture competenti o con la nomina di un commissario.</w:t>
      </w:r>
      <w:r w:rsidRPr="00282E38">
        <w:rPr>
          <w:rFonts w:ascii="Arial" w:eastAsia="Times New Roman" w:hAnsi="Arial" w:cs="Arial"/>
          <w:color w:val="000000"/>
          <w:sz w:val="20"/>
          <w:szCs w:val="20"/>
          <w:lang w:eastAsia="it-IT"/>
        </w:rPr>
        <w:br/>
      </w:r>
      <w:r w:rsidRPr="00282E38">
        <w:rPr>
          <w:rFonts w:ascii="Arial" w:eastAsia="Times New Roman" w:hAnsi="Arial" w:cs="Arial"/>
          <w:color w:val="000000"/>
          <w:sz w:val="20"/>
          <w:szCs w:val="20"/>
          <w:lang w:eastAsia="it-IT"/>
        </w:rPr>
        <w:br/>
        <w:t>L’</w:t>
      </w:r>
      <w:r>
        <w:rPr>
          <w:rFonts w:ascii="Arial" w:eastAsia="Times New Roman" w:hAnsi="Arial" w:cs="Arial"/>
          <w:color w:val="000000"/>
          <w:sz w:val="20"/>
          <w:szCs w:val="20"/>
          <w:lang w:eastAsia="it-IT"/>
        </w:rPr>
        <w:t>ART 62</w:t>
      </w:r>
      <w:r w:rsidRPr="00282E38">
        <w:rPr>
          <w:rFonts w:ascii="Arial" w:eastAsia="Times New Roman" w:hAnsi="Arial" w:cs="Arial"/>
          <w:color w:val="000000"/>
          <w:sz w:val="20"/>
          <w:szCs w:val="20"/>
          <w:lang w:eastAsia="it-IT"/>
        </w:rPr>
        <w:t> è invece intervenuto per consentire la piena operatività e il rafforzamento dell’efficacia sulla disciplina del </w:t>
      </w:r>
      <w:r w:rsidRPr="00282E38">
        <w:rPr>
          <w:rFonts w:ascii="Arial" w:eastAsia="Times New Roman" w:hAnsi="Arial" w:cs="Arial"/>
          <w:b/>
          <w:bCs/>
          <w:color w:val="000000"/>
          <w:sz w:val="20"/>
          <w:lang w:eastAsia="it-IT"/>
        </w:rPr>
        <w:t>silenzio assenso</w:t>
      </w:r>
      <w:r w:rsidRPr="00282E38">
        <w:rPr>
          <w:rFonts w:ascii="Arial" w:eastAsia="Times New Roman" w:hAnsi="Arial" w:cs="Arial"/>
          <w:color w:val="000000"/>
          <w:sz w:val="20"/>
          <w:szCs w:val="20"/>
          <w:lang w:eastAsia="it-IT"/>
        </w:rPr>
        <w:t>, inserendo il comma 2-</w:t>
      </w:r>
      <w:r w:rsidRPr="00282E38">
        <w:rPr>
          <w:rFonts w:ascii="Arial" w:eastAsia="Times New Roman" w:hAnsi="Arial" w:cs="Arial"/>
          <w:i/>
          <w:iCs/>
          <w:color w:val="000000"/>
          <w:sz w:val="20"/>
          <w:lang w:eastAsia="it-IT"/>
        </w:rPr>
        <w:t>bis</w:t>
      </w:r>
      <w:r w:rsidRPr="00282E38">
        <w:rPr>
          <w:rFonts w:ascii="Arial" w:eastAsia="Times New Roman" w:hAnsi="Arial" w:cs="Arial"/>
          <w:color w:val="000000"/>
          <w:sz w:val="20"/>
          <w:szCs w:val="20"/>
          <w:lang w:eastAsia="it-IT"/>
        </w:rPr>
        <w:t> all’</w:t>
      </w:r>
      <w:r>
        <w:rPr>
          <w:rFonts w:ascii="Arial" w:eastAsia="Times New Roman" w:hAnsi="Arial" w:cs="Arial"/>
          <w:color w:val="000000"/>
          <w:sz w:val="20"/>
          <w:szCs w:val="20"/>
          <w:lang w:eastAsia="it-IT"/>
        </w:rPr>
        <w:t>ART 20</w:t>
      </w:r>
      <w:r w:rsidRPr="00282E38">
        <w:rPr>
          <w:rFonts w:ascii="Arial" w:eastAsia="Times New Roman" w:hAnsi="Arial" w:cs="Arial"/>
          <w:color w:val="000000"/>
          <w:sz w:val="20"/>
          <w:szCs w:val="20"/>
          <w:lang w:eastAsia="it-IT"/>
        </w:rPr>
        <w:t> della legge n. 241/1990 al fine di dare garanzia al legittimo affidamento del privato. In particolare, nei casi in cui il silenzio dell'amministrazione equivale a provvedimento di accoglimento, è stato introdotto l’obbligo per l’amministrazione di rilasciare, su richiesta del privato, in via telematica, entro dieci giorni dalla richiesta, un’attestazione circa il decorso dei termini del procedimento e pertanto dell’intervenuto accoglimento della domanda. Decorsi inutilmente i dieci giorni, l’attestazione dell’amministrazione può essere sostituita da una dichiarazione sostitutiva dell’atto di notorietà, sottoscritta dal privato ai sensi dell'</w:t>
      </w:r>
      <w:r>
        <w:rPr>
          <w:rFonts w:ascii="Arial" w:eastAsia="Times New Roman" w:hAnsi="Arial" w:cs="Arial"/>
          <w:color w:val="000000"/>
          <w:sz w:val="20"/>
          <w:szCs w:val="20"/>
          <w:lang w:eastAsia="it-IT"/>
        </w:rPr>
        <w:t>ART 47</w:t>
      </w:r>
      <w:r w:rsidRPr="00282E38">
        <w:rPr>
          <w:rFonts w:ascii="Arial" w:eastAsia="Times New Roman" w:hAnsi="Arial" w:cs="Arial"/>
          <w:color w:val="000000"/>
          <w:sz w:val="20"/>
          <w:szCs w:val="20"/>
          <w:lang w:eastAsia="it-IT"/>
        </w:rPr>
        <w:t> del Dpr n. 445/2000.</w:t>
      </w:r>
    </w:p>
    <w:p w:rsidR="00282E38" w:rsidRPr="00282E38" w:rsidRDefault="00282E38" w:rsidP="00282E38">
      <w:pPr>
        <w:shd w:val="clear" w:color="auto" w:fill="FFFFFF"/>
        <w:spacing w:before="100" w:beforeAutospacing="1" w:after="100" w:afterAutospacing="1" w:line="240" w:lineRule="auto"/>
        <w:jc w:val="both"/>
        <w:rPr>
          <w:rFonts w:ascii="Arial" w:eastAsia="Times New Roman" w:hAnsi="Arial" w:cs="Arial"/>
          <w:color w:val="000000"/>
          <w:sz w:val="20"/>
          <w:szCs w:val="20"/>
          <w:lang w:eastAsia="it-IT"/>
        </w:rPr>
      </w:pPr>
      <w:r w:rsidRPr="00282E38">
        <w:rPr>
          <w:rFonts w:ascii="Arial" w:eastAsia="Times New Roman" w:hAnsi="Arial" w:cs="Arial"/>
          <w:color w:val="000000"/>
          <w:sz w:val="20"/>
          <w:szCs w:val="20"/>
          <w:lang w:eastAsia="it-IT"/>
        </w:rPr>
        <w:t>Infine, l’</w:t>
      </w:r>
      <w:r>
        <w:rPr>
          <w:rFonts w:ascii="Arial" w:eastAsia="Times New Roman" w:hAnsi="Arial" w:cs="Arial"/>
          <w:color w:val="000000"/>
          <w:sz w:val="20"/>
          <w:szCs w:val="20"/>
          <w:lang w:eastAsia="it-IT"/>
        </w:rPr>
        <w:t>ART 63</w:t>
      </w:r>
      <w:r w:rsidRPr="00282E38">
        <w:rPr>
          <w:rFonts w:ascii="Arial" w:eastAsia="Times New Roman" w:hAnsi="Arial" w:cs="Arial"/>
          <w:color w:val="000000"/>
          <w:sz w:val="20"/>
          <w:szCs w:val="20"/>
          <w:lang w:eastAsia="it-IT"/>
        </w:rPr>
        <w:t> ha modificato il comma 1 dell’</w:t>
      </w:r>
      <w:r>
        <w:rPr>
          <w:rFonts w:ascii="Arial" w:eastAsia="Times New Roman" w:hAnsi="Arial" w:cs="Arial"/>
          <w:color w:val="000000"/>
          <w:sz w:val="20"/>
          <w:szCs w:val="20"/>
          <w:lang w:eastAsia="it-IT"/>
        </w:rPr>
        <w:t>ART 21 NONIES</w:t>
      </w:r>
      <w:r w:rsidRPr="00282E38">
        <w:rPr>
          <w:rFonts w:ascii="Arial" w:eastAsia="Times New Roman" w:hAnsi="Arial" w:cs="Arial"/>
          <w:color w:val="000000"/>
          <w:sz w:val="20"/>
          <w:szCs w:val="20"/>
          <w:lang w:eastAsia="it-IT"/>
        </w:rPr>
        <w:t> della legge n. 241/1990 (annullamento d’ufficio) e ha ridotto da diciotto a dodici mesi il termine massimo entro il quale le pubbliche amministrazioni possono esercitare il </w:t>
      </w:r>
      <w:r w:rsidRPr="00282E38">
        <w:rPr>
          <w:rFonts w:ascii="Arial" w:eastAsia="Times New Roman" w:hAnsi="Arial" w:cs="Arial"/>
          <w:b/>
          <w:bCs/>
          <w:color w:val="000000"/>
          <w:sz w:val="20"/>
          <w:lang w:eastAsia="it-IT"/>
        </w:rPr>
        <w:t>potere di autotutela</w:t>
      </w:r>
      <w:r w:rsidRPr="00282E38">
        <w:rPr>
          <w:rFonts w:ascii="Arial" w:eastAsia="Times New Roman" w:hAnsi="Arial" w:cs="Arial"/>
          <w:color w:val="000000"/>
          <w:sz w:val="20"/>
          <w:szCs w:val="20"/>
          <w:lang w:eastAsia="it-IT"/>
        </w:rPr>
        <w:t> e procedere all’annullamento dei provvedimenti amministrativi di autorizzazione o di attribuzione di vantaggi economici.</w:t>
      </w:r>
      <w:r w:rsidRPr="00282E38">
        <w:rPr>
          <w:rFonts w:ascii="Arial" w:eastAsia="Times New Roman" w:hAnsi="Arial" w:cs="Arial"/>
          <w:color w:val="000000"/>
          <w:sz w:val="20"/>
          <w:szCs w:val="20"/>
          <w:lang w:eastAsia="it-IT"/>
        </w:rPr>
        <w:br/>
      </w:r>
      <w:r w:rsidRPr="00282E38">
        <w:rPr>
          <w:rFonts w:ascii="Arial" w:eastAsia="Times New Roman" w:hAnsi="Arial" w:cs="Arial"/>
          <w:color w:val="000000"/>
          <w:sz w:val="20"/>
          <w:szCs w:val="20"/>
          <w:lang w:eastAsia="it-IT"/>
        </w:rPr>
        <w:br/>
        <w:t>L’obiettivo è consentire un più efficace bilanciamento tra la tutela del legittimo affidamento del privato interessato e l’interesse pubblico, per dare certezza ai destinatari di detti provvedimenti in un tempo ragionevole, che viene fissato in dodici mesi. Superato tale termine, la Pa non può più esercitare l’autotutela per annullare i provvedimenti amministrativi illegittimi, a meno che non si tratti di atti conseguiti sulla base di false rappresentazioni dei fatti o di dichiarazioni false o mendaci, per i quali il termine dei dodici mesi non opera (comma 2-</w:t>
      </w:r>
      <w:r w:rsidRPr="00282E38">
        <w:rPr>
          <w:rFonts w:ascii="Arial" w:eastAsia="Times New Roman" w:hAnsi="Arial" w:cs="Arial"/>
          <w:i/>
          <w:iCs/>
          <w:color w:val="000000"/>
          <w:sz w:val="20"/>
          <w:lang w:eastAsia="it-IT"/>
        </w:rPr>
        <w:t>bis</w:t>
      </w:r>
      <w:r w:rsidRPr="00282E38">
        <w:rPr>
          <w:rFonts w:ascii="Arial" w:eastAsia="Times New Roman" w:hAnsi="Arial" w:cs="Arial"/>
          <w:color w:val="000000"/>
          <w:sz w:val="20"/>
          <w:szCs w:val="20"/>
          <w:lang w:eastAsia="it-IT"/>
        </w:rPr>
        <w:t> articolo 21-</w:t>
      </w:r>
      <w:r w:rsidRPr="00282E38">
        <w:rPr>
          <w:rFonts w:ascii="Arial" w:eastAsia="Times New Roman" w:hAnsi="Arial" w:cs="Arial"/>
          <w:i/>
          <w:iCs/>
          <w:color w:val="000000"/>
          <w:sz w:val="20"/>
          <w:lang w:eastAsia="it-IT"/>
        </w:rPr>
        <w:t>nonies</w:t>
      </w:r>
      <w:r w:rsidRPr="00282E38">
        <w:rPr>
          <w:rFonts w:ascii="Arial" w:eastAsia="Times New Roman" w:hAnsi="Arial" w:cs="Arial"/>
          <w:color w:val="000000"/>
          <w:sz w:val="20"/>
          <w:szCs w:val="20"/>
          <w:lang w:eastAsia="it-IT"/>
        </w:rPr>
        <w:t>).</w:t>
      </w:r>
    </w:p>
    <w:p w:rsidR="00282E38" w:rsidRDefault="00282E38"/>
    <w:sectPr w:rsidR="00282E38" w:rsidSect="00D100D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30AA1"/>
    <w:multiLevelType w:val="multilevel"/>
    <w:tmpl w:val="6CF0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282E38"/>
    <w:rsid w:val="00282E38"/>
    <w:rsid w:val="00D100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100D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82E3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2E38"/>
    <w:rPr>
      <w:i/>
      <w:iCs/>
    </w:rPr>
  </w:style>
  <w:style w:type="character" w:styleId="Collegamentoipertestuale">
    <w:name w:val="Hyperlink"/>
    <w:basedOn w:val="Carpredefinitoparagrafo"/>
    <w:uiPriority w:val="99"/>
    <w:semiHidden/>
    <w:unhideWhenUsed/>
    <w:rsid w:val="00282E38"/>
    <w:rPr>
      <w:color w:val="0000FF"/>
      <w:u w:val="single"/>
    </w:rPr>
  </w:style>
  <w:style w:type="character" w:styleId="Enfasigrassetto">
    <w:name w:val="Strong"/>
    <w:basedOn w:val="Carpredefinitoparagrafo"/>
    <w:uiPriority w:val="22"/>
    <w:qFormat/>
    <w:rsid w:val="00282E38"/>
    <w:rPr>
      <w:b/>
      <w:bCs/>
    </w:rPr>
  </w:style>
</w:styles>
</file>

<file path=word/webSettings.xml><?xml version="1.0" encoding="utf-8"?>
<w:webSettings xmlns:r="http://schemas.openxmlformats.org/officeDocument/2006/relationships" xmlns:w="http://schemas.openxmlformats.org/wordprocessingml/2006/main">
  <w:divs>
    <w:div w:id="92526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2021-10-05T14:26:00Z</dcterms:created>
  <dcterms:modified xsi:type="dcterms:W3CDTF">2021-10-05T14:28:00Z</dcterms:modified>
</cp:coreProperties>
</file>