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784" w:rsidRDefault="00C02784" w:rsidP="00115E09">
      <w:pPr>
        <w:pStyle w:val="NormaleWeb"/>
        <w:jc w:val="both"/>
      </w:pPr>
      <w:r>
        <w:t>Le Regioni e gli enti locali di cui all'articolo 2 del decreto legislativo 18 agosto 2000, n. 267 adottano la contabilità finanziaria cui affiancano, ai fini conoscitivi, un sistema di contabilità economico-patrimoniale, garantendo la rilevazione unitaria dei fatti gestionali, sia sotto il profilo finanziario che sotto il profilo economico-patrimoniale.</w:t>
      </w:r>
    </w:p>
    <w:p w:rsidR="00C02784" w:rsidRDefault="00C02784" w:rsidP="00115E09">
      <w:pPr>
        <w:pStyle w:val="NormaleWeb"/>
        <w:jc w:val="both"/>
        <w:rPr>
          <w:rFonts w:ascii="Arial" w:hAnsi="Arial" w:cs="Arial"/>
          <w:b/>
        </w:rPr>
      </w:pPr>
      <w:r w:rsidRPr="00C02784">
        <w:rPr>
          <w:b/>
        </w:rPr>
        <w:t>Commissione per l’armonizzazione degli enti</w:t>
      </w:r>
      <w:r>
        <w:t xml:space="preserve"> territoriali istituita presso il Ministero dell’economia e delle finanze ha il compito di promuovere l’armonizzazione dei sistemi contabili e degli schemi di bilancio degli enti territoriali e dei loro organismi e enti strumentali, esclusi gli enti coinvolti nella gestione della spesa sanitaria finanziata con le risorse destinate al Servizio sanitario nazionale, e di aggiornare gli allegati al titolo primo del presente decreto in relazione al processo evolutivo delle fonti normative che concorrono a costituirne il presupposto e alle esigenze del monitoraggio e del consolidamento dei conti pubblici, nonché del miglioramento della raccordabilità dei conti delle amministrazioni pubbliche con il Sistema europeo dei conti nazionali. La Commissione agisce in reciproco raccordo con l’Osservatorio sulla finanza e la contabilità degli enti locali </w:t>
      </w:r>
    </w:p>
    <w:p w:rsidR="00D72F7E" w:rsidRDefault="00D72F7E" w:rsidP="00115E09">
      <w:pPr>
        <w:pStyle w:val="NormaleWeb"/>
        <w:jc w:val="both"/>
        <w:rPr>
          <w:rFonts w:ascii="Arial" w:hAnsi="Arial" w:cs="Arial"/>
          <w:b/>
        </w:rPr>
      </w:pPr>
      <w:r w:rsidRPr="00D72F7E">
        <w:rPr>
          <w:rFonts w:ascii="Arial" w:hAnsi="Arial" w:cs="Arial"/>
          <w:b/>
        </w:rPr>
        <w:t>Principio di competenza potenziata</w:t>
      </w:r>
    </w:p>
    <w:p w:rsidR="00D72F7E" w:rsidRPr="00C02784" w:rsidRDefault="00D72F7E" w:rsidP="00D72F7E">
      <w:pPr>
        <w:pStyle w:val="NormaleWeb"/>
        <w:jc w:val="both"/>
        <w:rPr>
          <w:rFonts w:ascii="Arial" w:hAnsi="Arial" w:cs="Arial"/>
        </w:rPr>
      </w:pPr>
      <w:r w:rsidRPr="00C02784">
        <w:rPr>
          <w:rFonts w:ascii="Arial" w:hAnsi="Arial" w:cs="Arial"/>
        </w:rPr>
        <w:t xml:space="preserve">Per gli enti che adottano la contabilità finanziaria, il principio della competenza finanziaria, costituisce il criterio di imputazione agli esercizi finanziari delle obbligazioni giuridicamente perfezionate attive e passive (accertamenti e impegni).  </w:t>
      </w:r>
    </w:p>
    <w:p w:rsidR="00D72F7E" w:rsidRPr="00C02784" w:rsidRDefault="00D72F7E" w:rsidP="00D72F7E">
      <w:pPr>
        <w:pStyle w:val="NormaleWeb"/>
        <w:jc w:val="both"/>
        <w:rPr>
          <w:rFonts w:ascii="Arial" w:hAnsi="Arial" w:cs="Arial"/>
        </w:rPr>
      </w:pPr>
      <w:r w:rsidRPr="00C02784">
        <w:rPr>
          <w:rFonts w:ascii="Arial" w:hAnsi="Arial" w:cs="Arial"/>
        </w:rPr>
        <w:t>Prima , nei bilanci degli enti territoriali, le obbligazioni erano imputate all’esercizio finanziario in cui le obbligazioni sorgevano. Questo principio comporta</w:t>
      </w:r>
      <w:r w:rsidR="00D350EB" w:rsidRPr="00C02784">
        <w:rPr>
          <w:rFonts w:ascii="Arial" w:hAnsi="Arial" w:cs="Arial"/>
        </w:rPr>
        <w:t>va</w:t>
      </w:r>
      <w:r w:rsidRPr="00C02784">
        <w:rPr>
          <w:rFonts w:ascii="Arial" w:hAnsi="Arial" w:cs="Arial"/>
        </w:rPr>
        <w:t>:</w:t>
      </w:r>
    </w:p>
    <w:p w:rsidR="00D72F7E" w:rsidRDefault="00D72F7E" w:rsidP="00D72F7E">
      <w:pPr>
        <w:pStyle w:val="NormaleWeb"/>
        <w:numPr>
          <w:ilvl w:val="0"/>
          <w:numId w:val="6"/>
        </w:numPr>
        <w:jc w:val="both"/>
      </w:pPr>
      <w:r>
        <w:t>rilevanza contabile della dimensione temporale (al fine di valorizzare la programmazione);</w:t>
      </w:r>
    </w:p>
    <w:p w:rsidR="00D72F7E" w:rsidRDefault="00D72F7E" w:rsidP="00D72F7E">
      <w:pPr>
        <w:pStyle w:val="NormaleWeb"/>
        <w:numPr>
          <w:ilvl w:val="0"/>
          <w:numId w:val="6"/>
        </w:numPr>
        <w:jc w:val="both"/>
      </w:pPr>
      <w:r>
        <w:t xml:space="preserve">natura autorizzatoria del bilancio pluriennale, (il bilancio di previsione annuale e pluriennale sono stati riuniti in un unico documento); </w:t>
      </w:r>
    </w:p>
    <w:p w:rsidR="00D72F7E" w:rsidRDefault="00D72F7E" w:rsidP="00D72F7E">
      <w:pPr>
        <w:pStyle w:val="NormaleWeb"/>
        <w:numPr>
          <w:ilvl w:val="0"/>
          <w:numId w:val="6"/>
        </w:numPr>
        <w:jc w:val="both"/>
      </w:pPr>
      <w:r>
        <w:t>rilevanza agli equilibri di cassa (ma non è un bilancio di sola cassa);</w:t>
      </w:r>
    </w:p>
    <w:p w:rsidR="00D72F7E" w:rsidRPr="00D72F7E" w:rsidRDefault="00D72F7E" w:rsidP="00D72F7E">
      <w:pPr>
        <w:pStyle w:val="NormaleWeb"/>
        <w:numPr>
          <w:ilvl w:val="0"/>
          <w:numId w:val="6"/>
        </w:numPr>
        <w:jc w:val="both"/>
        <w:rPr>
          <w:rFonts w:ascii="Arial" w:hAnsi="Arial" w:cs="Arial"/>
          <w:b/>
        </w:rPr>
      </w:pPr>
      <w:r>
        <w:t>obbligo della copertura finanziaria, a prescindere dall’esercizio di imputazione della spesa.</w:t>
      </w:r>
    </w:p>
    <w:p w:rsidR="00D72F7E" w:rsidRDefault="00D72F7E" w:rsidP="00D72F7E">
      <w:pPr>
        <w:pStyle w:val="NormaleWeb"/>
        <w:numPr>
          <w:ilvl w:val="0"/>
          <w:numId w:val="6"/>
        </w:numPr>
        <w:jc w:val="both"/>
      </w:pPr>
      <w:r>
        <w:t xml:space="preserve">Le obbligazioni sono registrate solo se formalmente costituite ; </w:t>
      </w:r>
    </w:p>
    <w:p w:rsidR="00D72F7E" w:rsidRDefault="00D72F7E" w:rsidP="00D72F7E">
      <w:pPr>
        <w:pStyle w:val="NormaleWeb"/>
        <w:numPr>
          <w:ilvl w:val="0"/>
          <w:numId w:val="6"/>
        </w:numPr>
        <w:jc w:val="both"/>
      </w:pPr>
      <w:r>
        <w:t xml:space="preserve">Le delibere di spesa o il bando di gara non costituiscono obbligazioni formalmente costituite (si prenotano ma non si impegnano); </w:t>
      </w:r>
    </w:p>
    <w:p w:rsidR="00D72F7E" w:rsidRPr="00D72F7E" w:rsidRDefault="00D72F7E" w:rsidP="00D72F7E">
      <w:pPr>
        <w:pStyle w:val="NormaleWeb"/>
        <w:numPr>
          <w:ilvl w:val="0"/>
          <w:numId w:val="6"/>
        </w:numPr>
        <w:jc w:val="both"/>
        <w:rPr>
          <w:rFonts w:ascii="Arial" w:hAnsi="Arial" w:cs="Arial"/>
          <w:b/>
        </w:rPr>
      </w:pPr>
      <w:r>
        <w:t>L’accertamento e l’impegno si imputano alle scritture di un esercizio sulla base della scadenza dell’obbligazione che costituisce un elemento necessario dell’impegno</w:t>
      </w:r>
    </w:p>
    <w:p w:rsidR="00D72F7E" w:rsidRPr="00D72F7E" w:rsidRDefault="00D72F7E" w:rsidP="00D72F7E">
      <w:pPr>
        <w:pStyle w:val="NormaleWeb"/>
        <w:numPr>
          <w:ilvl w:val="0"/>
          <w:numId w:val="6"/>
        </w:numPr>
        <w:jc w:val="both"/>
        <w:rPr>
          <w:rFonts w:ascii="Arial" w:hAnsi="Arial" w:cs="Arial"/>
          <w:b/>
        </w:rPr>
      </w:pPr>
      <w:r>
        <w:t xml:space="preserve">I residui sono costituiti solo da obbligazioni giuridicamente perfezionate esigibili; </w:t>
      </w:r>
    </w:p>
    <w:p w:rsidR="00D72F7E" w:rsidRPr="00D72F7E" w:rsidRDefault="00D72F7E" w:rsidP="00D72F7E">
      <w:pPr>
        <w:pStyle w:val="NormaleWeb"/>
        <w:numPr>
          <w:ilvl w:val="0"/>
          <w:numId w:val="6"/>
        </w:numPr>
        <w:jc w:val="both"/>
        <w:rPr>
          <w:rFonts w:ascii="Arial" w:hAnsi="Arial" w:cs="Arial"/>
          <w:b/>
        </w:rPr>
      </w:pPr>
      <w:r>
        <w:t xml:space="preserve">le obbligazioni giuridicamente perfezionate non esigibili sono accertate e impegnate con imputazione agli esercizi in cui sono esigibili; </w:t>
      </w:r>
    </w:p>
    <w:p w:rsidR="00D72F7E" w:rsidRPr="00D72F7E" w:rsidRDefault="00D72F7E" w:rsidP="00D72F7E">
      <w:pPr>
        <w:pStyle w:val="NormaleWeb"/>
        <w:numPr>
          <w:ilvl w:val="0"/>
          <w:numId w:val="6"/>
        </w:numPr>
        <w:jc w:val="both"/>
        <w:rPr>
          <w:rFonts w:ascii="Arial" w:hAnsi="Arial" w:cs="Arial"/>
          <w:b/>
        </w:rPr>
      </w:pPr>
      <w:r>
        <w:t>le entrate vincolate e gli accantonamenti contabili costituiscono una componente del risultato di amministrazione (non devono essere impegnati).</w:t>
      </w:r>
    </w:p>
    <w:p w:rsidR="00D72F7E" w:rsidRDefault="00D72F7E" w:rsidP="00D72F7E">
      <w:pPr>
        <w:pStyle w:val="NormaleWeb"/>
        <w:jc w:val="both"/>
      </w:pPr>
      <w:r>
        <w:lastRenderedPageBreak/>
        <w:t>Il fondo pluriennale vincolato: Ø nasce dall’esigenza di applicare il principio della competenza finanziaria potenziata; Ø è costituito da risorse accertate destinate al finanziamento di obbligazioni passive dell’ente già impegnate, ed esigibili in esercizi successivi a quello in cui è accertata l’entrata. Ø rende evidente la distanza temporale intercorrente tra l’acquisizione dei finanziamenti e l’effettivo impiego delle risorse.</w:t>
      </w:r>
    </w:p>
    <w:p w:rsidR="008A24C2" w:rsidRDefault="008A24C2" w:rsidP="00D72F7E">
      <w:pPr>
        <w:pStyle w:val="NormaleWeb"/>
        <w:jc w:val="both"/>
      </w:pPr>
      <w:r>
        <w:t>Il fondo pluriennale vincolato è lo strumento contabile che rileva contabilmente la copertura finanziarie di spese impegnate nel corso dell’esercizio e imputate agli esercizi successivi, costituita da entrate accertate e imputate nel corso del medesimo esercizio in cui è registrato l’impegno, evidenziando la distanza temporale intercorrente tra l’acquisizione delle risorse e il loro effettivo impiego.</w:t>
      </w:r>
    </w:p>
    <w:p w:rsidR="008A24C2" w:rsidRDefault="008A24C2" w:rsidP="00D72F7E">
      <w:pPr>
        <w:pStyle w:val="NormaleWeb"/>
        <w:jc w:val="both"/>
      </w:pPr>
      <w:r>
        <w:t>E’ necessario distinguere il fondo pluriennale vincolato dal risultato di amministarzione (quota vincolata): ØAnche la quota vincolata del risultato di amministrazione è costituita da entrate vincolate, ma trattasi di risorse vincolate a fronte delle quali non è ancora stato assunto alcun impegno. ØIl fondo pluriennale vincolato è costituito da entrate vincolate già spese. ØLa quota vincolata del risultato di amministrazione è costituito da entrate vincolate ancora non spese.</w:t>
      </w:r>
    </w:p>
    <w:p w:rsidR="008A24C2" w:rsidRPr="00D72F7E" w:rsidRDefault="008A24C2" w:rsidP="00D72F7E">
      <w:pPr>
        <w:pStyle w:val="NormaleWeb"/>
        <w:jc w:val="both"/>
        <w:rPr>
          <w:rFonts w:ascii="Arial" w:hAnsi="Arial" w:cs="Arial"/>
          <w:b/>
        </w:rPr>
      </w:pPr>
      <w:r>
        <w:t xml:space="preserve">ØIl fondo pluriennale vincolato è un accantonamento costituito di norma solo da entrate vincolate derivanti da: a) vincoli di legge, b) debiti per il finanziamento di investimenti, c) trasferimenti a destinazione vincolata, d) vincoli stabili dall’ente per entrate straordinarie, non aventi natura ricorrente, accertate e riscosse . ØSolo se costituito in occasione del riaccertamento ordinario o straordinario dei residui, il fondo pluriennale vincolato è formato anche da entrate non vincolate. 2) DEFINIZIONE Nel bilancio di previsione il fondo pluriennale è appostato tra le entrate per un importo corrispondente a quello degli stanziamenti di spesa definitivi dei fondi pluriennali del bilancio di previsione dell’esercizio precedente, a copertura: Ø delle spese impegnate negli esercizi precedenti con imputazione all’esercizio in corso; Ø della quota del fondo che si rinvia agli esercizi successivi, a fronte di spese impegnate negli esercizi precedenti con imputazione agli esercizi successivi a quello di riferimento. </w:t>
      </w:r>
    </w:p>
    <w:p w:rsidR="00D72F7E" w:rsidRDefault="00D72F7E" w:rsidP="00115E09">
      <w:pPr>
        <w:pStyle w:val="NormaleWeb"/>
        <w:jc w:val="both"/>
        <w:rPr>
          <w:rFonts w:ascii="Arial" w:hAnsi="Arial" w:cs="Arial"/>
        </w:rPr>
      </w:pPr>
    </w:p>
    <w:p w:rsidR="00115E09" w:rsidRPr="00152FDB" w:rsidRDefault="00115E09" w:rsidP="00115E09">
      <w:pPr>
        <w:pStyle w:val="NormaleWeb"/>
        <w:jc w:val="both"/>
        <w:rPr>
          <w:rFonts w:ascii="Arial" w:hAnsi="Arial" w:cs="Arial"/>
          <w:color w:val="000000"/>
        </w:rPr>
      </w:pPr>
      <w:r w:rsidRPr="00152FDB">
        <w:rPr>
          <w:rFonts w:ascii="Arial" w:hAnsi="Arial" w:cs="Arial"/>
        </w:rPr>
        <w:t xml:space="preserve">IL PIANO DEI CONTI è stato introdotto dalla legge 196/2009al fine di consentire il consolidamento e monitoraggio in fase di previsione, gestione e rendicontazione dei conti delle amministrazioni pubbliche.  </w:t>
      </w:r>
      <w:r w:rsidRPr="00152FDB">
        <w:rPr>
          <w:rFonts w:ascii="Arial" w:hAnsi="Arial" w:cs="Arial"/>
          <w:color w:val="000000"/>
        </w:rPr>
        <w:t>Il piano dei conti integrato, costituito dall’elenco delle voci del bilancio gestionale finanziario e dei conti economici e patrimoniali, definito in modo da consentire la rilevazione unitaria dei fatti gestionali è unico e obbligatorio per tutte le amministrazioni pubbliche (con i necessari adeguamenti in considerazione delle caratteristiche peculiari dei singoli comparti) e rappresenta la struttura di riferimento per la predisposizione dei documenti contabili e di finanza pubblica.</w:t>
      </w:r>
    </w:p>
    <w:p w:rsidR="00152FDB" w:rsidRPr="00152FDB" w:rsidRDefault="00152FDB" w:rsidP="00115E09">
      <w:pPr>
        <w:pStyle w:val="NormaleWeb"/>
        <w:jc w:val="both"/>
        <w:rPr>
          <w:rFonts w:ascii="Arial" w:hAnsi="Arial" w:cs="Arial"/>
          <w:color w:val="000000"/>
        </w:rPr>
      </w:pPr>
      <w:r w:rsidRPr="00152FDB">
        <w:rPr>
          <w:rFonts w:ascii="Arial" w:hAnsi="Arial" w:cs="Arial"/>
          <w:color w:val="000000"/>
        </w:rPr>
        <w:t>Il piano dei conti rappresenta la struttura di riferimento per la predisposizione dei documenti contabili e di finanza pubblica delle amministrazioni pubbliche</w:t>
      </w:r>
    </w:p>
    <w:p w:rsidR="00115E09" w:rsidRPr="00152FDB" w:rsidRDefault="00115E09" w:rsidP="00115E09">
      <w:pPr>
        <w:pStyle w:val="NormaleWeb"/>
        <w:jc w:val="both"/>
        <w:rPr>
          <w:rFonts w:ascii="Arial" w:hAnsi="Arial" w:cs="Arial"/>
          <w:color w:val="000000"/>
        </w:rPr>
      </w:pPr>
      <w:r w:rsidRPr="00152FDB">
        <w:rPr>
          <w:rFonts w:ascii="Arial" w:hAnsi="Arial" w:cs="Arial"/>
          <w:color w:val="000000"/>
        </w:rPr>
        <w:t>E’ previsto solo per le amministrazioni pubbliche in contabilità finanziaria ed è stato elaborato in funzione delle esigenze del monitoraggio della finanza pubblica.</w:t>
      </w:r>
      <w:r w:rsidRPr="00152FDB">
        <w:rPr>
          <w:rFonts w:ascii="Arial" w:hAnsi="Arial" w:cs="Arial"/>
          <w:color w:val="000000"/>
        </w:rPr>
        <w:br/>
        <w:t>Il livello minimo di articolazione del piano dei conti, ai fini del raccordo con i capitoli e, ove previsti, con gli articoli, è costituito almeno dal quarto livello. Ai fini della gestione gli enti territoriali in contabilità finanziaria fanno riferimento anche al quinto livello del piano dei conti.</w:t>
      </w:r>
    </w:p>
    <w:p w:rsidR="003119C7" w:rsidRPr="00152FDB" w:rsidRDefault="00115E09" w:rsidP="00115E09">
      <w:pPr>
        <w:rPr>
          <w:rFonts w:ascii="Arial" w:hAnsi="Arial" w:cs="Arial"/>
          <w:sz w:val="24"/>
          <w:szCs w:val="24"/>
        </w:rPr>
      </w:pPr>
      <w:r w:rsidRPr="00152FDB">
        <w:rPr>
          <w:rFonts w:ascii="Arial" w:hAnsi="Arial" w:cs="Arial"/>
          <w:sz w:val="24"/>
          <w:szCs w:val="24"/>
        </w:rPr>
        <w:t xml:space="preserve">Art. 4, comma 1, DLgs 91/2011 “Al fine di perseguire la qualità e la trasparenza dei dati di finanza pubblica, nonché il miglioramento della raccordabilità dei conti delle amministrazioni </w:t>
      </w:r>
      <w:r w:rsidRPr="00152FDB">
        <w:rPr>
          <w:rFonts w:ascii="Arial" w:hAnsi="Arial" w:cs="Arial"/>
          <w:sz w:val="24"/>
          <w:szCs w:val="24"/>
        </w:rPr>
        <w:lastRenderedPageBreak/>
        <w:t xml:space="preserve">pubbliche con il sistema europeo dei conti nell'ambito delle rappresentazioni contabili, le amministrazioni pubbliche che utilizzano la contabilità finanziaria, sono tenute ad adottare un comune </w:t>
      </w:r>
      <w:r w:rsidRPr="00152FDB">
        <w:rPr>
          <w:rFonts w:ascii="Arial" w:hAnsi="Arial" w:cs="Arial"/>
          <w:sz w:val="24"/>
          <w:szCs w:val="24"/>
          <w:u w:val="single"/>
        </w:rPr>
        <w:t>piano dei conti integrato</w:t>
      </w:r>
      <w:r w:rsidRPr="00152FDB">
        <w:rPr>
          <w:rFonts w:ascii="Arial" w:hAnsi="Arial" w:cs="Arial"/>
          <w:sz w:val="24"/>
          <w:szCs w:val="24"/>
        </w:rPr>
        <w:t>, costituito da conti che rilevano le entrate e le spese in termini di contabilità finanziaria e da conti economicopatrimoniali redatto secondo comuni criteri di contabilizzazione”</w:t>
      </w:r>
    </w:p>
    <w:p w:rsidR="00844A07" w:rsidRPr="00152FDB" w:rsidRDefault="00844A07" w:rsidP="00115E09">
      <w:pPr>
        <w:rPr>
          <w:rFonts w:ascii="Arial" w:hAnsi="Arial" w:cs="Arial"/>
          <w:sz w:val="24"/>
          <w:szCs w:val="24"/>
        </w:rPr>
      </w:pPr>
      <w:r w:rsidRPr="00152FDB">
        <w:rPr>
          <w:rFonts w:ascii="Arial" w:hAnsi="Arial" w:cs="Arial"/>
          <w:sz w:val="24"/>
          <w:szCs w:val="24"/>
        </w:rPr>
        <w:t>Art. 4, comma 5, DLgs 91/2011 – “Piano dei conti integrato”: Il piano dei conti di cui al comma 1, strutturato gerarchicamente secondo vari livelli di dettaglio, individua gli elementi di base secondo cui articolare le rilevazioni contabili assicurate dalle amministrazioni, ai fini del consolidamento e del monitoraggio, nelle fasi di previsione, gestione e rendicontazione dei conti delle amministrazioni pubbliche, ed in conformità con quanto stabilito dal comma 3” .</w:t>
      </w:r>
    </w:p>
    <w:p w:rsidR="00844A07" w:rsidRPr="00152FDB" w:rsidRDefault="00844A07" w:rsidP="00115E09">
      <w:pPr>
        <w:rPr>
          <w:rFonts w:ascii="Arial" w:hAnsi="Arial" w:cs="Arial"/>
          <w:sz w:val="24"/>
          <w:szCs w:val="24"/>
        </w:rPr>
      </w:pPr>
      <w:r w:rsidRPr="00152FDB">
        <w:rPr>
          <w:rFonts w:ascii="Arial" w:hAnsi="Arial" w:cs="Arial"/>
          <w:sz w:val="24"/>
          <w:szCs w:val="24"/>
        </w:rPr>
        <w:t>Art. 4, comma 7, DLgs 91/2011 - Piano dei conti integrato: “Le amministrazioni pubbliche, in relazione alla specificità delle proprie attività istituzionali, definiscono gli ulteriori livelli gerarchici utili alla rilevazione di ciascuna risorsa, ottimizzandone la struttura in funzione delle proprie finalità, fermo restando la riconducibilità delle voci alle aggregazioni previste dal piano dei conti di cui ai commi 3 e 5”.</w:t>
      </w:r>
    </w:p>
    <w:p w:rsidR="00844A07" w:rsidRPr="00152FDB" w:rsidRDefault="00844A07" w:rsidP="00115E09">
      <w:pPr>
        <w:rPr>
          <w:rFonts w:ascii="Arial" w:hAnsi="Arial" w:cs="Arial"/>
          <w:sz w:val="24"/>
          <w:szCs w:val="24"/>
        </w:rPr>
      </w:pPr>
      <w:r w:rsidRPr="00152FDB">
        <w:rPr>
          <w:rFonts w:ascii="Arial" w:hAnsi="Arial" w:cs="Arial"/>
          <w:sz w:val="24"/>
          <w:szCs w:val="24"/>
        </w:rPr>
        <w:t>In conformità a quanto disposto dall’art. 4, co. 3 del Decreto legislativo 31 maggio 2011, n. 91, è stato emanato: il DPR 4 ottobre 2013, n. 132 recante regolamento concernente le modalità di adozione del piano dei conti integrato della Amministrazioni pubbliche.</w:t>
      </w:r>
    </w:p>
    <w:p w:rsidR="00844A07" w:rsidRPr="00152FDB" w:rsidRDefault="00844A07" w:rsidP="00115E09">
      <w:pPr>
        <w:rPr>
          <w:rFonts w:ascii="Arial" w:hAnsi="Arial" w:cs="Arial"/>
          <w:sz w:val="24"/>
          <w:szCs w:val="24"/>
        </w:rPr>
      </w:pPr>
      <w:r w:rsidRPr="00152FDB">
        <w:rPr>
          <w:rFonts w:ascii="Arial" w:hAnsi="Arial" w:cs="Arial"/>
          <w:sz w:val="24"/>
          <w:szCs w:val="24"/>
        </w:rPr>
        <w:t>Art. 5, DLgs 91/2011 - Finalità del piano dei conti: “a)l'armonizzazione dei sistemi contabili delle amministrazioni pubbliche, [..]; b)l'integrazione e la coerenza tra le rilevazioni contabili di natura finanziaria e quelle di natura economica; c)il consolidamento nelle fasi di previsione, gestione e rendicontazione delle entrate, delle spese, dei costi e dei ricavi, nonché' il monitoraggio in corso d'anno degli andamenti di finanza pubblica delle amministrazioni pubbliche, anche secondo l'articolazione nei sottosettori delle amministrazioni centrali, degli enti di previdenza e delle amministrazioni locali, in coordinamento con quanto previsto all'articolo 2, comma 2, lettera h), dalla legge 5 maggio 2009, n. 42, e successive modificazioni</w:t>
      </w:r>
    </w:p>
    <w:p w:rsidR="001B3872" w:rsidRPr="00152FDB" w:rsidRDefault="001B3872" w:rsidP="00115E09">
      <w:pPr>
        <w:rPr>
          <w:rFonts w:ascii="Arial" w:hAnsi="Arial" w:cs="Arial"/>
          <w:sz w:val="24"/>
          <w:szCs w:val="24"/>
        </w:rPr>
      </w:pPr>
      <w:r w:rsidRPr="00152FDB">
        <w:rPr>
          <w:rFonts w:ascii="Arial" w:hAnsi="Arial" w:cs="Arial"/>
          <w:sz w:val="24"/>
          <w:szCs w:val="24"/>
        </w:rPr>
        <w:t xml:space="preserve">Art. 7, comma 2, DLgs 91/2011 - Piano dei conti e struttura dei documenti contabili: “Ciascuna voce del piano dei conti deve corrispondere in maniera univoca ad una unità elementare di bilancio finanziario. Nel caso in cui non sia corrispondente all'articolazione minima del piano, l'unità elementare di bilancio deve essere strutturata secondo l'articolazione che consenta la costruzione degli allegati e degli schemi di cui ai commi 3 e 4 del presente articolo, con il dettaglio richiesto per il monitoraggio ed il consolidamento dei dati di finanza pubblica”. </w:t>
      </w:r>
    </w:p>
    <w:p w:rsidR="001B3872" w:rsidRPr="00152FDB" w:rsidRDefault="001B3872" w:rsidP="00115E09">
      <w:pPr>
        <w:rPr>
          <w:rFonts w:ascii="Arial" w:hAnsi="Arial" w:cs="Arial"/>
          <w:sz w:val="24"/>
          <w:szCs w:val="24"/>
        </w:rPr>
      </w:pPr>
      <w:r w:rsidRPr="00152FDB">
        <w:rPr>
          <w:rFonts w:ascii="Arial" w:hAnsi="Arial" w:cs="Arial"/>
          <w:sz w:val="24"/>
          <w:szCs w:val="24"/>
        </w:rPr>
        <w:t>Le codifiche SIOPE degli enti in contabilità civilistica sono aggiornate in considerazione della struttura del piano dei conti integrato degli enti in contabilità finanziaria.</w:t>
      </w:r>
    </w:p>
    <w:p w:rsidR="00152FDB" w:rsidRPr="00152FDB" w:rsidRDefault="00152FDB" w:rsidP="00115E09">
      <w:pPr>
        <w:rPr>
          <w:rFonts w:ascii="Arial" w:hAnsi="Arial" w:cs="Arial"/>
          <w:sz w:val="24"/>
          <w:szCs w:val="24"/>
        </w:rPr>
      </w:pPr>
      <w:r w:rsidRPr="00152FDB">
        <w:rPr>
          <w:rFonts w:ascii="Arial" w:hAnsi="Arial" w:cs="Arial"/>
          <w:sz w:val="24"/>
          <w:szCs w:val="24"/>
        </w:rPr>
        <w:t xml:space="preserve">Gli enti territoriali quindi hanno l’obbligo di adottare i comuni schemi di bilancio previsti dall’art. 11 e il piano dei conti. </w:t>
      </w:r>
    </w:p>
    <w:sectPr w:rsidR="00152FDB" w:rsidRPr="00152FDB" w:rsidSect="007B795E">
      <w:footerReference w:type="default" r:id="rId8"/>
      <w:type w:val="continuous"/>
      <w:pgSz w:w="12240" w:h="15840"/>
      <w:pgMar w:top="964" w:right="1021" w:bottom="964" w:left="1021" w:header="720" w:footer="72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3D21" w:rsidRDefault="00CF3D21" w:rsidP="00FE6F7B">
      <w:pPr>
        <w:spacing w:after="0" w:line="240" w:lineRule="auto"/>
      </w:pPr>
      <w:r>
        <w:separator/>
      </w:r>
    </w:p>
  </w:endnote>
  <w:endnote w:type="continuationSeparator" w:id="0">
    <w:p w:rsidR="00CF3D21" w:rsidRDefault="00CF3D21" w:rsidP="00FE6F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F7B" w:rsidRPr="00FE6F7B" w:rsidRDefault="00FB4D06" w:rsidP="00FE6F7B">
    <w:pPr>
      <w:pStyle w:val="Pidipagina"/>
      <w:jc w:val="center"/>
      <w:rPr>
        <w:caps/>
        <w:color w:val="4F81BD"/>
      </w:rPr>
    </w:pPr>
    <w:r w:rsidRPr="00FE6F7B">
      <w:rPr>
        <w:caps/>
        <w:color w:val="4F81BD"/>
      </w:rPr>
      <w:fldChar w:fldCharType="begin"/>
    </w:r>
    <w:r w:rsidR="00FE6F7B" w:rsidRPr="00FE6F7B">
      <w:rPr>
        <w:caps/>
        <w:color w:val="4F81BD"/>
      </w:rPr>
      <w:instrText>PAGE   \* MERGEFORMAT</w:instrText>
    </w:r>
    <w:r w:rsidRPr="00FE6F7B">
      <w:rPr>
        <w:caps/>
        <w:color w:val="4F81BD"/>
      </w:rPr>
      <w:fldChar w:fldCharType="separate"/>
    </w:r>
    <w:r w:rsidR="00C02784">
      <w:rPr>
        <w:caps/>
        <w:noProof/>
        <w:color w:val="4F81BD"/>
      </w:rPr>
      <w:t>1</w:t>
    </w:r>
    <w:r w:rsidRPr="00FE6F7B">
      <w:rPr>
        <w:caps/>
        <w:color w:val="4F81BD"/>
      </w:rPr>
      <w:fldChar w:fldCharType="end"/>
    </w:r>
  </w:p>
  <w:p w:rsidR="00FE6F7B" w:rsidRDefault="00FE6F7B">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3D21" w:rsidRDefault="00CF3D21" w:rsidP="00FE6F7B">
      <w:pPr>
        <w:spacing w:after="0" w:line="240" w:lineRule="auto"/>
      </w:pPr>
      <w:r>
        <w:separator/>
      </w:r>
    </w:p>
  </w:footnote>
  <w:footnote w:type="continuationSeparator" w:id="0">
    <w:p w:rsidR="00CF3D21" w:rsidRDefault="00CF3D21" w:rsidP="00FE6F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RTF_Num 3"/>
    <w:lvl w:ilvl="0">
      <w:numFmt w:val="bullet"/>
      <w:lvlText w:val=""/>
      <w:lvlJc w:val="left"/>
      <w:rPr>
        <w:rFonts w:ascii="Symbol" w:hAnsi="Symbol"/>
      </w:rPr>
    </w:lvl>
  </w:abstractNum>
  <w:abstractNum w:abstractNumId="1">
    <w:nsid w:val="1A074269"/>
    <w:multiLevelType w:val="hybridMultilevel"/>
    <w:tmpl w:val="DCB8F81C"/>
    <w:lvl w:ilvl="0" w:tplc="6432440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50432F8"/>
    <w:multiLevelType w:val="hybridMultilevel"/>
    <w:tmpl w:val="353EFD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B353F97"/>
    <w:multiLevelType w:val="hybridMultilevel"/>
    <w:tmpl w:val="7BD04090"/>
    <w:lvl w:ilvl="0" w:tplc="6432440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5FF505BE"/>
    <w:multiLevelType w:val="hybridMultilevel"/>
    <w:tmpl w:val="FF2849E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71B9146A"/>
    <w:multiLevelType w:val="hybridMultilevel"/>
    <w:tmpl w:val="AD4E29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oNotTrackMoves/>
  <w:defaultTabStop w:val="708"/>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7106"/>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67563"/>
    <w:rsid w:val="00033CC8"/>
    <w:rsid w:val="000545FF"/>
    <w:rsid w:val="000605BC"/>
    <w:rsid w:val="00066D8C"/>
    <w:rsid w:val="00081F70"/>
    <w:rsid w:val="00093F1E"/>
    <w:rsid w:val="00096702"/>
    <w:rsid w:val="000B02F3"/>
    <w:rsid w:val="000D4530"/>
    <w:rsid w:val="000E2321"/>
    <w:rsid w:val="000F2934"/>
    <w:rsid w:val="000F53F1"/>
    <w:rsid w:val="00115E09"/>
    <w:rsid w:val="001306D7"/>
    <w:rsid w:val="00134402"/>
    <w:rsid w:val="00141A47"/>
    <w:rsid w:val="00151BBE"/>
    <w:rsid w:val="00152FDB"/>
    <w:rsid w:val="00167563"/>
    <w:rsid w:val="00177753"/>
    <w:rsid w:val="001A341E"/>
    <w:rsid w:val="001B3872"/>
    <w:rsid w:val="001F503B"/>
    <w:rsid w:val="00202C10"/>
    <w:rsid w:val="002042E9"/>
    <w:rsid w:val="00222C06"/>
    <w:rsid w:val="002278B6"/>
    <w:rsid w:val="0026744A"/>
    <w:rsid w:val="00294FA5"/>
    <w:rsid w:val="002E369F"/>
    <w:rsid w:val="003119C7"/>
    <w:rsid w:val="00395E8C"/>
    <w:rsid w:val="003A2D0F"/>
    <w:rsid w:val="00407349"/>
    <w:rsid w:val="0041132E"/>
    <w:rsid w:val="00413D0F"/>
    <w:rsid w:val="0042450D"/>
    <w:rsid w:val="004902A8"/>
    <w:rsid w:val="004C1E58"/>
    <w:rsid w:val="004D0F48"/>
    <w:rsid w:val="00544135"/>
    <w:rsid w:val="005A4D36"/>
    <w:rsid w:val="005C23EE"/>
    <w:rsid w:val="00627DF5"/>
    <w:rsid w:val="00645859"/>
    <w:rsid w:val="00673E2D"/>
    <w:rsid w:val="00713319"/>
    <w:rsid w:val="00733FAF"/>
    <w:rsid w:val="0074243B"/>
    <w:rsid w:val="00774AC6"/>
    <w:rsid w:val="007947B1"/>
    <w:rsid w:val="007A6056"/>
    <w:rsid w:val="007B795E"/>
    <w:rsid w:val="008217E2"/>
    <w:rsid w:val="008356BA"/>
    <w:rsid w:val="00844A07"/>
    <w:rsid w:val="0084613D"/>
    <w:rsid w:val="00851CE3"/>
    <w:rsid w:val="00875CC0"/>
    <w:rsid w:val="008831FC"/>
    <w:rsid w:val="008A24C2"/>
    <w:rsid w:val="008D5FB1"/>
    <w:rsid w:val="008E0B26"/>
    <w:rsid w:val="0091044F"/>
    <w:rsid w:val="00943518"/>
    <w:rsid w:val="009A150F"/>
    <w:rsid w:val="009C5810"/>
    <w:rsid w:val="009C5C65"/>
    <w:rsid w:val="00A22D41"/>
    <w:rsid w:val="00A5191D"/>
    <w:rsid w:val="00A5546D"/>
    <w:rsid w:val="00A725CF"/>
    <w:rsid w:val="00AF2482"/>
    <w:rsid w:val="00B005BF"/>
    <w:rsid w:val="00B13A8B"/>
    <w:rsid w:val="00B469B0"/>
    <w:rsid w:val="00BA13F7"/>
    <w:rsid w:val="00BC6F61"/>
    <w:rsid w:val="00BD6D0A"/>
    <w:rsid w:val="00C02784"/>
    <w:rsid w:val="00C20F24"/>
    <w:rsid w:val="00C34FDA"/>
    <w:rsid w:val="00C35679"/>
    <w:rsid w:val="00C6622F"/>
    <w:rsid w:val="00CC2B94"/>
    <w:rsid w:val="00CC6BA5"/>
    <w:rsid w:val="00CD571D"/>
    <w:rsid w:val="00CE404E"/>
    <w:rsid w:val="00CE5EA5"/>
    <w:rsid w:val="00CF0407"/>
    <w:rsid w:val="00CF3D21"/>
    <w:rsid w:val="00D13EFC"/>
    <w:rsid w:val="00D23A80"/>
    <w:rsid w:val="00D249A9"/>
    <w:rsid w:val="00D350EB"/>
    <w:rsid w:val="00D44097"/>
    <w:rsid w:val="00D72F7E"/>
    <w:rsid w:val="00DB137B"/>
    <w:rsid w:val="00DB716E"/>
    <w:rsid w:val="00DC2359"/>
    <w:rsid w:val="00DC6C46"/>
    <w:rsid w:val="00DE4ED8"/>
    <w:rsid w:val="00E04A54"/>
    <w:rsid w:val="00E55135"/>
    <w:rsid w:val="00E67A4F"/>
    <w:rsid w:val="00E8118A"/>
    <w:rsid w:val="00E91C7A"/>
    <w:rsid w:val="00E97AC0"/>
    <w:rsid w:val="00EB3717"/>
    <w:rsid w:val="00F93986"/>
    <w:rsid w:val="00FB4D06"/>
    <w:rsid w:val="00FE6F7B"/>
    <w:rsid w:val="00FF73A2"/>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469B0"/>
    <w:pPr>
      <w:widowControl w:val="0"/>
      <w:autoSpaceDN w:val="0"/>
      <w:adjustRightInd w:val="0"/>
      <w:spacing w:after="200" w:line="276" w:lineRule="auto"/>
    </w:pPr>
    <w:rPr>
      <w:rFonts w:cs="Calibri"/>
      <w:sz w:val="22"/>
      <w:szCs w:val="22"/>
      <w:lang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
    <w:name w:val="Heading"/>
    <w:basedOn w:val="Normale"/>
    <w:next w:val="Corpodeltesto"/>
    <w:uiPriority w:val="99"/>
    <w:rsid w:val="00B469B0"/>
    <w:pPr>
      <w:keepNext/>
      <w:spacing w:before="240" w:after="120"/>
    </w:pPr>
    <w:rPr>
      <w:rFonts w:ascii="Arial" w:eastAsia="Microsoft YaHei" w:hAnsi="Arial" w:cs="Mangal"/>
      <w:sz w:val="28"/>
      <w:szCs w:val="28"/>
    </w:rPr>
  </w:style>
  <w:style w:type="paragraph" w:styleId="Corpodeltesto">
    <w:name w:val="Body Text"/>
    <w:basedOn w:val="Normale"/>
    <w:link w:val="CorpodeltestoCarattere"/>
    <w:uiPriority w:val="99"/>
    <w:rsid w:val="00B469B0"/>
    <w:pPr>
      <w:spacing w:after="120"/>
    </w:pPr>
    <w:rPr>
      <w:rFonts w:cs="Mangal"/>
      <w:sz w:val="20"/>
      <w:szCs w:val="20"/>
      <w:lang/>
    </w:rPr>
  </w:style>
  <w:style w:type="paragraph" w:styleId="Didascalia">
    <w:name w:val="caption"/>
    <w:basedOn w:val="Normale"/>
    <w:uiPriority w:val="99"/>
    <w:qFormat/>
    <w:rsid w:val="00B469B0"/>
    <w:pPr>
      <w:spacing w:before="120" w:after="120"/>
    </w:pPr>
    <w:rPr>
      <w:i/>
      <w:iCs/>
      <w:sz w:val="24"/>
      <w:szCs w:val="24"/>
    </w:rPr>
  </w:style>
  <w:style w:type="paragraph" w:styleId="Elenco">
    <w:name w:val="List"/>
    <w:basedOn w:val="Corpodeltesto"/>
    <w:uiPriority w:val="99"/>
    <w:rsid w:val="00B469B0"/>
  </w:style>
  <w:style w:type="character" w:customStyle="1" w:styleId="CorpodeltestoCarattere">
    <w:name w:val="Corpo del testo Carattere"/>
    <w:link w:val="Corpodeltesto"/>
    <w:uiPriority w:val="99"/>
    <w:semiHidden/>
    <w:locked/>
    <w:rsid w:val="00B469B0"/>
    <w:rPr>
      <w:rFonts w:ascii="Calibri" w:hAnsi="Calibri" w:cs="Mangal"/>
      <w:sz w:val="20"/>
      <w:szCs w:val="20"/>
      <w:lang w:bidi="hi-IN"/>
    </w:rPr>
  </w:style>
  <w:style w:type="paragraph" w:customStyle="1" w:styleId="Index">
    <w:name w:val="Index"/>
    <w:basedOn w:val="Normale"/>
    <w:uiPriority w:val="99"/>
    <w:rsid w:val="00B469B0"/>
    <w:rPr>
      <w:rFonts w:cs="Mangal"/>
    </w:rPr>
  </w:style>
  <w:style w:type="paragraph" w:customStyle="1" w:styleId="Heading1">
    <w:name w:val="Heading1"/>
    <w:basedOn w:val="Normale"/>
    <w:next w:val="Corpodeltesto"/>
    <w:uiPriority w:val="99"/>
    <w:rsid w:val="00B469B0"/>
    <w:pPr>
      <w:keepNext/>
      <w:spacing w:before="240" w:after="120"/>
    </w:pPr>
    <w:rPr>
      <w:rFonts w:ascii="Arial" w:eastAsia="Microsoft YaHei" w:hAnsi="Arial" w:cs="Arial"/>
      <w:sz w:val="28"/>
      <w:szCs w:val="28"/>
    </w:rPr>
  </w:style>
  <w:style w:type="paragraph" w:customStyle="1" w:styleId="Index1">
    <w:name w:val="Index1"/>
    <w:basedOn w:val="Normale"/>
    <w:uiPriority w:val="99"/>
    <w:rsid w:val="00B469B0"/>
  </w:style>
  <w:style w:type="character" w:customStyle="1" w:styleId="RTFNum21">
    <w:name w:val="RTF_Num 2 1"/>
    <w:uiPriority w:val="99"/>
    <w:rsid w:val="00B469B0"/>
    <w:rPr>
      <w:rFonts w:ascii="Symbol" w:hAnsi="Symbol"/>
      <w:lang w:eastAsia="zh-CN"/>
    </w:rPr>
  </w:style>
  <w:style w:type="character" w:customStyle="1" w:styleId="RTFNum22">
    <w:name w:val="RTF_Num 2 2"/>
    <w:uiPriority w:val="99"/>
    <w:rsid w:val="00B469B0"/>
    <w:rPr>
      <w:rFonts w:ascii="OpenSymbol" w:hAnsi="OpenSymbol"/>
      <w:lang w:eastAsia="zh-CN"/>
    </w:rPr>
  </w:style>
  <w:style w:type="character" w:customStyle="1" w:styleId="RTFNum23">
    <w:name w:val="RTF_Num 2 3"/>
    <w:uiPriority w:val="99"/>
    <w:rsid w:val="00B469B0"/>
    <w:rPr>
      <w:rFonts w:ascii="OpenSymbol" w:hAnsi="OpenSymbol"/>
      <w:lang w:eastAsia="zh-CN"/>
    </w:rPr>
  </w:style>
  <w:style w:type="character" w:customStyle="1" w:styleId="RTFNum24">
    <w:name w:val="RTF_Num 2 4"/>
    <w:uiPriority w:val="99"/>
    <w:rsid w:val="00B469B0"/>
    <w:rPr>
      <w:rFonts w:ascii="OpenSymbol" w:hAnsi="OpenSymbol"/>
      <w:lang w:eastAsia="zh-CN"/>
    </w:rPr>
  </w:style>
  <w:style w:type="character" w:customStyle="1" w:styleId="RTFNum25">
    <w:name w:val="RTF_Num 2 5"/>
    <w:uiPriority w:val="99"/>
    <w:rsid w:val="00B469B0"/>
    <w:rPr>
      <w:rFonts w:ascii="OpenSymbol" w:hAnsi="OpenSymbol"/>
      <w:lang w:eastAsia="zh-CN"/>
    </w:rPr>
  </w:style>
  <w:style w:type="character" w:customStyle="1" w:styleId="RTFNum26">
    <w:name w:val="RTF_Num 2 6"/>
    <w:uiPriority w:val="99"/>
    <w:rsid w:val="00B469B0"/>
    <w:rPr>
      <w:rFonts w:ascii="OpenSymbol" w:hAnsi="OpenSymbol"/>
      <w:lang w:eastAsia="zh-CN"/>
    </w:rPr>
  </w:style>
  <w:style w:type="character" w:customStyle="1" w:styleId="RTFNum27">
    <w:name w:val="RTF_Num 2 7"/>
    <w:uiPriority w:val="99"/>
    <w:rsid w:val="00B469B0"/>
    <w:rPr>
      <w:rFonts w:ascii="OpenSymbol" w:hAnsi="OpenSymbol"/>
      <w:lang w:eastAsia="zh-CN"/>
    </w:rPr>
  </w:style>
  <w:style w:type="character" w:customStyle="1" w:styleId="RTFNum28">
    <w:name w:val="RTF_Num 2 8"/>
    <w:uiPriority w:val="99"/>
    <w:rsid w:val="00B469B0"/>
    <w:rPr>
      <w:rFonts w:ascii="OpenSymbol" w:hAnsi="OpenSymbol"/>
      <w:lang w:eastAsia="zh-CN"/>
    </w:rPr>
  </w:style>
  <w:style w:type="character" w:customStyle="1" w:styleId="RTFNum29">
    <w:name w:val="RTF_Num 2 9"/>
    <w:uiPriority w:val="99"/>
    <w:rsid w:val="00B469B0"/>
    <w:rPr>
      <w:rFonts w:ascii="OpenSymbol" w:hAnsi="OpenSymbol"/>
      <w:lang w:eastAsia="zh-CN"/>
    </w:rPr>
  </w:style>
  <w:style w:type="character" w:customStyle="1" w:styleId="RTFNum210">
    <w:name w:val="RTF_Num 2 10"/>
    <w:uiPriority w:val="99"/>
    <w:rsid w:val="00B469B0"/>
    <w:rPr>
      <w:rFonts w:ascii="OpenSymbol" w:hAnsi="OpenSymbol"/>
      <w:lang w:eastAsia="zh-CN"/>
    </w:rPr>
  </w:style>
  <w:style w:type="character" w:customStyle="1" w:styleId="RTFNum31">
    <w:name w:val="RTF_Num 3 1"/>
    <w:uiPriority w:val="99"/>
    <w:rsid w:val="00B469B0"/>
    <w:rPr>
      <w:rFonts w:ascii="Symbol" w:hAnsi="Symbol"/>
    </w:rPr>
  </w:style>
  <w:style w:type="character" w:styleId="Enfasigrassetto">
    <w:name w:val="Strong"/>
    <w:uiPriority w:val="22"/>
    <w:qFormat/>
    <w:rsid w:val="004C1E58"/>
    <w:rPr>
      <w:rFonts w:cs="Times New Roman"/>
      <w:b/>
    </w:rPr>
  </w:style>
  <w:style w:type="paragraph" w:styleId="NormaleWeb">
    <w:name w:val="Normal (Web)"/>
    <w:basedOn w:val="Normale"/>
    <w:uiPriority w:val="99"/>
    <w:unhideWhenUsed/>
    <w:rsid w:val="003119C7"/>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 w:type="table" w:styleId="Grigliatabella">
    <w:name w:val="Table Grid"/>
    <w:basedOn w:val="Tabellanormale"/>
    <w:uiPriority w:val="59"/>
    <w:rsid w:val="00C356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2278B6"/>
    <w:pPr>
      <w:spacing w:after="0" w:line="240" w:lineRule="auto"/>
    </w:pPr>
    <w:rPr>
      <w:rFonts w:ascii="Segoe UI" w:hAnsi="Segoe UI" w:cs="Mangal"/>
      <w:sz w:val="18"/>
      <w:szCs w:val="16"/>
      <w:lang/>
    </w:rPr>
  </w:style>
  <w:style w:type="character" w:customStyle="1" w:styleId="TestofumettoCarattere">
    <w:name w:val="Testo fumetto Carattere"/>
    <w:link w:val="Testofumetto"/>
    <w:uiPriority w:val="99"/>
    <w:semiHidden/>
    <w:rsid w:val="002278B6"/>
    <w:rPr>
      <w:rFonts w:ascii="Segoe UI" w:hAnsi="Segoe UI" w:cs="Mangal"/>
      <w:sz w:val="18"/>
      <w:szCs w:val="16"/>
      <w:lang w:bidi="hi-IN"/>
    </w:rPr>
  </w:style>
  <w:style w:type="paragraph" w:styleId="Intestazione">
    <w:name w:val="header"/>
    <w:basedOn w:val="Normale"/>
    <w:link w:val="IntestazioneCarattere"/>
    <w:uiPriority w:val="99"/>
    <w:unhideWhenUsed/>
    <w:rsid w:val="00FE6F7B"/>
    <w:pPr>
      <w:tabs>
        <w:tab w:val="center" w:pos="4819"/>
        <w:tab w:val="right" w:pos="9638"/>
      </w:tabs>
    </w:pPr>
    <w:rPr>
      <w:rFonts w:cs="Mangal"/>
      <w:szCs w:val="20"/>
      <w:lang/>
    </w:rPr>
  </w:style>
  <w:style w:type="character" w:customStyle="1" w:styleId="IntestazioneCarattere">
    <w:name w:val="Intestazione Carattere"/>
    <w:link w:val="Intestazione"/>
    <w:uiPriority w:val="99"/>
    <w:rsid w:val="00FE6F7B"/>
    <w:rPr>
      <w:rFonts w:cs="Mangal"/>
      <w:sz w:val="22"/>
      <w:lang w:bidi="hi-IN"/>
    </w:rPr>
  </w:style>
  <w:style w:type="paragraph" w:styleId="Pidipagina">
    <w:name w:val="footer"/>
    <w:basedOn w:val="Normale"/>
    <w:link w:val="PidipaginaCarattere"/>
    <w:uiPriority w:val="99"/>
    <w:unhideWhenUsed/>
    <w:rsid w:val="00FE6F7B"/>
    <w:pPr>
      <w:tabs>
        <w:tab w:val="center" w:pos="4819"/>
        <w:tab w:val="right" w:pos="9638"/>
      </w:tabs>
    </w:pPr>
    <w:rPr>
      <w:rFonts w:cs="Mangal"/>
      <w:szCs w:val="20"/>
      <w:lang/>
    </w:rPr>
  </w:style>
  <w:style w:type="character" w:customStyle="1" w:styleId="PidipaginaCarattere">
    <w:name w:val="Piè di pagina Carattere"/>
    <w:link w:val="Pidipagina"/>
    <w:uiPriority w:val="99"/>
    <w:rsid w:val="00FE6F7B"/>
    <w:rPr>
      <w:rFonts w:cs="Mangal"/>
      <w:sz w:val="22"/>
      <w:lang w:bidi="hi-IN"/>
    </w:rPr>
  </w:style>
</w:styles>
</file>

<file path=word/webSettings.xml><?xml version="1.0" encoding="utf-8"?>
<w:webSettings xmlns:r="http://schemas.openxmlformats.org/officeDocument/2006/relationships" xmlns:w="http://schemas.openxmlformats.org/wordprocessingml/2006/main">
  <w:divs>
    <w:div w:id="134493984">
      <w:bodyDiv w:val="1"/>
      <w:marLeft w:val="0"/>
      <w:marRight w:val="0"/>
      <w:marTop w:val="0"/>
      <w:marBottom w:val="0"/>
      <w:divBdr>
        <w:top w:val="none" w:sz="0" w:space="0" w:color="auto"/>
        <w:left w:val="none" w:sz="0" w:space="0" w:color="auto"/>
        <w:bottom w:val="none" w:sz="0" w:space="0" w:color="auto"/>
        <w:right w:val="none" w:sz="0" w:space="0" w:color="auto"/>
      </w:divBdr>
    </w:div>
    <w:div w:id="300573556">
      <w:bodyDiv w:val="1"/>
      <w:marLeft w:val="0"/>
      <w:marRight w:val="0"/>
      <w:marTop w:val="0"/>
      <w:marBottom w:val="0"/>
      <w:divBdr>
        <w:top w:val="none" w:sz="0" w:space="0" w:color="auto"/>
        <w:left w:val="none" w:sz="0" w:space="0" w:color="auto"/>
        <w:bottom w:val="none" w:sz="0" w:space="0" w:color="auto"/>
        <w:right w:val="none" w:sz="0" w:space="0" w:color="auto"/>
      </w:divBdr>
      <w:divsChild>
        <w:div w:id="1739355739">
          <w:marLeft w:val="0"/>
          <w:marRight w:val="0"/>
          <w:marTop w:val="0"/>
          <w:marBottom w:val="0"/>
          <w:divBdr>
            <w:top w:val="none" w:sz="0" w:space="0" w:color="auto"/>
            <w:left w:val="none" w:sz="0" w:space="0" w:color="auto"/>
            <w:bottom w:val="none" w:sz="0" w:space="0" w:color="auto"/>
            <w:right w:val="none" w:sz="0" w:space="0" w:color="auto"/>
          </w:divBdr>
        </w:div>
        <w:div w:id="704257173">
          <w:marLeft w:val="0"/>
          <w:marRight w:val="0"/>
          <w:marTop w:val="0"/>
          <w:marBottom w:val="0"/>
          <w:divBdr>
            <w:top w:val="none" w:sz="0" w:space="0" w:color="auto"/>
            <w:left w:val="none" w:sz="0" w:space="0" w:color="auto"/>
            <w:bottom w:val="none" w:sz="0" w:space="0" w:color="auto"/>
            <w:right w:val="none" w:sz="0" w:space="0" w:color="auto"/>
          </w:divBdr>
        </w:div>
      </w:divsChild>
    </w:div>
    <w:div w:id="384570628">
      <w:bodyDiv w:val="1"/>
      <w:marLeft w:val="0"/>
      <w:marRight w:val="0"/>
      <w:marTop w:val="0"/>
      <w:marBottom w:val="0"/>
      <w:divBdr>
        <w:top w:val="none" w:sz="0" w:space="0" w:color="auto"/>
        <w:left w:val="none" w:sz="0" w:space="0" w:color="auto"/>
        <w:bottom w:val="none" w:sz="0" w:space="0" w:color="auto"/>
        <w:right w:val="none" w:sz="0" w:space="0" w:color="auto"/>
      </w:divBdr>
    </w:div>
    <w:div w:id="583032404">
      <w:bodyDiv w:val="1"/>
      <w:marLeft w:val="0"/>
      <w:marRight w:val="0"/>
      <w:marTop w:val="0"/>
      <w:marBottom w:val="0"/>
      <w:divBdr>
        <w:top w:val="none" w:sz="0" w:space="0" w:color="auto"/>
        <w:left w:val="none" w:sz="0" w:space="0" w:color="auto"/>
        <w:bottom w:val="none" w:sz="0" w:space="0" w:color="auto"/>
        <w:right w:val="none" w:sz="0" w:space="0" w:color="auto"/>
      </w:divBdr>
      <w:divsChild>
        <w:div w:id="429351013">
          <w:marLeft w:val="0"/>
          <w:marRight w:val="0"/>
          <w:marTop w:val="0"/>
          <w:marBottom w:val="0"/>
          <w:divBdr>
            <w:top w:val="none" w:sz="0" w:space="0" w:color="auto"/>
            <w:left w:val="none" w:sz="0" w:space="0" w:color="auto"/>
            <w:bottom w:val="none" w:sz="0" w:space="0" w:color="auto"/>
            <w:right w:val="none" w:sz="0" w:space="0" w:color="auto"/>
          </w:divBdr>
        </w:div>
        <w:div w:id="940793454">
          <w:marLeft w:val="0"/>
          <w:marRight w:val="0"/>
          <w:marTop w:val="0"/>
          <w:marBottom w:val="0"/>
          <w:divBdr>
            <w:top w:val="none" w:sz="0" w:space="0" w:color="auto"/>
            <w:left w:val="none" w:sz="0" w:space="0" w:color="auto"/>
            <w:bottom w:val="none" w:sz="0" w:space="0" w:color="auto"/>
            <w:right w:val="none" w:sz="0" w:space="0" w:color="auto"/>
          </w:divBdr>
        </w:div>
        <w:div w:id="1407875430">
          <w:marLeft w:val="0"/>
          <w:marRight w:val="0"/>
          <w:marTop w:val="0"/>
          <w:marBottom w:val="0"/>
          <w:divBdr>
            <w:top w:val="none" w:sz="0" w:space="0" w:color="auto"/>
            <w:left w:val="none" w:sz="0" w:space="0" w:color="auto"/>
            <w:bottom w:val="none" w:sz="0" w:space="0" w:color="auto"/>
            <w:right w:val="none" w:sz="0" w:space="0" w:color="auto"/>
          </w:divBdr>
        </w:div>
        <w:div w:id="2059474373">
          <w:marLeft w:val="0"/>
          <w:marRight w:val="0"/>
          <w:marTop w:val="0"/>
          <w:marBottom w:val="0"/>
          <w:divBdr>
            <w:top w:val="none" w:sz="0" w:space="0" w:color="auto"/>
            <w:left w:val="none" w:sz="0" w:space="0" w:color="auto"/>
            <w:bottom w:val="none" w:sz="0" w:space="0" w:color="auto"/>
            <w:right w:val="none" w:sz="0" w:space="0" w:color="auto"/>
          </w:divBdr>
        </w:div>
        <w:div w:id="723019832">
          <w:marLeft w:val="0"/>
          <w:marRight w:val="0"/>
          <w:marTop w:val="0"/>
          <w:marBottom w:val="0"/>
          <w:divBdr>
            <w:top w:val="none" w:sz="0" w:space="0" w:color="auto"/>
            <w:left w:val="none" w:sz="0" w:space="0" w:color="auto"/>
            <w:bottom w:val="none" w:sz="0" w:space="0" w:color="auto"/>
            <w:right w:val="none" w:sz="0" w:space="0" w:color="auto"/>
          </w:divBdr>
        </w:div>
        <w:div w:id="1189295763">
          <w:marLeft w:val="0"/>
          <w:marRight w:val="0"/>
          <w:marTop w:val="0"/>
          <w:marBottom w:val="0"/>
          <w:divBdr>
            <w:top w:val="none" w:sz="0" w:space="0" w:color="auto"/>
            <w:left w:val="none" w:sz="0" w:space="0" w:color="auto"/>
            <w:bottom w:val="none" w:sz="0" w:space="0" w:color="auto"/>
            <w:right w:val="none" w:sz="0" w:space="0" w:color="auto"/>
          </w:divBdr>
        </w:div>
        <w:div w:id="1174611061">
          <w:marLeft w:val="0"/>
          <w:marRight w:val="0"/>
          <w:marTop w:val="0"/>
          <w:marBottom w:val="0"/>
          <w:divBdr>
            <w:top w:val="none" w:sz="0" w:space="0" w:color="auto"/>
            <w:left w:val="none" w:sz="0" w:space="0" w:color="auto"/>
            <w:bottom w:val="none" w:sz="0" w:space="0" w:color="auto"/>
            <w:right w:val="none" w:sz="0" w:space="0" w:color="auto"/>
          </w:divBdr>
        </w:div>
      </w:divsChild>
    </w:div>
    <w:div w:id="1163006996">
      <w:marLeft w:val="0"/>
      <w:marRight w:val="0"/>
      <w:marTop w:val="0"/>
      <w:marBottom w:val="0"/>
      <w:divBdr>
        <w:top w:val="none" w:sz="0" w:space="0" w:color="auto"/>
        <w:left w:val="none" w:sz="0" w:space="0" w:color="auto"/>
        <w:bottom w:val="none" w:sz="0" w:space="0" w:color="auto"/>
        <w:right w:val="none" w:sz="0" w:space="0" w:color="auto"/>
      </w:divBdr>
      <w:divsChild>
        <w:div w:id="1163006998">
          <w:marLeft w:val="0"/>
          <w:marRight w:val="0"/>
          <w:marTop w:val="100"/>
          <w:marBottom w:val="100"/>
          <w:divBdr>
            <w:top w:val="none" w:sz="0" w:space="0" w:color="auto"/>
            <w:left w:val="none" w:sz="0" w:space="0" w:color="auto"/>
            <w:bottom w:val="none" w:sz="0" w:space="0" w:color="auto"/>
            <w:right w:val="none" w:sz="0" w:space="0" w:color="auto"/>
          </w:divBdr>
          <w:divsChild>
            <w:div w:id="1163007000">
              <w:marLeft w:val="0"/>
              <w:marRight w:val="0"/>
              <w:marTop w:val="0"/>
              <w:marBottom w:val="0"/>
              <w:divBdr>
                <w:top w:val="none" w:sz="0" w:space="0" w:color="auto"/>
                <w:left w:val="none" w:sz="0" w:space="0" w:color="auto"/>
                <w:bottom w:val="none" w:sz="0" w:space="0" w:color="auto"/>
                <w:right w:val="none" w:sz="0" w:space="0" w:color="auto"/>
              </w:divBdr>
              <w:divsChild>
                <w:div w:id="1163006997">
                  <w:marLeft w:val="2925"/>
                  <w:marRight w:val="0"/>
                  <w:marTop w:val="0"/>
                  <w:marBottom w:val="0"/>
                  <w:divBdr>
                    <w:top w:val="none" w:sz="0" w:space="0" w:color="auto"/>
                    <w:left w:val="none" w:sz="0" w:space="0" w:color="auto"/>
                    <w:bottom w:val="none" w:sz="0" w:space="0" w:color="auto"/>
                    <w:right w:val="none" w:sz="0" w:space="0" w:color="auto"/>
                  </w:divBdr>
                  <w:divsChild>
                    <w:div w:id="1163006999">
                      <w:marLeft w:val="0"/>
                      <w:marRight w:val="0"/>
                      <w:marTop w:val="0"/>
                      <w:marBottom w:val="150"/>
                      <w:divBdr>
                        <w:top w:val="single" w:sz="6" w:space="4" w:color="8E8E8E"/>
                        <w:left w:val="single" w:sz="6" w:space="4" w:color="8E8E8E"/>
                        <w:bottom w:val="single" w:sz="6" w:space="4" w:color="8E8E8E"/>
                        <w:right w:val="single" w:sz="6" w:space="4" w:color="8E8E8E"/>
                      </w:divBdr>
                    </w:div>
                  </w:divsChild>
                </w:div>
              </w:divsChild>
            </w:div>
          </w:divsChild>
        </w:div>
      </w:divsChild>
    </w:div>
    <w:div w:id="1390375415">
      <w:bodyDiv w:val="1"/>
      <w:marLeft w:val="0"/>
      <w:marRight w:val="0"/>
      <w:marTop w:val="0"/>
      <w:marBottom w:val="0"/>
      <w:divBdr>
        <w:top w:val="none" w:sz="0" w:space="0" w:color="auto"/>
        <w:left w:val="none" w:sz="0" w:space="0" w:color="auto"/>
        <w:bottom w:val="none" w:sz="0" w:space="0" w:color="auto"/>
        <w:right w:val="none" w:sz="0" w:space="0" w:color="auto"/>
      </w:divBdr>
    </w:div>
    <w:div w:id="1701397540">
      <w:bodyDiv w:val="1"/>
      <w:marLeft w:val="0"/>
      <w:marRight w:val="0"/>
      <w:marTop w:val="0"/>
      <w:marBottom w:val="0"/>
      <w:divBdr>
        <w:top w:val="none" w:sz="0" w:space="0" w:color="auto"/>
        <w:left w:val="none" w:sz="0" w:space="0" w:color="auto"/>
        <w:bottom w:val="none" w:sz="0" w:space="0" w:color="auto"/>
        <w:right w:val="none" w:sz="0" w:space="0" w:color="auto"/>
      </w:divBdr>
      <w:divsChild>
        <w:div w:id="96098799">
          <w:marLeft w:val="0"/>
          <w:marRight w:val="0"/>
          <w:marTop w:val="0"/>
          <w:marBottom w:val="0"/>
          <w:divBdr>
            <w:top w:val="none" w:sz="0" w:space="0" w:color="auto"/>
            <w:left w:val="none" w:sz="0" w:space="0" w:color="auto"/>
            <w:bottom w:val="none" w:sz="0" w:space="0" w:color="auto"/>
            <w:right w:val="none" w:sz="0" w:space="0" w:color="auto"/>
          </w:divBdr>
        </w:div>
        <w:div w:id="1497115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FB482-D195-4E1F-B159-472331D94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1475</Words>
  <Characters>8408</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dc:creator>
  <cp:keywords/>
  <dc:description/>
  <cp:lastModifiedBy>Windows User</cp:lastModifiedBy>
  <cp:revision>10</cp:revision>
  <cp:lastPrinted>2017-09-12T07:33:00Z</cp:lastPrinted>
  <dcterms:created xsi:type="dcterms:W3CDTF">2017-10-11T11:25:00Z</dcterms:created>
  <dcterms:modified xsi:type="dcterms:W3CDTF">2017-10-27T09:10:00Z</dcterms:modified>
</cp:coreProperties>
</file>