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7136E" w:rsidRPr="005B7D8E" w:rsidRDefault="005B7D8E">
      <w:pPr>
        <w:rPr>
          <w:rFonts w:ascii="Arial" w:hAnsi="Arial" w:cs="Arial"/>
          <w:sz w:val="24"/>
          <w:szCs w:val="24"/>
        </w:rPr>
      </w:pPr>
      <w:r w:rsidRPr="005B7D8E">
        <w:rPr>
          <w:rFonts w:ascii="Arial" w:hAnsi="Arial" w:cs="Arial"/>
          <w:sz w:val="24"/>
          <w:szCs w:val="24"/>
        </w:rPr>
        <w:t>Il bilancio consolidato</w:t>
      </w:r>
      <w:r w:rsidRPr="005B7D8E">
        <w:rPr>
          <w:rFonts w:ascii="Arial" w:hAnsi="Arial" w:cs="Arial"/>
          <w:sz w:val="24"/>
          <w:szCs w:val="24"/>
        </w:rPr>
        <w:sym w:font="Symbol" w:char="F06C"/>
      </w:r>
      <w:r w:rsidRPr="005B7D8E">
        <w:rPr>
          <w:rFonts w:ascii="Arial" w:hAnsi="Arial" w:cs="Arial"/>
          <w:sz w:val="24"/>
          <w:szCs w:val="24"/>
        </w:rPr>
        <w:t xml:space="preserve"> è lo strumento informativo primario di dati patrimoniali, economici e finanziari del gruppo inteso come un'unica entità economica distinta dalle singole società e/o enti componenti il gruppo, che assolve a funzioni essenziali di informazione, sia interna che esterna, funzioni che non possono essere assolte dai bilanci separati degli enti e/o società componenti il gruppo né da una loro semplice aggregazione.</w:t>
      </w:r>
    </w:p>
    <w:p w:rsidR="005B7D8E" w:rsidRPr="005B7D8E" w:rsidRDefault="005B7D8E">
      <w:pPr>
        <w:rPr>
          <w:rFonts w:ascii="Arial" w:hAnsi="Arial" w:cs="Arial"/>
          <w:sz w:val="24"/>
          <w:szCs w:val="24"/>
        </w:rPr>
      </w:pPr>
      <w:r w:rsidRPr="005B7D8E">
        <w:rPr>
          <w:rFonts w:ascii="Arial" w:hAnsi="Arial" w:cs="Arial"/>
          <w:sz w:val="24"/>
          <w:szCs w:val="24"/>
        </w:rPr>
        <w:t xml:space="preserve">Dal punto di vista strategico deve consentire di: </w:t>
      </w:r>
    </w:p>
    <w:p w:rsidR="005B7D8E" w:rsidRPr="005B7D8E" w:rsidRDefault="005B7D8E" w:rsidP="005B7D8E">
      <w:pPr>
        <w:pStyle w:val="Paragrafoelenco"/>
        <w:numPr>
          <w:ilvl w:val="0"/>
          <w:numId w:val="1"/>
        </w:numPr>
        <w:rPr>
          <w:rFonts w:ascii="Arial" w:hAnsi="Arial" w:cs="Arial"/>
          <w:sz w:val="24"/>
          <w:szCs w:val="24"/>
        </w:rPr>
      </w:pPr>
      <w:r w:rsidRPr="005B7D8E">
        <w:rPr>
          <w:rFonts w:ascii="Arial" w:hAnsi="Arial" w:cs="Arial"/>
          <w:sz w:val="24"/>
          <w:szCs w:val="24"/>
        </w:rPr>
        <w:t>sopperire alle carenze informative e valutative dei bilanci degli enti che perseguono le proprie funzioni anche attraverso enti strumentali e detengono rilevanti partecipazioni in società, dando una rappresentazione, anche di natura contabile, delle proprie scelte di indirizzo, pianificazione e controllo;</w:t>
      </w:r>
    </w:p>
    <w:p w:rsidR="005B7D8E" w:rsidRPr="005B7D8E" w:rsidRDefault="005B7D8E" w:rsidP="005B7D8E">
      <w:pPr>
        <w:pStyle w:val="Paragrafoelenco"/>
        <w:numPr>
          <w:ilvl w:val="0"/>
          <w:numId w:val="1"/>
        </w:numPr>
        <w:rPr>
          <w:rFonts w:ascii="Arial" w:hAnsi="Arial" w:cs="Arial"/>
          <w:sz w:val="24"/>
          <w:szCs w:val="24"/>
        </w:rPr>
      </w:pPr>
      <w:r w:rsidRPr="005B7D8E">
        <w:rPr>
          <w:rFonts w:ascii="Arial" w:hAnsi="Arial" w:cs="Arial"/>
          <w:sz w:val="24"/>
          <w:szCs w:val="24"/>
        </w:rPr>
        <w:t>b) attribuire alla amministrazione capogruppo un nuovo strumento per programmare, gestire e controllare con maggiore efficacia il proprio gruppo comprensivo di enti e società;</w:t>
      </w:r>
    </w:p>
    <w:p w:rsidR="005B7D8E" w:rsidRPr="005B7D8E" w:rsidRDefault="005B7D8E" w:rsidP="005B7D8E">
      <w:pPr>
        <w:pStyle w:val="Paragrafoelenco"/>
        <w:numPr>
          <w:ilvl w:val="0"/>
          <w:numId w:val="1"/>
        </w:numPr>
        <w:rPr>
          <w:rFonts w:ascii="Arial" w:hAnsi="Arial" w:cs="Arial"/>
          <w:sz w:val="24"/>
          <w:szCs w:val="24"/>
        </w:rPr>
      </w:pPr>
      <w:r w:rsidRPr="005B7D8E">
        <w:rPr>
          <w:rFonts w:ascii="Arial" w:hAnsi="Arial" w:cs="Arial"/>
          <w:sz w:val="24"/>
          <w:szCs w:val="24"/>
        </w:rPr>
        <w:t>c) ottenere una visione completa delle consistenze patrimoniali e finanziarie di un gruppo di enti e società che fa capo ad un’amministrazione pubblica, incluso il risultato economico.</w:t>
      </w:r>
    </w:p>
    <w:p w:rsidR="005B7D8E" w:rsidRPr="005B7D8E" w:rsidRDefault="005B7D8E" w:rsidP="005B7D8E">
      <w:pPr>
        <w:rPr>
          <w:rFonts w:ascii="Arial" w:hAnsi="Arial" w:cs="Arial"/>
          <w:sz w:val="24"/>
          <w:szCs w:val="24"/>
        </w:rPr>
      </w:pPr>
      <w:r w:rsidRPr="005B7D8E">
        <w:rPr>
          <w:rFonts w:ascii="Arial" w:hAnsi="Arial" w:cs="Arial"/>
          <w:sz w:val="24"/>
          <w:szCs w:val="24"/>
        </w:rPr>
        <w:t xml:space="preserve">Le singole personalità giuridiche, enti, istituzioni, società, ecc. che vengono di fatto assimilate a settori operativi del “gruppo amministrazione pubblica”  devono: </w:t>
      </w:r>
      <w:r w:rsidRPr="005B7D8E">
        <w:rPr>
          <w:rFonts w:ascii="Arial" w:hAnsi="Arial" w:cs="Arial"/>
          <w:sz w:val="24"/>
          <w:szCs w:val="24"/>
        </w:rPr>
        <w:sym w:font="Symbol" w:char="F06C"/>
      </w:r>
      <w:r w:rsidRPr="005B7D8E">
        <w:rPr>
          <w:rFonts w:ascii="Arial" w:hAnsi="Arial" w:cs="Arial"/>
          <w:sz w:val="24"/>
          <w:szCs w:val="24"/>
        </w:rPr>
        <w:t xml:space="preserve"> Rispettare il principio contabile applicato concernente il Bilancio Consolidato (All. 4/4 del D. Lgs. 118/2011) seguendo le istruzioni della capogruppo </w:t>
      </w:r>
      <w:r w:rsidRPr="005B7D8E">
        <w:rPr>
          <w:rFonts w:ascii="Arial" w:hAnsi="Arial" w:cs="Arial"/>
          <w:sz w:val="24"/>
          <w:szCs w:val="24"/>
        </w:rPr>
        <w:sym w:font="Symbol" w:char="F06C"/>
      </w:r>
      <w:r w:rsidRPr="005B7D8E">
        <w:rPr>
          <w:rFonts w:ascii="Arial" w:hAnsi="Arial" w:cs="Arial"/>
          <w:sz w:val="24"/>
          <w:szCs w:val="24"/>
        </w:rPr>
        <w:t xml:space="preserve"> Collaborare fattivamente per la riuscita nei risultati e nei tempi del processo di consolidamento</w:t>
      </w:r>
    </w:p>
    <w:p w:rsidR="005B7D8E" w:rsidRPr="005B7D8E" w:rsidRDefault="005B7D8E" w:rsidP="005B7D8E">
      <w:pPr>
        <w:tabs>
          <w:tab w:val="left" w:pos="284"/>
        </w:tabs>
        <w:spacing w:line="240" w:lineRule="auto"/>
        <w:contextualSpacing/>
        <w:jc w:val="both"/>
        <w:rPr>
          <w:rFonts w:ascii="Arial" w:eastAsia="Times New Roman" w:hAnsi="Arial" w:cs="Arial"/>
          <w:b/>
          <w:bCs/>
          <w:sz w:val="24"/>
          <w:szCs w:val="24"/>
          <w:lang w:eastAsia="zh-TW"/>
        </w:rPr>
      </w:pPr>
      <w:r w:rsidRPr="005B7D8E">
        <w:rPr>
          <w:rFonts w:ascii="Arial" w:eastAsia="Times New Roman" w:hAnsi="Arial" w:cs="Arial"/>
          <w:b/>
          <w:bCs/>
          <w:sz w:val="24"/>
          <w:szCs w:val="24"/>
          <w:lang w:eastAsia="zh-TW"/>
        </w:rPr>
        <w:t>Il bilancio consolidato è quindi lo strumento informativo primario di dati patrimoniali, economici e finanziari del gruppo inteso come un'unica entità economica distinta dalle singole società e/o enti componenti il gruppo, che assolve a funzioni essenziali di informazione, sia interna che esterna, funzioni che non possono essere assolte dai bilanci separati degli enti e/o società componenti il gruppo né da una loro semplice aggregazione.</w:t>
      </w:r>
    </w:p>
    <w:p w:rsidR="005B7D8E" w:rsidRPr="005B7D8E" w:rsidRDefault="005B7D8E" w:rsidP="005B7D8E">
      <w:pPr>
        <w:rPr>
          <w:rFonts w:ascii="Arial" w:eastAsia="Times New Roman" w:hAnsi="Arial" w:cs="Arial"/>
          <w:b/>
          <w:bCs/>
          <w:sz w:val="24"/>
          <w:szCs w:val="24"/>
          <w:lang w:eastAsia="zh-TW"/>
        </w:rPr>
      </w:pPr>
      <w:r w:rsidRPr="005B7D8E">
        <w:rPr>
          <w:rFonts w:ascii="Arial" w:eastAsia="Times New Roman" w:hAnsi="Arial" w:cs="Arial"/>
          <w:b/>
          <w:bCs/>
          <w:sz w:val="24"/>
          <w:szCs w:val="24"/>
          <w:lang w:eastAsia="zh-TW"/>
        </w:rPr>
        <w:t>In quest’ottica si deve tener conto della natura pubblica del Gruppo Amministrazione pubblica per quanto riguarda l’individuazione dell’area di consolidamento e dei criteri di valutazione ritenuti più idonei ai fini del conseguimento dell’obiettivo della rappresentazione veritiera e corretta</w:t>
      </w:r>
    </w:p>
    <w:p w:rsidR="005B7D8E" w:rsidRPr="005B7D8E" w:rsidRDefault="005B7D8E" w:rsidP="005B7D8E">
      <w:pPr>
        <w:tabs>
          <w:tab w:val="left" w:pos="284"/>
        </w:tabs>
        <w:spacing w:line="240" w:lineRule="auto"/>
        <w:contextualSpacing/>
        <w:jc w:val="both"/>
        <w:rPr>
          <w:rFonts w:ascii="Arial" w:eastAsia="Times New Roman" w:hAnsi="Arial" w:cs="Arial"/>
          <w:bCs/>
          <w:sz w:val="24"/>
          <w:szCs w:val="24"/>
          <w:lang w:eastAsia="zh-TW"/>
        </w:rPr>
      </w:pPr>
      <w:r w:rsidRPr="005B7D8E">
        <w:rPr>
          <w:rFonts w:ascii="Arial" w:eastAsia="Times New Roman" w:hAnsi="Arial" w:cs="Arial"/>
          <w:bCs/>
          <w:sz w:val="24"/>
          <w:szCs w:val="24"/>
          <w:lang w:eastAsia="zh-TW"/>
        </w:rPr>
        <w:t>Il bilancio consolidato del gruppo di un’amministrazione pubblica è:</w:t>
      </w:r>
    </w:p>
    <w:p w:rsidR="005B7D8E" w:rsidRPr="005B7D8E" w:rsidRDefault="005B7D8E" w:rsidP="005B7D8E">
      <w:pPr>
        <w:tabs>
          <w:tab w:val="left" w:pos="284"/>
        </w:tabs>
        <w:spacing w:line="240" w:lineRule="auto"/>
        <w:contextualSpacing/>
        <w:jc w:val="both"/>
        <w:rPr>
          <w:rFonts w:ascii="Arial" w:eastAsia="Times New Roman" w:hAnsi="Arial" w:cs="Arial"/>
          <w:b/>
          <w:bCs/>
          <w:sz w:val="24"/>
          <w:szCs w:val="24"/>
          <w:lang w:eastAsia="zh-TW"/>
        </w:rPr>
      </w:pPr>
      <w:r w:rsidRPr="005B7D8E">
        <w:rPr>
          <w:rFonts w:ascii="Arial" w:eastAsia="Times New Roman" w:hAnsi="Arial" w:cs="Arial"/>
          <w:bCs/>
          <w:sz w:val="24"/>
          <w:szCs w:val="24"/>
          <w:lang w:eastAsia="zh-TW"/>
        </w:rPr>
        <w:t>- obbligatorio</w:t>
      </w:r>
    </w:p>
    <w:p w:rsidR="005B7D8E" w:rsidRPr="005B7D8E" w:rsidRDefault="005B7D8E" w:rsidP="005B7D8E">
      <w:pPr>
        <w:tabs>
          <w:tab w:val="left" w:pos="284"/>
        </w:tabs>
        <w:spacing w:line="240" w:lineRule="auto"/>
        <w:contextualSpacing/>
        <w:jc w:val="both"/>
        <w:rPr>
          <w:rFonts w:ascii="Arial" w:eastAsia="Times New Roman" w:hAnsi="Arial" w:cs="Arial"/>
          <w:bCs/>
          <w:sz w:val="24"/>
          <w:szCs w:val="24"/>
          <w:lang w:eastAsia="zh-TW"/>
        </w:rPr>
      </w:pPr>
      <w:r w:rsidRPr="005B7D8E">
        <w:rPr>
          <w:rFonts w:ascii="Arial" w:eastAsia="Times New Roman" w:hAnsi="Arial" w:cs="Arial"/>
          <w:b/>
          <w:bCs/>
          <w:sz w:val="24"/>
          <w:szCs w:val="24"/>
          <w:lang w:eastAsia="zh-TW"/>
        </w:rPr>
        <w:tab/>
      </w:r>
      <w:r w:rsidRPr="005B7D8E">
        <w:rPr>
          <w:rFonts w:ascii="Arial" w:eastAsia="Times New Roman" w:hAnsi="Arial" w:cs="Arial"/>
          <w:bCs/>
          <w:sz w:val="24"/>
          <w:szCs w:val="24"/>
          <w:lang w:eastAsia="zh-TW"/>
        </w:rPr>
        <w:t>▪ per i comuni con popolazione inferiore ai 5.000 abitanti la predisposizione del bilancio consolidato non è obbligatoria;</w:t>
      </w:r>
      <w:r w:rsidRPr="005B7D8E">
        <w:rPr>
          <w:rFonts w:ascii="Arial" w:eastAsia="Times New Roman" w:hAnsi="Arial" w:cs="Arial"/>
          <w:color w:val="000000"/>
          <w:sz w:val="24"/>
          <w:szCs w:val="24"/>
          <w:lang w:eastAsia="it-IT"/>
        </w:rPr>
        <w:t xml:space="preserve"> </w:t>
      </w:r>
    </w:p>
    <w:p w:rsidR="005B7D8E" w:rsidRPr="005B7D8E" w:rsidRDefault="005B7D8E" w:rsidP="005B7D8E">
      <w:pPr>
        <w:tabs>
          <w:tab w:val="left" w:pos="284"/>
        </w:tabs>
        <w:spacing w:line="240" w:lineRule="auto"/>
        <w:ind w:left="142" w:hanging="142"/>
        <w:contextualSpacing/>
        <w:jc w:val="both"/>
        <w:rPr>
          <w:rFonts w:ascii="Arial" w:eastAsia="Times New Roman" w:hAnsi="Arial" w:cs="Arial"/>
          <w:bCs/>
          <w:sz w:val="24"/>
          <w:szCs w:val="24"/>
          <w:lang w:eastAsia="zh-TW"/>
        </w:rPr>
      </w:pPr>
      <w:r w:rsidRPr="005B7D8E">
        <w:rPr>
          <w:rFonts w:ascii="Arial" w:eastAsia="Times New Roman" w:hAnsi="Arial" w:cs="Arial"/>
          <w:bCs/>
          <w:sz w:val="24"/>
          <w:szCs w:val="24"/>
          <w:lang w:eastAsia="zh-TW"/>
        </w:rPr>
        <w:t xml:space="preserve">- composto dal conto economico, dallo stato patrimoniale e dai relativi allegati </w:t>
      </w:r>
      <w:r w:rsidRPr="005B7D8E">
        <w:rPr>
          <w:rFonts w:ascii="Arial" w:eastAsia="Times New Roman" w:hAnsi="Arial" w:cs="Arial"/>
          <w:b/>
          <w:bCs/>
          <w:sz w:val="24"/>
          <w:szCs w:val="24"/>
          <w:lang w:eastAsia="zh-TW"/>
        </w:rPr>
        <w:t>(relazione sulla gestione consolidata comprensiva della nota integrativa e relazione dell’organo di revisione)</w:t>
      </w:r>
      <w:r w:rsidRPr="005B7D8E">
        <w:rPr>
          <w:rFonts w:ascii="Arial" w:eastAsia="Times New Roman" w:hAnsi="Arial" w:cs="Arial"/>
          <w:bCs/>
          <w:sz w:val="24"/>
          <w:szCs w:val="24"/>
          <w:lang w:eastAsia="zh-TW"/>
        </w:rPr>
        <w:t>;</w:t>
      </w:r>
    </w:p>
    <w:p w:rsidR="005B7D8E" w:rsidRPr="005B7D8E" w:rsidRDefault="005B7D8E" w:rsidP="005B7D8E">
      <w:pPr>
        <w:tabs>
          <w:tab w:val="left" w:pos="284"/>
        </w:tabs>
        <w:spacing w:line="240" w:lineRule="auto"/>
        <w:ind w:left="142" w:hanging="142"/>
        <w:contextualSpacing/>
        <w:jc w:val="both"/>
        <w:rPr>
          <w:rFonts w:ascii="Arial" w:eastAsia="Times New Roman" w:hAnsi="Arial" w:cs="Arial"/>
          <w:bCs/>
          <w:sz w:val="24"/>
          <w:szCs w:val="24"/>
          <w:lang w:eastAsia="zh-TW"/>
        </w:rPr>
      </w:pPr>
      <w:r w:rsidRPr="005B7D8E">
        <w:rPr>
          <w:rFonts w:ascii="Arial" w:eastAsia="Times New Roman" w:hAnsi="Arial" w:cs="Arial"/>
          <w:bCs/>
          <w:sz w:val="24"/>
          <w:szCs w:val="24"/>
          <w:lang w:eastAsia="zh-TW"/>
        </w:rPr>
        <w:t>- riferito alla data di chiusura del 31 dicembre di ciascun esercizio;</w:t>
      </w:r>
    </w:p>
    <w:p w:rsidR="005B7D8E" w:rsidRPr="005B7D8E" w:rsidRDefault="005B7D8E" w:rsidP="005B7D8E">
      <w:pPr>
        <w:tabs>
          <w:tab w:val="left" w:pos="284"/>
        </w:tabs>
        <w:spacing w:line="240" w:lineRule="auto"/>
        <w:ind w:left="142" w:hanging="142"/>
        <w:contextualSpacing/>
        <w:jc w:val="both"/>
        <w:rPr>
          <w:rFonts w:ascii="Arial" w:eastAsia="Times New Roman" w:hAnsi="Arial" w:cs="Arial"/>
          <w:sz w:val="24"/>
          <w:szCs w:val="24"/>
          <w:lang w:eastAsia="zh-TW"/>
        </w:rPr>
      </w:pPr>
      <w:r w:rsidRPr="005B7D8E">
        <w:rPr>
          <w:rFonts w:ascii="Arial" w:eastAsia="Times New Roman" w:hAnsi="Arial" w:cs="Arial"/>
          <w:bCs/>
          <w:sz w:val="24"/>
          <w:szCs w:val="24"/>
          <w:lang w:eastAsia="zh-TW"/>
        </w:rPr>
        <w:t xml:space="preserve">- </w:t>
      </w:r>
      <w:r w:rsidRPr="005B7D8E">
        <w:rPr>
          <w:rFonts w:ascii="Arial" w:eastAsia="Times New Roman" w:hAnsi="Arial" w:cs="Arial"/>
          <w:sz w:val="24"/>
          <w:szCs w:val="24"/>
          <w:lang w:eastAsia="zh-TW"/>
        </w:rPr>
        <w:t>predisposto facendo riferimento all’area di consolidamento, individuata dall’ente capogruppo, alla data del 31 dicembre dell’esercizio cui si riferisce;</w:t>
      </w:r>
    </w:p>
    <w:p w:rsidR="005B7D8E" w:rsidRDefault="005B7D8E" w:rsidP="005B7D8E">
      <w:pPr>
        <w:rPr>
          <w:rFonts w:ascii="Arial" w:hAnsi="Arial" w:cs="Arial"/>
          <w:b/>
          <w:bCs/>
          <w:sz w:val="24"/>
          <w:szCs w:val="24"/>
        </w:rPr>
      </w:pPr>
      <w:r w:rsidRPr="005B7D8E">
        <w:rPr>
          <w:rFonts w:ascii="Arial" w:eastAsia="Times New Roman" w:hAnsi="Arial" w:cs="Arial"/>
          <w:bCs/>
          <w:sz w:val="24"/>
          <w:szCs w:val="24"/>
          <w:lang w:eastAsia="zh-TW"/>
        </w:rPr>
        <w:t xml:space="preserve">- approvato entro il 30 settembre dell’anno successivo a quello di riferimento, </w:t>
      </w:r>
      <w:r w:rsidRPr="005B7D8E">
        <w:rPr>
          <w:rFonts w:ascii="Arial" w:hAnsi="Arial" w:cs="Arial"/>
          <w:b/>
          <w:bCs/>
          <w:sz w:val="24"/>
          <w:szCs w:val="24"/>
        </w:rPr>
        <w:t xml:space="preserve">fermo restando che i componenti del gruppo devono trasmettere all’ente capogruppo i dati </w:t>
      </w:r>
      <w:r w:rsidRPr="005B7D8E">
        <w:rPr>
          <w:rFonts w:ascii="Arial" w:hAnsi="Arial" w:cs="Arial"/>
          <w:b/>
          <w:bCs/>
          <w:sz w:val="24"/>
          <w:szCs w:val="24"/>
        </w:rPr>
        <w:lastRenderedPageBreak/>
        <w:t xml:space="preserve">contabili necessari per il consolidamento entro il termine stabilito dall’ente capogruppo nel Regolamento di contabilità ovvero con altro proprio atto </w:t>
      </w:r>
    </w:p>
    <w:p w:rsidR="005B7D8E" w:rsidRPr="005B7D8E" w:rsidRDefault="005B7D8E" w:rsidP="005B7D8E">
      <w:pPr>
        <w:tabs>
          <w:tab w:val="left" w:pos="284"/>
        </w:tabs>
        <w:spacing w:line="240" w:lineRule="auto"/>
        <w:contextualSpacing/>
        <w:jc w:val="both"/>
        <w:rPr>
          <w:rFonts w:ascii="Arial" w:eastAsia="Times New Roman" w:hAnsi="Arial" w:cs="Arial"/>
          <w:color w:val="000000"/>
          <w:sz w:val="24"/>
          <w:szCs w:val="24"/>
          <w:lang w:eastAsia="zh-TW"/>
        </w:rPr>
      </w:pPr>
      <w:r w:rsidRPr="005B7D8E">
        <w:rPr>
          <w:rFonts w:ascii="Arial" w:eastAsia="Times New Roman" w:hAnsi="Arial" w:cs="Arial"/>
          <w:sz w:val="24"/>
          <w:szCs w:val="24"/>
          <w:lang w:eastAsia="zh-TW"/>
        </w:rPr>
        <w:t xml:space="preserve">Il termine “gruppo amministrazione pubblica” comprende gli  enti e gli organismi strumentali, le società controllate e partecipate da un’amministrazione pubblica come definito </w:t>
      </w:r>
      <w:r w:rsidRPr="005B7D8E">
        <w:rPr>
          <w:rFonts w:ascii="Arial" w:eastAsia="Times New Roman" w:hAnsi="Arial" w:cs="Arial"/>
          <w:color w:val="000000"/>
          <w:sz w:val="24"/>
          <w:szCs w:val="24"/>
          <w:lang w:eastAsia="zh-TW"/>
        </w:rPr>
        <w:t>dal presente decreto.</w:t>
      </w:r>
    </w:p>
    <w:p w:rsidR="005B7D8E" w:rsidRPr="005B7D8E" w:rsidRDefault="005B7D8E" w:rsidP="005B7D8E">
      <w:pPr>
        <w:tabs>
          <w:tab w:val="left" w:pos="284"/>
        </w:tabs>
        <w:spacing w:line="240" w:lineRule="auto"/>
        <w:contextualSpacing/>
        <w:jc w:val="both"/>
        <w:rPr>
          <w:rFonts w:ascii="Arial" w:eastAsia="Times New Roman" w:hAnsi="Arial" w:cs="Arial"/>
          <w:sz w:val="24"/>
          <w:szCs w:val="24"/>
          <w:lang w:eastAsia="zh-TW"/>
        </w:rPr>
      </w:pPr>
    </w:p>
    <w:p w:rsidR="005B7D8E" w:rsidRPr="005B7D8E" w:rsidRDefault="005B7D8E" w:rsidP="005B7D8E">
      <w:pPr>
        <w:tabs>
          <w:tab w:val="left" w:pos="284"/>
        </w:tabs>
        <w:spacing w:line="240" w:lineRule="auto"/>
        <w:contextualSpacing/>
        <w:jc w:val="both"/>
        <w:rPr>
          <w:rFonts w:ascii="Arial" w:eastAsia="Times New Roman" w:hAnsi="Arial" w:cs="Arial"/>
          <w:sz w:val="24"/>
          <w:szCs w:val="24"/>
          <w:lang w:eastAsia="zh-TW"/>
        </w:rPr>
      </w:pPr>
      <w:r w:rsidRPr="005B7D8E">
        <w:rPr>
          <w:rFonts w:ascii="Arial" w:eastAsia="Times New Roman" w:hAnsi="Arial" w:cs="Arial"/>
          <w:sz w:val="24"/>
          <w:szCs w:val="24"/>
          <w:lang w:eastAsia="zh-TW"/>
        </w:rPr>
        <w:t xml:space="preserve">La definizione del  gruppo amministrazione pubblica fa riferimento ad una nozione di </w:t>
      </w:r>
      <w:r w:rsidRPr="005B7D8E">
        <w:rPr>
          <w:rFonts w:ascii="Arial" w:eastAsia="Times New Roman" w:hAnsi="Arial" w:cs="Arial"/>
          <w:b/>
          <w:sz w:val="24"/>
          <w:szCs w:val="24"/>
          <w:lang w:eastAsia="zh-TW"/>
        </w:rPr>
        <w:t>controllo</w:t>
      </w:r>
      <w:r w:rsidRPr="005B7D8E">
        <w:rPr>
          <w:rFonts w:ascii="Arial" w:eastAsia="Times New Roman" w:hAnsi="Arial" w:cs="Arial"/>
          <w:sz w:val="24"/>
          <w:szCs w:val="24"/>
          <w:lang w:eastAsia="zh-TW"/>
        </w:rPr>
        <w:t xml:space="preserve"> di “diritto”, di “fatto” e “contrattuale”, anche nei casi in cui non è presente un legame di partecipazione, diretta o indiretta, al capitale delle controllate ed a una nozione di </w:t>
      </w:r>
      <w:r w:rsidRPr="005B7D8E">
        <w:rPr>
          <w:rFonts w:ascii="Arial" w:eastAsia="Times New Roman" w:hAnsi="Arial" w:cs="Arial"/>
          <w:b/>
          <w:sz w:val="24"/>
          <w:szCs w:val="24"/>
          <w:lang w:eastAsia="zh-TW"/>
        </w:rPr>
        <w:t>partecipazione</w:t>
      </w:r>
      <w:r w:rsidRPr="005B7D8E">
        <w:rPr>
          <w:rFonts w:ascii="Arial" w:eastAsia="Times New Roman" w:hAnsi="Arial" w:cs="Arial"/>
          <w:sz w:val="24"/>
          <w:szCs w:val="24"/>
          <w:lang w:eastAsia="zh-TW"/>
        </w:rPr>
        <w:t>.</w:t>
      </w:r>
    </w:p>
    <w:p w:rsidR="005B7D8E" w:rsidRPr="005B7D8E" w:rsidRDefault="005B7D8E" w:rsidP="005B7D8E">
      <w:pPr>
        <w:tabs>
          <w:tab w:val="left" w:pos="284"/>
        </w:tabs>
        <w:spacing w:line="240" w:lineRule="auto"/>
        <w:contextualSpacing/>
        <w:jc w:val="both"/>
        <w:rPr>
          <w:rFonts w:ascii="Arial" w:eastAsia="Times New Roman" w:hAnsi="Arial" w:cs="Arial"/>
          <w:sz w:val="24"/>
          <w:szCs w:val="24"/>
          <w:lang w:eastAsia="zh-TW"/>
        </w:rPr>
      </w:pPr>
    </w:p>
    <w:p w:rsidR="005B7D8E" w:rsidRPr="005B7D8E" w:rsidRDefault="005B7D8E" w:rsidP="005B7D8E">
      <w:pPr>
        <w:tabs>
          <w:tab w:val="left" w:pos="284"/>
        </w:tabs>
        <w:spacing w:line="240" w:lineRule="auto"/>
        <w:contextualSpacing/>
        <w:jc w:val="both"/>
        <w:rPr>
          <w:rFonts w:ascii="Arial" w:eastAsia="Times New Roman" w:hAnsi="Arial" w:cs="Arial"/>
          <w:sz w:val="24"/>
          <w:szCs w:val="24"/>
          <w:lang w:eastAsia="zh-TW"/>
        </w:rPr>
      </w:pPr>
      <w:r w:rsidRPr="005B7D8E">
        <w:rPr>
          <w:rFonts w:ascii="Arial" w:eastAsia="Times New Roman" w:hAnsi="Arial" w:cs="Arial"/>
          <w:sz w:val="24"/>
          <w:szCs w:val="24"/>
          <w:lang w:eastAsia="zh-TW"/>
        </w:rPr>
        <w:t>Costituiscono componenti del “gruppo amministrazione pubblica”:</w:t>
      </w:r>
    </w:p>
    <w:p w:rsidR="005B7D8E" w:rsidRPr="005B7D8E" w:rsidRDefault="005B7D8E" w:rsidP="005B7D8E">
      <w:pPr>
        <w:numPr>
          <w:ilvl w:val="0"/>
          <w:numId w:val="2"/>
        </w:numPr>
        <w:tabs>
          <w:tab w:val="left" w:pos="284"/>
        </w:tabs>
        <w:spacing w:line="240" w:lineRule="auto"/>
        <w:contextualSpacing/>
        <w:jc w:val="both"/>
        <w:rPr>
          <w:rFonts w:ascii="Arial" w:eastAsia="Times New Roman" w:hAnsi="Arial" w:cs="Arial"/>
          <w:sz w:val="24"/>
          <w:szCs w:val="24"/>
          <w:lang w:eastAsia="zh-TW"/>
        </w:rPr>
      </w:pPr>
      <w:r w:rsidRPr="005B7D8E">
        <w:rPr>
          <w:rFonts w:ascii="Arial" w:eastAsia="Times New Roman" w:hAnsi="Arial" w:cs="Arial"/>
          <w:sz w:val="24"/>
          <w:szCs w:val="24"/>
          <w:u w:val="single"/>
          <w:lang w:eastAsia="zh-TW"/>
        </w:rPr>
        <w:t>gli organismi strumentali</w:t>
      </w:r>
      <w:r w:rsidRPr="005B7D8E">
        <w:rPr>
          <w:rFonts w:ascii="Arial" w:eastAsia="Times New Roman" w:hAnsi="Arial" w:cs="Arial"/>
          <w:sz w:val="24"/>
          <w:szCs w:val="24"/>
          <w:lang w:eastAsia="zh-TW"/>
        </w:rPr>
        <w:t xml:space="preserve"> dell’amministrazione pubblica capogruppo come definiti dall’articolo 1 comma 2, lettera b) del presente decreto, in quanto trattasi delle articolazioni organizzative della capogruppo stessa e, di conseguenza, già compresi nel rendiconto consolidato della capogruppo. </w:t>
      </w:r>
      <w:r w:rsidRPr="005B7D8E">
        <w:rPr>
          <w:rFonts w:ascii="Arial" w:eastAsia="Times New Roman" w:hAnsi="Arial" w:cs="Arial"/>
          <w:b/>
          <w:sz w:val="24"/>
          <w:szCs w:val="24"/>
          <w:lang w:eastAsia="zh-TW"/>
        </w:rPr>
        <w:t>Rientrano all’interno di tale categoria gli organismi che sebbene dotati di una propria autonomia contabile sono privi di personalità giuridica</w:t>
      </w:r>
      <w:r w:rsidRPr="005B7D8E">
        <w:rPr>
          <w:rFonts w:ascii="Arial" w:eastAsia="Times New Roman" w:hAnsi="Arial" w:cs="Arial"/>
          <w:sz w:val="24"/>
          <w:szCs w:val="24"/>
          <w:lang w:eastAsia="zh-TW"/>
        </w:rPr>
        <w:t>;</w:t>
      </w:r>
    </w:p>
    <w:p w:rsidR="005B7D8E" w:rsidRPr="005B7D8E" w:rsidRDefault="005B7D8E" w:rsidP="005B7D8E">
      <w:pPr>
        <w:numPr>
          <w:ilvl w:val="0"/>
          <w:numId w:val="2"/>
        </w:numPr>
        <w:tabs>
          <w:tab w:val="left" w:pos="284"/>
        </w:tabs>
        <w:spacing w:line="240" w:lineRule="auto"/>
        <w:ind w:left="284" w:hanging="284"/>
        <w:contextualSpacing/>
        <w:jc w:val="both"/>
        <w:rPr>
          <w:rFonts w:ascii="Arial" w:eastAsia="Times New Roman" w:hAnsi="Arial" w:cs="Arial"/>
          <w:sz w:val="24"/>
          <w:szCs w:val="24"/>
          <w:lang w:eastAsia="zh-TW"/>
        </w:rPr>
      </w:pPr>
      <w:r w:rsidRPr="005B7D8E">
        <w:rPr>
          <w:rFonts w:ascii="Arial" w:eastAsia="Times New Roman" w:hAnsi="Arial" w:cs="Arial"/>
          <w:b/>
          <w:sz w:val="24"/>
          <w:szCs w:val="24"/>
          <w:u w:val="single"/>
          <w:lang w:eastAsia="zh-TW"/>
        </w:rPr>
        <w:t>gli enti strumentali</w:t>
      </w:r>
      <w:r w:rsidRPr="005B7D8E">
        <w:rPr>
          <w:rFonts w:ascii="Arial" w:eastAsia="Times New Roman" w:hAnsi="Arial" w:cs="Arial"/>
          <w:b/>
          <w:sz w:val="24"/>
          <w:szCs w:val="24"/>
          <w:lang w:eastAsia="zh-TW"/>
        </w:rPr>
        <w:t xml:space="preserve"> dell’amministrazione pubblica capogruppo, intesi come soggetti, pubblici o privati, dotati di personalità giuridica e autonomia contabile. A titolo esemplificativo e non esaustivo, rientrano in tale categoria le aziende speciali, gli enti autonomi, i consorzi, le fondazioni</w:t>
      </w:r>
      <w:r w:rsidRPr="005B7D8E">
        <w:rPr>
          <w:rFonts w:ascii="Arial" w:eastAsia="Times New Roman" w:hAnsi="Arial" w:cs="Arial"/>
          <w:sz w:val="24"/>
          <w:szCs w:val="24"/>
          <w:lang w:eastAsia="zh-TW"/>
        </w:rPr>
        <w:t>;</w:t>
      </w:r>
    </w:p>
    <w:p w:rsidR="005B7D8E" w:rsidRPr="005B7D8E" w:rsidRDefault="005B7D8E" w:rsidP="005B7D8E">
      <w:pPr>
        <w:numPr>
          <w:ilvl w:val="1"/>
          <w:numId w:val="6"/>
        </w:numPr>
        <w:tabs>
          <w:tab w:val="left" w:pos="284"/>
        </w:tabs>
        <w:spacing w:line="240" w:lineRule="auto"/>
        <w:contextualSpacing/>
        <w:jc w:val="both"/>
        <w:rPr>
          <w:rFonts w:ascii="Arial" w:eastAsia="Times New Roman" w:hAnsi="Arial" w:cs="Arial"/>
          <w:sz w:val="24"/>
          <w:szCs w:val="24"/>
          <w:lang w:eastAsia="zh-TW"/>
        </w:rPr>
      </w:pPr>
      <w:r w:rsidRPr="005B7D8E">
        <w:rPr>
          <w:rFonts w:ascii="Arial" w:eastAsia="Times New Roman" w:hAnsi="Arial" w:cs="Arial"/>
          <w:sz w:val="24"/>
          <w:szCs w:val="24"/>
          <w:u w:val="single"/>
          <w:lang w:eastAsia="zh-TW"/>
        </w:rPr>
        <w:t>gli enti strumentali controllati</w:t>
      </w:r>
      <w:r w:rsidRPr="005B7D8E">
        <w:rPr>
          <w:rFonts w:ascii="Arial" w:eastAsia="Times New Roman" w:hAnsi="Arial" w:cs="Arial"/>
          <w:sz w:val="24"/>
          <w:szCs w:val="24"/>
          <w:lang w:eastAsia="zh-TW"/>
        </w:rPr>
        <w:t xml:space="preserve"> dell’amministrazione pubblica capogruppo, come definiti dall’art. 11-ter, comma 1, costituiti dagli enti pubblici e privati e dalle aziende nei cui confronti la capogruppo:</w:t>
      </w:r>
    </w:p>
    <w:p w:rsidR="005B7D8E" w:rsidRPr="005B7D8E" w:rsidRDefault="005B7D8E" w:rsidP="005B7D8E">
      <w:pPr>
        <w:numPr>
          <w:ilvl w:val="0"/>
          <w:numId w:val="3"/>
        </w:numPr>
        <w:spacing w:line="240" w:lineRule="auto"/>
        <w:contextualSpacing/>
        <w:jc w:val="both"/>
        <w:rPr>
          <w:rFonts w:ascii="Arial" w:eastAsia="Times New Roman" w:hAnsi="Arial" w:cs="Arial"/>
          <w:sz w:val="24"/>
          <w:szCs w:val="24"/>
          <w:lang w:eastAsia="zh-TW"/>
        </w:rPr>
      </w:pPr>
      <w:r w:rsidRPr="005B7D8E">
        <w:rPr>
          <w:rFonts w:ascii="Arial" w:eastAsia="Times New Roman" w:hAnsi="Arial" w:cs="Arial"/>
          <w:sz w:val="24"/>
          <w:szCs w:val="24"/>
          <w:lang w:eastAsia="zh-TW"/>
        </w:rPr>
        <w:t>ha il possesso, diretto o indiretto, della maggioranza dei voti esercitabili nell’ente o nell’azienda;</w:t>
      </w:r>
    </w:p>
    <w:p w:rsidR="005B7D8E" w:rsidRPr="005B7D8E" w:rsidRDefault="005B7D8E" w:rsidP="005B7D8E">
      <w:pPr>
        <w:numPr>
          <w:ilvl w:val="0"/>
          <w:numId w:val="3"/>
        </w:numPr>
        <w:spacing w:line="240" w:lineRule="auto"/>
        <w:contextualSpacing/>
        <w:jc w:val="both"/>
        <w:rPr>
          <w:rFonts w:ascii="Arial" w:eastAsia="Times New Roman" w:hAnsi="Arial" w:cs="Arial"/>
          <w:sz w:val="24"/>
          <w:szCs w:val="24"/>
          <w:lang w:eastAsia="zh-TW"/>
        </w:rPr>
      </w:pPr>
      <w:r w:rsidRPr="005B7D8E">
        <w:rPr>
          <w:rFonts w:ascii="Arial" w:eastAsia="Times New Roman" w:hAnsi="Arial" w:cs="Arial"/>
          <w:sz w:val="24"/>
          <w:szCs w:val="24"/>
          <w:lang w:eastAsia="zh-TW"/>
        </w:rPr>
        <w:t xml:space="preserve"> ha il potere assegnato da legge, statuto o convenzione di nominare o rimuovere la maggioranza dei componenti degli organi decisionali, competenti a definire le scelte strategiche e le politiche di settore, nonché a decidere in ordine</w:t>
      </w:r>
      <w:r w:rsidRPr="005B7D8E">
        <w:rPr>
          <w:rFonts w:ascii="Arial" w:eastAsia="Times New Roman" w:hAnsi="Arial" w:cs="Arial"/>
          <w:color w:val="000000"/>
          <w:sz w:val="24"/>
          <w:szCs w:val="24"/>
          <w:lang w:eastAsia="zh-TW"/>
        </w:rPr>
        <w:t xml:space="preserve"> all’indirizzo, alla pianificazione ed alla programmazione dell’attività di un ente o di un’azienda;</w:t>
      </w:r>
    </w:p>
    <w:p w:rsidR="005B7D8E" w:rsidRPr="005B7D8E" w:rsidRDefault="005B7D8E" w:rsidP="005B7D8E">
      <w:pPr>
        <w:numPr>
          <w:ilvl w:val="0"/>
          <w:numId w:val="3"/>
        </w:numPr>
        <w:spacing w:line="240" w:lineRule="auto"/>
        <w:contextualSpacing/>
        <w:jc w:val="both"/>
        <w:rPr>
          <w:rFonts w:ascii="Arial" w:eastAsia="Times New Roman" w:hAnsi="Arial" w:cs="Arial"/>
          <w:sz w:val="24"/>
          <w:szCs w:val="24"/>
          <w:lang w:eastAsia="zh-TW"/>
        </w:rPr>
      </w:pPr>
      <w:r w:rsidRPr="005B7D8E">
        <w:rPr>
          <w:rFonts w:ascii="Arial" w:eastAsia="Times New Roman" w:hAnsi="Arial" w:cs="Arial"/>
          <w:color w:val="000000"/>
          <w:sz w:val="24"/>
          <w:szCs w:val="24"/>
          <w:lang w:eastAsia="zh-TW"/>
        </w:rPr>
        <w:t xml:space="preserve">esercita, direttamente o indirettamente la maggioranza dei diritti di voto nelle sedute degli organi </w:t>
      </w:r>
      <w:r w:rsidRPr="005B7D8E">
        <w:rPr>
          <w:rFonts w:ascii="Arial" w:eastAsia="Times New Roman" w:hAnsi="Arial" w:cs="Arial"/>
          <w:sz w:val="24"/>
          <w:szCs w:val="24"/>
          <w:lang w:eastAsia="zh-TW"/>
        </w:rPr>
        <w:t>decisionali, competenti a definire le scelte strategiche e le politiche di settore, nonché a decidere in ordine</w:t>
      </w:r>
      <w:r w:rsidRPr="005B7D8E">
        <w:rPr>
          <w:rFonts w:ascii="Arial" w:eastAsia="Times New Roman" w:hAnsi="Arial" w:cs="Arial"/>
          <w:color w:val="000000"/>
          <w:sz w:val="24"/>
          <w:szCs w:val="24"/>
          <w:lang w:eastAsia="zh-TW"/>
        </w:rPr>
        <w:t xml:space="preserve"> all’indirizzo, alla pianificazione ed alla programmazione dell’attività dell’ente o dell’azienda;</w:t>
      </w:r>
    </w:p>
    <w:p w:rsidR="005B7D8E" w:rsidRPr="005B7D8E" w:rsidRDefault="005B7D8E" w:rsidP="005B7D8E">
      <w:pPr>
        <w:numPr>
          <w:ilvl w:val="0"/>
          <w:numId w:val="3"/>
        </w:numPr>
        <w:spacing w:line="240" w:lineRule="auto"/>
        <w:contextualSpacing/>
        <w:jc w:val="both"/>
        <w:rPr>
          <w:rFonts w:ascii="Arial" w:eastAsia="Times New Roman" w:hAnsi="Arial" w:cs="Arial"/>
          <w:sz w:val="24"/>
          <w:szCs w:val="24"/>
          <w:lang w:eastAsia="zh-TW"/>
        </w:rPr>
      </w:pPr>
      <w:r w:rsidRPr="005B7D8E">
        <w:rPr>
          <w:rFonts w:ascii="Arial" w:eastAsia="Times New Roman" w:hAnsi="Arial" w:cs="Arial"/>
          <w:color w:val="000000"/>
          <w:sz w:val="24"/>
          <w:szCs w:val="24"/>
          <w:lang w:eastAsia="zh-TW"/>
        </w:rPr>
        <w:t>ha l’obbligo di ripianare i disavanzi  nei casi consentiti dalla legge, per percentuali superiori alla quota di partecipazione;</w:t>
      </w:r>
    </w:p>
    <w:p w:rsidR="005B7D8E" w:rsidRPr="005B7D8E" w:rsidRDefault="005B7D8E" w:rsidP="005B7D8E">
      <w:pPr>
        <w:numPr>
          <w:ilvl w:val="0"/>
          <w:numId w:val="3"/>
        </w:numPr>
        <w:spacing w:line="240" w:lineRule="auto"/>
        <w:contextualSpacing/>
        <w:jc w:val="both"/>
        <w:rPr>
          <w:rFonts w:ascii="Arial" w:eastAsia="Times New Roman" w:hAnsi="Arial" w:cs="Arial"/>
          <w:sz w:val="24"/>
          <w:szCs w:val="24"/>
          <w:lang w:eastAsia="zh-TW"/>
        </w:rPr>
      </w:pPr>
      <w:r w:rsidRPr="005B7D8E">
        <w:rPr>
          <w:rFonts w:ascii="Arial" w:eastAsia="Times New Roman" w:hAnsi="Arial" w:cs="Arial"/>
          <w:color w:val="000000"/>
          <w:sz w:val="24"/>
          <w:szCs w:val="24"/>
          <w:lang w:eastAsia="zh-TW"/>
        </w:rPr>
        <w:t xml:space="preserve">esercita un’influenza dominante in virtù di contratti o clausole statutarie, nei casi in cui la legge consente tali contratti o clausole. </w:t>
      </w:r>
      <w:r w:rsidRPr="005B7D8E">
        <w:rPr>
          <w:rFonts w:ascii="Arial" w:eastAsia="Times New Roman" w:hAnsi="Arial" w:cs="Arial"/>
          <w:b/>
          <w:color w:val="000000"/>
          <w:sz w:val="24"/>
          <w:szCs w:val="24"/>
          <w:lang w:eastAsia="zh-TW"/>
        </w:rPr>
        <w:t>L’influenza dominante si manifesta attraverso clausole contrattuali che incidono significativamente sulla gestione dell’altro contraente (ad esempio l’imposizione della tariffa minima, l’obbligo di fruibilità pubblica del servizio, previsione di agevolazioni o esenzioni) che svolge l’attività prevalentemente nei confronti dell’ente controllante</w:t>
      </w:r>
      <w:r w:rsidRPr="005B7D8E">
        <w:rPr>
          <w:rFonts w:ascii="Arial" w:eastAsia="Times New Roman" w:hAnsi="Arial" w:cs="Arial"/>
          <w:color w:val="000000"/>
          <w:sz w:val="24"/>
          <w:szCs w:val="24"/>
          <w:lang w:eastAsia="zh-TW"/>
        </w:rPr>
        <w:t xml:space="preserve">. I contratti di servizio pubblico e di concessione stipulati con enti o aziende, che svolgono prevalentemente l’attività oggetto di tali contratti presuppongono l’esercizio di influenza dominante. </w:t>
      </w:r>
    </w:p>
    <w:p w:rsidR="005B7D8E" w:rsidRPr="005B7D8E" w:rsidRDefault="005B7D8E" w:rsidP="005B7D8E">
      <w:pPr>
        <w:spacing w:line="240" w:lineRule="auto"/>
        <w:ind w:left="1080"/>
        <w:contextualSpacing/>
        <w:jc w:val="both"/>
        <w:rPr>
          <w:rFonts w:ascii="Arial" w:eastAsia="Times New Roman" w:hAnsi="Arial" w:cs="Arial"/>
          <w:b/>
          <w:sz w:val="24"/>
          <w:szCs w:val="24"/>
          <w:lang w:eastAsia="zh-TW"/>
        </w:rPr>
      </w:pPr>
      <w:r w:rsidRPr="005B7D8E">
        <w:rPr>
          <w:rFonts w:ascii="Arial" w:eastAsia="Times New Roman" w:hAnsi="Arial" w:cs="Arial"/>
          <w:b/>
          <w:color w:val="000000"/>
          <w:sz w:val="24"/>
          <w:szCs w:val="24"/>
          <w:lang w:eastAsia="zh-TW"/>
        </w:rPr>
        <w:t>L’attività si definisce prevalente se l’ente controllato abbia conseguito nell’anno precedente ricavi e proventi riconducibili all’amministrazione pubblica capogruppo superiori all’80% dei ricavi complessivi.</w:t>
      </w:r>
    </w:p>
    <w:p w:rsidR="005B7D8E" w:rsidRPr="005B7D8E" w:rsidRDefault="005B7D8E" w:rsidP="005B7D8E">
      <w:pPr>
        <w:spacing w:line="240" w:lineRule="auto"/>
        <w:ind w:left="1080"/>
        <w:contextualSpacing/>
        <w:jc w:val="both"/>
        <w:rPr>
          <w:rFonts w:ascii="Arial" w:eastAsia="Times New Roman" w:hAnsi="Arial" w:cs="Arial"/>
          <w:color w:val="000000"/>
          <w:sz w:val="24"/>
          <w:szCs w:val="24"/>
          <w:lang w:eastAsia="zh-TW"/>
        </w:rPr>
      </w:pPr>
      <w:r w:rsidRPr="005B7D8E">
        <w:rPr>
          <w:rFonts w:ascii="Arial" w:eastAsia="Times New Roman" w:hAnsi="Arial" w:cs="Arial"/>
          <w:b/>
          <w:color w:val="000000"/>
          <w:sz w:val="24"/>
          <w:szCs w:val="24"/>
          <w:lang w:eastAsia="zh-TW"/>
        </w:rPr>
        <w:lastRenderedPageBreak/>
        <w:t>Non sono comprese nel perimetro di consolidamento gli enti e le aziende per i quali sia stata avviata una procedura concorsuale, mentre sono compresi gli enti in liquidazione</w:t>
      </w:r>
      <w:r w:rsidRPr="005B7D8E">
        <w:rPr>
          <w:rFonts w:ascii="Arial" w:eastAsia="Times New Roman" w:hAnsi="Arial" w:cs="Arial"/>
          <w:color w:val="000000"/>
          <w:sz w:val="24"/>
          <w:szCs w:val="24"/>
          <w:lang w:eastAsia="zh-TW"/>
        </w:rPr>
        <w:t>.</w:t>
      </w:r>
    </w:p>
    <w:p w:rsidR="005B7D8E" w:rsidRPr="005B7D8E" w:rsidRDefault="005B7D8E" w:rsidP="005B7D8E">
      <w:pPr>
        <w:spacing w:line="240" w:lineRule="auto"/>
        <w:ind w:left="1080"/>
        <w:contextualSpacing/>
        <w:jc w:val="both"/>
        <w:rPr>
          <w:rFonts w:ascii="Arial" w:eastAsia="Times New Roman" w:hAnsi="Arial" w:cs="Arial"/>
          <w:color w:val="000000"/>
          <w:sz w:val="24"/>
          <w:szCs w:val="24"/>
          <w:highlight w:val="cyan"/>
          <w:lang w:eastAsia="zh-TW"/>
        </w:rPr>
      </w:pPr>
    </w:p>
    <w:p w:rsidR="005B7D8E" w:rsidRPr="005B7D8E" w:rsidRDefault="005B7D8E" w:rsidP="005B7D8E">
      <w:pPr>
        <w:numPr>
          <w:ilvl w:val="1"/>
          <w:numId w:val="6"/>
        </w:numPr>
        <w:tabs>
          <w:tab w:val="left" w:pos="284"/>
        </w:tabs>
        <w:spacing w:after="0" w:line="240" w:lineRule="auto"/>
        <w:ind w:left="357" w:hanging="357"/>
        <w:contextualSpacing/>
        <w:jc w:val="both"/>
        <w:rPr>
          <w:rFonts w:ascii="Arial" w:eastAsia="Times New Roman" w:hAnsi="Arial" w:cs="Arial"/>
          <w:sz w:val="24"/>
          <w:szCs w:val="24"/>
          <w:lang w:eastAsia="zh-TW"/>
        </w:rPr>
      </w:pPr>
      <w:r w:rsidRPr="005B7D8E">
        <w:rPr>
          <w:rFonts w:ascii="Arial" w:eastAsia="Times New Roman" w:hAnsi="Arial" w:cs="Arial"/>
          <w:sz w:val="24"/>
          <w:szCs w:val="24"/>
          <w:u w:val="single"/>
          <w:lang w:eastAsia="zh-TW"/>
        </w:rPr>
        <w:t>gli enti strumentali partecipati</w:t>
      </w:r>
      <w:r w:rsidRPr="005B7D8E">
        <w:rPr>
          <w:rFonts w:ascii="Arial" w:eastAsia="Times New Roman" w:hAnsi="Arial" w:cs="Arial"/>
          <w:sz w:val="24"/>
          <w:szCs w:val="24"/>
          <w:lang w:eastAsia="zh-TW"/>
        </w:rPr>
        <w:t xml:space="preserve"> di un’amministrazione pubblica, come definiti dall’articolo 11-ter, comma 2, costituiti dagli enti pubblici e privati e dalle aziende nei cui confronti la capogruppo ha una partecipazione in assenza delle condizioni di cui al punto 2.</w:t>
      </w:r>
    </w:p>
    <w:p w:rsidR="005B7D8E" w:rsidRPr="005B7D8E" w:rsidRDefault="005B7D8E" w:rsidP="005B7D8E">
      <w:pPr>
        <w:numPr>
          <w:ilvl w:val="0"/>
          <w:numId w:val="5"/>
        </w:numPr>
        <w:spacing w:after="0"/>
        <w:jc w:val="both"/>
        <w:rPr>
          <w:rFonts w:ascii="Arial" w:eastAsia="Times New Roman" w:hAnsi="Arial" w:cs="Arial"/>
          <w:sz w:val="24"/>
          <w:szCs w:val="24"/>
          <w:lang w:eastAsia="zh-TW"/>
        </w:rPr>
      </w:pPr>
      <w:r w:rsidRPr="005B7D8E">
        <w:rPr>
          <w:rFonts w:ascii="Arial" w:eastAsia="Times New Roman" w:hAnsi="Arial" w:cs="Arial"/>
          <w:b/>
          <w:sz w:val="24"/>
          <w:szCs w:val="24"/>
          <w:lang w:eastAsia="zh-TW"/>
        </w:rPr>
        <w:t xml:space="preserve">le società, intese come enti organizzati in una delle forme societarie previste dal codice civile Libro V, Titolo V, Capi V, VI e VII (società di capitali), o i gruppi di tali società nelle quali l’amministrazione esercita il controllo o detiene una partecipazione. In presenza di gruppi di società che redigono il bilancio consolidato, rientranti nell’area di consolidamento dell’amministrazione come di seguito descritta, oggetto del consolidamento sarà il bilancio consolidato del gruppo. </w:t>
      </w:r>
      <w:bookmarkStart w:id="0" w:name="_Hlk486044076"/>
      <w:r w:rsidRPr="005B7D8E">
        <w:rPr>
          <w:rFonts w:ascii="Arial" w:eastAsia="Times New Roman" w:hAnsi="Arial" w:cs="Arial"/>
          <w:b/>
          <w:sz w:val="24"/>
          <w:szCs w:val="24"/>
          <w:lang w:eastAsia="zh-TW"/>
        </w:rPr>
        <w:t>Non sono comprese nel perimetro di consolidamento le società per le quali sia stata avviata una procedura concorsuale, mentre sono comprese le società in liquidazione</w:t>
      </w:r>
      <w:bookmarkEnd w:id="0"/>
      <w:r w:rsidRPr="005B7D8E">
        <w:rPr>
          <w:rFonts w:ascii="Arial" w:eastAsia="Times New Roman" w:hAnsi="Arial" w:cs="Arial"/>
          <w:sz w:val="24"/>
          <w:szCs w:val="24"/>
          <w:lang w:eastAsia="zh-TW"/>
        </w:rPr>
        <w:t>;</w:t>
      </w:r>
    </w:p>
    <w:p w:rsidR="005B7D8E" w:rsidRPr="005B7D8E" w:rsidRDefault="005B7D8E" w:rsidP="005B7D8E">
      <w:pPr>
        <w:numPr>
          <w:ilvl w:val="1"/>
          <w:numId w:val="5"/>
        </w:numPr>
        <w:tabs>
          <w:tab w:val="left" w:pos="284"/>
        </w:tabs>
        <w:spacing w:line="240" w:lineRule="auto"/>
        <w:ind w:left="426" w:hanging="426"/>
        <w:contextualSpacing/>
        <w:jc w:val="both"/>
        <w:rPr>
          <w:rFonts w:ascii="Arial" w:eastAsia="Times New Roman" w:hAnsi="Arial" w:cs="Arial"/>
          <w:sz w:val="24"/>
          <w:szCs w:val="24"/>
          <w:lang w:eastAsia="zh-TW"/>
        </w:rPr>
      </w:pPr>
      <w:r w:rsidRPr="005B7D8E">
        <w:rPr>
          <w:rFonts w:ascii="Arial" w:eastAsia="Times New Roman" w:hAnsi="Arial" w:cs="Arial"/>
          <w:sz w:val="24"/>
          <w:szCs w:val="24"/>
          <w:u w:val="single"/>
          <w:lang w:eastAsia="zh-TW"/>
        </w:rPr>
        <w:t>le società controllate</w:t>
      </w:r>
      <w:r w:rsidRPr="005B7D8E">
        <w:rPr>
          <w:rFonts w:ascii="Arial" w:eastAsia="Times New Roman" w:hAnsi="Arial" w:cs="Arial"/>
          <w:sz w:val="24"/>
          <w:szCs w:val="24"/>
          <w:lang w:eastAsia="zh-TW"/>
        </w:rPr>
        <w:t xml:space="preserve"> dall’amministrazione pubblica capogruppo, nei cui confronti la capogruppo:</w:t>
      </w:r>
    </w:p>
    <w:p w:rsidR="005B7D8E" w:rsidRPr="005B7D8E" w:rsidRDefault="005B7D8E" w:rsidP="005B7D8E">
      <w:pPr>
        <w:numPr>
          <w:ilvl w:val="1"/>
          <w:numId w:val="4"/>
        </w:numPr>
        <w:spacing w:line="240" w:lineRule="auto"/>
        <w:ind w:left="1134" w:hanging="425"/>
        <w:contextualSpacing/>
        <w:jc w:val="both"/>
        <w:rPr>
          <w:rFonts w:ascii="Arial" w:eastAsia="Times New Roman" w:hAnsi="Arial" w:cs="Arial"/>
          <w:sz w:val="24"/>
          <w:szCs w:val="24"/>
          <w:lang w:eastAsia="zh-TW"/>
        </w:rPr>
      </w:pPr>
      <w:r w:rsidRPr="005B7D8E">
        <w:rPr>
          <w:rFonts w:ascii="Arial" w:eastAsia="Times New Roman" w:hAnsi="Arial" w:cs="Arial"/>
          <w:color w:val="000000"/>
          <w:sz w:val="24"/>
          <w:szCs w:val="24"/>
          <w:lang w:eastAsia="zh-TW"/>
        </w:rPr>
        <w:t xml:space="preserve">ha </w:t>
      </w:r>
      <w:r w:rsidRPr="005B7D8E">
        <w:rPr>
          <w:rFonts w:ascii="Arial" w:eastAsia="Times New Roman" w:hAnsi="Arial" w:cs="Arial"/>
          <w:sz w:val="24"/>
          <w:szCs w:val="24"/>
          <w:lang w:eastAsia="zh-TW"/>
        </w:rPr>
        <w:t xml:space="preserve"> il possesso, diretto o indiretto, </w:t>
      </w:r>
      <w:r w:rsidRPr="005B7D8E">
        <w:rPr>
          <w:rFonts w:ascii="Arial" w:eastAsia="Times New Roman" w:hAnsi="Arial" w:cs="Arial"/>
          <w:color w:val="000000"/>
          <w:sz w:val="24"/>
          <w:szCs w:val="24"/>
          <w:lang w:eastAsia="zh-TW"/>
        </w:rPr>
        <w:t xml:space="preserve">anche sulla scorta di patti parasociali, </w:t>
      </w:r>
      <w:r w:rsidRPr="005B7D8E">
        <w:rPr>
          <w:rFonts w:ascii="Arial" w:eastAsia="Times New Roman" w:hAnsi="Arial" w:cs="Arial"/>
          <w:sz w:val="24"/>
          <w:szCs w:val="24"/>
          <w:lang w:eastAsia="zh-TW"/>
        </w:rPr>
        <w:t xml:space="preserve">della maggioranza dei voti </w:t>
      </w:r>
      <w:r w:rsidRPr="005B7D8E">
        <w:rPr>
          <w:rFonts w:ascii="Arial" w:eastAsia="Times New Roman" w:hAnsi="Arial" w:cs="Arial"/>
          <w:color w:val="000000"/>
          <w:sz w:val="24"/>
          <w:szCs w:val="24"/>
          <w:lang w:eastAsia="zh-TW"/>
        </w:rPr>
        <w:t xml:space="preserve">esercitabili nell’assemblea ordinaria o dispone di voti sufficienti per esercitare una influenza dominante sull’assemblea ordinaria; </w:t>
      </w:r>
    </w:p>
    <w:p w:rsidR="005B7D8E" w:rsidRPr="005B7D8E" w:rsidRDefault="005B7D8E" w:rsidP="005B7D8E">
      <w:pPr>
        <w:numPr>
          <w:ilvl w:val="0"/>
          <w:numId w:val="7"/>
        </w:numPr>
        <w:spacing w:line="240" w:lineRule="auto"/>
        <w:ind w:hanging="513"/>
        <w:contextualSpacing/>
        <w:jc w:val="both"/>
        <w:rPr>
          <w:rFonts w:ascii="Arial" w:eastAsia="Times New Roman" w:hAnsi="Arial" w:cs="Arial"/>
          <w:sz w:val="24"/>
          <w:szCs w:val="24"/>
          <w:lang w:eastAsia="zh-TW"/>
        </w:rPr>
      </w:pPr>
      <w:r w:rsidRPr="005B7D8E">
        <w:rPr>
          <w:rFonts w:ascii="Arial" w:eastAsia="Times New Roman" w:hAnsi="Arial" w:cs="Arial"/>
          <w:color w:val="000000"/>
          <w:sz w:val="24"/>
          <w:szCs w:val="24"/>
          <w:lang w:eastAsia="zh-TW"/>
        </w:rPr>
        <w:t xml:space="preserve">ha il diritto, in virtù di un contratto o di una clausola statutaria, di esercitare un’influenza dominante, quando la legge consente tali contratti o clausole. </w:t>
      </w:r>
      <w:r w:rsidRPr="005B7D8E">
        <w:rPr>
          <w:rFonts w:ascii="Arial" w:eastAsia="Times New Roman" w:hAnsi="Arial" w:cs="Arial"/>
          <w:b/>
          <w:color w:val="000000"/>
          <w:sz w:val="24"/>
          <w:szCs w:val="24"/>
          <w:lang w:eastAsia="zh-TW"/>
        </w:rPr>
        <w:t>L’influenza dominante si manifesta attraverso clausole contrattuali che incidono significativamente sulla gestione dell’altro contraente (ad esempio l’imposizione della tariffa minima, l’obbligo di fruibilità pubblica del servizio, previsione di agevolazioni o esenzioni) che svolge l’attività prevalentemente nei confronti dell’ente controllante</w:t>
      </w:r>
      <w:r w:rsidRPr="005B7D8E">
        <w:rPr>
          <w:rFonts w:ascii="Arial" w:eastAsia="Times New Roman" w:hAnsi="Arial" w:cs="Arial"/>
          <w:color w:val="000000"/>
          <w:sz w:val="24"/>
          <w:szCs w:val="24"/>
          <w:lang w:eastAsia="zh-TW"/>
        </w:rPr>
        <w:t xml:space="preserve">. I contratti di servizio pubblico e di concessione stipulati con società, che svolgono prevalentemente l’attività oggetto di tali contratti presuppongono l’esercizio di influenza dominante. </w:t>
      </w:r>
    </w:p>
    <w:p w:rsidR="005B7D8E" w:rsidRPr="005B7D8E" w:rsidRDefault="005B7D8E" w:rsidP="005B7D8E">
      <w:pPr>
        <w:spacing w:line="240" w:lineRule="auto"/>
        <w:ind w:left="1080"/>
        <w:contextualSpacing/>
        <w:jc w:val="both"/>
        <w:rPr>
          <w:rFonts w:ascii="Arial" w:eastAsia="Times New Roman" w:hAnsi="Arial" w:cs="Arial"/>
          <w:sz w:val="24"/>
          <w:szCs w:val="24"/>
          <w:lang w:eastAsia="zh-TW"/>
        </w:rPr>
      </w:pPr>
      <w:r w:rsidRPr="005B7D8E">
        <w:rPr>
          <w:rFonts w:ascii="Arial" w:eastAsia="Times New Roman" w:hAnsi="Arial" w:cs="Arial"/>
          <w:b/>
          <w:color w:val="000000"/>
          <w:sz w:val="24"/>
          <w:szCs w:val="24"/>
          <w:lang w:eastAsia="zh-TW"/>
        </w:rPr>
        <w:t>L’attività si definisce prevalente se la società controllata abbia conseguito nell’anno precedente ricavi a favore dell’amministrazione pubblica capogruppo superiori all’80% dell’intero fatturato</w:t>
      </w:r>
      <w:r w:rsidRPr="005B7D8E">
        <w:rPr>
          <w:rFonts w:ascii="Arial" w:eastAsia="Times New Roman" w:hAnsi="Arial" w:cs="Arial"/>
          <w:color w:val="000000"/>
          <w:sz w:val="24"/>
          <w:szCs w:val="24"/>
          <w:lang w:eastAsia="zh-TW"/>
        </w:rPr>
        <w:t>.</w:t>
      </w:r>
    </w:p>
    <w:p w:rsidR="005B7D8E" w:rsidRPr="005B7D8E" w:rsidRDefault="005B7D8E" w:rsidP="005B7D8E">
      <w:pPr>
        <w:spacing w:after="0" w:line="240" w:lineRule="auto"/>
        <w:ind w:left="426"/>
        <w:contextualSpacing/>
        <w:jc w:val="both"/>
        <w:rPr>
          <w:rFonts w:ascii="Arial" w:eastAsia="Times New Roman" w:hAnsi="Arial" w:cs="Arial"/>
          <w:sz w:val="24"/>
          <w:szCs w:val="24"/>
          <w:lang w:eastAsia="zh-TW"/>
        </w:rPr>
      </w:pPr>
      <w:bookmarkStart w:id="1" w:name="_Hlk486044134"/>
      <w:r w:rsidRPr="005B7D8E">
        <w:rPr>
          <w:rFonts w:ascii="Arial" w:eastAsia="Times New Roman" w:hAnsi="Arial" w:cs="Arial"/>
          <w:sz w:val="24"/>
          <w:szCs w:val="24"/>
          <w:lang w:eastAsia="zh-TW"/>
        </w:rPr>
        <w:t>In fase di prima applicazione del presente decreto, con riferimento agli esercizi 2015 – 2017, non sono considerate le società quotate e quelle da esse controllate ai sensi dell'articolo 2359 del codice civile. A tal fine, per società quotate si intendono le società emittenti strumenti finanziari quotati in mercati regolamentati.</w:t>
      </w:r>
    </w:p>
    <w:p w:rsidR="005B7D8E" w:rsidRPr="005B7D8E" w:rsidRDefault="005B7D8E" w:rsidP="005B7D8E">
      <w:pPr>
        <w:numPr>
          <w:ilvl w:val="1"/>
          <w:numId w:val="5"/>
        </w:numPr>
        <w:spacing w:line="240" w:lineRule="auto"/>
        <w:ind w:left="426" w:hanging="426"/>
        <w:contextualSpacing/>
        <w:jc w:val="both"/>
        <w:rPr>
          <w:rFonts w:ascii="Arial" w:eastAsia="Times New Roman" w:hAnsi="Arial" w:cs="Arial"/>
          <w:color w:val="000000"/>
          <w:sz w:val="24"/>
          <w:szCs w:val="24"/>
          <w:lang w:eastAsia="zh-TW"/>
        </w:rPr>
      </w:pPr>
      <w:r w:rsidRPr="005B7D8E">
        <w:rPr>
          <w:rFonts w:ascii="Arial" w:eastAsia="Times New Roman" w:hAnsi="Arial" w:cs="Arial"/>
          <w:color w:val="000000"/>
          <w:sz w:val="24"/>
          <w:szCs w:val="24"/>
          <w:lang w:eastAsia="zh-TW"/>
        </w:rPr>
        <w:t xml:space="preserve">le società partecipate dell’amministrazione pubblica capogruppo, costituite dalle società a totale partecipazione pubblica affidatarie dirette di servizi pubblici locali della regione o dell’ente locale indipendentemente dalla quota di partecipazione.  A decorrere </w:t>
      </w:r>
      <w:r w:rsidRPr="005B7D8E">
        <w:rPr>
          <w:rFonts w:ascii="Arial" w:eastAsia="Times New Roman" w:hAnsi="Arial" w:cs="Arial"/>
          <w:b/>
          <w:color w:val="000000"/>
          <w:sz w:val="24"/>
          <w:szCs w:val="24"/>
          <w:lang w:eastAsia="zh-TW"/>
        </w:rPr>
        <w:t>dal 2019</w:t>
      </w:r>
      <w:r w:rsidRPr="005B7D8E">
        <w:rPr>
          <w:rFonts w:ascii="Arial" w:eastAsia="Times New Roman" w:hAnsi="Arial" w:cs="Arial"/>
          <w:color w:val="000000"/>
          <w:sz w:val="24"/>
          <w:szCs w:val="24"/>
          <w:lang w:eastAsia="zh-TW"/>
        </w:rPr>
        <w:t xml:space="preserve">, con riferimento </w:t>
      </w:r>
      <w:r w:rsidRPr="005B7D8E">
        <w:rPr>
          <w:rFonts w:ascii="Arial" w:eastAsia="Times New Roman" w:hAnsi="Arial" w:cs="Arial"/>
          <w:b/>
          <w:color w:val="000000"/>
          <w:sz w:val="24"/>
          <w:szCs w:val="24"/>
          <w:lang w:eastAsia="zh-TW"/>
        </w:rPr>
        <w:t>all’esercizio 2018</w:t>
      </w:r>
      <w:r w:rsidRPr="005B7D8E">
        <w:rPr>
          <w:rFonts w:ascii="Arial" w:eastAsia="Times New Roman" w:hAnsi="Arial" w:cs="Arial"/>
          <w:color w:val="000000"/>
          <w:sz w:val="24"/>
          <w:szCs w:val="24"/>
          <w:lang w:eastAsia="zh-TW"/>
        </w:rPr>
        <w:t xml:space="preserve"> la definizione di società partecipata è estesa alle società nelle quali la regione o l’ente locale, direttamente o indirettamente, dispone di una quota significativa di voti, esercitabili in assemblea, pari o superiore al 20 per cento, o al 10 per cento se trattasi di società quotata.</w:t>
      </w:r>
    </w:p>
    <w:bookmarkEnd w:id="1"/>
    <w:p w:rsidR="005B7D8E" w:rsidRPr="005B7D8E" w:rsidRDefault="005B7D8E" w:rsidP="005B7D8E">
      <w:pPr>
        <w:tabs>
          <w:tab w:val="left" w:pos="284"/>
        </w:tabs>
        <w:spacing w:line="240" w:lineRule="auto"/>
        <w:jc w:val="both"/>
        <w:rPr>
          <w:rFonts w:ascii="Arial" w:hAnsi="Arial" w:cs="Arial"/>
          <w:sz w:val="24"/>
          <w:szCs w:val="24"/>
        </w:rPr>
      </w:pPr>
      <w:r w:rsidRPr="005B7D8E">
        <w:rPr>
          <w:rFonts w:ascii="Arial" w:hAnsi="Arial" w:cs="Arial"/>
          <w:sz w:val="24"/>
          <w:szCs w:val="24"/>
        </w:rPr>
        <w:t xml:space="preserve">Ai fini dell’inclusione nel gruppo dell’amministrazione pubblica </w:t>
      </w:r>
      <w:r w:rsidRPr="005B7D8E">
        <w:rPr>
          <w:rFonts w:ascii="Arial" w:hAnsi="Arial" w:cs="Arial"/>
          <w:i/>
          <w:sz w:val="24"/>
          <w:szCs w:val="24"/>
        </w:rPr>
        <w:t>non</w:t>
      </w:r>
      <w:r w:rsidRPr="005B7D8E">
        <w:rPr>
          <w:rFonts w:ascii="Arial" w:hAnsi="Arial" w:cs="Arial"/>
          <w:sz w:val="24"/>
          <w:szCs w:val="24"/>
        </w:rPr>
        <w:t xml:space="preserve"> rileva la forma giuridica nè la differente natura dell’attività svolta dall’ente strumentale o dalla società.</w:t>
      </w:r>
    </w:p>
    <w:p w:rsidR="005B7D8E" w:rsidRPr="005B7D8E" w:rsidRDefault="005B7D8E" w:rsidP="005B7D8E">
      <w:pPr>
        <w:tabs>
          <w:tab w:val="left" w:pos="284"/>
        </w:tabs>
        <w:spacing w:line="240" w:lineRule="auto"/>
        <w:jc w:val="both"/>
        <w:rPr>
          <w:rFonts w:ascii="Arial" w:hAnsi="Arial" w:cs="Arial"/>
          <w:sz w:val="24"/>
          <w:szCs w:val="24"/>
        </w:rPr>
      </w:pPr>
      <w:r w:rsidRPr="005B7D8E">
        <w:rPr>
          <w:rFonts w:ascii="Arial" w:hAnsi="Arial" w:cs="Arial"/>
          <w:sz w:val="24"/>
          <w:szCs w:val="24"/>
        </w:rPr>
        <w:lastRenderedPageBreak/>
        <w:t>Il gruppo “amministrazione pubblica” può comprendere anche gruppi intermedi di amministrazioni pubbliche o di imprese. In tal caso il bilancio consolidato è predisposto aggregando anche i bilanci consolidati dei gruppi intermedi.</w:t>
      </w:r>
    </w:p>
    <w:p w:rsidR="005B7D8E" w:rsidRPr="005B7D8E" w:rsidRDefault="005B7D8E" w:rsidP="005B7D8E">
      <w:pPr>
        <w:rPr>
          <w:rFonts w:ascii="Arial" w:eastAsia="Times New Roman" w:hAnsi="Arial" w:cs="Arial"/>
          <w:b/>
          <w:sz w:val="24"/>
          <w:szCs w:val="24"/>
          <w:lang w:eastAsia="zh-TW"/>
        </w:rPr>
      </w:pPr>
    </w:p>
    <w:p w:rsidR="005B7D8E" w:rsidRPr="005B7D8E" w:rsidRDefault="005B7D8E" w:rsidP="005B7D8E">
      <w:pPr>
        <w:rPr>
          <w:rFonts w:ascii="Arial" w:hAnsi="Arial" w:cs="Arial"/>
          <w:sz w:val="24"/>
          <w:szCs w:val="24"/>
        </w:rPr>
      </w:pPr>
    </w:p>
    <w:sectPr w:rsidR="005B7D8E" w:rsidRPr="005B7D8E" w:rsidSect="00C220A3">
      <w:pgSz w:w="11906" w:h="16838"/>
      <w:pgMar w:top="1417" w:right="1134"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B7D8E" w:rsidRDefault="005B7D8E" w:rsidP="005B7D8E">
      <w:pPr>
        <w:spacing w:after="0" w:line="240" w:lineRule="auto"/>
      </w:pPr>
      <w:r>
        <w:separator/>
      </w:r>
    </w:p>
  </w:endnote>
  <w:endnote w:type="continuationSeparator" w:id="0">
    <w:p w:rsidR="005B7D8E" w:rsidRDefault="005B7D8E" w:rsidP="005B7D8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B7D8E" w:rsidRDefault="005B7D8E" w:rsidP="005B7D8E">
      <w:pPr>
        <w:spacing w:after="0" w:line="240" w:lineRule="auto"/>
      </w:pPr>
      <w:r>
        <w:separator/>
      </w:r>
    </w:p>
  </w:footnote>
  <w:footnote w:type="continuationSeparator" w:id="0">
    <w:p w:rsidR="005B7D8E" w:rsidRDefault="005B7D8E" w:rsidP="005B7D8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3646F3"/>
    <w:multiLevelType w:val="hybridMultilevel"/>
    <w:tmpl w:val="8280D4DA"/>
    <w:lvl w:ilvl="0" w:tplc="0410000F">
      <w:start w:val="1"/>
      <w:numFmt w:val="decimal"/>
      <w:lvlText w:val="%1."/>
      <w:lvlJc w:val="left"/>
      <w:pPr>
        <w:ind w:left="502" w:hanging="360"/>
      </w:pPr>
      <w:rPr>
        <w:rFonts w:hint="default"/>
      </w:rPr>
    </w:lvl>
    <w:lvl w:ilvl="1" w:tplc="04100019">
      <w:start w:val="1"/>
      <w:numFmt w:val="lowerLetter"/>
      <w:lvlText w:val="%2."/>
      <w:lvlJc w:val="left"/>
      <w:pPr>
        <w:ind w:left="1222" w:hanging="360"/>
      </w:pPr>
      <w:rPr>
        <w:rFonts w:cs="Times New Roman"/>
      </w:rPr>
    </w:lvl>
    <w:lvl w:ilvl="2" w:tplc="0410001B" w:tentative="1">
      <w:start w:val="1"/>
      <w:numFmt w:val="lowerRoman"/>
      <w:lvlText w:val="%3."/>
      <w:lvlJc w:val="right"/>
      <w:pPr>
        <w:ind w:left="1942" w:hanging="180"/>
      </w:pPr>
      <w:rPr>
        <w:rFonts w:cs="Times New Roman"/>
      </w:rPr>
    </w:lvl>
    <w:lvl w:ilvl="3" w:tplc="0410000F" w:tentative="1">
      <w:start w:val="1"/>
      <w:numFmt w:val="decimal"/>
      <w:lvlText w:val="%4."/>
      <w:lvlJc w:val="left"/>
      <w:pPr>
        <w:ind w:left="2662" w:hanging="360"/>
      </w:pPr>
      <w:rPr>
        <w:rFonts w:cs="Times New Roman"/>
      </w:rPr>
    </w:lvl>
    <w:lvl w:ilvl="4" w:tplc="04100019" w:tentative="1">
      <w:start w:val="1"/>
      <w:numFmt w:val="lowerLetter"/>
      <w:lvlText w:val="%5."/>
      <w:lvlJc w:val="left"/>
      <w:pPr>
        <w:ind w:left="3382" w:hanging="360"/>
      </w:pPr>
      <w:rPr>
        <w:rFonts w:cs="Times New Roman"/>
      </w:rPr>
    </w:lvl>
    <w:lvl w:ilvl="5" w:tplc="0410001B" w:tentative="1">
      <w:start w:val="1"/>
      <w:numFmt w:val="lowerRoman"/>
      <w:lvlText w:val="%6."/>
      <w:lvlJc w:val="right"/>
      <w:pPr>
        <w:ind w:left="4102" w:hanging="180"/>
      </w:pPr>
      <w:rPr>
        <w:rFonts w:cs="Times New Roman"/>
      </w:rPr>
    </w:lvl>
    <w:lvl w:ilvl="6" w:tplc="0410000F" w:tentative="1">
      <w:start w:val="1"/>
      <w:numFmt w:val="decimal"/>
      <w:lvlText w:val="%7."/>
      <w:lvlJc w:val="left"/>
      <w:pPr>
        <w:ind w:left="4822" w:hanging="360"/>
      </w:pPr>
      <w:rPr>
        <w:rFonts w:cs="Times New Roman"/>
      </w:rPr>
    </w:lvl>
    <w:lvl w:ilvl="7" w:tplc="04100019" w:tentative="1">
      <w:start w:val="1"/>
      <w:numFmt w:val="lowerLetter"/>
      <w:lvlText w:val="%8."/>
      <w:lvlJc w:val="left"/>
      <w:pPr>
        <w:ind w:left="5542" w:hanging="360"/>
      </w:pPr>
      <w:rPr>
        <w:rFonts w:cs="Times New Roman"/>
      </w:rPr>
    </w:lvl>
    <w:lvl w:ilvl="8" w:tplc="0410001B" w:tentative="1">
      <w:start w:val="1"/>
      <w:numFmt w:val="lowerRoman"/>
      <w:lvlText w:val="%9."/>
      <w:lvlJc w:val="right"/>
      <w:pPr>
        <w:ind w:left="6262" w:hanging="180"/>
      </w:pPr>
      <w:rPr>
        <w:rFonts w:cs="Times New Roman"/>
      </w:rPr>
    </w:lvl>
  </w:abstractNum>
  <w:abstractNum w:abstractNumId="1">
    <w:nsid w:val="0E295E82"/>
    <w:multiLevelType w:val="multilevel"/>
    <w:tmpl w:val="A3C8C4D4"/>
    <w:lvl w:ilvl="0">
      <w:start w:val="3"/>
      <w:numFmt w:val="decimal"/>
      <w:lvlText w:val="%1."/>
      <w:lvlJc w:val="left"/>
      <w:pPr>
        <w:ind w:left="360" w:hanging="360"/>
      </w:pPr>
      <w:rPr>
        <w:rFonts w:hint="default"/>
        <w:u w:val="none"/>
      </w:rPr>
    </w:lvl>
    <w:lvl w:ilvl="1">
      <w:start w:val="1"/>
      <w:numFmt w:val="decimal"/>
      <w:lvlText w:val="%1.%2"/>
      <w:lvlJc w:val="left"/>
      <w:pPr>
        <w:ind w:left="360" w:hanging="360"/>
      </w:pPr>
      <w:rPr>
        <w:rFonts w:hint="default"/>
        <w:strike w:val="0"/>
        <w:u w:val="none"/>
      </w:rPr>
    </w:lvl>
    <w:lvl w:ilvl="2">
      <w:start w:val="1"/>
      <w:numFmt w:val="decimal"/>
      <w:lvlText w:val="%1.%2.%3"/>
      <w:lvlJc w:val="left"/>
      <w:pPr>
        <w:ind w:left="1288" w:hanging="720"/>
      </w:pPr>
      <w:rPr>
        <w:rFonts w:hint="default"/>
        <w:u w:val="single"/>
      </w:rPr>
    </w:lvl>
    <w:lvl w:ilvl="3">
      <w:start w:val="1"/>
      <w:numFmt w:val="decimal"/>
      <w:lvlText w:val="%1.%2.%3.%4"/>
      <w:lvlJc w:val="left"/>
      <w:pPr>
        <w:ind w:left="1572" w:hanging="720"/>
      </w:pPr>
      <w:rPr>
        <w:rFonts w:hint="default"/>
        <w:u w:val="single"/>
      </w:rPr>
    </w:lvl>
    <w:lvl w:ilvl="4">
      <w:start w:val="1"/>
      <w:numFmt w:val="decimal"/>
      <w:lvlText w:val="%1.%2.%3.%4.%5"/>
      <w:lvlJc w:val="left"/>
      <w:pPr>
        <w:ind w:left="2216" w:hanging="1080"/>
      </w:pPr>
      <w:rPr>
        <w:rFonts w:hint="default"/>
        <w:u w:val="single"/>
      </w:rPr>
    </w:lvl>
    <w:lvl w:ilvl="5">
      <w:start w:val="1"/>
      <w:numFmt w:val="decimal"/>
      <w:lvlText w:val="%1.%2.%3.%4.%5.%6"/>
      <w:lvlJc w:val="left"/>
      <w:pPr>
        <w:ind w:left="2500" w:hanging="1080"/>
      </w:pPr>
      <w:rPr>
        <w:rFonts w:hint="default"/>
        <w:u w:val="single"/>
      </w:rPr>
    </w:lvl>
    <w:lvl w:ilvl="6">
      <w:start w:val="1"/>
      <w:numFmt w:val="decimal"/>
      <w:lvlText w:val="%1.%2.%3.%4.%5.%6.%7"/>
      <w:lvlJc w:val="left"/>
      <w:pPr>
        <w:ind w:left="3144" w:hanging="1440"/>
      </w:pPr>
      <w:rPr>
        <w:rFonts w:hint="default"/>
        <w:u w:val="single"/>
      </w:rPr>
    </w:lvl>
    <w:lvl w:ilvl="7">
      <w:start w:val="1"/>
      <w:numFmt w:val="decimal"/>
      <w:lvlText w:val="%1.%2.%3.%4.%5.%6.%7.%8"/>
      <w:lvlJc w:val="left"/>
      <w:pPr>
        <w:ind w:left="3428" w:hanging="1440"/>
      </w:pPr>
      <w:rPr>
        <w:rFonts w:hint="default"/>
        <w:u w:val="single"/>
      </w:rPr>
    </w:lvl>
    <w:lvl w:ilvl="8">
      <w:start w:val="1"/>
      <w:numFmt w:val="decimal"/>
      <w:lvlText w:val="%1.%2.%3.%4.%5.%6.%7.%8.%9"/>
      <w:lvlJc w:val="left"/>
      <w:pPr>
        <w:ind w:left="4072" w:hanging="1800"/>
      </w:pPr>
      <w:rPr>
        <w:rFonts w:hint="default"/>
        <w:u w:val="single"/>
      </w:rPr>
    </w:lvl>
  </w:abstractNum>
  <w:abstractNum w:abstractNumId="2">
    <w:nsid w:val="24E47E5A"/>
    <w:multiLevelType w:val="hybridMultilevel"/>
    <w:tmpl w:val="76285592"/>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nsid w:val="43F42406"/>
    <w:multiLevelType w:val="hybridMultilevel"/>
    <w:tmpl w:val="503A24D6"/>
    <w:lvl w:ilvl="0" w:tplc="B60A46A4">
      <w:start w:val="2"/>
      <w:numFmt w:val="lowerLetter"/>
      <w:lvlText w:val="%1)"/>
      <w:lvlJc w:val="left"/>
      <w:pPr>
        <w:ind w:left="1222"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nsid w:val="57E41B24"/>
    <w:multiLevelType w:val="hybridMultilevel"/>
    <w:tmpl w:val="A4667796"/>
    <w:lvl w:ilvl="0" w:tplc="04100017">
      <w:start w:val="1"/>
      <w:numFmt w:val="lowerLetter"/>
      <w:lvlText w:val="%1)"/>
      <w:lvlJc w:val="left"/>
      <w:pPr>
        <w:ind w:left="1080" w:hanging="360"/>
      </w:pPr>
      <w:rPr>
        <w:rFonts w:hint="default"/>
      </w:rPr>
    </w:lvl>
    <w:lvl w:ilvl="1" w:tplc="04100019" w:tentative="1">
      <w:start w:val="1"/>
      <w:numFmt w:val="lowerLetter"/>
      <w:lvlText w:val="%2."/>
      <w:lvlJc w:val="left"/>
      <w:pPr>
        <w:ind w:left="1800" w:hanging="360"/>
      </w:pPr>
      <w:rPr>
        <w:rFonts w:cs="Times New Roman"/>
      </w:rPr>
    </w:lvl>
    <w:lvl w:ilvl="2" w:tplc="0410001B" w:tentative="1">
      <w:start w:val="1"/>
      <w:numFmt w:val="lowerRoman"/>
      <w:lvlText w:val="%3."/>
      <w:lvlJc w:val="right"/>
      <w:pPr>
        <w:ind w:left="2520" w:hanging="180"/>
      </w:pPr>
      <w:rPr>
        <w:rFonts w:cs="Times New Roman"/>
      </w:rPr>
    </w:lvl>
    <w:lvl w:ilvl="3" w:tplc="0410000F" w:tentative="1">
      <w:start w:val="1"/>
      <w:numFmt w:val="decimal"/>
      <w:lvlText w:val="%4."/>
      <w:lvlJc w:val="left"/>
      <w:pPr>
        <w:ind w:left="3240" w:hanging="360"/>
      </w:pPr>
      <w:rPr>
        <w:rFonts w:cs="Times New Roman"/>
      </w:rPr>
    </w:lvl>
    <w:lvl w:ilvl="4" w:tplc="04100019" w:tentative="1">
      <w:start w:val="1"/>
      <w:numFmt w:val="lowerLetter"/>
      <w:lvlText w:val="%5."/>
      <w:lvlJc w:val="left"/>
      <w:pPr>
        <w:ind w:left="3960" w:hanging="360"/>
      </w:pPr>
      <w:rPr>
        <w:rFonts w:cs="Times New Roman"/>
      </w:rPr>
    </w:lvl>
    <w:lvl w:ilvl="5" w:tplc="0410001B" w:tentative="1">
      <w:start w:val="1"/>
      <w:numFmt w:val="lowerRoman"/>
      <w:lvlText w:val="%6."/>
      <w:lvlJc w:val="right"/>
      <w:pPr>
        <w:ind w:left="4680" w:hanging="180"/>
      </w:pPr>
      <w:rPr>
        <w:rFonts w:cs="Times New Roman"/>
      </w:rPr>
    </w:lvl>
    <w:lvl w:ilvl="6" w:tplc="0410000F" w:tentative="1">
      <w:start w:val="1"/>
      <w:numFmt w:val="decimal"/>
      <w:lvlText w:val="%7."/>
      <w:lvlJc w:val="left"/>
      <w:pPr>
        <w:ind w:left="5400" w:hanging="360"/>
      </w:pPr>
      <w:rPr>
        <w:rFonts w:cs="Times New Roman"/>
      </w:rPr>
    </w:lvl>
    <w:lvl w:ilvl="7" w:tplc="04100019" w:tentative="1">
      <w:start w:val="1"/>
      <w:numFmt w:val="lowerLetter"/>
      <w:lvlText w:val="%8."/>
      <w:lvlJc w:val="left"/>
      <w:pPr>
        <w:ind w:left="6120" w:hanging="360"/>
      </w:pPr>
      <w:rPr>
        <w:rFonts w:cs="Times New Roman"/>
      </w:rPr>
    </w:lvl>
    <w:lvl w:ilvl="8" w:tplc="0410001B" w:tentative="1">
      <w:start w:val="1"/>
      <w:numFmt w:val="lowerRoman"/>
      <w:lvlText w:val="%9."/>
      <w:lvlJc w:val="right"/>
      <w:pPr>
        <w:ind w:left="6840" w:hanging="180"/>
      </w:pPr>
      <w:rPr>
        <w:rFonts w:cs="Times New Roman"/>
      </w:rPr>
    </w:lvl>
  </w:abstractNum>
  <w:abstractNum w:abstractNumId="5">
    <w:nsid w:val="69E07EC4"/>
    <w:multiLevelType w:val="hybridMultilevel"/>
    <w:tmpl w:val="0A887D0A"/>
    <w:lvl w:ilvl="0" w:tplc="04100011">
      <w:start w:val="1"/>
      <w:numFmt w:val="decimal"/>
      <w:lvlText w:val="%1)"/>
      <w:lvlJc w:val="left"/>
      <w:pPr>
        <w:ind w:left="502" w:hanging="360"/>
      </w:pPr>
      <w:rPr>
        <w:rFonts w:cs="Times New Roman" w:hint="default"/>
      </w:rPr>
    </w:lvl>
    <w:lvl w:ilvl="1" w:tplc="04100017">
      <w:start w:val="1"/>
      <w:numFmt w:val="lowerLetter"/>
      <w:lvlText w:val="%2)"/>
      <w:lvlJc w:val="left"/>
      <w:pPr>
        <w:ind w:left="1222" w:hanging="360"/>
      </w:pPr>
      <w:rPr>
        <w:rFonts w:cs="Times New Roman"/>
      </w:rPr>
    </w:lvl>
    <w:lvl w:ilvl="2" w:tplc="0410001B" w:tentative="1">
      <w:start w:val="1"/>
      <w:numFmt w:val="lowerRoman"/>
      <w:lvlText w:val="%3."/>
      <w:lvlJc w:val="right"/>
      <w:pPr>
        <w:ind w:left="1942" w:hanging="180"/>
      </w:pPr>
      <w:rPr>
        <w:rFonts w:cs="Times New Roman"/>
      </w:rPr>
    </w:lvl>
    <w:lvl w:ilvl="3" w:tplc="0410000F" w:tentative="1">
      <w:start w:val="1"/>
      <w:numFmt w:val="decimal"/>
      <w:lvlText w:val="%4."/>
      <w:lvlJc w:val="left"/>
      <w:pPr>
        <w:ind w:left="2662" w:hanging="360"/>
      </w:pPr>
      <w:rPr>
        <w:rFonts w:cs="Times New Roman"/>
      </w:rPr>
    </w:lvl>
    <w:lvl w:ilvl="4" w:tplc="04100019" w:tentative="1">
      <w:start w:val="1"/>
      <w:numFmt w:val="lowerLetter"/>
      <w:lvlText w:val="%5."/>
      <w:lvlJc w:val="left"/>
      <w:pPr>
        <w:ind w:left="3382" w:hanging="360"/>
      </w:pPr>
      <w:rPr>
        <w:rFonts w:cs="Times New Roman"/>
      </w:rPr>
    </w:lvl>
    <w:lvl w:ilvl="5" w:tplc="0410001B" w:tentative="1">
      <w:start w:val="1"/>
      <w:numFmt w:val="lowerRoman"/>
      <w:lvlText w:val="%6."/>
      <w:lvlJc w:val="right"/>
      <w:pPr>
        <w:ind w:left="4102" w:hanging="180"/>
      </w:pPr>
      <w:rPr>
        <w:rFonts w:cs="Times New Roman"/>
      </w:rPr>
    </w:lvl>
    <w:lvl w:ilvl="6" w:tplc="0410000F" w:tentative="1">
      <w:start w:val="1"/>
      <w:numFmt w:val="decimal"/>
      <w:lvlText w:val="%7."/>
      <w:lvlJc w:val="left"/>
      <w:pPr>
        <w:ind w:left="4822" w:hanging="360"/>
      </w:pPr>
      <w:rPr>
        <w:rFonts w:cs="Times New Roman"/>
      </w:rPr>
    </w:lvl>
    <w:lvl w:ilvl="7" w:tplc="04100019" w:tentative="1">
      <w:start w:val="1"/>
      <w:numFmt w:val="lowerLetter"/>
      <w:lvlText w:val="%8."/>
      <w:lvlJc w:val="left"/>
      <w:pPr>
        <w:ind w:left="5542" w:hanging="360"/>
      </w:pPr>
      <w:rPr>
        <w:rFonts w:cs="Times New Roman"/>
      </w:rPr>
    </w:lvl>
    <w:lvl w:ilvl="8" w:tplc="0410001B" w:tentative="1">
      <w:start w:val="1"/>
      <w:numFmt w:val="lowerRoman"/>
      <w:lvlText w:val="%9."/>
      <w:lvlJc w:val="right"/>
      <w:pPr>
        <w:ind w:left="6262" w:hanging="180"/>
      </w:pPr>
      <w:rPr>
        <w:rFonts w:cs="Times New Roman"/>
      </w:rPr>
    </w:lvl>
  </w:abstractNum>
  <w:abstractNum w:abstractNumId="6">
    <w:nsid w:val="7E303D43"/>
    <w:multiLevelType w:val="multilevel"/>
    <w:tmpl w:val="6D42E83E"/>
    <w:lvl w:ilvl="0">
      <w:start w:val="2"/>
      <w:numFmt w:val="decimal"/>
      <w:lvlText w:val="%1"/>
      <w:lvlJc w:val="left"/>
      <w:pPr>
        <w:ind w:left="360" w:hanging="360"/>
      </w:pPr>
      <w:rPr>
        <w:rFonts w:hint="default"/>
        <w:u w:val="single"/>
      </w:rPr>
    </w:lvl>
    <w:lvl w:ilvl="1">
      <w:start w:val="1"/>
      <w:numFmt w:val="decimal"/>
      <w:lvlText w:val="%1.%2"/>
      <w:lvlJc w:val="left"/>
      <w:pPr>
        <w:ind w:left="360" w:hanging="360"/>
      </w:pPr>
      <w:rPr>
        <w:rFonts w:hint="default"/>
        <w:u w:val="none"/>
      </w:rPr>
    </w:lvl>
    <w:lvl w:ilvl="2">
      <w:start w:val="1"/>
      <w:numFmt w:val="decimal"/>
      <w:lvlText w:val="%1.%2.%3"/>
      <w:lvlJc w:val="left"/>
      <w:pPr>
        <w:ind w:left="720" w:hanging="720"/>
      </w:pPr>
      <w:rPr>
        <w:rFonts w:hint="default"/>
        <w:u w:val="single"/>
      </w:rPr>
    </w:lvl>
    <w:lvl w:ilvl="3">
      <w:start w:val="1"/>
      <w:numFmt w:val="decimal"/>
      <w:lvlText w:val="%1.%2.%3.%4"/>
      <w:lvlJc w:val="left"/>
      <w:pPr>
        <w:ind w:left="720" w:hanging="72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080" w:hanging="108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440" w:hanging="1440"/>
      </w:pPr>
      <w:rPr>
        <w:rFonts w:hint="default"/>
        <w:u w:val="single"/>
      </w:rPr>
    </w:lvl>
    <w:lvl w:ilvl="8">
      <w:start w:val="1"/>
      <w:numFmt w:val="decimal"/>
      <w:lvlText w:val="%1.%2.%3.%4.%5.%6.%7.%8.%9"/>
      <w:lvlJc w:val="left"/>
      <w:pPr>
        <w:ind w:left="1800" w:hanging="1800"/>
      </w:pPr>
      <w:rPr>
        <w:rFonts w:hint="default"/>
        <w:u w:val="single"/>
      </w:rPr>
    </w:lvl>
  </w:abstractNum>
  <w:num w:numId="1">
    <w:abstractNumId w:val="2"/>
  </w:num>
  <w:num w:numId="2">
    <w:abstractNumId w:val="0"/>
  </w:num>
  <w:num w:numId="3">
    <w:abstractNumId w:val="4"/>
  </w:num>
  <w:num w:numId="4">
    <w:abstractNumId w:val="5"/>
  </w:num>
  <w:num w:numId="5">
    <w:abstractNumId w:val="1"/>
  </w:num>
  <w:num w:numId="6">
    <w:abstractNumId w:val="6"/>
  </w:num>
  <w:num w:numId="7">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footnotePr>
    <w:footnote w:id="-1"/>
    <w:footnote w:id="0"/>
  </w:footnotePr>
  <w:endnotePr>
    <w:endnote w:id="-1"/>
    <w:endnote w:id="0"/>
  </w:endnotePr>
  <w:compat/>
  <w:rsids>
    <w:rsidRoot w:val="005B7D8E"/>
    <w:rsid w:val="000C581B"/>
    <w:rsid w:val="0052559F"/>
    <w:rsid w:val="005B7D8E"/>
    <w:rsid w:val="00606BFF"/>
    <w:rsid w:val="00C220A3"/>
    <w:rsid w:val="00CB224C"/>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C220A3"/>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5B7D8E"/>
    <w:pPr>
      <w:ind w:left="720"/>
      <w:contextualSpacing/>
    </w:pPr>
  </w:style>
  <w:style w:type="paragraph" w:styleId="Testonotaapidipagina">
    <w:name w:val="footnote text"/>
    <w:basedOn w:val="Normale"/>
    <w:link w:val="TestonotaapidipaginaCarattere"/>
    <w:uiPriority w:val="99"/>
    <w:rsid w:val="005B7D8E"/>
    <w:rPr>
      <w:rFonts w:ascii="Calibri" w:eastAsia="Calibri" w:hAnsi="Calibri" w:cs="Times New Roman"/>
      <w:sz w:val="20"/>
      <w:szCs w:val="20"/>
      <w:lang/>
    </w:rPr>
  </w:style>
  <w:style w:type="character" w:customStyle="1" w:styleId="TestonotaapidipaginaCarattere">
    <w:name w:val="Testo nota a piè di pagina Carattere"/>
    <w:basedOn w:val="Carpredefinitoparagrafo"/>
    <w:link w:val="Testonotaapidipagina"/>
    <w:uiPriority w:val="99"/>
    <w:rsid w:val="005B7D8E"/>
    <w:rPr>
      <w:rFonts w:ascii="Calibri" w:eastAsia="Calibri" w:hAnsi="Calibri" w:cs="Times New Roman"/>
      <w:sz w:val="20"/>
      <w:szCs w:val="20"/>
      <w:lang/>
    </w:rPr>
  </w:style>
  <w:style w:type="character" w:styleId="Rimandonotaapidipagina">
    <w:name w:val="footnote reference"/>
    <w:uiPriority w:val="99"/>
    <w:semiHidden/>
    <w:rsid w:val="005B7D8E"/>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1240038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4</Pages>
  <Words>1522</Words>
  <Characters>8680</Characters>
  <Application>Microsoft Office Word</Application>
  <DocSecurity>0</DocSecurity>
  <Lines>72</Lines>
  <Paragraphs>20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10182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cp:revision>
  <dcterms:created xsi:type="dcterms:W3CDTF">2019-10-29T13:56:00Z</dcterms:created>
  <dcterms:modified xsi:type="dcterms:W3CDTF">2019-10-29T14:17:00Z</dcterms:modified>
</cp:coreProperties>
</file>