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3B9" w:rsidRDefault="009063B9" w:rsidP="009063B9">
      <w:pPr>
        <w:pStyle w:val="NormaleWeb"/>
        <w:rPr>
          <w:rFonts w:ascii="Arial" w:hAnsi="Arial" w:cs="Arial"/>
          <w:b/>
        </w:rPr>
      </w:pPr>
      <w:r>
        <w:rPr>
          <w:rFonts w:ascii="Arial" w:hAnsi="Arial" w:cs="Arial"/>
          <w:b/>
        </w:rPr>
        <w:t>CONTROLLI</w:t>
      </w:r>
    </w:p>
    <w:p w:rsidR="009063B9" w:rsidRDefault="009063B9" w:rsidP="009063B9">
      <w:pPr>
        <w:pStyle w:val="NormaleWeb"/>
        <w:rPr>
          <w:rFonts w:ascii="Arial" w:hAnsi="Arial" w:cs="Arial"/>
        </w:rPr>
      </w:pPr>
      <w:r>
        <w:rPr>
          <w:rFonts w:ascii="Arial" w:hAnsi="Arial" w:cs="Arial"/>
        </w:rPr>
        <w:t xml:space="preserve">La classificazione </w:t>
      </w:r>
      <w:proofErr w:type="spellStart"/>
      <w:r>
        <w:rPr>
          <w:rFonts w:ascii="Arial" w:hAnsi="Arial" w:cs="Arial"/>
        </w:rPr>
        <w:t>piu’</w:t>
      </w:r>
      <w:proofErr w:type="spellEnd"/>
      <w:r>
        <w:rPr>
          <w:rFonts w:ascii="Arial" w:hAnsi="Arial" w:cs="Arial"/>
        </w:rPr>
        <w:t>usata in merito ai controlli è quella che distingue tra:</w:t>
      </w:r>
    </w:p>
    <w:p w:rsidR="009063B9" w:rsidRDefault="009063B9" w:rsidP="009063B9">
      <w:pPr>
        <w:pStyle w:val="NormaleWeb"/>
        <w:numPr>
          <w:ilvl w:val="0"/>
          <w:numId w:val="1"/>
        </w:numPr>
        <w:rPr>
          <w:rFonts w:ascii="Arial" w:hAnsi="Arial" w:cs="Arial"/>
        </w:rPr>
      </w:pPr>
      <w:r>
        <w:rPr>
          <w:rFonts w:ascii="Arial" w:hAnsi="Arial" w:cs="Arial"/>
        </w:rPr>
        <w:t>controlli interni</w:t>
      </w:r>
      <w:r>
        <w:rPr>
          <w:rFonts w:ascii="Arial" w:hAnsi="Arial" w:cs="Arial"/>
        </w:rPr>
        <w:sym w:font="Wingdings" w:char="00E0"/>
      </w:r>
      <w:r>
        <w:rPr>
          <w:rFonts w:ascii="Arial" w:hAnsi="Arial" w:cs="Arial"/>
        </w:rPr>
        <w:t xml:space="preserve">effettuati dalla stessa amministrazione in forza del suo potere di gerarchia </w:t>
      </w:r>
      <w:r>
        <w:rPr>
          <w:rFonts w:ascii="Arial" w:hAnsi="Arial" w:cs="Arial"/>
        </w:rPr>
        <w:sym w:font="Wingdings" w:char="00E0"/>
      </w:r>
      <w:r>
        <w:rPr>
          <w:rFonts w:ascii="Arial" w:hAnsi="Arial" w:cs="Arial"/>
        </w:rPr>
        <w:t xml:space="preserve"> direttore generale e Collegio sindacale</w:t>
      </w:r>
    </w:p>
    <w:p w:rsidR="009063B9" w:rsidRDefault="009063B9" w:rsidP="009063B9">
      <w:pPr>
        <w:pStyle w:val="NormaleWeb"/>
        <w:numPr>
          <w:ilvl w:val="0"/>
          <w:numId w:val="1"/>
        </w:numPr>
        <w:rPr>
          <w:rFonts w:ascii="Arial" w:hAnsi="Arial" w:cs="Arial"/>
        </w:rPr>
      </w:pPr>
      <w:r>
        <w:rPr>
          <w:rFonts w:ascii="Arial" w:hAnsi="Arial" w:cs="Arial"/>
        </w:rPr>
        <w:t>controlli esterni</w:t>
      </w:r>
      <w:r>
        <w:rPr>
          <w:rFonts w:ascii="Arial" w:hAnsi="Arial" w:cs="Arial"/>
        </w:rPr>
        <w:sym w:font="Wingdings" w:char="00E0"/>
      </w:r>
      <w:r>
        <w:rPr>
          <w:rFonts w:ascii="Arial" w:hAnsi="Arial" w:cs="Arial"/>
        </w:rPr>
        <w:t xml:space="preserve">provenienti da soggetti diversi dalla stessa amministrazione, </w:t>
      </w:r>
      <w:proofErr w:type="spellStart"/>
      <w:r>
        <w:rPr>
          <w:rFonts w:ascii="Arial" w:hAnsi="Arial" w:cs="Arial"/>
        </w:rPr>
        <w:t>sovraordinati</w:t>
      </w:r>
      <w:proofErr w:type="spellEnd"/>
      <w:r>
        <w:rPr>
          <w:rFonts w:ascii="Arial" w:hAnsi="Arial" w:cs="Arial"/>
        </w:rPr>
        <w:t xml:space="preserve"> gerarchicamente rispetto alla amministrazione, o indipendenti da questa ma a cui sono stati riconosciuti tali funzioni</w:t>
      </w:r>
      <w:r>
        <w:rPr>
          <w:rFonts w:ascii="Arial" w:hAnsi="Arial" w:cs="Arial"/>
        </w:rPr>
        <w:sym w:font="Wingdings" w:char="00E0"/>
      </w:r>
      <w:r>
        <w:rPr>
          <w:rFonts w:ascii="Arial" w:hAnsi="Arial" w:cs="Arial"/>
        </w:rPr>
        <w:t xml:space="preserve"> Regione e Corte dei conti</w:t>
      </w:r>
    </w:p>
    <w:p w:rsidR="009063B9" w:rsidRDefault="009063B9" w:rsidP="009063B9">
      <w:pPr>
        <w:pStyle w:val="NormaleWeb"/>
        <w:rPr>
          <w:rFonts w:ascii="Arial" w:hAnsi="Arial" w:cs="Arial"/>
          <w:b/>
        </w:rPr>
      </w:pPr>
      <w:r>
        <w:rPr>
          <w:rFonts w:ascii="Arial" w:hAnsi="Arial" w:cs="Arial"/>
          <w:b/>
        </w:rPr>
        <w:t>CONTROLLI ESTERNI</w:t>
      </w:r>
    </w:p>
    <w:p w:rsidR="009063B9" w:rsidRDefault="009063B9" w:rsidP="009063B9">
      <w:pPr>
        <w:pStyle w:val="NormaleWeb"/>
        <w:rPr>
          <w:rFonts w:ascii="Arial" w:hAnsi="Arial" w:cs="Arial"/>
          <w:b/>
        </w:rPr>
      </w:pPr>
      <w:r>
        <w:rPr>
          <w:rFonts w:ascii="Arial" w:hAnsi="Arial" w:cs="Arial"/>
          <w:b/>
        </w:rPr>
        <w:t>Controllo preventivo (controllo sugli atti)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Sono soggetti a controllo preventivo della Giunta regionale i seguenti atti: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a) il bilancio preventivo annuale e pluriennale;</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b) il bilancio di esercizio;</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 xml:space="preserve">c) l'atto costitutivo aziendale </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d)il piano attuativo locale</w:t>
      </w:r>
    </w:p>
    <w:p w:rsidR="009063B9" w:rsidRDefault="009063B9" w:rsidP="009063B9">
      <w:pPr>
        <w:spacing w:after="100" w:afterAutospacing="1"/>
        <w:jc w:val="both"/>
        <w:rPr>
          <w:rFonts w:ascii="Arial" w:hAnsi="Arial" w:cs="Arial"/>
          <w:sz w:val="24"/>
          <w:szCs w:val="24"/>
          <w:lang w:eastAsia="it-IT"/>
        </w:rPr>
      </w:pPr>
      <w:r>
        <w:rPr>
          <w:rFonts w:ascii="Arial" w:hAnsi="Arial" w:cs="Arial"/>
          <w:color w:val="000000"/>
          <w:sz w:val="24"/>
          <w:szCs w:val="24"/>
        </w:rPr>
        <w:t>La Giunta regionale esercita il controllo di conformità e di congruità, rispetto alla programmazione sanitaria regionale, alle direttive regionali e statali vincolanti e alle risorse assegnate</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Gli atti soggetti a controllo non possono essere dichiarati immediatamente eseguibili.</w:t>
      </w:r>
    </w:p>
    <w:p w:rsidR="009063B9" w:rsidRDefault="009063B9" w:rsidP="009063B9">
      <w:pPr>
        <w:pStyle w:val="NormaleWeb"/>
        <w:spacing w:before="0" w:beforeAutospacing="0"/>
        <w:jc w:val="both"/>
        <w:rPr>
          <w:rFonts w:ascii="Arial" w:hAnsi="Arial" w:cs="Arial"/>
          <w:color w:val="000000"/>
        </w:rPr>
      </w:pPr>
      <w:r>
        <w:rPr>
          <w:rFonts w:ascii="Arial" w:hAnsi="Arial" w:cs="Arial"/>
          <w:color w:val="000000"/>
        </w:rPr>
        <w:t>Gli atti da sottoporre al controllo sono trasmessi dall'azienda USL alla struttura regionale competente in materia di sanità, salute e politiche sociali entro dieci giorni dalla data di adozione. Entro i successivi quarantacinque giorni, la Giunta regionale delibera sulla conformità e sulla congruità degli atti. Tale ultimo termine può essere sospeso, per una sola volta, per la richiesta di chiarimenti o elementi integrativi, che l'azienda USL deve fornire entro venti giorni dalla data di ricevimento della richiesta da parte della struttura regionale competente.</w:t>
      </w:r>
    </w:p>
    <w:p w:rsidR="009063B9" w:rsidRDefault="009063B9" w:rsidP="009063B9">
      <w:pPr>
        <w:pStyle w:val="NormaleWeb"/>
        <w:spacing w:before="0" w:beforeAutospacing="0"/>
        <w:jc w:val="both"/>
        <w:rPr>
          <w:rFonts w:ascii="Arial" w:hAnsi="Arial" w:cs="Arial"/>
          <w:color w:val="000000"/>
        </w:rPr>
      </w:pPr>
      <w:r>
        <w:rPr>
          <w:rFonts w:ascii="Arial" w:hAnsi="Arial" w:cs="Arial"/>
          <w:color w:val="000000"/>
        </w:rPr>
        <w:t xml:space="preserve"> L'esecutività degli atti di cui al comma 1 è subordinata all'esito positivo del controllo da parte della Giunta regionale.</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 xml:space="preserve"> Tutti gli atti dell'azienda USL, soggetti o non soggetti a controllo, sono pubblicati in apposito albo, entro dieci giorni dalla loro adozione, per un periodo di dieci giorni consecutivi. Gli atti non soggetti a controllo diventano esecutivi decorsi dieci giorni dalla data di pubblicazione all'apposito albo. Tutti gli atti dell'azienda USL sono inviati al Collegio sindacale entro dieci giorni dall'adozione.</w:t>
      </w:r>
    </w:p>
    <w:p w:rsidR="009063B9" w:rsidRDefault="009063B9" w:rsidP="009063B9">
      <w:pPr>
        <w:spacing w:after="150"/>
        <w:rPr>
          <w:rFonts w:ascii="Arial" w:hAnsi="Arial" w:cs="Arial"/>
          <w:i/>
          <w:iCs/>
          <w:sz w:val="24"/>
          <w:szCs w:val="24"/>
          <w:lang w:eastAsia="it-IT"/>
        </w:rPr>
      </w:pPr>
      <w:r>
        <w:rPr>
          <w:rFonts w:ascii="Arial" w:hAnsi="Arial" w:cs="Arial"/>
          <w:b/>
          <w:iCs/>
          <w:sz w:val="24"/>
          <w:szCs w:val="24"/>
          <w:lang w:eastAsia="it-IT"/>
        </w:rPr>
        <w:t>Controllo sull'organizzazione, sull'attività e sulla gestione dell'azienda USL</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lastRenderedPageBreak/>
        <w:t xml:space="preserve"> Il controllo sull'organizzazione, sull'attività e sulla gestione dell'azienda USL è </w:t>
      </w:r>
      <w:r>
        <w:rPr>
          <w:rFonts w:ascii="Arial" w:hAnsi="Arial" w:cs="Arial"/>
          <w:b/>
          <w:sz w:val="24"/>
          <w:szCs w:val="24"/>
          <w:lang w:eastAsia="it-IT"/>
        </w:rPr>
        <w:t>esercitato dalla struttura regionale competente in materia di sanità, salute e politiche sociali</w:t>
      </w:r>
      <w:r>
        <w:rPr>
          <w:rFonts w:ascii="Arial" w:hAnsi="Arial" w:cs="Arial"/>
          <w:sz w:val="24"/>
          <w:szCs w:val="24"/>
          <w:lang w:eastAsia="it-IT"/>
        </w:rPr>
        <w:t xml:space="preserve"> mediante attività istruttoria, ivi compresa quella relativa agli atti soggetti a controllo, richiesta di informazioni e di esibizione di documenti, ispezioni.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Il rifiuto, l'omissione o il ritardo, senza giustificato motivo, nel fornire informazioni o nell'esibire i documenti richiesti, nonché la fornitura di informazioni o di documenti non veritieri, comporta l'applicazione di sanzioni previste dal vigente ordinamento in materia di organizzazione e rapporto di lavoro nelle amministrazioni pubbliche, fatte comunque salve eventuali altre sanzioni previste dalle leggi vigenti. . Le ispezioni, disposte con deliberazione della Giunta regionale, sono effettuate mediante presentazione di atto scritto che precisi il nominativo dell'ispettore e l'oggetto dell'accertamento, firmato dal dirigente della struttura che procede. Di tutta l'attività svolta nel corso dell'ispezione, con particolare riguardo alle dichiarazioni ed ai documenti acquisiti, è redatto processo verbale, copia del quale è rilasciata al direttore generale dell'azienda USL ed al responsabile della struttura interessata della stessa azienda, nonché trasmessa all'assessore competente e al dirigente di livello più elevato della struttura regionale competente in materia di sanità, salute e politiche sociali.</w:t>
      </w:r>
    </w:p>
    <w:p w:rsidR="009063B9" w:rsidRDefault="009063B9" w:rsidP="009063B9">
      <w:pPr>
        <w:pStyle w:val="NormaleWeb"/>
        <w:spacing w:after="150" w:afterAutospacing="0"/>
        <w:rPr>
          <w:rFonts w:ascii="Arial" w:hAnsi="Arial" w:cs="Arial"/>
          <w:iCs/>
        </w:rPr>
      </w:pPr>
      <w:r>
        <w:rPr>
          <w:rFonts w:ascii="Arial" w:hAnsi="Arial" w:cs="Arial"/>
          <w:iCs/>
        </w:rPr>
        <w:t>Le regioni esercitano inoltre i seguenti controlli:</w:t>
      </w:r>
    </w:p>
    <w:p w:rsidR="009063B9" w:rsidRDefault="009063B9" w:rsidP="009063B9">
      <w:pPr>
        <w:pStyle w:val="NormaleWeb"/>
        <w:numPr>
          <w:ilvl w:val="0"/>
          <w:numId w:val="2"/>
        </w:numPr>
        <w:spacing w:beforeAutospacing="0" w:after="150" w:afterAutospacing="0"/>
        <w:rPr>
          <w:rFonts w:ascii="Arial" w:hAnsi="Arial" w:cs="Arial"/>
          <w:i/>
          <w:iCs/>
        </w:rPr>
      </w:pPr>
      <w:r>
        <w:rPr>
          <w:rFonts w:ascii="Arial" w:hAnsi="Arial" w:cs="Arial"/>
          <w:iCs/>
        </w:rPr>
        <w:t xml:space="preserve">risoluzione del contratto del DG in caso di grave disavanzo,violazione di legge,e principi buon andamento e imparzialità della PA 3 bis .7 </w:t>
      </w:r>
      <w:proofErr w:type="spellStart"/>
      <w:r>
        <w:rPr>
          <w:rFonts w:ascii="Arial" w:hAnsi="Arial" w:cs="Arial"/>
          <w:iCs/>
        </w:rPr>
        <w:t>dlgs</w:t>
      </w:r>
      <w:proofErr w:type="spellEnd"/>
      <w:r>
        <w:rPr>
          <w:rFonts w:ascii="Arial" w:hAnsi="Arial" w:cs="Arial"/>
          <w:iCs/>
        </w:rPr>
        <w:t xml:space="preserve"> 502/92)</w:t>
      </w:r>
    </w:p>
    <w:p w:rsidR="009063B9" w:rsidRDefault="009063B9" w:rsidP="009063B9">
      <w:pPr>
        <w:pStyle w:val="NormaleWeb"/>
        <w:numPr>
          <w:ilvl w:val="0"/>
          <w:numId w:val="2"/>
        </w:numPr>
        <w:spacing w:beforeAutospacing="0" w:after="150" w:afterAutospacing="0"/>
        <w:rPr>
          <w:rFonts w:ascii="Arial" w:hAnsi="Arial" w:cs="Arial"/>
          <w:i/>
          <w:iCs/>
        </w:rPr>
      </w:pPr>
      <w:r>
        <w:rPr>
          <w:rFonts w:ascii="Arial" w:hAnsi="Arial" w:cs="Arial"/>
          <w:iCs/>
        </w:rPr>
        <w:t xml:space="preserve"> monitoraggio e definizione degli accordi contrattuali 8-octies.1</w:t>
      </w:r>
    </w:p>
    <w:p w:rsidR="009063B9" w:rsidRDefault="009063B9" w:rsidP="009063B9">
      <w:pPr>
        <w:pStyle w:val="NormaleWeb"/>
        <w:numPr>
          <w:ilvl w:val="0"/>
          <w:numId w:val="2"/>
        </w:numPr>
        <w:spacing w:beforeAutospacing="0" w:after="150" w:afterAutospacing="0"/>
        <w:rPr>
          <w:rFonts w:ascii="Arial" w:hAnsi="Arial" w:cs="Arial"/>
          <w:i/>
          <w:iCs/>
        </w:rPr>
      </w:pPr>
      <w:r>
        <w:rPr>
          <w:rFonts w:ascii="Arial" w:hAnsi="Arial" w:cs="Arial"/>
          <w:iCs/>
        </w:rPr>
        <w:t>Controlli qualità e appropriatezza delle prestazioni sanitarie</w:t>
      </w:r>
    </w:p>
    <w:p w:rsidR="009063B9" w:rsidRDefault="009063B9" w:rsidP="009063B9">
      <w:pPr>
        <w:pStyle w:val="NormaleWeb"/>
        <w:numPr>
          <w:ilvl w:val="0"/>
          <w:numId w:val="2"/>
        </w:numPr>
        <w:spacing w:beforeAutospacing="0" w:after="150" w:afterAutospacing="0"/>
        <w:rPr>
          <w:rFonts w:ascii="Arial" w:hAnsi="Arial" w:cs="Arial"/>
          <w:i/>
          <w:iCs/>
        </w:rPr>
      </w:pPr>
      <w:r>
        <w:rPr>
          <w:rFonts w:ascii="Arial" w:hAnsi="Arial" w:cs="Arial"/>
          <w:iCs/>
        </w:rPr>
        <w:t>Controlli sullo svolgimento delle attività libero-professionali</w:t>
      </w:r>
    </w:p>
    <w:p w:rsidR="009063B9" w:rsidRDefault="009063B9" w:rsidP="009063B9">
      <w:pPr>
        <w:pStyle w:val="NormaleWeb"/>
        <w:spacing w:after="150" w:afterAutospacing="0"/>
        <w:rPr>
          <w:rFonts w:ascii="Arial" w:hAnsi="Arial" w:cs="Arial"/>
          <w:b/>
          <w:iCs/>
        </w:rPr>
      </w:pPr>
      <w:r>
        <w:rPr>
          <w:rFonts w:ascii="Arial" w:hAnsi="Arial" w:cs="Arial"/>
          <w:b/>
          <w:iCs/>
        </w:rPr>
        <w:t>Controllo Corte dei Conti</w:t>
      </w:r>
    </w:p>
    <w:p w:rsidR="009063B9" w:rsidRDefault="009063B9" w:rsidP="009063B9">
      <w:pPr>
        <w:pStyle w:val="NormaleWeb"/>
        <w:spacing w:after="150" w:afterAutospacing="0"/>
        <w:rPr>
          <w:rFonts w:ascii="Arial" w:hAnsi="Arial" w:cs="Arial"/>
          <w:iCs/>
        </w:rPr>
      </w:pPr>
      <w:r>
        <w:rPr>
          <w:rFonts w:ascii="Arial" w:hAnsi="Arial" w:cs="Arial"/>
          <w:iCs/>
        </w:rPr>
        <w:t>Le sezioni regionali di controllo della CC , sulla base delle relazioni del collegio sindacale, verificano gli obiettivi del patto di stabilità,e dell’osservanza del vincolo all’indebitamento definendo le eventuali misure correttive</w:t>
      </w:r>
      <w:r>
        <w:rPr>
          <w:rFonts w:ascii="Arial" w:hAnsi="Arial" w:cs="Arial"/>
          <w:iCs/>
        </w:rPr>
        <w:br/>
      </w:r>
    </w:p>
    <w:p w:rsidR="009063B9" w:rsidRDefault="009063B9" w:rsidP="009063B9">
      <w:pPr>
        <w:pStyle w:val="NormaleWeb"/>
        <w:spacing w:after="150" w:afterAutospacing="0"/>
        <w:rPr>
          <w:rFonts w:ascii="Arial" w:hAnsi="Arial" w:cs="Arial"/>
          <w:b/>
          <w:iCs/>
        </w:rPr>
      </w:pPr>
      <w:r>
        <w:rPr>
          <w:rFonts w:ascii="Arial" w:hAnsi="Arial" w:cs="Arial"/>
          <w:b/>
          <w:iCs/>
        </w:rPr>
        <w:t>CONTROLLI INTERNI</w:t>
      </w:r>
    </w:p>
    <w:p w:rsidR="009063B9" w:rsidRDefault="009063B9" w:rsidP="009063B9">
      <w:pPr>
        <w:rPr>
          <w:rFonts w:ascii="Arial" w:hAnsi="Arial" w:cs="Arial"/>
          <w:sz w:val="24"/>
          <w:szCs w:val="24"/>
        </w:rPr>
      </w:pPr>
      <w:r>
        <w:rPr>
          <w:rFonts w:ascii="Arial" w:hAnsi="Arial" w:cs="Arial"/>
          <w:sz w:val="24"/>
          <w:szCs w:val="24"/>
        </w:rPr>
        <w:t>Il Collegio Sindacale:</w:t>
      </w:r>
    </w:p>
    <w:p w:rsidR="009063B9" w:rsidRDefault="009063B9" w:rsidP="009063B9">
      <w:pPr>
        <w:numPr>
          <w:ilvl w:val="0"/>
          <w:numId w:val="3"/>
        </w:numPr>
        <w:spacing w:after="0" w:line="240" w:lineRule="auto"/>
        <w:rPr>
          <w:rFonts w:ascii="Arial" w:hAnsi="Arial" w:cs="Arial"/>
          <w:color w:val="000000" w:themeColor="text1"/>
          <w:sz w:val="24"/>
          <w:szCs w:val="24"/>
          <w:highlight w:val="green"/>
        </w:rPr>
      </w:pPr>
      <w:r>
        <w:rPr>
          <w:rFonts w:ascii="Arial" w:hAnsi="Arial" w:cs="Arial"/>
          <w:color w:val="000000" w:themeColor="text1"/>
          <w:sz w:val="24"/>
          <w:szCs w:val="24"/>
          <w:highlight w:val="green"/>
        </w:rPr>
        <w:t>Verifica l’Amministrazione dell’azienda sotto il profilo Economico;</w:t>
      </w:r>
    </w:p>
    <w:p w:rsidR="009063B9" w:rsidRDefault="009063B9" w:rsidP="009063B9">
      <w:pPr>
        <w:numPr>
          <w:ilvl w:val="0"/>
          <w:numId w:val="3"/>
        </w:numPr>
        <w:spacing w:after="0" w:line="240" w:lineRule="auto"/>
        <w:rPr>
          <w:rFonts w:ascii="Arial" w:hAnsi="Arial" w:cs="Arial"/>
          <w:sz w:val="24"/>
          <w:szCs w:val="24"/>
        </w:rPr>
      </w:pPr>
      <w:r>
        <w:rPr>
          <w:rFonts w:ascii="Arial" w:hAnsi="Arial" w:cs="Arial"/>
          <w:sz w:val="24"/>
          <w:szCs w:val="24"/>
        </w:rPr>
        <w:t>Vigila sull’Osservanza della Legge;</w:t>
      </w:r>
    </w:p>
    <w:p w:rsidR="009063B9" w:rsidRDefault="009063B9" w:rsidP="009063B9">
      <w:pPr>
        <w:numPr>
          <w:ilvl w:val="0"/>
          <w:numId w:val="3"/>
        </w:numPr>
        <w:spacing w:after="0" w:line="240" w:lineRule="auto"/>
        <w:rPr>
          <w:rFonts w:ascii="Arial" w:hAnsi="Arial" w:cs="Arial"/>
          <w:sz w:val="24"/>
          <w:szCs w:val="24"/>
        </w:rPr>
      </w:pPr>
      <w:r>
        <w:rPr>
          <w:rFonts w:ascii="Arial" w:hAnsi="Arial" w:cs="Arial"/>
          <w:sz w:val="24"/>
          <w:szCs w:val="24"/>
        </w:rPr>
        <w:t>Accerta la regolare tenuta della Contabilità e la Conformità del Bilancio alle risultanze dei Libri e delle Scritture Contabili;</w:t>
      </w:r>
    </w:p>
    <w:p w:rsidR="009063B9" w:rsidRDefault="009063B9" w:rsidP="009063B9">
      <w:pPr>
        <w:numPr>
          <w:ilvl w:val="0"/>
          <w:numId w:val="3"/>
        </w:numPr>
        <w:spacing w:after="0" w:line="240" w:lineRule="auto"/>
        <w:rPr>
          <w:rFonts w:ascii="Arial" w:hAnsi="Arial" w:cs="Arial"/>
          <w:sz w:val="24"/>
          <w:szCs w:val="24"/>
        </w:rPr>
      </w:pPr>
      <w:r>
        <w:rPr>
          <w:rFonts w:ascii="Arial" w:hAnsi="Arial" w:cs="Arial"/>
          <w:sz w:val="24"/>
          <w:szCs w:val="24"/>
        </w:rPr>
        <w:t>Comunica almeno ogni 3 mesi alla Regione, anche su sua richiesta, sui risultati del Riscontro effettuato, denunciando subito i fatti in caso di sospettata grave irregolarità</w:t>
      </w:r>
    </w:p>
    <w:p w:rsidR="009063B9" w:rsidRDefault="009063B9" w:rsidP="009063B9">
      <w:pPr>
        <w:spacing w:after="100" w:afterAutospacing="1"/>
        <w:jc w:val="both"/>
        <w:rPr>
          <w:rFonts w:ascii="Arial" w:hAnsi="Arial" w:cs="Arial"/>
          <w:sz w:val="24"/>
          <w:szCs w:val="24"/>
        </w:rPr>
      </w:pPr>
      <w:r>
        <w:rPr>
          <w:rFonts w:ascii="Arial" w:hAnsi="Arial" w:cs="Arial"/>
          <w:sz w:val="24"/>
          <w:szCs w:val="24"/>
        </w:rPr>
        <w:t>Trasmette almeno ogni 6 mesi 1 sua Relazione sull’andamento dell’USL o della AO alla Conferenza dei Sindaci o al Sindaco del Comune Capoluogo di Provincia</w:t>
      </w:r>
    </w:p>
    <w:p w:rsidR="009063B9" w:rsidRDefault="009063B9" w:rsidP="009063B9">
      <w:pPr>
        <w:spacing w:after="100" w:afterAutospacing="1"/>
        <w:jc w:val="both"/>
        <w:rPr>
          <w:rFonts w:ascii="Arial" w:hAnsi="Arial" w:cs="Arial"/>
          <w:sz w:val="24"/>
          <w:szCs w:val="24"/>
        </w:rPr>
      </w:pPr>
    </w:p>
    <w:p w:rsidR="009063B9" w:rsidRDefault="009063B9" w:rsidP="009063B9">
      <w:pPr>
        <w:spacing w:after="100" w:afterAutospacing="1"/>
        <w:jc w:val="both"/>
        <w:rPr>
          <w:rFonts w:ascii="Arial" w:hAnsi="Arial" w:cs="Arial"/>
          <w:sz w:val="24"/>
          <w:szCs w:val="24"/>
        </w:rPr>
      </w:pPr>
      <w:r>
        <w:rPr>
          <w:rFonts w:ascii="Arial" w:hAnsi="Arial" w:cs="Arial"/>
          <w:sz w:val="24"/>
          <w:szCs w:val="24"/>
        </w:rPr>
        <w:t xml:space="preserve">Il sistema dei controlli interni delle pubbliche amministrazioni è disciplinato dal </w:t>
      </w:r>
      <w:proofErr w:type="spellStart"/>
      <w:r>
        <w:rPr>
          <w:rFonts w:ascii="Arial" w:hAnsi="Arial" w:cs="Arial"/>
          <w:sz w:val="24"/>
          <w:szCs w:val="24"/>
        </w:rPr>
        <w:t>Dlgs</w:t>
      </w:r>
      <w:proofErr w:type="spellEnd"/>
      <w:r>
        <w:rPr>
          <w:rFonts w:ascii="Arial" w:hAnsi="Arial" w:cs="Arial"/>
          <w:sz w:val="24"/>
          <w:szCs w:val="24"/>
        </w:rPr>
        <w:t xml:space="preserve"> 286 del 1999; esso prevede quattro tipi di controllo: </w:t>
      </w:r>
    </w:p>
    <w:p w:rsidR="009063B9" w:rsidRDefault="009063B9" w:rsidP="009063B9">
      <w:pPr>
        <w:spacing w:after="100" w:afterAutospacing="1"/>
        <w:jc w:val="both"/>
        <w:rPr>
          <w:rFonts w:ascii="Arial" w:hAnsi="Arial" w:cs="Arial"/>
          <w:sz w:val="24"/>
          <w:szCs w:val="24"/>
          <w:lang w:eastAsia="it-IT"/>
        </w:rPr>
      </w:pPr>
      <w:proofErr w:type="spellStart"/>
      <w:r>
        <w:rPr>
          <w:rFonts w:ascii="Arial" w:hAnsi="Arial" w:cs="Arial"/>
          <w:sz w:val="24"/>
          <w:szCs w:val="24"/>
        </w:rPr>
        <w:t>•controllo</w:t>
      </w:r>
      <w:proofErr w:type="spellEnd"/>
      <w:r>
        <w:rPr>
          <w:rFonts w:ascii="Arial" w:hAnsi="Arial" w:cs="Arial"/>
          <w:sz w:val="24"/>
          <w:szCs w:val="24"/>
        </w:rPr>
        <w:t xml:space="preserve"> di regolarità amministrativa e contabile,</w:t>
      </w:r>
      <w:r>
        <w:rPr>
          <w:rFonts w:ascii="Arial" w:hAnsi="Arial" w:cs="Arial"/>
          <w:sz w:val="24"/>
          <w:szCs w:val="24"/>
        </w:rPr>
        <w:sym w:font="Wingdings" w:char="00E0"/>
      </w:r>
      <w:r>
        <w:rPr>
          <w:rFonts w:ascii="Arial" w:hAnsi="Arial" w:cs="Arial"/>
          <w:sz w:val="24"/>
          <w:szCs w:val="24"/>
        </w:rPr>
        <w:t xml:space="preserve"> diretto a garantire la legittimità, la regolarità e la correttezza dell’azione amministrativa; </w:t>
      </w:r>
      <w:r>
        <w:rPr>
          <w:rFonts w:ascii="Arial" w:hAnsi="Arial" w:cs="Arial"/>
          <w:sz w:val="24"/>
          <w:szCs w:val="24"/>
          <w:lang w:eastAsia="it-IT"/>
        </w:rPr>
        <w:t xml:space="preserve">Il Collegio sindacale esercita la vigilanza sulla regolarità amministrativa e contabile mediante verifiche </w:t>
      </w:r>
      <w:proofErr w:type="spellStart"/>
      <w:r>
        <w:rPr>
          <w:rFonts w:ascii="Arial" w:hAnsi="Arial" w:cs="Arial"/>
          <w:sz w:val="24"/>
          <w:szCs w:val="24"/>
          <w:lang w:eastAsia="it-IT"/>
        </w:rPr>
        <w:t>infrannuali</w:t>
      </w:r>
      <w:proofErr w:type="spellEnd"/>
      <w:r>
        <w:rPr>
          <w:rFonts w:ascii="Arial" w:hAnsi="Arial" w:cs="Arial"/>
          <w:sz w:val="24"/>
          <w:szCs w:val="24"/>
          <w:lang w:eastAsia="it-IT"/>
        </w:rPr>
        <w:t>:</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a) dell'applicazione delle disposizioni di carattere tecnico-contabile della presente legge;</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b) della regolare tenuta dei libri;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c) dell'affidabilità, della compiutezza e della correttezza delle procedure e delle scritture contabili;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d) degli adempimenti relativi agli obblighi fiscali;</w:t>
      </w:r>
    </w:p>
    <w:p w:rsidR="009063B9" w:rsidRDefault="009063B9" w:rsidP="009063B9">
      <w:pPr>
        <w:spacing w:after="100" w:afterAutospacing="1"/>
        <w:jc w:val="both"/>
        <w:rPr>
          <w:rFonts w:ascii="Arial" w:hAnsi="Arial" w:cs="Arial"/>
          <w:sz w:val="24"/>
          <w:szCs w:val="24"/>
        </w:rPr>
      </w:pPr>
      <w:r>
        <w:rPr>
          <w:rFonts w:ascii="Arial" w:hAnsi="Arial" w:cs="Arial"/>
          <w:sz w:val="24"/>
          <w:szCs w:val="24"/>
          <w:lang w:eastAsia="it-IT"/>
        </w:rPr>
        <w:t>e) della regolarità formale degli atti di alta amministrazione</w:t>
      </w:r>
    </w:p>
    <w:p w:rsidR="009063B9" w:rsidRDefault="009063B9" w:rsidP="009063B9">
      <w:pPr>
        <w:pStyle w:val="NormaleWeb"/>
        <w:rPr>
          <w:rFonts w:ascii="Arial" w:hAnsi="Arial" w:cs="Arial"/>
        </w:rPr>
      </w:pPr>
      <w:proofErr w:type="spellStart"/>
      <w:r>
        <w:rPr>
          <w:rFonts w:ascii="Arial" w:hAnsi="Arial" w:cs="Arial"/>
        </w:rPr>
        <w:t>•controllo</w:t>
      </w:r>
      <w:proofErr w:type="spellEnd"/>
      <w:r>
        <w:rPr>
          <w:rFonts w:ascii="Arial" w:hAnsi="Arial" w:cs="Arial"/>
        </w:rPr>
        <w:t xml:space="preserve"> di gestione</w:t>
      </w:r>
      <w:r>
        <w:rPr>
          <w:rFonts w:ascii="Arial" w:hAnsi="Arial" w:cs="Arial"/>
        </w:rPr>
        <w:sym w:font="Wingdings" w:char="00E0"/>
      </w:r>
      <w:r>
        <w:rPr>
          <w:rFonts w:ascii="Arial" w:hAnsi="Arial" w:cs="Arial"/>
        </w:rPr>
        <w:t xml:space="preserve"> diretto alla verifica dell’efficacia, dell’efficienza e dell’economicità dell’azione amministrativa al fine di ottimizzare il rapporto tra costi e risultati, anche attraverso interventi di correzione; Al fine di valutare l'efficacia, l'efficienza e l'economicità dell'azione amministrativa, l'Azienda USL adotta il metodo del controllo di gestione. I centri di responsabilità corrispondono alle strutture aziendali alle quali sono assegnate, mediante la metodica di budget, le risorse necessarie per lo svolgimento di specifiche attività volte all'ottenimento di individuati risultati.  Ad una struttura aziendale è attribuita la qualificazione di centro di responsabilità quando risponde alle seguenti caratteristiche:</w:t>
      </w:r>
    </w:p>
    <w:p w:rsidR="009063B9" w:rsidRDefault="009063B9" w:rsidP="009063B9">
      <w:pPr>
        <w:pStyle w:val="NormaleWeb"/>
        <w:rPr>
          <w:rFonts w:ascii="Arial" w:hAnsi="Arial" w:cs="Arial"/>
        </w:rPr>
      </w:pPr>
      <w:r>
        <w:rPr>
          <w:rFonts w:ascii="Arial" w:hAnsi="Arial" w:cs="Arial"/>
        </w:rPr>
        <w:t>a) omogeneità delle attività svolte;</w:t>
      </w:r>
    </w:p>
    <w:p w:rsidR="009063B9" w:rsidRDefault="009063B9" w:rsidP="009063B9">
      <w:pPr>
        <w:pStyle w:val="NormaleWeb"/>
        <w:rPr>
          <w:rFonts w:ascii="Arial" w:hAnsi="Arial" w:cs="Arial"/>
        </w:rPr>
      </w:pPr>
      <w:r>
        <w:rPr>
          <w:rFonts w:ascii="Arial" w:hAnsi="Arial" w:cs="Arial"/>
        </w:rPr>
        <w:t>b) rilevanza in valore assoluto delle risorse impiegate;</w:t>
      </w:r>
    </w:p>
    <w:p w:rsidR="009063B9" w:rsidRDefault="009063B9" w:rsidP="009063B9">
      <w:pPr>
        <w:pStyle w:val="NormaleWeb"/>
        <w:rPr>
          <w:rFonts w:ascii="Arial" w:hAnsi="Arial" w:cs="Arial"/>
        </w:rPr>
      </w:pPr>
      <w:r>
        <w:rPr>
          <w:rFonts w:ascii="Arial" w:hAnsi="Arial" w:cs="Arial"/>
        </w:rPr>
        <w:t>c) presenza di un responsabile di gestione e di risultato.</w:t>
      </w:r>
    </w:p>
    <w:p w:rsidR="009063B9" w:rsidRDefault="009063B9" w:rsidP="009063B9">
      <w:pPr>
        <w:pStyle w:val="NormaleWeb"/>
        <w:rPr>
          <w:rFonts w:ascii="Arial" w:hAnsi="Arial" w:cs="Arial"/>
        </w:rPr>
      </w:pPr>
      <w:r>
        <w:rPr>
          <w:rFonts w:ascii="Arial" w:hAnsi="Arial" w:cs="Arial"/>
        </w:rPr>
        <w:t xml:space="preserve"> L'insieme dei centri di responsabilità costituisce il piano dei centri di responsabilità.</w:t>
      </w:r>
    </w:p>
    <w:p w:rsidR="009063B9" w:rsidRDefault="009063B9" w:rsidP="009063B9">
      <w:pPr>
        <w:pStyle w:val="NormaleWeb"/>
        <w:rPr>
          <w:rFonts w:ascii="Arial" w:hAnsi="Arial" w:cs="Arial"/>
        </w:rPr>
      </w:pPr>
      <w:r>
        <w:rPr>
          <w:rFonts w:ascii="Arial" w:hAnsi="Arial" w:cs="Arial"/>
        </w:rPr>
        <w:t xml:space="preserve"> La struttura tecnico-contabile del controllo di gestione è costituita dall'insieme organizzato degli strumenti informativi che consentono la raccolta, l'analisi e la diffusione delle informazioni per lo svolgimento del processo di pianificazione, programmazione e controllo, nonché dalle risorse umane impegnate in detta attività.. La struttura tecnico-contabile del controllo di gestione si avvale dei documenti di pianificazione aziendale, regionale e statale per l'individuazione delle iniziative funzionali alla strategia aziendale; essa si avvale, inoltre, dei dati e delle informazioni derivanti dalla contabilità economico-patrimoniale, dalla contabilità analitica, dalla metodica di budget e da ogni ulteriore informazione derivabile dal sistema informativo dell'Azienda USL, per la rilevazione analitica degli scostamenti. La rilevazione analitica degli scostamenti avviene per confronto periodico tra dati di budget e dati consuntivi con riguardo ai volumi delle risorse complessivamente assorbite, ai singoli fattori operativi impiegati e ai risultati ottenuti</w:t>
      </w:r>
    </w:p>
    <w:p w:rsidR="009063B9" w:rsidRDefault="009063B9" w:rsidP="009063B9">
      <w:pPr>
        <w:spacing w:after="100" w:afterAutospacing="1"/>
        <w:jc w:val="both"/>
        <w:rPr>
          <w:rFonts w:ascii="Arial" w:hAnsi="Arial" w:cs="Arial"/>
          <w:sz w:val="24"/>
          <w:szCs w:val="24"/>
        </w:rPr>
      </w:pPr>
    </w:p>
    <w:p w:rsidR="009063B9" w:rsidRDefault="009063B9" w:rsidP="009063B9">
      <w:pPr>
        <w:spacing w:after="100" w:afterAutospacing="1"/>
        <w:jc w:val="both"/>
        <w:rPr>
          <w:rFonts w:ascii="Arial" w:hAnsi="Arial" w:cs="Arial"/>
          <w:sz w:val="24"/>
          <w:szCs w:val="24"/>
        </w:rPr>
      </w:pPr>
      <w:proofErr w:type="spellStart"/>
      <w:r>
        <w:rPr>
          <w:rFonts w:ascii="Arial" w:hAnsi="Arial" w:cs="Arial"/>
          <w:sz w:val="24"/>
          <w:szCs w:val="24"/>
        </w:rPr>
        <w:t>•valutazione</w:t>
      </w:r>
      <w:proofErr w:type="spellEnd"/>
      <w:r>
        <w:rPr>
          <w:rFonts w:ascii="Arial" w:hAnsi="Arial" w:cs="Arial"/>
          <w:sz w:val="24"/>
          <w:szCs w:val="24"/>
        </w:rPr>
        <w:t xml:space="preserve"> della dirigenza</w:t>
      </w:r>
      <w:r>
        <w:rPr>
          <w:rFonts w:ascii="Arial" w:hAnsi="Arial" w:cs="Arial"/>
          <w:sz w:val="24"/>
          <w:szCs w:val="24"/>
        </w:rPr>
        <w:sym w:font="Wingdings" w:char="00E0"/>
      </w:r>
      <w:r>
        <w:rPr>
          <w:rFonts w:ascii="Arial" w:hAnsi="Arial" w:cs="Arial"/>
          <w:sz w:val="24"/>
          <w:szCs w:val="24"/>
        </w:rPr>
        <w:t xml:space="preserve"> diretta alla valutazione delle prestazioni del personale con qualifica dirigenziale tenendo in considerazione i risultati dell’attività amministrativa e della gestione; L'Azienda, nel rispetto dei criteri riportati nei contratti vigenti, definisce e mette in opera specifiche metodologie e strumenti di supporto al processo valutativo dei dirigenti. Al processo di valutazione sono preposti un organismo indipendente di valutazione e il Collegio Tecnico. L’organismo indipendente di valutazione svolge le seguenti attività: a) valutazione e monitoraggio, verificando, in funzione dell'esercizio dei poteri di indirizzo da parte dei competenti organi, l'effettiva attuazione delle scelte contenute nelle direttive e negli atti di programmazione; in particolare, tale attività consiste nell'analisi, preventiva e successiva, della congruenza o degli eventuali scostamenti tra le missioni affidate, gli obiettivi prescelti, le scelte operative effettuate rispetto alle risorse umane, finanziarie e materiali assegnate, nonché nella identificazione degli eventuali fattori ostativi, delle eventuali responsabilità della mancata o parziale attuazione dei possibili rimedi; b) verifica annuale dei risultati di gestione del Dirigente di Struttura Complessa o di Struttura Semplice, ove ad esso sia affidata la gestione di risorse; c) verifica dei risultati raggiunti da tutti i dirigenti in relazione agli obiettivi assegnati, ai fini dell'attribuzione della retribuzione di risultato. La composizione e le modalità di funzionamento di questo  organismo sono stabilite con deliberazione del Direttore Generale. Il Collegio Tecnico svolge le seguenti attività: a) verifica delle attività professionali svolte e dei risultati raggiunti da parte di tutti i Dirigenti, indipendentemente dall'incarico conferito, con cadenza triennale; b) verifica dei Dirigenti titolari di incarico di direzione di Struttura Complessa o Semplice alla scadenza dell'incarico loro conferito; c) per la dirigenza sanitaria, verifica dei Dirigenti di nuova assunzione al termine del primo quinquennio di servizio; d) verifica del possesso dei requisiti per l'attribuzione delle indennità di fascia superiore ai Dirigenti sanitari. La composizione e le modalità di funzionamento del Collegio tecnico sono stabilite con deliberazione del Direttore Generale</w:t>
      </w:r>
    </w:p>
    <w:p w:rsidR="009063B9" w:rsidRDefault="009063B9" w:rsidP="009063B9">
      <w:pPr>
        <w:spacing w:after="100" w:afterAutospacing="1"/>
        <w:jc w:val="both"/>
        <w:rPr>
          <w:rFonts w:ascii="Arial" w:hAnsi="Arial" w:cs="Arial"/>
          <w:sz w:val="24"/>
          <w:szCs w:val="24"/>
        </w:rPr>
      </w:pPr>
      <w:proofErr w:type="spellStart"/>
      <w:r>
        <w:rPr>
          <w:rFonts w:ascii="Arial" w:hAnsi="Arial" w:cs="Arial"/>
          <w:sz w:val="24"/>
          <w:szCs w:val="24"/>
        </w:rPr>
        <w:t>•controllo</w:t>
      </w:r>
      <w:proofErr w:type="spellEnd"/>
      <w:r>
        <w:rPr>
          <w:rFonts w:ascii="Arial" w:hAnsi="Arial" w:cs="Arial"/>
          <w:sz w:val="24"/>
          <w:szCs w:val="24"/>
        </w:rPr>
        <w:t xml:space="preserve"> strategico</w:t>
      </w:r>
      <w:r>
        <w:rPr>
          <w:rFonts w:ascii="Arial" w:hAnsi="Arial" w:cs="Arial"/>
          <w:sz w:val="24"/>
          <w:szCs w:val="24"/>
        </w:rPr>
        <w:sym w:font="Wingdings" w:char="00E0"/>
      </w:r>
      <w:r>
        <w:rPr>
          <w:rFonts w:ascii="Arial" w:hAnsi="Arial" w:cs="Arial"/>
          <w:sz w:val="24"/>
          <w:szCs w:val="24"/>
        </w:rPr>
        <w:t xml:space="preserve"> diretto a valutare l’adeguatezza delle scelte compiute in sede di attuazione dei piani, programmi ed altri strumenti di determinazione dell’indirizzo politico attraverso la congruenza tra i risultati conseguiti e gli obiettivi </w:t>
      </w:r>
      <w:proofErr w:type="spellStart"/>
      <w:r>
        <w:rPr>
          <w:rFonts w:ascii="Arial" w:hAnsi="Arial" w:cs="Arial"/>
          <w:sz w:val="24"/>
          <w:szCs w:val="24"/>
        </w:rPr>
        <w:t>predefinit</w:t>
      </w:r>
      <w:proofErr w:type="spellEnd"/>
    </w:p>
    <w:p w:rsidR="009063B9" w:rsidRDefault="009063B9" w:rsidP="009063B9">
      <w:pPr>
        <w:autoSpaceDN w:val="0"/>
        <w:adjustRightInd w:val="0"/>
        <w:rPr>
          <w:rFonts w:ascii="Arial" w:hAnsi="Arial" w:cs="Arial"/>
          <w:b/>
          <w:bCs/>
          <w:color w:val="000000"/>
          <w:sz w:val="24"/>
          <w:szCs w:val="24"/>
        </w:rPr>
      </w:pPr>
      <w:r>
        <w:rPr>
          <w:rFonts w:ascii="Arial" w:hAnsi="Arial" w:cs="Arial"/>
          <w:b/>
          <w:bCs/>
          <w:color w:val="000000"/>
          <w:sz w:val="24"/>
          <w:szCs w:val="24"/>
        </w:rPr>
        <w:t>ART. 10: CONTROLLO QUALITA'</w:t>
      </w:r>
    </w:p>
    <w:p w:rsidR="009063B9" w:rsidRDefault="009063B9" w:rsidP="009063B9">
      <w:pPr>
        <w:autoSpaceDN w:val="0"/>
        <w:adjustRightInd w:val="0"/>
        <w:rPr>
          <w:rFonts w:ascii="Arial" w:hAnsi="Arial" w:cs="Arial"/>
          <w:color w:val="000000"/>
          <w:sz w:val="24"/>
          <w:szCs w:val="24"/>
        </w:rPr>
      </w:pPr>
      <w:r>
        <w:rPr>
          <w:rFonts w:ascii="Arial" w:hAnsi="Arial" w:cs="Arial"/>
          <w:color w:val="000000"/>
          <w:sz w:val="24"/>
          <w:szCs w:val="24"/>
        </w:rPr>
        <w:t xml:space="preserve">Per garantire la qualità dell'assistenza volta equamente a tutti i cittadini, vengono utilizzati dei metodi ordinari per la </w:t>
      </w:r>
      <w:r>
        <w:rPr>
          <w:rFonts w:ascii="Arial" w:hAnsi="Arial" w:cs="Arial"/>
          <w:b/>
          <w:bCs/>
          <w:color w:val="000000"/>
          <w:sz w:val="24"/>
          <w:szCs w:val="24"/>
        </w:rPr>
        <w:t xml:space="preserve">verifica </w:t>
      </w:r>
      <w:r>
        <w:rPr>
          <w:rFonts w:ascii="Arial" w:hAnsi="Arial" w:cs="Arial"/>
          <w:color w:val="000000"/>
          <w:sz w:val="24"/>
          <w:szCs w:val="24"/>
        </w:rPr>
        <w:t xml:space="preserve">e la </w:t>
      </w:r>
      <w:r>
        <w:rPr>
          <w:rFonts w:ascii="Arial" w:hAnsi="Arial" w:cs="Arial"/>
          <w:b/>
          <w:bCs/>
          <w:color w:val="000000"/>
          <w:sz w:val="24"/>
          <w:szCs w:val="24"/>
        </w:rPr>
        <w:t>revisione della qualità</w:t>
      </w:r>
      <w:r>
        <w:rPr>
          <w:rFonts w:ascii="Arial" w:hAnsi="Arial" w:cs="Arial"/>
          <w:color w:val="000000"/>
          <w:sz w:val="24"/>
          <w:szCs w:val="24"/>
        </w:rPr>
        <w:t>, nonché la quantità di prestazioni e il loro costo, che dovranno essere erogate secondo i modelli organizzativi e i flussi informativi dei soggetti erogatori (pubblici o privati) e secondo il SSN.</w:t>
      </w:r>
    </w:p>
    <w:p w:rsidR="009063B9" w:rsidRDefault="009063B9" w:rsidP="009063B9">
      <w:pPr>
        <w:autoSpaceDN w:val="0"/>
        <w:adjustRightInd w:val="0"/>
        <w:rPr>
          <w:rFonts w:ascii="Arial" w:hAnsi="Arial" w:cs="Arial"/>
          <w:color w:val="000000"/>
          <w:sz w:val="24"/>
          <w:szCs w:val="24"/>
        </w:rPr>
      </w:pPr>
      <w:r>
        <w:rPr>
          <w:rFonts w:ascii="Arial" w:hAnsi="Arial" w:cs="Arial"/>
          <w:color w:val="000000"/>
          <w:sz w:val="24"/>
          <w:szCs w:val="24"/>
        </w:rPr>
        <w:t xml:space="preserve">Le Regioni verificano il rispetto delle norme in materia di </w:t>
      </w:r>
      <w:r>
        <w:rPr>
          <w:rFonts w:ascii="Arial" w:hAnsi="Arial" w:cs="Arial"/>
          <w:b/>
          <w:bCs/>
          <w:color w:val="000000"/>
          <w:sz w:val="24"/>
          <w:szCs w:val="24"/>
        </w:rPr>
        <w:t xml:space="preserve">requisiti minimi </w:t>
      </w:r>
      <w:r>
        <w:rPr>
          <w:rFonts w:ascii="Arial" w:hAnsi="Arial" w:cs="Arial"/>
          <w:color w:val="000000"/>
          <w:sz w:val="24"/>
          <w:szCs w:val="24"/>
        </w:rPr>
        <w:t>e  cl</w:t>
      </w:r>
      <w:r>
        <w:rPr>
          <w:rFonts w:ascii="Arial" w:hAnsi="Arial" w:cs="Arial"/>
          <w:b/>
          <w:bCs/>
          <w:color w:val="000000"/>
          <w:sz w:val="24"/>
          <w:szCs w:val="24"/>
        </w:rPr>
        <w:t xml:space="preserve">assificazione delle strutture erogatrici </w:t>
      </w:r>
      <w:r>
        <w:rPr>
          <w:rFonts w:ascii="Arial" w:hAnsi="Arial" w:cs="Arial"/>
          <w:color w:val="000000"/>
          <w:sz w:val="24"/>
          <w:szCs w:val="24"/>
        </w:rPr>
        <w:t>tramite sistemi di sorveglianza che verificano la qualità dei servizi e le prestazioni.</w:t>
      </w:r>
    </w:p>
    <w:p w:rsidR="009063B9" w:rsidRDefault="009063B9" w:rsidP="009063B9">
      <w:pPr>
        <w:spacing w:after="100" w:afterAutospacing="1"/>
        <w:jc w:val="both"/>
        <w:rPr>
          <w:rFonts w:ascii="Arial" w:hAnsi="Arial" w:cs="Arial"/>
          <w:sz w:val="24"/>
          <w:szCs w:val="24"/>
          <w:lang w:eastAsia="it-IT"/>
        </w:rPr>
      </w:pPr>
    </w:p>
    <w:p w:rsidR="009063B9" w:rsidRDefault="009063B9" w:rsidP="009063B9">
      <w:pPr>
        <w:spacing w:after="100" w:afterAutospacing="1"/>
        <w:jc w:val="both"/>
        <w:rPr>
          <w:rFonts w:ascii="Arial" w:hAnsi="Arial" w:cs="Arial"/>
          <w:sz w:val="24"/>
          <w:szCs w:val="24"/>
        </w:rPr>
      </w:pPr>
      <w:r>
        <w:rPr>
          <w:rFonts w:ascii="Arial" w:hAnsi="Arial" w:cs="Arial"/>
          <w:sz w:val="24"/>
          <w:szCs w:val="24"/>
        </w:rPr>
        <w:lastRenderedPageBreak/>
        <w:t xml:space="preserve">Il Ciclo delle Performance si sviluppa, come previsto dal </w:t>
      </w:r>
      <w:proofErr w:type="spellStart"/>
      <w:r>
        <w:rPr>
          <w:rFonts w:ascii="Arial" w:hAnsi="Arial" w:cs="Arial"/>
          <w:sz w:val="24"/>
          <w:szCs w:val="24"/>
        </w:rPr>
        <w:t>DL</w:t>
      </w:r>
      <w:proofErr w:type="spellEnd"/>
      <w:r>
        <w:rPr>
          <w:rFonts w:ascii="Arial" w:hAnsi="Arial" w:cs="Arial"/>
          <w:sz w:val="24"/>
          <w:szCs w:val="24"/>
        </w:rPr>
        <w:t xml:space="preserve"> 150/2009 su tre diversi livelli tra loro necessariamente collegati: </w:t>
      </w:r>
    </w:p>
    <w:p w:rsidR="009063B9" w:rsidRDefault="009063B9" w:rsidP="009063B9">
      <w:pPr>
        <w:spacing w:after="100" w:afterAutospacing="1"/>
        <w:jc w:val="both"/>
        <w:rPr>
          <w:rFonts w:ascii="Arial" w:hAnsi="Arial" w:cs="Arial"/>
          <w:sz w:val="24"/>
          <w:szCs w:val="24"/>
        </w:rPr>
      </w:pPr>
      <w:r>
        <w:rPr>
          <w:rFonts w:ascii="Arial" w:hAnsi="Arial" w:cs="Arial"/>
          <w:sz w:val="24"/>
          <w:szCs w:val="24"/>
        </w:rPr>
        <w:t>1) il livello aziendale</w:t>
      </w:r>
      <w:r>
        <w:rPr>
          <w:rFonts w:ascii="Arial" w:hAnsi="Arial" w:cs="Arial"/>
          <w:sz w:val="24"/>
          <w:szCs w:val="24"/>
        </w:rPr>
        <w:tab/>
      </w:r>
    </w:p>
    <w:p w:rsidR="009063B9" w:rsidRDefault="009063B9" w:rsidP="009063B9">
      <w:pPr>
        <w:spacing w:after="100" w:afterAutospacing="1"/>
        <w:jc w:val="both"/>
        <w:rPr>
          <w:rFonts w:ascii="Arial" w:hAnsi="Arial" w:cs="Arial"/>
          <w:sz w:val="24"/>
          <w:szCs w:val="24"/>
        </w:rPr>
      </w:pPr>
      <w:r>
        <w:rPr>
          <w:rFonts w:ascii="Arial" w:hAnsi="Arial" w:cs="Arial"/>
          <w:sz w:val="24"/>
          <w:szCs w:val="24"/>
        </w:rPr>
        <w:t xml:space="preserve"> 2) il livello delle articolazioni organizzative </w:t>
      </w:r>
    </w:p>
    <w:p w:rsidR="009063B9" w:rsidRDefault="009063B9" w:rsidP="009063B9">
      <w:pPr>
        <w:spacing w:after="100" w:afterAutospacing="1"/>
        <w:jc w:val="both"/>
        <w:rPr>
          <w:rFonts w:ascii="Arial" w:hAnsi="Arial" w:cs="Arial"/>
          <w:sz w:val="24"/>
          <w:szCs w:val="24"/>
        </w:rPr>
      </w:pPr>
      <w:r>
        <w:rPr>
          <w:rFonts w:ascii="Arial" w:hAnsi="Arial" w:cs="Arial"/>
          <w:sz w:val="24"/>
          <w:szCs w:val="24"/>
        </w:rPr>
        <w:t>3) il livello individuale</w:t>
      </w:r>
    </w:p>
    <w:p w:rsidR="009063B9" w:rsidRDefault="009063B9" w:rsidP="009063B9">
      <w:pPr>
        <w:spacing w:after="100" w:afterAutospacing="1"/>
        <w:jc w:val="both"/>
        <w:rPr>
          <w:rFonts w:ascii="Arial" w:hAnsi="Arial" w:cs="Arial"/>
          <w:sz w:val="24"/>
          <w:szCs w:val="24"/>
        </w:rPr>
      </w:pPr>
      <w:r>
        <w:rPr>
          <w:rFonts w:ascii="Arial" w:hAnsi="Arial" w:cs="Arial"/>
          <w:sz w:val="24"/>
          <w:szCs w:val="24"/>
        </w:rPr>
        <w:t>I tre livelli pur mantenendo le proprie specificità e differenziandosi per gradi di dettaglio, strumenti di predisposizione, monitoraggio e valutazione utilizzati, sono tra loro allineati in modo da assicurare il perseguimento degli obiettivi strategici aziendali. I diversi livelli “ereditano” da quello precedente (almeno in parte) gli obiettivi adattandone la formulazione e gli indicatori alla specifica realtà cui devono essere assegnati. I macro-obiettivi aziendali vengono quindi concordati ed assegnati alle articolazioni organizzative (mediante un processo di negoziazione) in modo diretto, ovvero dopo essere stati adattati alle competenze e responsabilità della specifica struttura ed integrati con altri obiettivi di risultato e/o di processo ancillari rispetto ai primi. A sua volta, il Responsabile della struttura (articolazione) provvede ad assegnare gli obiettivi individuali nell’ambito della propria equipe uniformandoli a quelli della struttura stessa.</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SISTEMA DEI CONTROLLI DEL DIRETTORE GENERALE</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l sistema di pianificazione, di programmazione e di controllo è attivato dal Direttore generale che provvede mediante apposite deliberazioni: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a) ad emanare il piano strategico aziendale, da cui derivano i piani operativi annuali che concorrono alla formazione del PAL e del documento di programmazione;</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b) ad individuare il piano dei centri di responsabilità economica e il responsabile di ciascun centro;</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c) a definire la struttura degli strumenti per la raccolta e l'elaborazione delle informazioni;</w:t>
      </w:r>
    </w:p>
    <w:p w:rsidR="009063B9" w:rsidRDefault="009063B9" w:rsidP="009063B9">
      <w:pPr>
        <w:spacing w:after="100" w:afterAutospacing="1"/>
        <w:jc w:val="both"/>
        <w:rPr>
          <w:rFonts w:ascii="Arial" w:hAnsi="Arial" w:cs="Arial"/>
          <w:sz w:val="24"/>
          <w:szCs w:val="24"/>
          <w:lang w:eastAsia="it-IT"/>
        </w:rPr>
      </w:pPr>
      <w:r>
        <w:rPr>
          <w:rFonts w:ascii="Arial" w:hAnsi="Arial" w:cs="Arial"/>
          <w:sz w:val="24"/>
          <w:szCs w:val="24"/>
          <w:lang w:eastAsia="it-IT"/>
        </w:rPr>
        <w:t>d) a disciplinare le fasi del processo di controllo, individuando i soggetti che devono partecipare a ciascuna di esse.</w:t>
      </w:r>
    </w:p>
    <w:p w:rsidR="00FE38AB" w:rsidRDefault="00FE38AB"/>
    <w:sectPr w:rsidR="00FE38AB" w:rsidSect="00FE38A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6278"/>
    <w:multiLevelType w:val="hybridMultilevel"/>
    <w:tmpl w:val="A49A38D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175B3F46"/>
    <w:multiLevelType w:val="hybridMultilevel"/>
    <w:tmpl w:val="564AD73E"/>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71790E6A"/>
    <w:multiLevelType w:val="hybridMultilevel"/>
    <w:tmpl w:val="54EEB73E"/>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9063B9"/>
    <w:rsid w:val="009063B9"/>
    <w:rsid w:val="00FE38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63B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9063B9"/>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22664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1917</Words>
  <Characters>10928</Characters>
  <Application>Microsoft Office Word</Application>
  <DocSecurity>0</DocSecurity>
  <Lines>91</Lines>
  <Paragraphs>25</Paragraphs>
  <ScaleCrop>false</ScaleCrop>
  <Company/>
  <LinksUpToDate>false</LinksUpToDate>
  <CharactersWithSpaces>12820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2018-03-16T08:15:00Z</dcterms:created>
  <dcterms:modified xsi:type="dcterms:W3CDTF">2018-03-16T08:16:00Z</dcterms:modified>
</cp:coreProperties>
</file>