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69A" w:rsidRPr="00F75A5F" w:rsidRDefault="0089569A" w:rsidP="0089569A">
      <w:pPr>
        <w:pStyle w:val="NormaleWeb"/>
        <w:shd w:val="clear" w:color="auto" w:fill="FFFFFF"/>
        <w:spacing w:before="120" w:beforeAutospacing="0" w:after="120" w:afterAutospacing="0"/>
        <w:rPr>
          <w:rFonts w:ascii="Arial" w:hAnsi="Arial" w:cs="Arial"/>
          <w:color w:val="222222"/>
        </w:rPr>
      </w:pPr>
      <w:r w:rsidRPr="00F75A5F">
        <w:rPr>
          <w:rFonts w:ascii="Arial" w:hAnsi="Arial" w:cs="Arial"/>
          <w:color w:val="222222"/>
        </w:rPr>
        <w:t xml:space="preserve">Nelle PA  italiane, secondo l'art. 4, comma 1, del </w:t>
      </w:r>
      <w:proofErr w:type="spellStart"/>
      <w:r w:rsidRPr="00F75A5F">
        <w:rPr>
          <w:rFonts w:ascii="Arial" w:hAnsi="Arial" w:cs="Arial"/>
          <w:color w:val="222222"/>
        </w:rPr>
        <w:t>D.Lgs.</w:t>
      </w:r>
      <w:proofErr w:type="spellEnd"/>
      <w:r w:rsidRPr="00F75A5F">
        <w:rPr>
          <w:rFonts w:ascii="Arial" w:hAnsi="Arial" w:cs="Arial"/>
          <w:color w:val="222222"/>
        </w:rPr>
        <w:t xml:space="preserve"> 165/2001, "gli organi di governo esercitano le funzioni di </w:t>
      </w:r>
      <w:r w:rsidRPr="00F75A5F">
        <w:rPr>
          <w:rFonts w:ascii="Arial" w:hAnsi="Arial" w:cs="Arial"/>
          <w:b/>
          <w:bCs/>
          <w:color w:val="222222"/>
        </w:rPr>
        <w:t>indirizzo politico-amministrativo</w:t>
      </w:r>
      <w:r w:rsidRPr="00F75A5F">
        <w:rPr>
          <w:rFonts w:ascii="Arial" w:hAnsi="Arial" w:cs="Arial"/>
          <w:color w:val="222222"/>
        </w:rPr>
        <w:t>, definendo gli obiettivi ed i </w:t>
      </w:r>
      <w:hyperlink r:id="rId4" w:tooltip="Programma" w:history="1">
        <w:r w:rsidRPr="00F75A5F">
          <w:rPr>
            <w:rStyle w:val="Collegamentoipertestuale"/>
            <w:rFonts w:ascii="Arial" w:hAnsi="Arial" w:cs="Arial"/>
            <w:color w:val="0B0080"/>
            <w:u w:val="none"/>
          </w:rPr>
          <w:t>programmi</w:t>
        </w:r>
      </w:hyperlink>
      <w:r w:rsidRPr="00F75A5F">
        <w:rPr>
          <w:rFonts w:ascii="Arial" w:hAnsi="Arial" w:cs="Arial"/>
          <w:color w:val="222222"/>
        </w:rPr>
        <w:t> da attuare ed adottando gli altri atti rientranti nello svolgimento di tali funzioni, e verificano la rispondenza dei risultati dell'attività amministrativa e della gestione agli indirizzi impartiti".</w:t>
      </w:r>
    </w:p>
    <w:p w:rsidR="0089569A" w:rsidRPr="00F75A5F" w:rsidRDefault="0089569A" w:rsidP="0089569A">
      <w:pPr>
        <w:pStyle w:val="NormaleWeb"/>
        <w:shd w:val="clear" w:color="auto" w:fill="FFFFFF"/>
        <w:spacing w:before="120" w:beforeAutospacing="0" w:after="120" w:afterAutospacing="0"/>
        <w:rPr>
          <w:rFonts w:ascii="Arial" w:hAnsi="Arial" w:cs="Arial"/>
          <w:color w:val="222222"/>
        </w:rPr>
      </w:pPr>
      <w:r w:rsidRPr="00F75A5F">
        <w:rPr>
          <w:rFonts w:ascii="Arial" w:hAnsi="Arial" w:cs="Arial"/>
          <w:color w:val="222222"/>
        </w:rPr>
        <w:t>A tale funzione, attribuita agli </w:t>
      </w:r>
      <w:r w:rsidRPr="00F75A5F">
        <w:rPr>
          <w:rFonts w:ascii="Arial" w:hAnsi="Arial" w:cs="Arial"/>
          <w:i/>
          <w:iCs/>
          <w:color w:val="222222"/>
        </w:rPr>
        <w:t>organi di governo</w:t>
      </w:r>
      <w:r w:rsidRPr="00F75A5F">
        <w:rPr>
          <w:rFonts w:ascii="Arial" w:hAnsi="Arial" w:cs="Arial"/>
          <w:color w:val="222222"/>
        </w:rPr>
        <w:t>, si contrappone quella attribuita ai </w:t>
      </w:r>
      <w:hyperlink r:id="rId5" w:tooltip="Dirigente (pubblica amministrazione italiana)" w:history="1">
        <w:r w:rsidRPr="00F75A5F">
          <w:rPr>
            <w:rStyle w:val="Collegamentoipertestuale"/>
            <w:rFonts w:ascii="Arial" w:hAnsi="Arial" w:cs="Arial"/>
            <w:i/>
            <w:iCs/>
            <w:color w:val="0B0080"/>
            <w:u w:val="none"/>
          </w:rPr>
          <w:t>dirigenti</w:t>
        </w:r>
      </w:hyperlink>
      <w:r w:rsidRPr="00F75A5F">
        <w:rPr>
          <w:rFonts w:ascii="Arial" w:hAnsi="Arial" w:cs="Arial"/>
          <w:color w:val="222222"/>
        </w:rPr>
        <w:t>, ai quali, secondo il comma 2 del medesimo articolo, "spetta l'adozione degli </w:t>
      </w:r>
      <w:hyperlink r:id="rId6" w:tooltip="Atto giuridico" w:history="1">
        <w:r w:rsidRPr="00F75A5F">
          <w:rPr>
            <w:rStyle w:val="Collegamentoipertestuale"/>
            <w:rFonts w:ascii="Arial" w:hAnsi="Arial" w:cs="Arial"/>
            <w:color w:val="0B0080"/>
            <w:u w:val="none"/>
          </w:rPr>
          <w:t>atti</w:t>
        </w:r>
      </w:hyperlink>
      <w:r w:rsidRPr="00F75A5F">
        <w:rPr>
          <w:rFonts w:ascii="Arial" w:hAnsi="Arial" w:cs="Arial"/>
          <w:color w:val="222222"/>
        </w:rPr>
        <w:t> e </w:t>
      </w:r>
      <w:hyperlink r:id="rId7" w:tooltip="Provvedimento amministrativo" w:history="1">
        <w:r w:rsidRPr="00F75A5F">
          <w:rPr>
            <w:rStyle w:val="Collegamentoipertestuale"/>
            <w:rFonts w:ascii="Arial" w:hAnsi="Arial" w:cs="Arial"/>
            <w:color w:val="0B0080"/>
            <w:u w:val="none"/>
          </w:rPr>
          <w:t>provvedimenti amministrativi</w:t>
        </w:r>
      </w:hyperlink>
      <w:r w:rsidRPr="00F75A5F">
        <w:rPr>
          <w:rFonts w:ascii="Arial" w:hAnsi="Arial" w:cs="Arial"/>
          <w:color w:val="222222"/>
        </w:rPr>
        <w:t>, compresi tutti gli atti che impegnano l'amministrazione verso l'esterno, nonché la gestione finanziaria, tecnica e amministrativa mediante autonomi poteri di spesa di organizzazione delle </w:t>
      </w:r>
      <w:hyperlink r:id="rId8" w:tooltip="Risorse umane" w:history="1">
        <w:r w:rsidRPr="00F75A5F">
          <w:rPr>
            <w:rStyle w:val="Collegamentoipertestuale"/>
            <w:rFonts w:ascii="Arial" w:hAnsi="Arial" w:cs="Arial"/>
            <w:color w:val="0B0080"/>
            <w:u w:val="none"/>
          </w:rPr>
          <w:t>risorse umane</w:t>
        </w:r>
      </w:hyperlink>
      <w:r w:rsidRPr="00F75A5F">
        <w:rPr>
          <w:rFonts w:ascii="Arial" w:hAnsi="Arial" w:cs="Arial"/>
          <w:color w:val="222222"/>
        </w:rPr>
        <w:t>, strumentali e di controllo. Essi sono responsabili in via esclusiva dell'attività amministrativa, della gestione e dei relativi risultati". Il comma 3 aggiunge che "le attribuzioni dei dirigenti indicate dal comma 2 possono essere derogate soltanto espressamente e ad opera di specifiche disposizioni legislative".</w:t>
      </w:r>
    </w:p>
    <w:p w:rsidR="0089569A" w:rsidRPr="00F75A5F" w:rsidRDefault="0089569A" w:rsidP="0089569A">
      <w:pPr>
        <w:pStyle w:val="NormaleWeb"/>
        <w:shd w:val="clear" w:color="auto" w:fill="FFFFFF"/>
        <w:spacing w:before="120" w:beforeAutospacing="0" w:after="120" w:afterAutospacing="0"/>
        <w:rPr>
          <w:rFonts w:ascii="Arial" w:hAnsi="Arial" w:cs="Arial"/>
          <w:color w:val="333333"/>
        </w:rPr>
      </w:pPr>
      <w:r w:rsidRPr="00F75A5F">
        <w:rPr>
          <w:rFonts w:ascii="Arial" w:hAnsi="Arial" w:cs="Arial"/>
          <w:color w:val="222222"/>
        </w:rPr>
        <w:t xml:space="preserve">In questo modo viene enunciato il </w:t>
      </w:r>
      <w:r w:rsidRPr="002F6FC2">
        <w:rPr>
          <w:rFonts w:ascii="Arial" w:hAnsi="Arial" w:cs="Arial"/>
          <w:b/>
          <w:color w:val="222222"/>
        </w:rPr>
        <w:t>principio di separazione tra politica ed amministrazione</w:t>
      </w:r>
      <w:r w:rsidRPr="00F75A5F">
        <w:rPr>
          <w:rFonts w:ascii="Arial" w:hAnsi="Arial" w:cs="Arial"/>
          <w:color w:val="222222"/>
        </w:rPr>
        <w:t xml:space="preserve">, introdotto nell'ordinamento italiano dal </w:t>
      </w:r>
      <w:proofErr w:type="spellStart"/>
      <w:r w:rsidRPr="00F75A5F">
        <w:rPr>
          <w:rFonts w:ascii="Arial" w:hAnsi="Arial" w:cs="Arial"/>
          <w:color w:val="222222"/>
        </w:rPr>
        <w:t>D.Lgs.</w:t>
      </w:r>
      <w:proofErr w:type="spellEnd"/>
      <w:r w:rsidRPr="00F75A5F">
        <w:rPr>
          <w:rFonts w:ascii="Arial" w:hAnsi="Arial" w:cs="Arial"/>
          <w:color w:val="222222"/>
        </w:rPr>
        <w:t xml:space="preserve"> 29/1993: la politica spetta agli organi di governo (tra i quali rientrano il </w:t>
      </w:r>
      <w:hyperlink r:id="rId9" w:tooltip="Governo italiano" w:history="1">
        <w:r w:rsidRPr="00F75A5F">
          <w:rPr>
            <w:rStyle w:val="Collegamentoipertestuale"/>
            <w:rFonts w:ascii="Arial" w:hAnsi="Arial" w:cs="Arial"/>
            <w:color w:val="0B0080"/>
            <w:u w:val="none"/>
          </w:rPr>
          <w:t>governo</w:t>
        </w:r>
      </w:hyperlink>
      <w:r w:rsidRPr="00F75A5F">
        <w:rPr>
          <w:rFonts w:ascii="Arial" w:hAnsi="Arial" w:cs="Arial"/>
          <w:color w:val="222222"/>
        </w:rPr>
        <w:t> a livello nazionale e i consigli, le giunte e i presidenti o sindaci a livello regionale, provinciale e comunale), l'amministrazione ai dirigenti. G</w:t>
      </w:r>
      <w:r w:rsidRPr="00F75A5F">
        <w:rPr>
          <w:rFonts w:ascii="Arial" w:hAnsi="Arial" w:cs="Arial"/>
          <w:color w:val="333333"/>
        </w:rPr>
        <w:t>li organi di direzione politico-amministrativa, secondo le rispettive attribuzioni, provvedono, in particolare: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all'emanazione di direttive generali e di atti di indirizzo per l'azione amministrativa e per la gestione;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alla definizione di obiettivi, piani, programmi, progetti e priorità;</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alla definizione dei criteri generali per l'assegnazione a terzi di risorse e di altri vantaggi economici di qualunque genere e per il rilascio di autorizzazioni, licenze o altri analoghi provvedimenti;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d) all'emanazione degli atti di nomina e designazione di rappresentanti in seno ad enti ed organismi esterni, nonché degli atti di nomina a dipendenti per incarichi esterni;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e) alla definizione di tariffe, canoni ed analoghi oneri a carico di terzi;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f) al conferimento e alla revoca degli incarichi dirigenziali;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 al controllo e alla verifica della rispondenza dei risultati gestionali alle direttive generali impartite, secondo le modalità previste dalla legge e dai provvedimenti di organizzazione;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h) al rilascio delle autorizzazioni a stare o a resistere in giudizio e al conferimento del mandato per il relativo patrocinio;</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i) all'esercizio di ogni altra funzione prevista da leggi e regolamenti.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u w:val="single"/>
        </w:rPr>
        <w:t>In materia di organizzazione</w:t>
      </w:r>
      <w:r w:rsidRPr="00F75A5F">
        <w:rPr>
          <w:rFonts w:ascii="Arial" w:hAnsi="Arial" w:cs="Arial"/>
          <w:color w:val="333333"/>
        </w:rPr>
        <w:t>, gli organi di direzione politico-amministrativa provvedono, in particolare: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alla definizione delle competenze dei rami nei quali si articola l'ente o l'amministrazione;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all'istituzione, alla modificazione, alla soppressione e alla graduazione delle strutture organizzative dirigenziali, alla definizione delle relative competenze e all'individuazione dei requisiti oggettivi per ciascuna tipologia di incarico dirigenziale;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alla ripartizione delle risorse finanziarie e strumentali da assegnare a ciascuna struttura organizzativa dirigenziale, sulla base degli obiettivi e dei programmi individuati ai sensi del comma 1;</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lastRenderedPageBreak/>
        <w:t>d) alla ripartizione delle risorse umane da assegnare a ciascuna struttura organizzativa dirigenziale, sulla base degli obiettivi e dei programmi individuati ai sensi del comma 1, e all'adozione del documento di programmazione triennale del fabbisogno del personale e ai suoi aggiornamenti annuali, su proposta dei dirigenti di primo livello, sentiti i dirigenti interessati o, in mancanza del primo livello dirigenziale, su proposta dei dirigenti competenti.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Gli atti amministrativi e di diritto privato di competenza degli organi di direzione politico-amministrativa sono soggetti al parere di legittimità del dirigente preposto alla struttura competente e alle verifiche di regolarità contabile, secondo le modalità previste dalle leggi vigenti. Rimane il fatto che gli organi di direzione politico-amministrativa non possono revocare, riformare, riservare o avocare a sé atti di competenza dei dirigenti.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Spetta ai dirigenti l'attuazione dei programmi ed il raggiungimento degli obiettivi, nonché l'adozione degli atti, compresi quelli che impegnano gli enti, verso l'esterno, necessari alla gestione amministrativa, tecnica e finanziaria, in modo da garantire la piena e coerente attuazione dell'indirizzo politico.</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Funzioni dei dirigenti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la gestione delle risorse umane nel rispetto del principio di pari opportunità e la direzione della struttura organizzativa assegnata, verificando periodicamente i carichi di lavoro e la produttività del personale della struttura e le eventuali eccedenze di personale;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la gestione finanziaria mediante l'esercizio di poteri di spesa nell'ambito delle risorse assegnate;</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l'individuazione delle risorse necessarie allo svolgimento dei compiti della struttura organizzativa cui sono preposti, nell'ambito delle risorse umane assegnate e l'articolazione della medesima in uffici;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d) la valutazione del personale assegnato alla propria struttura organizzativa ai fini della progressione economica o di carriera, nonché dell'attribuzione di indennità e premi incentivanti;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e) l'adozione degli atti di gestione del personale assegnato, ivi comprese l'attribuzione dei trattamenti economici accessori e l'irrogazione delle sanzioni disciplinari per le infrazioni di minore gravità per le quali sono previste sanzioni inferiori alla sospensione dal servizio con privazione della retribuzione per più di dieci giorni;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f) lo svolgimento di funzioni tecnico-professionali, ispettive, di vigilanza, consulenza, studio e ricerca;</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 la responsabilità dei procedimenti amministrativi;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h) la presidenza delle commissioni e la responsabilità delle procedure di gara;</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i) la stipulazione dei contratti di competenza;</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j) il rilascio di autorizzazioni, concessioni e altri atti analoghi;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k) l'emanazione degli atti costituenti manifestazione di giudizio;</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l) la proposta all'organo di direzione politico-amministrativa in ordine all'avvio delle liti attive e passive, in collaborazione con la struttura competente in materia di contenzioso, ove istituita;</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m) la proposta all'organo di direzione politico-amministrativa in ordine all'esercizio del potere di conciliare e transigere, in collaborazione con la struttura competente in materia di contenzioso, ove istituita;</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lastRenderedPageBreak/>
        <w:t>n) l'esercizio di ogni altra funzione prevista da leggi o regolamenti e non attribuita agli organi di direzione politico-amministrativa;</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o) il concorso nella definizione di misure idonee a prevenire e contrastare i fenomeni di corruzione e a controllarne il rispetto da parte dei dipendenti della struttura organizzativa cui sono preposti.</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 Negli enti  privi di dirigenti, le funzioni  sono esercitate dagli organi di direzione politico-amministrativa, ad eccezione degli </w:t>
      </w:r>
      <w:proofErr w:type="spellStart"/>
      <w:r w:rsidRPr="00F75A5F">
        <w:rPr>
          <w:rFonts w:ascii="Arial" w:hAnsi="Arial" w:cs="Arial"/>
          <w:color w:val="333333"/>
        </w:rPr>
        <w:t>entilocali</w:t>
      </w:r>
      <w:proofErr w:type="spellEnd"/>
      <w:r w:rsidRPr="00F75A5F">
        <w:rPr>
          <w:rFonts w:ascii="Arial" w:hAnsi="Arial" w:cs="Arial"/>
          <w:color w:val="333333"/>
        </w:rPr>
        <w:t xml:space="preserve"> che prevedono la figura del responsabile del servizio.</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Gli enti , comma 1, possono organizzarsi in:</w:t>
      </w:r>
    </w:p>
    <w:p w:rsidR="0089569A" w:rsidRPr="00F75A5F" w:rsidRDefault="0089569A" w:rsidP="0089569A">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a) strutture permanenti di primo livello e di secondo livello per funzioni ed attività di carattere stabile e continuativo; </w:t>
      </w:r>
      <w:r w:rsidRPr="00F75A5F">
        <w:rPr>
          <w:rFonts w:ascii="Arial" w:hAnsi="Arial" w:cs="Arial"/>
          <w:color w:val="333333"/>
          <w:shd w:val="clear" w:color="auto" w:fill="FFFFFF"/>
        </w:rPr>
        <w:t>Le strutture di primo livello sono strutture organizzative stabili che assicurano un complesso organico di funzioni. Esse rappresentano aree omogenee di attività dei centri di responsabilità amministrativa e sono articolate in strutture di secondo livello. A ciascuna di esse è preposto un dirigente di primo livello</w:t>
      </w:r>
    </w:p>
    <w:p w:rsidR="0089569A" w:rsidRPr="00F75A5F" w:rsidRDefault="0089569A" w:rsidP="0089569A">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rPr>
        <w:t>b) strutture temporanee o di progetto di secondo livello per lo svolgimento di funzioni e compiti di durata limitata ovvero per la gestione di specifici progetti per la sperimentazione di nuove politiche o funzioni dell'ente.</w:t>
      </w:r>
      <w:r w:rsidRPr="00F75A5F">
        <w:rPr>
          <w:rFonts w:ascii="Arial" w:hAnsi="Arial" w:cs="Arial"/>
          <w:color w:val="333333"/>
          <w:shd w:val="clear" w:color="auto" w:fill="FFFFFF"/>
        </w:rPr>
        <w:t xml:space="preserve"> Le strutture di secondo livello sono strutture organizzative stabili, temporanee o di progetto, articolazione di quelle di primo livello, preposte allo svolgimento di attività e compiti di carattere omogeneo, ivi compresi quelle di studio, ricerca e collaborazione, aventi continuità operativa e autonomia organizzativa, funzionale e finanziaria. A ciascuna di esse è preposto un dirigente responsabile, nominato, su proposta del dirigente di primo livello interessato</w:t>
      </w:r>
    </w:p>
    <w:p w:rsidR="00AF58D8" w:rsidRPr="00F75A5F" w:rsidRDefault="00AF58D8" w:rsidP="00AF58D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La dirigenza è ordinata in un'unica qualifica, articolata su due livelli, , in relazione alle scelte organizzative effettuate da ciascuno degli enti </w:t>
      </w:r>
    </w:p>
    <w:p w:rsidR="00AF58D8" w:rsidRPr="00F75A5F" w:rsidRDefault="00AF58D8" w:rsidP="00AF58D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a) posizioni dirigenziali preposte alle strutture organizzative di primo livello; . Ai dirigenti preposti alle strutture di primo livello spettano il raccordo con gli organi di direzione politico-amministrativa, la proposta e l'attuazione degli obiettivi definiti dagli organi medesimi. I dirigenti preposti alle strutture di primo livello esercitano sui dirigenti di secondo livello compiti di direzione, coordinamento, indirizzo, impulso, supervisione, anche ai fini della valutazione e verifica, in particolare sulla base delle proposte e degli elementi di conoscenza forniti dai dirigenti ai quali sono </w:t>
      </w:r>
      <w:proofErr w:type="spellStart"/>
      <w:r w:rsidRPr="00F75A5F">
        <w:rPr>
          <w:rFonts w:ascii="Arial" w:hAnsi="Arial" w:cs="Arial"/>
          <w:color w:val="333333"/>
        </w:rPr>
        <w:t>sovraordinati</w:t>
      </w:r>
      <w:proofErr w:type="spellEnd"/>
      <w:r w:rsidRPr="00F75A5F">
        <w:rPr>
          <w:rFonts w:ascii="Arial" w:hAnsi="Arial" w:cs="Arial"/>
          <w:color w:val="333333"/>
        </w:rPr>
        <w:t xml:space="preserve">. I dirigenti preposti alle strutture di primo livello sono responsabili del funzionamento complessivo della struttura, esercitando a tal fine e previa diffida il potere sostitutivo in caso di inerzia dei dirigenti di secondo livello </w:t>
      </w:r>
    </w:p>
    <w:p w:rsidR="00AF58D8" w:rsidRPr="00F75A5F" w:rsidRDefault="00AF58D8" w:rsidP="00AF58D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posizioni dirigenziali preposte alle strutture organizzative di secondo livello, ivi comprese quelle temporanee o di progetto.</w:t>
      </w:r>
    </w:p>
    <w:p w:rsidR="00AF58D8" w:rsidRPr="00F75A5F" w:rsidRDefault="00AF58D8" w:rsidP="00AF58D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L'accesso alla qualifica unica dirigenziale avviene per concorso per esami, cui possono partecipare:</w:t>
      </w:r>
    </w:p>
    <w:p w:rsidR="00AF58D8" w:rsidRPr="00F75A5F" w:rsidRDefault="00AF58D8" w:rsidP="00AF58D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i dipendenti a tempo indeterminato o di altre pubbliche amministrazioni, in possesso di laurea, che abbiano compiuto almeno cinque anni di effettivo servizio con inquadramento nella categoria immediatamente inferiore alla qualifica unica dirigenziale, ivi compreso il personale docente delle istituzioni scolastiche;</w:t>
      </w:r>
    </w:p>
    <w:p w:rsidR="00E646F6" w:rsidRDefault="00AF58D8" w:rsidP="00AF58D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i soggetti, in possesso di laurea magistrale, con un'esperienza professionale almeno triennale, maturata nel decennio antecedente la data di scadenza del termine per la presentazione della domanda di partecipazione al concorso, in aziende o enti, pubblici e privati, con contratto di lavoro dirigenziale; </w:t>
      </w:r>
    </w:p>
    <w:p w:rsidR="00AF58D8" w:rsidRPr="00F75A5F" w:rsidRDefault="00E646F6" w:rsidP="00AF58D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lastRenderedPageBreak/>
        <w:t xml:space="preserve"> </w:t>
      </w:r>
      <w:r w:rsidR="00AF58D8" w:rsidRPr="00F75A5F">
        <w:rPr>
          <w:rFonts w:ascii="Arial" w:hAnsi="Arial" w:cs="Arial"/>
          <w:color w:val="333333"/>
        </w:rPr>
        <w:t>c) i liberi professionisti, in possesso di laurea magistrale, con almeno cinque anni di comprovato esercizio di attività libero-professionale, maturato nel decennio antecedente la data di scadenza del termine per la presentazione della domanda di partecipazione al concorso, con iscrizione al relativo albo ove prevista dai relativi ordinamenti professionali.</w:t>
      </w:r>
    </w:p>
    <w:p w:rsidR="00AF58D8" w:rsidRPr="00F75A5F" w:rsidRDefault="00AF58D8" w:rsidP="00AF58D8">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shd w:val="clear" w:color="auto" w:fill="FFFFFF"/>
        </w:rPr>
        <w:t xml:space="preserve">Ai fini del </w:t>
      </w:r>
      <w:r w:rsidRPr="00F75A5F">
        <w:rPr>
          <w:rFonts w:ascii="Arial" w:hAnsi="Arial" w:cs="Arial"/>
          <w:color w:val="333333"/>
          <w:u w:val="single"/>
          <w:shd w:val="clear" w:color="auto" w:fill="FFFFFF"/>
        </w:rPr>
        <w:t>conferimento di ciascun incarico</w:t>
      </w:r>
      <w:r w:rsidRPr="00F75A5F">
        <w:rPr>
          <w:rFonts w:ascii="Arial" w:hAnsi="Arial" w:cs="Arial"/>
          <w:color w:val="333333"/>
          <w:shd w:val="clear" w:color="auto" w:fill="FFFFFF"/>
        </w:rPr>
        <w:t xml:space="preserve"> dirigenziale si tiene conto, in relazione alla natura e alle caratteristiche degli obiettivi prefissati e alla complessità della struttura organizzativa interessata, delle capacità professionali del singolo dirigente, dei risultati conseguiti e della relativa valutazione, delle specifiche competenze organizzative possedute, nonché delle esperienze dirigenziali eventualmente maturate all'estero, presso il settore privato o presso altre pubbliche amministrazioni, purché attinenti all'incarico da conferire.</w:t>
      </w:r>
    </w:p>
    <w:p w:rsidR="00AF58D8" w:rsidRPr="00F75A5F" w:rsidRDefault="00AF58D8" w:rsidP="00AF58D8">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shd w:val="clear" w:color="auto" w:fill="FFFFFF"/>
        </w:rPr>
        <w:t xml:space="preserve">Gli incarichi dirigenziali possono essere conferiti, fornendone esplicita motivazione, a </w:t>
      </w:r>
      <w:r w:rsidRPr="00F75A5F">
        <w:rPr>
          <w:rFonts w:ascii="Arial" w:hAnsi="Arial" w:cs="Arial"/>
          <w:color w:val="333333"/>
          <w:u w:val="single"/>
          <w:shd w:val="clear" w:color="auto" w:fill="FFFFFF"/>
        </w:rPr>
        <w:t>personale esterno all'ente in possesso di particolare e comprovata qualificazione professionale</w:t>
      </w:r>
      <w:r w:rsidRPr="00F75A5F">
        <w:rPr>
          <w:rFonts w:ascii="Arial" w:hAnsi="Arial" w:cs="Arial"/>
          <w:color w:val="333333"/>
          <w:shd w:val="clear" w:color="auto" w:fill="FFFFFF"/>
        </w:rPr>
        <w:t xml:space="preserve"> e dei requisiti di cui agli articoli 21, comma 2, e 22, comma 4, entro il limite complessivo massimo del 15 per cento della dotazione organica dirigenziale.</w:t>
      </w:r>
    </w:p>
    <w:p w:rsidR="0026762F" w:rsidRPr="00F75A5F" w:rsidRDefault="0026762F" w:rsidP="0026762F">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Gli incarichi di dirigente di primo livello sono conferiti al personale della qualifica unica dirigenziale, in possesso di laurea magistrale, con un'anzianità di almeno tre anni nella qualifica dirigenziale.. L'incarico di dirigente di primo livello può essere conferito,  anche a soggetti esterni all'ente in possesso di laurea magistrale e con un'esperienza professionale, almeno quinquennale, maturata nell'ultimo decennio in aziende o enti, pubblici o privati, con contratto di lavoro dirigenziale ovvero acquisita nell'esercizio di attività libero-professionale, con iscrizione al relativo albo ove prevista dai relativi ordinamenti professionali con  rapporto di lavoro a tempo pieno ed esclusivo regolato da un contratto di lavoro di diritto privato a tempo determinato, subordinato alla sospensione, per la durata dell'incarico, dello svolgimento di prestazioni lavorative derivanti da rapporti di impiego precedentemente assunti o dello svolgimento di prestazioni professionali; il conferimento dell'incarico di dirigente di primo livello a dipendenti degli enti, ne determina il collocamento in aspettativa senza assegni per l'intera durata dell'incarico, salvo motivato diniego opposto dall'ente di appartenenza in ordine alle proprie preminenti esigenze organizzative.</w:t>
      </w:r>
    </w:p>
    <w:p w:rsidR="0026762F" w:rsidRPr="00F75A5F" w:rsidRDefault="0026762F" w:rsidP="0026762F">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Gli incarichi di dirigente di primo livello sono conferiti dalla Giunta regionale, su proposta del Presidente della Regione o dell'assessore regionale competente, entro sessanta giorni dal suo insediamento e ad ogni vacanza di incarico, per un periodo non inferiore a tre anni e non superiore a cinque anni, e cessano in ogni caso al termine del mandato dell'organo che li ha conferiti o proposti. La durata dell'incarico può essere inferiore a tre anni se coincide con il conseguimento del limite di età o dell'anzianità contributiva massima per il collocamento d'ufficio a riposo dell'interessato.</w:t>
      </w:r>
    </w:p>
    <w:p w:rsidR="0026762F" w:rsidRPr="00F75A5F" w:rsidRDefault="0026762F" w:rsidP="0026762F">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 Gli incarichi di dirigente di secondo livello sono conferiti al personale della qualifica unica </w:t>
      </w:r>
      <w:proofErr w:type="spellStart"/>
      <w:r w:rsidRPr="00F75A5F">
        <w:rPr>
          <w:rFonts w:ascii="Arial" w:hAnsi="Arial" w:cs="Arial"/>
          <w:color w:val="333333"/>
        </w:rPr>
        <w:t>dirigenzialei</w:t>
      </w:r>
      <w:proofErr w:type="spellEnd"/>
      <w:r w:rsidRPr="00F75A5F">
        <w:rPr>
          <w:rFonts w:ascii="Arial" w:hAnsi="Arial" w:cs="Arial"/>
          <w:color w:val="333333"/>
        </w:rPr>
        <w:t xml:space="preserve"> ti dalla Giunta regionale, su proposta del dirigente di primo livello della struttura organizzativa di riferimento, per un periodo non inferiore a tre anni e non superiore a cinque anni. In caso di primo conferimento, la durata dell'incarico è pari a tre anni. La durata dell'incarico può essere inferiore a tre anni se coincide con il conseguimento del limite di età o dell'anzianità contributiva massima per il collocamento d'ufficio a riposo dell'interessato.</w:t>
      </w:r>
    </w:p>
    <w:p w:rsidR="0026762F" w:rsidRPr="00F75A5F" w:rsidRDefault="0026762F" w:rsidP="0026762F">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Gli incarichi di dirigente di secondo livello possono essere conferiti a soggetti esterni all'ente in possesso dei requisiti per l'accesso alla qualifica unica dirigenziale, anche a dipendenti dell'ente di categoria D, se in possesso dei requisiti per l'accesso alla qualifica unica dirigenziale di cui all'articolo 18, comma 1, lettera a), previo collocamento in aspettativa senza assegni per l'intera durata dell'incarico mediante contratti di lavoro di </w:t>
      </w:r>
      <w:r w:rsidRPr="00F75A5F">
        <w:rPr>
          <w:rFonts w:ascii="Arial" w:hAnsi="Arial" w:cs="Arial"/>
          <w:color w:val="333333"/>
        </w:rPr>
        <w:lastRenderedPageBreak/>
        <w:t>diritto privato a tempo determinato. Il conferimento degli incarichi a personale esterno all'ente è subordinato alla sospensione, per la durata dell'incarico, dello svolgimento di prestazioni lavorative derivanti da rapporti di impiego precedentemente assunti o dello svolgimento di prestazioni professionali; il conferimento dell'incarico di dirigente di secondo livello a dipendenti ne determina il collocamento in aspettativa senza assegni per l'intera durata dell'incarico, salvo motivato diniego opposto dall'ente di appartenenza in ordine alle proprie preminenti esigenze organizzative.</w:t>
      </w:r>
    </w:p>
    <w:p w:rsidR="0026762F" w:rsidRPr="00F75A5F" w:rsidRDefault="0026762F" w:rsidP="0026762F">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Entro quarantacinque giorni dall'approvazione del bilancio annuale, gli organi di direzione politico-amministrativa dell'ente assegnano a ciascuna struttura organizzativa dirigenziale, con gli obiettivi strategici ed operativi ivi definiti, specifiche quote del bilancio medesimo, individuando le corrispondenti unità previsionali di base.</w:t>
      </w:r>
    </w:p>
    <w:p w:rsidR="0026762F" w:rsidRPr="00F75A5F" w:rsidRDefault="0026762F" w:rsidP="0026762F">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shd w:val="clear" w:color="auto" w:fill="FFFFFF"/>
        </w:rPr>
        <w:t>In caso di assenza o impedimento, per un periodo non superiore a sessanta giorni, di un dirigente di secondo livello, le relative funzioni sono affidate al dirigente di primo livello sovraordinato o, in mancanza del primo livello dirigenziale, ad altro dirigente. In caso di assenza o impedimento, per un periodo non superiore a sessanta giorni, di un dirigente di primo livello, le relative funzioni sono affidate ad altro dirigente di secondo livello appartenente alla medesima struttura organizzativa, individuato dal dirigente di primo livello interessato. Per periodi di durata superiore a sessanta giorni, le relative funzioni dirigenziali possono essere assolte mediante l'attribuzione di altro incarico dirigenziale.</w:t>
      </w:r>
    </w:p>
    <w:p w:rsidR="0026762F" w:rsidRPr="00F75A5F" w:rsidRDefault="0026762F" w:rsidP="0026762F">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shd w:val="clear" w:color="auto" w:fill="FFFFFF"/>
        </w:rPr>
        <w:t>In caso di vacanza di un posto dirigenziale, le relative funzioni sono affidate al dirigente di primo livello sovraordinato o ad altro dirigente qualora la vacanza riguardi un posto di dirigente di primo livello o in mancanza del primo livello dirigenziale. Se le procedure per la copertura del posto non sono avviate entro novanta giorni dal verificarsi della vacanza, si procede alla revisione organizzativa, mediante soppressione della struttura dirigenziale vacante.</w:t>
      </w:r>
    </w:p>
    <w:p w:rsidR="00CC3239" w:rsidRPr="00F75A5F" w:rsidRDefault="0026762F" w:rsidP="00AF58D8">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shd w:val="clear" w:color="auto" w:fill="FFFFFF"/>
        </w:rPr>
        <w:t>l personale della qualifica unica dirigenziale, può assumere a tempo determinato impieghi presso aziende, agenzie o società partecipate, anche indirettamente, dalla Regione o dagli altri enti</w:t>
      </w:r>
    </w:p>
    <w:p w:rsidR="00CC3239" w:rsidRPr="00F75A5F" w:rsidRDefault="00CC3239" w:rsidP="00CC3239">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La revoca degli incarichi dirigenziali con destinazione ad altro incarico può essere disposta dagli organi che li hanno conferiti soltanto nei seguenti casi:</w:t>
      </w:r>
    </w:p>
    <w:p w:rsidR="00CC3239" w:rsidRPr="00F75A5F" w:rsidRDefault="00CC3239" w:rsidP="00CC3239">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per motivate ragioni organizzative connesse al modificarsi dell'esercizio delle funzioni e dei compiti, anche in relazione al modificarsi dei programmi e dei progetti definiti dagli organi di direzione politico-amministrativa;</w:t>
      </w:r>
    </w:p>
    <w:p w:rsidR="00CC3239" w:rsidRPr="00F75A5F" w:rsidRDefault="00CC3239" w:rsidP="00CC3239">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b) per effetto dell'esito del procedimento di misurazione e valutazione dell'attività svolta dai dirigenti </w:t>
      </w:r>
    </w:p>
    <w:p w:rsidR="00CC3239" w:rsidRPr="00F75A5F" w:rsidRDefault="00CC3239" w:rsidP="00CC3239">
      <w:pPr>
        <w:pStyle w:val="NormaleWeb"/>
        <w:shd w:val="clear" w:color="auto" w:fill="FFFFFF"/>
        <w:spacing w:before="0" w:beforeAutospacing="0" w:after="101" w:afterAutospacing="0"/>
        <w:rPr>
          <w:rFonts w:ascii="Arial" w:hAnsi="Arial" w:cs="Arial"/>
          <w:b/>
          <w:color w:val="333333"/>
        </w:rPr>
      </w:pPr>
      <w:r w:rsidRPr="00F75A5F">
        <w:rPr>
          <w:rFonts w:ascii="Arial" w:hAnsi="Arial" w:cs="Arial"/>
          <w:color w:val="333333"/>
        </w:rPr>
        <w:t xml:space="preserve">Ferma restando la responsabilità penale, civile, amministrativa, contabile e disciplinare, i </w:t>
      </w:r>
      <w:r w:rsidRPr="00F75A5F">
        <w:rPr>
          <w:rFonts w:ascii="Arial" w:hAnsi="Arial" w:cs="Arial"/>
          <w:b/>
          <w:color w:val="333333"/>
        </w:rPr>
        <w:t>dirigenti sono responsabili del risultato della gestione</w:t>
      </w:r>
      <w:r w:rsidRPr="00F75A5F">
        <w:rPr>
          <w:rFonts w:ascii="Arial" w:hAnsi="Arial" w:cs="Arial"/>
          <w:color w:val="333333"/>
        </w:rPr>
        <w:t xml:space="preserve"> </w:t>
      </w:r>
      <w:r w:rsidRPr="00F75A5F">
        <w:rPr>
          <w:rFonts w:ascii="Arial" w:hAnsi="Arial" w:cs="Arial"/>
          <w:b/>
          <w:color w:val="333333"/>
        </w:rPr>
        <w:t>amministrativa, della gestione del personale e delle risorse finanziarie e strumentali loro attribuite, dell'osservanza degli indirizzi e delle direttive generali emanati dagli organi di direzione politico-amministrativa e del raggiungimento degli obiettivi assegnati.</w:t>
      </w:r>
    </w:p>
    <w:p w:rsidR="00CC3239" w:rsidRPr="00F75A5F" w:rsidRDefault="00CC3239" w:rsidP="00CC3239">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Per i casi di maggiore gravità è previsto il collocamento in disponibilità e il recesso dal rapporto di lavoro, adottati, previa contestazione e nel rispetto dei principi del contraddittorio, dagli enti  previo parere conforme del Comitato dei garanti, composto da tre membri effettivi e tre supplenti e nominato con decreto del Presidente della Regione. Il Comitato dei garanti è presieduto da un esperto designato dalla Giunta regionale tra i magistrati della Corte dei conti o tra i docenti universitari con esperienza nel controllo sulla gestione o organizzazione aziendale. Di esso fanno parte un dirigente degli enti, eletto dai dirigenti appartenenti alla qualifica unica dirigenziale dei medesimi enti, con le modalità </w:t>
      </w:r>
      <w:r w:rsidRPr="00F75A5F">
        <w:rPr>
          <w:rFonts w:ascii="Arial" w:hAnsi="Arial" w:cs="Arial"/>
          <w:color w:val="333333"/>
        </w:rPr>
        <w:lastRenderedPageBreak/>
        <w:t>stabilite dal contratto collettivo regionale di lavoro ed un esperto designato dal Consiglio permanente degli enti locali, con specifica e comprovata esperienza nei settori dell'organizzazione amministrativa e del lavoro pubblico.. Il parere del Comitato dei garanti è reso entro il termine di quarantacinque giorni dalla richiesta; decorso inutilmente tale termine, si prescinde dal parere</w:t>
      </w:r>
    </w:p>
    <w:p w:rsidR="00FE1835" w:rsidRDefault="00CC3239" w:rsidP="0089569A">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shd w:val="clear" w:color="auto" w:fill="FFFFFF"/>
        </w:rPr>
        <w:t>P</w:t>
      </w:r>
      <w:r w:rsidR="0089569A" w:rsidRPr="00F75A5F">
        <w:rPr>
          <w:rFonts w:ascii="Arial" w:hAnsi="Arial" w:cs="Arial"/>
          <w:color w:val="333333"/>
          <w:shd w:val="clear" w:color="auto" w:fill="FFFFFF"/>
        </w:rPr>
        <w:t>osizioni organizzative</w:t>
      </w:r>
      <w:r w:rsidR="0089569A" w:rsidRPr="00F75A5F">
        <w:rPr>
          <w:rFonts w:ascii="Arial" w:hAnsi="Arial" w:cs="Arial"/>
          <w:color w:val="333333"/>
          <w:shd w:val="clear" w:color="auto" w:fill="FFFFFF"/>
        </w:rPr>
        <w:sym w:font="Wingdings" w:char="F0E0"/>
      </w:r>
      <w:r w:rsidR="0089569A" w:rsidRPr="00F75A5F">
        <w:rPr>
          <w:rFonts w:ascii="Arial" w:hAnsi="Arial" w:cs="Arial"/>
          <w:color w:val="333333"/>
          <w:shd w:val="clear" w:color="auto" w:fill="FFFFFF"/>
        </w:rPr>
        <w:t xml:space="preserve">Al fine di favorire la crescita professionale e la responsabilizzazione dei singoli, in caso di funzioni di particolare responsabilità, caratterizzate da elevata complessità professionale o organizzativa, possono essere individuate, nell'ambito delle strutture dirigenziali, permanenti, temporanee o di progetto, particolari posizioni organizzative alle quali preporre dipendenti appartenenti alla categoria D. </w:t>
      </w:r>
    </w:p>
    <w:p w:rsidR="0089569A" w:rsidRPr="00F75A5F" w:rsidRDefault="0089569A" w:rsidP="0089569A">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shd w:val="clear" w:color="auto" w:fill="FFFFFF"/>
        </w:rPr>
        <w:t>Tali posizioni organizzative sono individuate, nel rispetto delle relazioni sindacali, dagli organi di direzione politico-amministrativa degli enti all'atto dell'istituzione o modificazione delle strutture dirigenziali, con definizione delle relative competenze e della loro rilevanza verso l'esterno ed individuazione dei requisiti professionali richiesti per l'attribuzione dell'incarico, nonché dei criteri e delle modalità per il conferimento dello stesso, anche in relazione ai risultati individuali e collettivi rilevati dal sistema di valutazione e misurazione delle performance. Ai predetti dipendenti i dirigenti responsabili possono delegare, per un periodo di tempo determinato, parte delle funzioni loro attribuite. La delega, che deve necessariamente risultare da atto scritto e motivato, individua puntualmente le funzioni delegate e, nel rispetto dei criteri generali definiti nei provvedimenti di organizzazione, le modalità di verifica delle attività delegate.</w:t>
      </w:r>
    </w:p>
    <w:p w:rsidR="007A33DC" w:rsidRPr="00F75A5F" w:rsidRDefault="007A33DC" w:rsidP="0089569A">
      <w:pPr>
        <w:pStyle w:val="NormaleWeb"/>
        <w:shd w:val="clear" w:color="auto" w:fill="FFFFFF"/>
        <w:spacing w:before="0" w:beforeAutospacing="0" w:after="101" w:afterAutospacing="0"/>
        <w:rPr>
          <w:rFonts w:ascii="Arial" w:hAnsi="Arial" w:cs="Arial"/>
          <w:color w:val="333333"/>
          <w:shd w:val="clear" w:color="auto" w:fill="FFFFFF"/>
        </w:rPr>
      </w:pPr>
      <w:r w:rsidRPr="00F75A5F">
        <w:rPr>
          <w:rFonts w:ascii="Arial" w:hAnsi="Arial" w:cs="Arial"/>
          <w:color w:val="333333"/>
          <w:shd w:val="clear" w:color="auto" w:fill="FFFFFF"/>
        </w:rPr>
        <w:t>TRASPARENZA</w:t>
      </w:r>
    </w:p>
    <w:p w:rsidR="00FF3C68" w:rsidRPr="00F75A5F" w:rsidRDefault="00FF3C68" w:rsidP="007A33DC">
      <w:pPr>
        <w:pStyle w:val="NormaleWeb"/>
        <w:shd w:val="clear" w:color="auto" w:fill="FFFFFF"/>
        <w:spacing w:before="0" w:beforeAutospacing="0" w:after="101" w:afterAutospacing="0"/>
        <w:rPr>
          <w:rFonts w:ascii="Arial" w:hAnsi="Arial" w:cs="Arial"/>
        </w:rPr>
      </w:pPr>
      <w:r w:rsidRPr="00F75A5F">
        <w:rPr>
          <w:rFonts w:ascii="Arial" w:hAnsi="Arial" w:cs="Arial"/>
        </w:rPr>
        <w:t>L’art. 3 comma 1 della Legge suddetta fissa, in tema di monitoraggio della performance, il principio secondo cui “gli organi di direzione politico-amministrativa degli enti di cui all’art. 1 comma 1 definiscono e promuovono la realizzazione degli obiettivi e dei programmi da attuare e verificano la rispondenza dei risultati della gestione amministrativa alle direttive impartite e l’andamento della performance organizzativa rispetto agli obiettivi definiti e assegnati”. L’art. 3 comma 2 lett. g) precisa poi che gli organi di direzione politico-amministrativa provvedono, in particolare, “al controllo e alla verifica della rispondenza dei risultati gestionali alle direttive generali impartite, secondo le modalità previste dalla Legge e dai provvedimenti di organizzazione”.</w:t>
      </w:r>
    </w:p>
    <w:p w:rsidR="00FF3C68" w:rsidRPr="00F75A5F" w:rsidRDefault="00FF3C68" w:rsidP="007A33DC">
      <w:pPr>
        <w:pStyle w:val="NormaleWeb"/>
        <w:shd w:val="clear" w:color="auto" w:fill="FFFFFF"/>
        <w:spacing w:before="0" w:beforeAutospacing="0" w:after="101" w:afterAutospacing="0"/>
        <w:rPr>
          <w:rFonts w:ascii="Arial" w:hAnsi="Arial" w:cs="Arial"/>
        </w:rPr>
      </w:pPr>
      <w:r w:rsidRPr="00F75A5F">
        <w:rPr>
          <w:rFonts w:ascii="Arial" w:hAnsi="Arial" w:cs="Arial"/>
        </w:rPr>
        <w:t>L’art. 31 della stessa Legge introduce i riferimenti a un articolato sistema di misurazione e valutazione della performance, stabilendo che “al fine di valutare la performance organizzativa e individuale, gli enti di cui all’art. 1 comma 1 adottano progressivamente un apposito sistema di misurazione e valutazione, nel rispetto delle relazioni sindacali ove previste dal contratto collettivo regionale di lavoro. Il sistema di misurazione e valutazione della performance individua le fasi, i tempi, le modalità, i soggetti e le responsabilità del processo di misurazione e valutazione della performance, le modalità di raccordo e di integrazione con i sistemi di controllo esistenti e con i documenti di programmazione finanziaria e di bilancio.” Gli artt. 32, 33 e 34 della Legge medesima definiscono rispettivamente la performance organizzativa, la performance individuale dei dirigenti e la performance individuale del personale.</w:t>
      </w:r>
    </w:p>
    <w:p w:rsidR="00FF3C68" w:rsidRPr="00F75A5F" w:rsidRDefault="00FF3C68"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rPr>
        <w:t xml:space="preserve">I principi generali cui il Sistema di misurazione e valutazione della performance si ispira sono: a. valorizzazione del merito, dell’impegno e della produttività di ciascun dipendente b. trasparenza e pubblicità dei criteri e dei risultati c. partecipazione al procedimento della persona sottoposta a valutazione d. diffusione della cultura della partecipazione, quale presupposto all’orientamento al risultato, al posto della cultura dell’adempimento, per accrescere il senso di responsabilità, la lealtà e l’iniziativa individuale e. migliore qualità </w:t>
      </w:r>
      <w:r w:rsidRPr="00F75A5F">
        <w:rPr>
          <w:rFonts w:ascii="Arial" w:hAnsi="Arial" w:cs="Arial"/>
        </w:rPr>
        <w:lastRenderedPageBreak/>
        <w:t>complessiva dei servizi forniti f. migliore impiego delle risorse umane g. cura della formazione e dello sviluppo professionale del personale h. garanzia di pari opportunità alle lavoratrici e ai lavoratori. La misurazione e valutazione della performance riguarda l’andamento sia della performance della struttura organizzativa in cui il singolo lavora sia della performance individuale conseguita dal singolo dipendente, e comprende quindi a seconda dei casi il grado di raggiungimento degli obiettivi di struttura e individuali nonché il grado di adozione di determinati comportamenti organizzativi.</w:t>
      </w:r>
    </w:p>
    <w:p w:rsidR="007F0FCE"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OCCORRE distinguere tra:</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br/>
        <w:t>- performance organizzativa concerne:</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l'attuazione di piani e programmi e la misurazione dell'effettivo grado di attuazione dei medesimi e i riflessi in termini di soddisfazione dei bisogni della comunità amministrata;</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la rilevazione del livello di soddisfazione dei destinatari, diretti e indiretti, delle attività e dei servizi;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la modernizzazione e il miglioramento qualitativo dell'organizzazione e delle competenze professionali;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d) lo sviluppo qualitativo e quantitativo delle relazioni con gli utenti e i destinatari delle attività e dei servizi, anche mediante lo sviluppo di forme di collaborazione e partecipazione;</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e) l'efficienza nell'impiego delle risorse, anche con riguardo al contenimento dei costi e al rispetto e alla riduzione dei termini dei procedimenti amministrativi;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f) la qualità e la quantità delle prestazioni e dei servizi erogati;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 il raggiungimento degli obiettivi di promozione delle pari opportunità.</w:t>
      </w:r>
    </w:p>
    <w:p w:rsidR="00FF3C68" w:rsidRPr="00F75A5F" w:rsidRDefault="00FF3C68" w:rsidP="00FF3C68">
      <w:pPr>
        <w:pStyle w:val="NormaleWeb"/>
        <w:shd w:val="clear" w:color="auto" w:fill="FFFFFF"/>
        <w:spacing w:before="0" w:beforeAutospacing="0" w:after="0" w:afterAutospacing="0"/>
        <w:jc w:val="center"/>
        <w:rPr>
          <w:rFonts w:ascii="Arial" w:hAnsi="Arial" w:cs="Arial"/>
          <w:color w:val="333333"/>
        </w:rPr>
      </w:pPr>
    </w:p>
    <w:p w:rsidR="007A33DC" w:rsidRPr="00F75A5F" w:rsidRDefault="00FF3C68"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w:t>
      </w:r>
      <w:r w:rsidR="007A33DC" w:rsidRPr="00F75A5F">
        <w:rPr>
          <w:rFonts w:ascii="Arial" w:hAnsi="Arial" w:cs="Arial"/>
          <w:color w:val="333333"/>
        </w:rPr>
        <w:t xml:space="preserve"> La performance individuale dei dirigenti è collegata:</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agli indicatori di performance relativi alla propria struttura organizzativa;</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al raggiungimento di specifici obiettivi individuali;</w:t>
      </w:r>
    </w:p>
    <w:p w:rsidR="00FF3C68" w:rsidRPr="00F75A5F" w:rsidRDefault="007A33DC" w:rsidP="00FF3C68">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alle competenze professionali e manageriali dimostrate.</w:t>
      </w:r>
    </w:p>
    <w:p w:rsidR="00FF3C68" w:rsidRPr="00F75A5F" w:rsidRDefault="00FF3C68" w:rsidP="00FF3C68">
      <w:pPr>
        <w:pStyle w:val="NormaleWeb"/>
        <w:shd w:val="clear" w:color="auto" w:fill="FFFFFF"/>
        <w:spacing w:before="0" w:beforeAutospacing="0" w:after="101" w:afterAutospacing="0"/>
        <w:rPr>
          <w:rFonts w:ascii="Arial" w:hAnsi="Arial" w:cs="Arial"/>
          <w:color w:val="333333"/>
        </w:rPr>
      </w:pPr>
    </w:p>
    <w:p w:rsidR="007A33DC" w:rsidRPr="00F75A5F" w:rsidRDefault="00FF3C68"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w:t>
      </w:r>
      <w:r w:rsidR="007A33DC" w:rsidRPr="00F75A5F">
        <w:rPr>
          <w:rFonts w:ascii="Arial" w:hAnsi="Arial" w:cs="Arial"/>
          <w:color w:val="333333"/>
        </w:rPr>
        <w:t xml:space="preserve"> La performance individuale del personale è misurata dai dirigenti sulla base del sistema di misurazione e valutazione della performance ed è collegata:</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al raggiungimento di eventuali specifici obiettivi di gruppo o individuali;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alla qualità del contributo assicurato alla performance della struttura organizzativa di appartenenza;</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alle competenze dimostrate e ai comportamenti professionali e organizzativi.</w:t>
      </w:r>
    </w:p>
    <w:p w:rsidR="007A33DC" w:rsidRPr="00F75A5F" w:rsidRDefault="007F0FCE"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w:t>
      </w:r>
      <w:r w:rsidR="007A33DC" w:rsidRPr="00F75A5F">
        <w:rPr>
          <w:rFonts w:ascii="Arial" w:hAnsi="Arial" w:cs="Arial"/>
          <w:color w:val="333333"/>
        </w:rPr>
        <w:t>li enti  adottano, con le modalità e per la durata stabilite nei provvedimenti di organizzazione, avvalendosi del supporto della Commissione indipendente di valutazione della performance di cui all'articolo 36:</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un documento programmatico o piano della performance che definisce, con riferimento agli obiettivi individuati e alle risorse disponibili, gli indicatori per la misurazione e la valutazione della performance dell'ente, nonché gli obiettivi operativi individuali assegnati ai dirigenti e i relativi indicatori;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lastRenderedPageBreak/>
        <w:t>b) un documento di relazione sulla performance che evidenzia, a consuntivo, i risultati organizzativi ed individuali raggiunti rispetto agli obiettivi programmati e alle risorse, rilevando gli eventuali scostamenti.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2. Il piano della performance è costantemente aggiornato al fine dell'inserimento di eventuali variazioni intervenute nel periodo di riferimento nella definizione degli obiettivi o dei relativi indicatori.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La Commissione indipendente di valutazione della performance è istituita presso la Presidenza della Regione ed è composta da tre membri; essa svolge, in particolare, riferendo direttamente agli organi di direzione politico-amministrativa, ai quali comunica le criticità riscontrate e suggerisce gli eventuali correttivi da adottare, le seguenti funzioni </w:t>
      </w:r>
      <w:r w:rsidR="007F0FCE" w:rsidRPr="00F75A5F">
        <w:rPr>
          <w:rFonts w:ascii="Arial" w:hAnsi="Arial" w:cs="Arial"/>
          <w:color w:val="333333"/>
        </w:rPr>
        <w:t>;</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monitorare il funzionamento complessivo del sistema di misurazione e valutazione della performance;</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convalidare la relazione sulla performance;</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proporre annualmente la valutazione della dirigenza ai fini dell'attribuzione della retribuzione di risultato;</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d) controllare la corretta applicazione dei processi di misurazione e valutazione e dell'utilizzo degli strumenti di cui all'articolo 37.</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proofErr w:type="spellStart"/>
      <w:r w:rsidRPr="00F75A5F">
        <w:rPr>
          <w:rFonts w:ascii="Arial" w:hAnsi="Arial" w:cs="Arial"/>
          <w:color w:val="333333"/>
        </w:rPr>
        <w:t>dbis</w:t>
      </w:r>
      <w:proofErr w:type="spellEnd"/>
      <w:r w:rsidRPr="00F75A5F">
        <w:rPr>
          <w:rFonts w:ascii="Arial" w:hAnsi="Arial" w:cs="Arial"/>
          <w:color w:val="333333"/>
        </w:rPr>
        <w:t>) curare gli adempimenti in materia di obblighi di pubblicità, trasparenza e diffusione delle informazioni attribuiti ai corrispondenti organismi previsti dalla normativa statale vigente; </w:t>
      </w:r>
      <w:hyperlink r:id="rId10" w:anchor="nota_7a" w:history="1">
        <w:r w:rsidRPr="00F75A5F">
          <w:rPr>
            <w:rStyle w:val="Collegamentoipertestuale"/>
            <w:rFonts w:ascii="Arial" w:hAnsi="Arial" w:cs="Arial"/>
            <w:color w:val="0B3857"/>
            <w:vertAlign w:val="superscript"/>
          </w:rPr>
          <w:t>(7a)</w:t>
        </w:r>
      </w:hyperlink>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proofErr w:type="spellStart"/>
      <w:r w:rsidRPr="00F75A5F">
        <w:rPr>
          <w:rFonts w:ascii="Arial" w:hAnsi="Arial" w:cs="Arial"/>
          <w:color w:val="333333"/>
        </w:rPr>
        <w:t>dter</w:t>
      </w:r>
      <w:proofErr w:type="spellEnd"/>
      <w:r w:rsidRPr="00F75A5F">
        <w:rPr>
          <w:rFonts w:ascii="Arial" w:hAnsi="Arial" w:cs="Arial"/>
          <w:color w:val="333333"/>
        </w:rPr>
        <w:t>) svolgere, in materia di prevenzione e repressione della corruzione e dell'illegalità nella pubblica amministrazione, gli adempimenti previsti in capo agli organismi indipendenti di valutazione dalla normativa statale vigente.</w:t>
      </w:r>
      <w:hyperlink r:id="rId11" w:anchor="nota_7a" w:history="1">
        <w:r w:rsidRPr="00F75A5F">
          <w:rPr>
            <w:rStyle w:val="Collegamentoipertestuale"/>
            <w:rFonts w:ascii="Arial" w:hAnsi="Arial" w:cs="Arial"/>
            <w:color w:val="0B3857"/>
            <w:vertAlign w:val="superscript"/>
          </w:rPr>
          <w:t>(7a)</w:t>
        </w:r>
      </w:hyperlink>
    </w:p>
    <w:p w:rsidR="007F0FCE" w:rsidRPr="00F75A5F" w:rsidRDefault="007A33DC"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 La Commissione indipendente di valutazione della performance è composta da esperti di elevata professionalità, esterni agli enti con comprovate competenze o esperienze maturate in Italia o all'estero, sia nel settore pubblico sia in quello privato, in materia di servizi pubblici, management e misurazione della performance, nonché di gestione e valutazione del personale. I componenti della Commissione, di cui almeno uno con esperienza maturata nel settore pubblico, non possono essere scelti tra persone che rivestono incarichi pubblici elettivi o cariche in partiti politici o in organizzazioni sindacali e in ogni caso non devono avere interessi in conflitto con i compiti della Commissione</w:t>
      </w:r>
      <w:r w:rsidR="007F0FCE" w:rsidRPr="00F75A5F">
        <w:rPr>
          <w:rFonts w:ascii="Arial" w:hAnsi="Arial" w:cs="Arial"/>
          <w:color w:val="333333"/>
        </w:rPr>
        <w:t>,</w:t>
      </w:r>
      <w:r w:rsidRPr="00F75A5F">
        <w:rPr>
          <w:rFonts w:ascii="Arial" w:hAnsi="Arial" w:cs="Arial"/>
          <w:color w:val="333333"/>
        </w:rPr>
        <w:t xml:space="preserve"> nominati per un periodo di tre anni con deliberazione della Giunta regionale adottata d'intesa con il Consiglio permanente degli enti locali, che stabilisce anche l'ammontare dei compensi spettanti; i componenti della Commissione possono essere riconfermati.</w:t>
      </w:r>
    </w:p>
    <w:p w:rsidR="007A33DC" w:rsidRPr="00F75A5F" w:rsidRDefault="007F0FCE"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Gli enti devono osservare obblighi di </w:t>
      </w:r>
      <w:r w:rsidR="007A33DC" w:rsidRPr="00F75A5F">
        <w:rPr>
          <w:rFonts w:ascii="Arial" w:hAnsi="Arial" w:cs="Arial"/>
          <w:color w:val="333333"/>
        </w:rPr>
        <w:t>pubblicazione sul proprio sito istituzionale di un'apposita sezione, denominata Trasparenza, valutazione e merito, contenente</w:t>
      </w:r>
      <w:hyperlink r:id="rId12" w:anchor="nota_7b" w:history="1"/>
      <w:r w:rsidRPr="00F75A5F">
        <w:rPr>
          <w:rFonts w:ascii="Arial" w:hAnsi="Arial" w:cs="Arial"/>
          <w:color w:val="333333"/>
          <w:vertAlign w:val="superscript"/>
        </w:rPr>
        <w:t xml:space="preserve">  </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a) i </w:t>
      </w:r>
      <w:proofErr w:type="spellStart"/>
      <w:r w:rsidRPr="00F75A5F">
        <w:rPr>
          <w:rFonts w:ascii="Arial" w:hAnsi="Arial" w:cs="Arial"/>
          <w:color w:val="333333"/>
        </w:rPr>
        <w:t>curricula</w:t>
      </w:r>
      <w:proofErr w:type="spellEnd"/>
      <w:r w:rsidRPr="00F75A5F">
        <w:rPr>
          <w:rFonts w:ascii="Arial" w:hAnsi="Arial" w:cs="Arial"/>
          <w:color w:val="333333"/>
        </w:rPr>
        <w:t xml:space="preserve"> vitae, i compensi annuali, gli indirizzi di posta elettronica e i numeri telefonici ad uso professionale di coloro che compongono gli organi di direzione politico-amministrativa dell'ente;</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b) i </w:t>
      </w:r>
      <w:proofErr w:type="spellStart"/>
      <w:r w:rsidRPr="00F75A5F">
        <w:rPr>
          <w:rFonts w:ascii="Arial" w:hAnsi="Arial" w:cs="Arial"/>
          <w:color w:val="333333"/>
        </w:rPr>
        <w:t>curricula</w:t>
      </w:r>
      <w:proofErr w:type="spellEnd"/>
      <w:r w:rsidRPr="00F75A5F">
        <w:rPr>
          <w:rFonts w:ascii="Arial" w:hAnsi="Arial" w:cs="Arial"/>
          <w:color w:val="333333"/>
        </w:rPr>
        <w:t xml:space="preserve"> vitae, le retribuzioni annuali, gli indirizzi di posta elettronica e i numeri telefonici ad uso professionale dei dirigenti;</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i tassi di assenza e presenza del personale distinti per struttura dirigenziale;</w:t>
      </w:r>
    </w:p>
    <w:p w:rsidR="007A33DC" w:rsidRPr="00F75A5F" w:rsidRDefault="007A33DC"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d) i nominativi e i </w:t>
      </w:r>
      <w:proofErr w:type="spellStart"/>
      <w:r w:rsidRPr="00F75A5F">
        <w:rPr>
          <w:rFonts w:ascii="Arial" w:hAnsi="Arial" w:cs="Arial"/>
          <w:color w:val="333333"/>
        </w:rPr>
        <w:t>curricula</w:t>
      </w:r>
      <w:proofErr w:type="spellEnd"/>
      <w:r w:rsidRPr="00F75A5F">
        <w:rPr>
          <w:rFonts w:ascii="Arial" w:hAnsi="Arial" w:cs="Arial"/>
          <w:color w:val="333333"/>
        </w:rPr>
        <w:t xml:space="preserve"> vitae dei componenti della Commissione indipendente di valutazione della performance;</w:t>
      </w:r>
    </w:p>
    <w:p w:rsidR="007F0FCE" w:rsidRPr="00F75A5F" w:rsidRDefault="007A33DC"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e) l'elenco degli incarichi, retribuiti e non, conferiti a dipendenti pubblici o a soggetti privati.</w:t>
      </w:r>
    </w:p>
    <w:p w:rsidR="007A33DC"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lastRenderedPageBreak/>
        <w:t>f)</w:t>
      </w:r>
      <w:r w:rsidR="007A33DC" w:rsidRPr="00F75A5F">
        <w:rPr>
          <w:rFonts w:ascii="Arial" w:hAnsi="Arial" w:cs="Arial"/>
          <w:color w:val="333333"/>
        </w:rPr>
        <w:t xml:space="preserve"> i dati inerenti alla concessione di sovvenzioni, contributi, ausili e sussidi finanziari alle imprese e all'attribuzione di compensi a persone, professionisti, imprese ed enti privati e comunque di vantaggi economici di qualsiasi genere a enti pubblici e privati, con riguardo al nome e ai dati fiscali del beneficiario, all'importo, al titolo giuridico alla base dell'attribuzione, alla struttura e al responsabile del relativo procedimento amministrativo e alla modalità seguita per l'individuazione del beneficiario</w:t>
      </w:r>
    </w:p>
    <w:p w:rsidR="007A33DC" w:rsidRPr="00F75A5F" w:rsidRDefault="007F0FCE"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w:t>
      </w:r>
      <w:r w:rsidR="007A33DC" w:rsidRPr="00F75A5F">
        <w:rPr>
          <w:rFonts w:ascii="Arial" w:hAnsi="Arial" w:cs="Arial"/>
          <w:color w:val="333333"/>
        </w:rPr>
        <w:t>) il piano della performance e la relazione sulla performance;</w:t>
      </w:r>
    </w:p>
    <w:p w:rsidR="007A33DC" w:rsidRPr="00F75A5F" w:rsidRDefault="007F0FCE"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h</w:t>
      </w:r>
      <w:r w:rsidR="007A33DC" w:rsidRPr="00F75A5F">
        <w:rPr>
          <w:rFonts w:ascii="Arial" w:hAnsi="Arial" w:cs="Arial"/>
          <w:color w:val="333333"/>
        </w:rPr>
        <w:t>) l'ammontare complessivo dei premi stanziati legati alla performance e l'ammontare dei premi effettivamente distribuiti;</w:t>
      </w:r>
    </w:p>
    <w:p w:rsidR="007A33DC" w:rsidRPr="00F75A5F" w:rsidRDefault="007F0FCE"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i</w:t>
      </w:r>
      <w:r w:rsidR="007A33DC" w:rsidRPr="00F75A5F">
        <w:rPr>
          <w:rFonts w:ascii="Arial" w:hAnsi="Arial" w:cs="Arial"/>
          <w:color w:val="333333"/>
        </w:rPr>
        <w:t xml:space="preserve">) l'analisi dei dati relativi al grado di differenziazione nell'utilizzo della </w:t>
      </w:r>
      <w:proofErr w:type="spellStart"/>
      <w:r w:rsidR="007A33DC" w:rsidRPr="00F75A5F">
        <w:rPr>
          <w:rFonts w:ascii="Arial" w:hAnsi="Arial" w:cs="Arial"/>
          <w:color w:val="333333"/>
        </w:rPr>
        <w:t>premialità</w:t>
      </w:r>
      <w:proofErr w:type="spellEnd"/>
      <w:r w:rsidR="007A33DC" w:rsidRPr="00F75A5F">
        <w:rPr>
          <w:rFonts w:ascii="Arial" w:hAnsi="Arial" w:cs="Arial"/>
          <w:color w:val="333333"/>
        </w:rPr>
        <w:t xml:space="preserve"> per i dirigenti e il personale.</w:t>
      </w:r>
    </w:p>
    <w:p w:rsidR="007F0FCE" w:rsidRPr="00F75A5F" w:rsidRDefault="007F0FCE" w:rsidP="007A33DC">
      <w:pPr>
        <w:pStyle w:val="NormaleWeb"/>
        <w:shd w:val="clear" w:color="auto" w:fill="FFFFFF"/>
        <w:spacing w:before="0" w:beforeAutospacing="0" w:after="101" w:afterAutospacing="0"/>
        <w:rPr>
          <w:rFonts w:ascii="Arial" w:hAnsi="Arial" w:cs="Arial"/>
          <w:color w:val="333333"/>
        </w:rPr>
      </w:pPr>
    </w:p>
    <w:p w:rsidR="007F0FCE" w:rsidRPr="00F75A5F" w:rsidRDefault="007F0FCE"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ORGANICI</w:t>
      </w:r>
    </w:p>
    <w:p w:rsidR="007F0FCE"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Il </w:t>
      </w:r>
      <w:r w:rsidR="00EA7B57" w:rsidRPr="00F75A5F">
        <w:rPr>
          <w:rFonts w:ascii="Arial" w:hAnsi="Arial" w:cs="Arial"/>
          <w:color w:val="333333"/>
        </w:rPr>
        <w:t>personale DELLA REGIONE</w:t>
      </w:r>
      <w:r w:rsidRPr="00F75A5F">
        <w:rPr>
          <w:rFonts w:ascii="Arial" w:hAnsi="Arial" w:cs="Arial"/>
          <w:color w:val="333333"/>
        </w:rPr>
        <w:t>, è inquadrato in un unico ruolo per ogni ente.</w:t>
      </w:r>
    </w:p>
    <w:p w:rsidR="007F0FCE"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Il personale dell'Amministrazione regionale, inquadrato nel ruolo unico regionale, è suddiviso nei seguenti organici:</w:t>
      </w:r>
    </w:p>
    <w:p w:rsidR="007F0FCE"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Giunta regionale;</w:t>
      </w:r>
    </w:p>
    <w:p w:rsidR="007F0FCE"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Consiglio regionale;</w:t>
      </w:r>
    </w:p>
    <w:p w:rsidR="007F0FCE"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c) Corpo forestale della Valle d'Aosta;</w:t>
      </w:r>
    </w:p>
    <w:p w:rsidR="007F0FCE"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d) istituzioni scolastiche ed educative dipendenti dalla Regione (personale ATAR); </w:t>
      </w:r>
      <w:hyperlink r:id="rId13" w:anchor="nota_7g" w:history="1">
        <w:r w:rsidRPr="00F75A5F">
          <w:rPr>
            <w:rStyle w:val="Collegamentoipertestuale"/>
            <w:rFonts w:ascii="Arial" w:hAnsi="Arial" w:cs="Arial"/>
            <w:color w:val="0B3857"/>
            <w:vertAlign w:val="superscript"/>
          </w:rPr>
          <w:t>(7g)</w:t>
        </w:r>
      </w:hyperlink>
    </w:p>
    <w:p w:rsidR="007F0FCE" w:rsidRPr="00F75A5F" w:rsidRDefault="007F0FCE" w:rsidP="007F0FCE">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e) personale professionista del Corpo valdostano dei vigili del fuoco.</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L'assegnazione delle risorse umane alle strutture organizzative dirigenziali,  è effettuata, dagli organi di direzione politico-amministrativa dell'ente, tenuto conto degli obiettivi assegnati ai dirigenti, delle proposte dei dirigenti di primo livello interessati o, in mancanza del primo livello dirigenziale, dei dirigenti competenti, e dei provvedimenti di organizzazione che istituiscono le strutture temporanee o di progetto</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RECLUTAMENTO PERSONALE. L'assunzione a tempo indeterminato del personale, avviene sulla base di programmi annuali, che costituiscono articolazione del documento di programmazione triennale del fabbisogno, mediante procedure selettive volte all'accertamento della professionalità richiesta, che garantiscono l'accesso dall'esterno. Per le figure professionali di categoria A, l'assunzione può essere disposta mediante avviamento degli iscritti alle liste dei centri per l'impiego.. Le assunzioni obbligatorie, sono effettuate nei casi e con le modalità stabiliti dalla normativa statale vigente in materia, previa verifica della compatibilità dell'invalidità con le mansioni da svolgere, mediante avviamento degli iscritti alle liste dei centri per l'impiego, procedure selettive riservate o procedure selettive con riserva di posti.</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Prima di procedere all'espletamento di procedure selettive pubbliche per la copertura di posti vacanti della dotazione organica, verificano l'assenza di personale in disponibilità iscritto negli elenchi utilmente ricollocabile.</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L'impiego presso  è subordinato all'accertamento preliminare della conoscenza della lingua francese o italiana.</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L'Amministrazione regionale può bandire procedure selettive pubbliche uniche per la copertura dei posti disponibili. Il bando disciplina le modalità di utilizzazione della graduatoria unica. Gli enti approvano le graduatorie e dichiarano i vincitori del concorso. Le graduatorie hanno validità triennale dalla data di approvazione. La graduatoria </w:t>
      </w:r>
      <w:r w:rsidRPr="00F75A5F">
        <w:rPr>
          <w:rFonts w:ascii="Arial" w:hAnsi="Arial" w:cs="Arial"/>
          <w:color w:val="333333"/>
        </w:rPr>
        <w:lastRenderedPageBreak/>
        <w:t>approvata è pubblicata sul sito istituzionale dell'ente e nel Bollettino ufficiale della Regione. Il contratto individuale di lavoro deve stipularsi per iscritto e deve essere sottoscritto da entrambe le parti prima dell'effettiva ammissione in servizio.. Il contratto individuale di lavoro prevede l'effettuazione di un periodo di prova, durante il quale ciascuna delle parti può recedere senza obbligo di preavviso e al termine del quale l'assunzione diventa definitiva e il servizio prestato è computato nell'anzianità di servizio. Il periodo di prova ha durata di tre mesi per le categorie A e B e di sei mesi per le restanti categorie e per la qualifica unica dirigenziale. Il mancato superamento del periodo di prova è comunicato all'interessato, sulla base della valutazione effettuata dal dirigente responsabile della struttura di appartenenza.</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Nell'ambito delle procedure selettive pubbliche per l'accesso alle categorie e alle </w:t>
      </w:r>
      <w:proofErr w:type="spellStart"/>
      <w:r w:rsidRPr="00F75A5F">
        <w:rPr>
          <w:rFonts w:ascii="Arial" w:hAnsi="Arial" w:cs="Arial"/>
          <w:color w:val="333333"/>
        </w:rPr>
        <w:t>posizionipossono</w:t>
      </w:r>
      <w:proofErr w:type="spellEnd"/>
      <w:r w:rsidRPr="00F75A5F">
        <w:rPr>
          <w:rFonts w:ascii="Arial" w:hAnsi="Arial" w:cs="Arial"/>
          <w:color w:val="333333"/>
        </w:rPr>
        <w:t xml:space="preserve"> destinare al personale interno, in possesso del titolo di studio richiesto per l'accesso dall'esterno o dei requisiti di anzianità professionale</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Nel rispetto della programmazione triennale del fabbisogno e dei limiti delle risorse finanziarie disponibili, al fine di valorizzare l'esperienza professionale maturata dal personale assunto a tempo determinato presso l'ente che bandisce la procedura di reclutamento mediante concorso pubblico, possono:</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a) riservare dei posti, nel limite massimo del 40 per cento di quelli messi a concorso, a favore dei titolari di rapporto di lavoro subordinato a tempo determinato che, alla data di pubblicazione del relativo bando, abbiamo maturato almeno tre anni di servizio alle dipendenze dell'ente che emana il bando;</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b) bandire concorsi, per titoli e esami, che prevedano apposito punteggio per l'esperienza professionale maturata da coloro che, alla data di pubblicazione del relativo bando, abbiano maturato almeno tre anni di assunzione a tempo determinato o di contratto di collaborazione coordinata e continuativa nell'ente che emana il bando. </w:t>
      </w:r>
      <w:hyperlink r:id="rId14" w:anchor="nota_7l" w:history="1">
        <w:r w:rsidRPr="00F75A5F">
          <w:rPr>
            <w:rStyle w:val="Collegamentoipertestuale"/>
            <w:rFonts w:ascii="Arial" w:hAnsi="Arial" w:cs="Arial"/>
            <w:color w:val="0B3857"/>
            <w:vertAlign w:val="superscript"/>
          </w:rPr>
          <w:t>(7l)</w:t>
        </w:r>
      </w:hyperlink>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Gli enti  possono procedere all'assunzione di personale con contratti di lavoro subordinato a tempo determinato, pieno o parziale, per la sostituzione di personale assente con diritto alla conservazione del posto, escluso il periodo di ferie con  rapporti di lavoro a tempo determinato, pieno o parziale, di durata non superiore a nove mesi, anche per la realizzazione di interventi specifici e finalizzati, individuati nei provvedimenti di organizzazione.</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 La costituzione di rapporti di lavoro a tempo determinato, pieno o parziale, è inoltre consentita per la realizzazione di progetti in materia di politiche del lavoro e della formazione professionale, di servizi per l'impiego, di promozione dello sviluppo economico, di politiche sociali, di organizzazione di servizi alle imprese e di programmazione afferente alle politiche di coesione e di sviluppo rurale europee, statali e regionali; in tali casi, il personale è assunto mediante procedure selettive pubbliche e la durata massima del rapporto di lavoro, il cui finanziamento è a valere sugli stanziamenti previsti per i programmi cofinanziati dal fondo sociale europeo, dal fondo europeo di sviluppo regionale, dal fondo europeo agricolo per lo sviluppo rurale e dal fondo per le aree sottoutilizzate e sugli stanziamenti per i progetti cofinanziati a valere sui fondi Unioncamere e del Ministero dello sviluppo economico destinati alle Camere di Commercio o con l'aumento del diritto annuale ai sensi dell'articolo 18, comma 10, della legge 29 dicembre 1993, n. 580 (Riordinamento delle camere di commercio, industria, artigianato e agricoltura), è di tre anni. </w:t>
      </w:r>
      <w:hyperlink r:id="rId15" w:anchor="nota_7n" w:history="1">
        <w:r w:rsidRPr="00F75A5F">
          <w:rPr>
            <w:rStyle w:val="Collegamentoipertestuale"/>
            <w:rFonts w:ascii="Arial" w:hAnsi="Arial" w:cs="Arial"/>
            <w:color w:val="0B3857"/>
            <w:vertAlign w:val="superscript"/>
          </w:rPr>
          <w:t>(7n)</w:t>
        </w:r>
      </w:hyperlink>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 Il personale può essere trasferito nell'ambito della dotazione organica dell'ente e nel rispetto della categoria e posizione di appartenenza a domanda o per esigenze organizzative dell'ente, debitamente motivate, purché in possesso dei requisiti professionali richiesti per l'accesso ad un eventuale nuovo profilo. Per il soddisfacimento di </w:t>
      </w:r>
      <w:r w:rsidRPr="00F75A5F">
        <w:rPr>
          <w:rFonts w:ascii="Arial" w:hAnsi="Arial" w:cs="Arial"/>
          <w:color w:val="333333"/>
        </w:rPr>
        <w:lastRenderedPageBreak/>
        <w:t>esigenze organizzative temporanee e nel rispetto della categoria e posizione di appartenenza, possono disporre, per periodi di tempo determinati, l'assegnazione temporanea di personale, il quale conserva la titolarità del posto di provenienza senza poter essere sostituito.</w:t>
      </w:r>
    </w:p>
    <w:p w:rsidR="00EA7B57" w:rsidRPr="00F75A5F" w:rsidRDefault="00EA7B57" w:rsidP="00EA7B57">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il personale in disponibilità è iscritto in appositi elenchi secondo l'ordine cronologico di sospensione del relativo rapporto di lavoro. Dell'iscrizione negli elenchi è data notizia alla struttura regionale competente in materia di personale che provvede, entro il 28 febbraio, alla pubblicazione dell'elenco del personale distaccato in disponibilità nell'ambito del comparto unico della Valle d'Aosta. . Il personale in disponibilità iscritto negli appositi elenchi ha diritto al trattamento economico in godimento, per la durata massima di due anni. La spesa relativa grava sul bilancio dell'ente di appartenenza sino al trasferimento ad altro ente ovvero al raggiungimento del periodo massimo di fruizione dell'indennità. Il rapporto di lavoro si intende definitivamente risolto a tale data. Gli oneri sociali relativi alla retribuzione goduta al momento del collocamento in disponibilità sono corrisposti dall'ente di appartenenza all'ente previdenziale di riferimento per tutto il periodo della disponibilità.</w:t>
      </w:r>
    </w:p>
    <w:p w:rsidR="00E378FF" w:rsidRPr="00F75A5F" w:rsidRDefault="00E378FF" w:rsidP="00E378FF">
      <w:pPr>
        <w:pStyle w:val="NormaleWeb"/>
        <w:shd w:val="clear" w:color="auto" w:fill="FFFFFF"/>
        <w:spacing w:before="0" w:beforeAutospacing="0" w:after="0" w:afterAutospacing="0" w:line="282" w:lineRule="atLeast"/>
        <w:textAlignment w:val="baseline"/>
        <w:rPr>
          <w:rFonts w:ascii="Arial" w:hAnsi="Arial" w:cs="Arial"/>
          <w:color w:val="333333"/>
        </w:rPr>
      </w:pPr>
      <w:r w:rsidRPr="00F75A5F">
        <w:rPr>
          <w:rFonts w:ascii="Arial" w:hAnsi="Arial" w:cs="Arial"/>
          <w:color w:val="333333"/>
        </w:rPr>
        <w:t>COMANDO-</w:t>
      </w:r>
      <w:r w:rsidRPr="00F75A5F">
        <w:rPr>
          <w:rFonts w:ascii="Arial" w:hAnsi="Arial" w:cs="Arial"/>
          <w:color w:val="333333"/>
        </w:rPr>
        <w:sym w:font="Wingdings" w:char="F0E0"/>
      </w:r>
      <w:r w:rsidRPr="00F75A5F">
        <w:rPr>
          <w:rFonts w:ascii="Arial" w:hAnsi="Arial" w:cs="Arial"/>
          <w:color w:val="0C0C0F"/>
          <w:bdr w:val="none" w:sz="0" w:space="0" w:color="auto" w:frame="1"/>
        </w:rPr>
        <w:t>La nozione di </w:t>
      </w:r>
      <w:r w:rsidRPr="00F75A5F">
        <w:rPr>
          <w:rStyle w:val="Enfasigrassetto"/>
          <w:rFonts w:ascii="Arial" w:hAnsi="Arial" w:cs="Arial"/>
          <w:color w:val="0C0C0F"/>
          <w:bdr w:val="none" w:sz="0" w:space="0" w:color="auto" w:frame="1"/>
        </w:rPr>
        <w:t>comando </w:t>
      </w:r>
      <w:r w:rsidRPr="00F75A5F">
        <w:rPr>
          <w:rFonts w:ascii="Arial" w:hAnsi="Arial" w:cs="Arial"/>
          <w:color w:val="0C0C0F"/>
          <w:bdr w:val="none" w:sz="0" w:space="0" w:color="auto" w:frame="1"/>
        </w:rPr>
        <w:t xml:space="preserve">di cui all’art. 56 </w:t>
      </w:r>
      <w:proofErr w:type="spellStart"/>
      <w:r w:rsidRPr="00F75A5F">
        <w:rPr>
          <w:rFonts w:ascii="Arial" w:hAnsi="Arial" w:cs="Arial"/>
          <w:color w:val="0C0C0F"/>
          <w:bdr w:val="none" w:sz="0" w:space="0" w:color="auto" w:frame="1"/>
        </w:rPr>
        <w:t>t.u.n.</w:t>
      </w:r>
      <w:proofErr w:type="spellEnd"/>
      <w:r w:rsidRPr="00F75A5F">
        <w:rPr>
          <w:rFonts w:ascii="Arial" w:hAnsi="Arial" w:cs="Arial"/>
          <w:color w:val="0C0C0F"/>
          <w:bdr w:val="none" w:sz="0" w:space="0" w:color="auto" w:frame="1"/>
        </w:rPr>
        <w:t xml:space="preserve"> 3/1957, descrive il fenomeno per cui il pubblico impiegato, titolare di un posto di ruolo presso una Pubblica Amministrazione, viene temporaneamente a prestare servizio presso altra Amministrazione o presso altro ente pubblico e importa, da un lato, l’obbligo di prestare servizio presso un ufficio od un ente diverso da quello di appartenenza e, dall’altro, la dispensa dagli obblighi di servizio verso l’Amministrazione di origine. Poiché l’art. 56 ultimo comma del t.u. citato vieta l’assegnazione anche temporanea di impiegati ad uffici diversi da quelli di appartenenza, il collocamento nella posizione di comando va considerato un istituto di carattere eccezionale. </w:t>
      </w:r>
      <w:r w:rsidRPr="00F75A5F">
        <w:rPr>
          <w:rFonts w:ascii="Arial" w:hAnsi="Arial" w:cs="Arial"/>
          <w:color w:val="333333"/>
        </w:rPr>
        <w:t xml:space="preserve">Nel rispetto delle disposizioni concernenti le relazioni sindacali, la mobilità mediante comando o distacco è possibile, per il personale del comparto unico regionale, anche verso l'Azienda U.S.L. e le società partecipate e controllate, direttamente o indirettamente, per il tramite di </w:t>
      </w:r>
      <w:proofErr w:type="spellStart"/>
      <w:r w:rsidRPr="00F75A5F">
        <w:rPr>
          <w:rFonts w:ascii="Arial" w:hAnsi="Arial" w:cs="Arial"/>
          <w:color w:val="333333"/>
        </w:rPr>
        <w:t>Finaosta</w:t>
      </w:r>
      <w:proofErr w:type="spellEnd"/>
      <w:r w:rsidRPr="00F75A5F">
        <w:rPr>
          <w:rFonts w:ascii="Arial" w:hAnsi="Arial" w:cs="Arial"/>
          <w:color w:val="333333"/>
        </w:rPr>
        <w:t xml:space="preserve"> spa.</w:t>
      </w:r>
    </w:p>
    <w:p w:rsidR="00E378FF" w:rsidRPr="00E378FF" w:rsidRDefault="00E378FF" w:rsidP="00E378FF">
      <w:pPr>
        <w:spacing w:after="101" w:line="240" w:lineRule="auto"/>
        <w:rPr>
          <w:rFonts w:ascii="Arial" w:eastAsia="Times New Roman" w:hAnsi="Arial" w:cs="Arial"/>
          <w:color w:val="333333"/>
          <w:sz w:val="24"/>
          <w:szCs w:val="24"/>
          <w:lang w:eastAsia="it-IT"/>
        </w:rPr>
      </w:pPr>
      <w:r w:rsidRPr="00E378FF">
        <w:rPr>
          <w:rFonts w:ascii="Arial" w:eastAsia="Times New Roman" w:hAnsi="Arial" w:cs="Arial"/>
          <w:color w:val="333333"/>
          <w:sz w:val="24"/>
          <w:szCs w:val="24"/>
          <w:lang w:eastAsia="it-IT"/>
        </w:rPr>
        <w:t>Il comando è disposto per un tempo determinato e può essere rinnovato per esigenze di servizio.</w:t>
      </w:r>
    </w:p>
    <w:p w:rsidR="00E378FF" w:rsidRPr="00E378FF" w:rsidRDefault="00E378FF" w:rsidP="00E378FF">
      <w:pPr>
        <w:spacing w:after="101" w:line="240" w:lineRule="auto"/>
        <w:rPr>
          <w:rFonts w:ascii="Arial" w:eastAsia="Times New Roman" w:hAnsi="Arial" w:cs="Arial"/>
          <w:color w:val="333333"/>
          <w:sz w:val="24"/>
          <w:szCs w:val="24"/>
          <w:lang w:eastAsia="it-IT"/>
        </w:rPr>
      </w:pPr>
      <w:r w:rsidRPr="00E378FF">
        <w:rPr>
          <w:rFonts w:ascii="Arial" w:eastAsia="Times New Roman" w:hAnsi="Arial" w:cs="Arial"/>
          <w:color w:val="333333"/>
          <w:sz w:val="24"/>
          <w:szCs w:val="24"/>
          <w:lang w:eastAsia="it-IT"/>
        </w:rPr>
        <w:t>Il personale comandato deve essere in possesso della categoria e posizione corrispondenti al posto per il quale è disposto il comando oltre che dei requisiti professionali richiesti per l'accesso ad un eventuale nuovo profilo.</w:t>
      </w:r>
    </w:p>
    <w:p w:rsidR="00E378FF" w:rsidRPr="00F75A5F" w:rsidRDefault="00E378FF" w:rsidP="00E378FF">
      <w:pPr>
        <w:spacing w:after="101" w:line="240" w:lineRule="auto"/>
        <w:rPr>
          <w:rFonts w:ascii="Arial" w:eastAsia="Times New Roman" w:hAnsi="Arial" w:cs="Arial"/>
          <w:color w:val="333333"/>
          <w:sz w:val="24"/>
          <w:szCs w:val="24"/>
          <w:lang w:eastAsia="it-IT"/>
        </w:rPr>
      </w:pPr>
      <w:r w:rsidRPr="00FD1867">
        <w:rPr>
          <w:rFonts w:ascii="Arial" w:eastAsia="Times New Roman" w:hAnsi="Arial" w:cs="Arial"/>
          <w:b/>
          <w:color w:val="333333"/>
          <w:sz w:val="24"/>
          <w:szCs w:val="24"/>
          <w:lang w:eastAsia="it-IT"/>
        </w:rPr>
        <w:t>L'onere per il personale comandato è posto a carico dell'ente presso il quale il dipendente interessato opera funzionalmente</w:t>
      </w:r>
      <w:r w:rsidRPr="00E378FF">
        <w:rPr>
          <w:rFonts w:ascii="Arial" w:eastAsia="Times New Roman" w:hAnsi="Arial" w:cs="Arial"/>
          <w:color w:val="333333"/>
          <w:sz w:val="24"/>
          <w:szCs w:val="24"/>
          <w:lang w:eastAsia="it-IT"/>
        </w:rPr>
        <w:t>.</w:t>
      </w:r>
    </w:p>
    <w:p w:rsidR="00E378FF" w:rsidRPr="00F75A5F" w:rsidRDefault="00E378FF" w:rsidP="00E378FF">
      <w:pPr>
        <w:pStyle w:val="NormaleWeb"/>
        <w:rPr>
          <w:rFonts w:ascii="Arial" w:hAnsi="Arial" w:cs="Arial"/>
          <w:color w:val="333333"/>
        </w:rPr>
      </w:pPr>
      <w:r w:rsidRPr="00F75A5F">
        <w:rPr>
          <w:rFonts w:ascii="Arial" w:hAnsi="Arial" w:cs="Arial"/>
          <w:color w:val="333333"/>
        </w:rPr>
        <w:t>Il personale comandato presso gli enti di cui all'articolo 1, comma 1, può richiedere, decorsi almeno due anni dall'inizio del periodo di comando, il trasferimento nei ruoli dell'ente presso cui presta servizio. Il trasferimento è disposto, previo accertamento della conoscenza della lingua francese, da effettuarsi con le modalità stabilite per l'assunzione negli enti di cui all'articolo 1, comma 1, e mediante cessione del relativo contratto di lavoro con inquadramento nella categoria e posizione corrispondenti a quelle possedute nell'ente di provenienza.</w:t>
      </w:r>
    </w:p>
    <w:p w:rsidR="00E378FF" w:rsidRPr="00F75A5F" w:rsidRDefault="00E378FF" w:rsidP="00E378FF">
      <w:pPr>
        <w:pStyle w:val="NormaleWeb"/>
        <w:rPr>
          <w:rFonts w:ascii="Arial" w:hAnsi="Arial" w:cs="Arial"/>
          <w:color w:val="333333"/>
        </w:rPr>
      </w:pPr>
      <w:r w:rsidRPr="00F75A5F">
        <w:rPr>
          <w:rFonts w:ascii="Arial" w:hAnsi="Arial" w:cs="Arial"/>
          <w:color w:val="0C0C0F"/>
          <w:shd w:val="clear" w:color="auto" w:fill="FFFFFF"/>
        </w:rPr>
        <w:t>Distinta dal comando è la fattispecie della </w:t>
      </w:r>
      <w:r w:rsidRPr="00F75A5F">
        <w:rPr>
          <w:rStyle w:val="Enfasigrassetto"/>
          <w:rFonts w:ascii="Arial" w:hAnsi="Arial" w:cs="Arial"/>
          <w:color w:val="0C0C0F"/>
          <w:bdr w:val="none" w:sz="0" w:space="0" w:color="auto" w:frame="1"/>
          <w:shd w:val="clear" w:color="auto" w:fill="FFFFFF"/>
        </w:rPr>
        <w:t>utilizzazione temporanea del dipendente</w:t>
      </w:r>
      <w:r w:rsidRPr="00F75A5F">
        <w:rPr>
          <w:rFonts w:ascii="Arial" w:hAnsi="Arial" w:cs="Arial"/>
          <w:color w:val="0C0C0F"/>
          <w:shd w:val="clear" w:color="auto" w:fill="FFFFFF"/>
        </w:rPr>
        <w:t> pubblico presso un ufficio diverso da quello che costituisce la sua sede di servizio, a volte denominato </w:t>
      </w:r>
      <w:r w:rsidRPr="00F75A5F">
        <w:rPr>
          <w:rStyle w:val="Enfasigrassetto"/>
          <w:rFonts w:ascii="Arial" w:hAnsi="Arial" w:cs="Arial"/>
          <w:color w:val="0C0C0F"/>
          <w:bdr w:val="none" w:sz="0" w:space="0" w:color="auto" w:frame="1"/>
          <w:shd w:val="clear" w:color="auto" w:fill="FFFFFF"/>
        </w:rPr>
        <w:t>distacco</w:t>
      </w:r>
      <w:r w:rsidRPr="00F75A5F">
        <w:rPr>
          <w:rFonts w:ascii="Arial" w:hAnsi="Arial" w:cs="Arial"/>
          <w:color w:val="0C0C0F"/>
          <w:shd w:val="clear" w:color="auto" w:fill="FFFFFF"/>
        </w:rPr>
        <w:t xml:space="preserve"> nella giurisprudenza amministrativa. Trattasi di istituto in realtà ignoto alla legislazione del pubblico impiego che tuttavia nella prassi aveva ed ha ancora una certa diffusione e si distingue dal comando proprio perché l’impiegato non viene assegnato ad una pubblica amministrazione diversa da quella di appartenenza, ma – temporaneamente – ad un ufficio, diverso da quello nel quale è formalmente </w:t>
      </w:r>
      <w:r w:rsidRPr="00F75A5F">
        <w:rPr>
          <w:rFonts w:ascii="Arial" w:hAnsi="Arial" w:cs="Arial"/>
          <w:color w:val="0C0C0F"/>
          <w:shd w:val="clear" w:color="auto" w:fill="FFFFFF"/>
        </w:rPr>
        <w:lastRenderedPageBreak/>
        <w:t xml:space="preserve">incardinato, ma comunque dell’amministrazione datrice di lavoro. Non si tratta pertanto, neppure di trasferimento il quale consiste, invece, nel mutamento definitivo del luogo di lavoro. </w:t>
      </w:r>
      <w:r w:rsidRPr="00F75A5F">
        <w:rPr>
          <w:rFonts w:ascii="Arial" w:hAnsi="Arial" w:cs="Arial"/>
          <w:color w:val="333333"/>
        </w:rPr>
        <w:t xml:space="preserve"> Per motivate e comuni esigenze di pubblico interesse, , possono inoltre disporre il distacco di proprio personale presso le amministrazioni dello Stato o altri enti pubblici nazionali aventi sede nel territorio regionale. Il distacco non può superare il periodo di ventiquattro mesi continuativi e può essere revocato dall'ente che lo ha disposto in qualunque momento per le proprie preminenti esigenze organizzative. Il personale distaccato conserva l'assegnazione nel posto di provenienza e può essere sostituito con altro personale per l'intera durata del periodo di distacco. L'onere per il personale distaccato è posto a carico dell'ente di appartenenza.</w:t>
      </w:r>
    </w:p>
    <w:p w:rsidR="00E378FF" w:rsidRPr="00F75A5F" w:rsidRDefault="00E378FF" w:rsidP="00E378FF">
      <w:pPr>
        <w:pStyle w:val="NormaleWeb"/>
        <w:shd w:val="clear" w:color="auto" w:fill="FFFFFF"/>
        <w:spacing w:before="0" w:beforeAutospacing="0" w:after="0" w:afterAutospacing="0" w:line="282" w:lineRule="atLeast"/>
        <w:textAlignment w:val="baseline"/>
        <w:rPr>
          <w:rFonts w:ascii="Arial" w:hAnsi="Arial" w:cs="Arial"/>
          <w:color w:val="0C0C0F"/>
        </w:rPr>
      </w:pPr>
      <w:r w:rsidRPr="00F75A5F">
        <w:rPr>
          <w:rFonts w:ascii="Arial" w:hAnsi="Arial" w:cs="Arial"/>
          <w:color w:val="0C0C0F"/>
        </w:rPr>
        <w:t>CONTRATTAZIONE</w:t>
      </w:r>
    </w:p>
    <w:p w:rsidR="0004729B" w:rsidRPr="00F75A5F" w:rsidRDefault="00E378FF" w:rsidP="00E378FF">
      <w:pPr>
        <w:pStyle w:val="NormaleWeb"/>
        <w:shd w:val="clear" w:color="auto" w:fill="FFFFFF"/>
        <w:spacing w:before="0" w:beforeAutospacing="0" w:after="0" w:afterAutospacing="0" w:line="282" w:lineRule="atLeast"/>
        <w:textAlignment w:val="baseline"/>
        <w:rPr>
          <w:rFonts w:ascii="Arial" w:hAnsi="Arial" w:cs="Arial"/>
          <w:color w:val="333333"/>
        </w:rPr>
      </w:pPr>
      <w:r w:rsidRPr="00F75A5F">
        <w:rPr>
          <w:rFonts w:ascii="Arial" w:hAnsi="Arial" w:cs="Arial"/>
          <w:color w:val="333333"/>
        </w:rPr>
        <w:t xml:space="preserve">La contrattazione collettiva per il personale degli enti di cui all'articolo 1, comma 1, è articolata su tre livelli: </w:t>
      </w:r>
    </w:p>
    <w:p w:rsidR="0004729B" w:rsidRPr="00F75A5F" w:rsidRDefault="0004729B" w:rsidP="00E378FF">
      <w:pPr>
        <w:pStyle w:val="NormaleWeb"/>
        <w:shd w:val="clear" w:color="auto" w:fill="FFFFFF"/>
        <w:spacing w:before="0" w:beforeAutospacing="0" w:after="0" w:afterAutospacing="0" w:line="282" w:lineRule="atLeast"/>
        <w:textAlignment w:val="baseline"/>
        <w:rPr>
          <w:rFonts w:ascii="Arial" w:hAnsi="Arial" w:cs="Arial"/>
          <w:color w:val="333333"/>
        </w:rPr>
      </w:pPr>
      <w:r w:rsidRPr="00F75A5F">
        <w:rPr>
          <w:rFonts w:ascii="Arial" w:hAnsi="Arial" w:cs="Arial"/>
          <w:color w:val="333333"/>
        </w:rPr>
        <w:t>-</w:t>
      </w:r>
      <w:r w:rsidR="00E378FF" w:rsidRPr="00F75A5F">
        <w:rPr>
          <w:rFonts w:ascii="Arial" w:hAnsi="Arial" w:cs="Arial"/>
          <w:color w:val="333333"/>
        </w:rPr>
        <w:t>comparto,</w:t>
      </w:r>
    </w:p>
    <w:p w:rsidR="0004729B" w:rsidRPr="00F75A5F" w:rsidRDefault="0004729B" w:rsidP="00E378FF">
      <w:pPr>
        <w:pStyle w:val="NormaleWeb"/>
        <w:shd w:val="clear" w:color="auto" w:fill="FFFFFF"/>
        <w:spacing w:before="0" w:beforeAutospacing="0" w:after="0" w:afterAutospacing="0" w:line="282" w:lineRule="atLeast"/>
        <w:textAlignment w:val="baseline"/>
        <w:rPr>
          <w:rFonts w:ascii="Arial" w:hAnsi="Arial" w:cs="Arial"/>
          <w:color w:val="333333"/>
        </w:rPr>
      </w:pPr>
      <w:r w:rsidRPr="00F75A5F">
        <w:rPr>
          <w:rFonts w:ascii="Arial" w:hAnsi="Arial" w:cs="Arial"/>
          <w:color w:val="333333"/>
        </w:rPr>
        <w:t>-</w:t>
      </w:r>
      <w:r w:rsidR="00E378FF" w:rsidRPr="00F75A5F">
        <w:rPr>
          <w:rFonts w:ascii="Arial" w:hAnsi="Arial" w:cs="Arial"/>
          <w:color w:val="333333"/>
        </w:rPr>
        <w:t xml:space="preserve">settore </w:t>
      </w:r>
    </w:p>
    <w:p w:rsidR="00E378FF" w:rsidRPr="00F75A5F" w:rsidRDefault="0004729B" w:rsidP="00E378FF">
      <w:pPr>
        <w:pStyle w:val="NormaleWeb"/>
        <w:shd w:val="clear" w:color="auto" w:fill="FFFFFF"/>
        <w:spacing w:before="0" w:beforeAutospacing="0" w:after="0" w:afterAutospacing="0" w:line="282" w:lineRule="atLeast"/>
        <w:textAlignment w:val="baseline"/>
        <w:rPr>
          <w:rFonts w:ascii="Arial" w:hAnsi="Arial" w:cs="Arial"/>
          <w:color w:val="0C0C0F"/>
        </w:rPr>
      </w:pPr>
      <w:r w:rsidRPr="00F75A5F">
        <w:rPr>
          <w:rFonts w:ascii="Arial" w:hAnsi="Arial" w:cs="Arial"/>
          <w:color w:val="333333"/>
        </w:rPr>
        <w:t>-</w:t>
      </w:r>
      <w:r w:rsidR="00E378FF" w:rsidRPr="00F75A5F">
        <w:rPr>
          <w:rFonts w:ascii="Arial" w:hAnsi="Arial" w:cs="Arial"/>
          <w:color w:val="333333"/>
        </w:rPr>
        <w:t>decentrato</w:t>
      </w:r>
    </w:p>
    <w:p w:rsidR="007F0FCE" w:rsidRPr="00F75A5F" w:rsidRDefault="0004729B"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Il comparto regionale include:</w:t>
      </w:r>
    </w:p>
    <w:p w:rsidR="0004729B" w:rsidRPr="00F75A5F" w:rsidRDefault="0004729B"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le strutture dell'Amministrazione regionale, degli enti pubblici non economici dipendenti dalla Regione, degli enti locali e delle loro forme associative e disciplina i rapporti di lavoro e di impiego alle dipendenze dei predetti enti, nel rispetto della loro autonomia statutaria, regolamentare e organizzativa. Le disposizioni di cui alla presente legge si applicano altresì, ove compatibili, al personale tecnico-amministrativo dell'Università della Valle d'Aosta/</w:t>
      </w:r>
      <w:proofErr w:type="spellStart"/>
      <w:r w:rsidRPr="00F75A5F">
        <w:rPr>
          <w:rFonts w:ascii="Arial" w:hAnsi="Arial" w:cs="Arial"/>
          <w:color w:val="333333"/>
        </w:rPr>
        <w:t>Université</w:t>
      </w:r>
      <w:proofErr w:type="spellEnd"/>
      <w:r w:rsidRPr="00F75A5F">
        <w:rPr>
          <w:rFonts w:ascii="Arial" w:hAnsi="Arial" w:cs="Arial"/>
          <w:color w:val="333333"/>
        </w:rPr>
        <w:t xml:space="preserve"> de la Vallée d'</w:t>
      </w:r>
      <w:proofErr w:type="spellStart"/>
      <w:r w:rsidRPr="00F75A5F">
        <w:rPr>
          <w:rFonts w:ascii="Arial" w:hAnsi="Arial" w:cs="Arial"/>
          <w:color w:val="333333"/>
        </w:rPr>
        <w:t>Aoste</w:t>
      </w:r>
      <w:proofErr w:type="spellEnd"/>
      <w:r w:rsidRPr="00F75A5F">
        <w:rPr>
          <w:rFonts w:ascii="Arial" w:hAnsi="Arial" w:cs="Arial"/>
          <w:color w:val="333333"/>
        </w:rPr>
        <w:t xml:space="preserve"> nei confronti del quale continua a trovare applicazione il contratto collettivo regionale di lavoro del comparto unico. Le disposizioni di cui alla presente legge si applicano, inoltre, all'Azienda regionale per l'edilizia residenziale (ARER) - </w:t>
      </w:r>
      <w:proofErr w:type="spellStart"/>
      <w:r w:rsidRPr="00F75A5F">
        <w:rPr>
          <w:rFonts w:ascii="Arial" w:hAnsi="Arial" w:cs="Arial"/>
          <w:color w:val="333333"/>
        </w:rPr>
        <w:t>Agence</w:t>
      </w:r>
      <w:proofErr w:type="spellEnd"/>
      <w:r w:rsidRPr="00F75A5F">
        <w:rPr>
          <w:rFonts w:ascii="Arial" w:hAnsi="Arial" w:cs="Arial"/>
          <w:color w:val="333333"/>
        </w:rPr>
        <w:t xml:space="preserve"> régionale pour le </w:t>
      </w:r>
      <w:proofErr w:type="spellStart"/>
      <w:r w:rsidRPr="00F75A5F">
        <w:rPr>
          <w:rFonts w:ascii="Arial" w:hAnsi="Arial" w:cs="Arial"/>
          <w:color w:val="333333"/>
        </w:rPr>
        <w:t>logement</w:t>
      </w:r>
      <w:proofErr w:type="spellEnd"/>
      <w:r w:rsidRPr="00F75A5F">
        <w:rPr>
          <w:rFonts w:ascii="Arial" w:hAnsi="Arial" w:cs="Arial"/>
          <w:color w:val="333333"/>
        </w:rPr>
        <w:t xml:space="preserve"> e al relativo personale, nei confronti del quale continua a trovare applicazione il contratto collettivo regionale di lavoro del comparto unico</w:t>
      </w:r>
    </w:p>
    <w:p w:rsidR="004B1220" w:rsidRPr="00F75A5F" w:rsidRDefault="0004729B" w:rsidP="004B1220">
      <w:pPr>
        <w:pStyle w:val="NormaleWeb"/>
        <w:rPr>
          <w:rFonts w:ascii="Arial" w:hAnsi="Arial" w:cs="Arial"/>
          <w:color w:val="333333"/>
        </w:rPr>
      </w:pPr>
      <w:r w:rsidRPr="00F75A5F">
        <w:rPr>
          <w:rFonts w:ascii="Arial" w:hAnsi="Arial" w:cs="Arial"/>
          <w:color w:val="333333"/>
        </w:rPr>
        <w:t>La contrattazione collettiva di comparto determina i diritti e gli obblighi direttamente pertinenti al rapporto di lavoro e le materie relative alle relazioni sindacali, disciplinando gli istituti e le modalità della partecipazione. Sono escluse dalla contrattazione collettiva le materie attinenti all'organizzazione degli uffici e quelle afferenti alle attribuzioni dirigenziali. Inoltre la contrattazione collettiva di comparto disciplina, in coerenza con il settore privato, la struttura contrattuale, i rapporti tra i diversi livelli di contrattazione e la durata dei contratti collettivi di comparto, di settore e decentrati.</w:t>
      </w:r>
      <w:r w:rsidR="00E65DD4" w:rsidRPr="00F75A5F">
        <w:rPr>
          <w:rFonts w:ascii="Arial" w:hAnsi="Arial" w:cs="Arial"/>
          <w:color w:val="333333"/>
        </w:rPr>
        <w:t xml:space="preserve"> Il contratto collettivo di comparto, individua i criteri e i limiti finanziari entro i quali deve svolgersi la contrattazione decentrata o di settore</w:t>
      </w:r>
      <w:r w:rsidR="004B1220" w:rsidRPr="00F75A5F">
        <w:rPr>
          <w:rFonts w:ascii="Arial" w:hAnsi="Arial" w:cs="Arial"/>
          <w:color w:val="333333"/>
        </w:rPr>
        <w:t>. Il contratto collettivo di comparto definisce i trattamenti economici accessori collegati:</w:t>
      </w:r>
    </w:p>
    <w:p w:rsidR="004B1220" w:rsidRPr="004B1220" w:rsidRDefault="004B1220" w:rsidP="004B1220">
      <w:pPr>
        <w:spacing w:after="150"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a) alla performance individuale;</w:t>
      </w:r>
    </w:p>
    <w:p w:rsidR="004B1220" w:rsidRPr="004B1220" w:rsidRDefault="004B1220" w:rsidP="004B1220">
      <w:pPr>
        <w:spacing w:after="150"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b) alla performance organizzativa con riferimento all'ente interessato nel suo complesso e alle strutture organizzative dirigenziali in cui esso si articola;</w:t>
      </w:r>
    </w:p>
    <w:p w:rsidR="004B1220" w:rsidRPr="004B1220" w:rsidRDefault="004B1220" w:rsidP="004B1220">
      <w:pPr>
        <w:spacing w:after="150"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c) all'effettivo svolgimento di attività particolarmente disagiate ovvero pericolose o dannose per la salute</w:t>
      </w:r>
    </w:p>
    <w:p w:rsidR="00E65DD4" w:rsidRPr="00F75A5F" w:rsidRDefault="00E65DD4" w:rsidP="007A33DC">
      <w:pPr>
        <w:pStyle w:val="NormaleWeb"/>
        <w:shd w:val="clear" w:color="auto" w:fill="FFFFFF"/>
        <w:spacing w:before="0" w:beforeAutospacing="0" w:after="101" w:afterAutospacing="0"/>
        <w:rPr>
          <w:rFonts w:ascii="Arial" w:hAnsi="Arial" w:cs="Arial"/>
          <w:color w:val="333333"/>
        </w:rPr>
      </w:pPr>
      <w:r w:rsidRPr="00F75A5F">
        <w:rPr>
          <w:rFonts w:ascii="Arial" w:hAnsi="Arial" w:cs="Arial"/>
          <w:color w:val="333333"/>
        </w:rPr>
        <w:t xml:space="preserve">Gli enti, attivano autonomi livelli di contrattazione collettiva decentrata nel rispetto dei vincoli di bilancio risultanti dagli strumenti di programmazione annuale e pluriennale. La contrattazione collettiva decentrata, la quale coincide con la contrattazione di settore nel </w:t>
      </w:r>
      <w:r w:rsidRPr="00F75A5F">
        <w:rPr>
          <w:rFonts w:ascii="Arial" w:hAnsi="Arial" w:cs="Arial"/>
          <w:color w:val="333333"/>
        </w:rPr>
        <w:lastRenderedPageBreak/>
        <w:t>caso in cui il settore è composto da un solo ente, assicura, in particolare, adeguati livelli di efficienza e produttività dei servizi pubblici, incentivando l'impegno e la qualità della performance, attraverso l'attribuzione di trattamenti economici accessori, anche temporanei, legati al raggiungimento di risultati programmati ovvero allo svolgimento di attività che richiedono particolare impegno e responsabilità. La contrattazione collettiva decentrata e di settore si svolge sulle materie ed entro i limiti stabiliti dal contratto collettivo di comparto. Il contratto collettivo di comparto definisce, inoltre, il termine delle sessioni negoziali in sede decentrata o di settore. Alla scadenza del termine, le parti riassumono le rispettive prerogative e libertà di iniziativa e decisione</w:t>
      </w:r>
    </w:p>
    <w:p w:rsidR="00E65DD4" w:rsidRPr="00F75A5F" w:rsidRDefault="00E65DD4" w:rsidP="007A33DC">
      <w:pPr>
        <w:pStyle w:val="NormaleWeb"/>
        <w:shd w:val="clear" w:color="auto" w:fill="FFFFFF"/>
        <w:spacing w:before="0" w:beforeAutospacing="0" w:after="101" w:afterAutospacing="0"/>
        <w:rPr>
          <w:rFonts w:ascii="Arial" w:hAnsi="Arial" w:cs="Arial"/>
          <w:color w:val="333333"/>
          <w:u w:val="single"/>
        </w:rPr>
      </w:pPr>
      <w:r w:rsidRPr="00F75A5F">
        <w:rPr>
          <w:rFonts w:ascii="Arial" w:hAnsi="Arial" w:cs="Arial"/>
          <w:color w:val="333333"/>
          <w:u w:val="single"/>
        </w:rPr>
        <w:t>Gli enti non possono in ogni caso sottoscrivere in sede decentrata o di settore contratti collettivi in contrasto con i vincoli e con i limiti risultanti dal contratto collettivo di comparto</w:t>
      </w:r>
    </w:p>
    <w:p w:rsidR="00E65DD4" w:rsidRPr="00F75A5F" w:rsidRDefault="00E65DD4" w:rsidP="00E65DD4">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 xml:space="preserve">Il </w:t>
      </w:r>
      <w:r w:rsidRPr="00E65DD4">
        <w:rPr>
          <w:rFonts w:ascii="Arial" w:eastAsia="Times New Roman" w:hAnsi="Arial" w:cs="Arial"/>
          <w:color w:val="333333"/>
          <w:sz w:val="24"/>
          <w:szCs w:val="24"/>
          <w:lang w:eastAsia="it-IT"/>
        </w:rPr>
        <w:t>Comitato regionale per le politiche contrattuali, è istituito presso la Presidenza della Regione ed è composto, oltre che dal Presidente della Regione che lo presiede o da un assessore suo delegato, da cinque componenti, di cui due in rappresentanza dell'Amministrazione regionale designati dalla Giunta regionale, due in rappresentanza degli enti locali, designati dal Consiglio permanente degli enti locali, e uno designato congiuntamente dagli altri enti appartenenti al comparto unico regionale. Il Comitato regola autonomamente le proprie modalità di funzionamento.</w:t>
      </w:r>
      <w:r w:rsidRPr="00F75A5F">
        <w:rPr>
          <w:rFonts w:ascii="Arial" w:eastAsia="Times New Roman" w:hAnsi="Arial" w:cs="Arial"/>
          <w:color w:val="333333"/>
          <w:sz w:val="24"/>
          <w:szCs w:val="24"/>
          <w:lang w:eastAsia="it-IT"/>
        </w:rPr>
        <w:t xml:space="preserve"> Comitato emana g</w:t>
      </w:r>
      <w:r w:rsidRPr="00E65DD4">
        <w:rPr>
          <w:rFonts w:ascii="Arial" w:eastAsia="Times New Roman" w:hAnsi="Arial" w:cs="Arial"/>
          <w:color w:val="333333"/>
          <w:sz w:val="24"/>
          <w:szCs w:val="24"/>
          <w:lang w:eastAsia="it-IT"/>
        </w:rPr>
        <w:t xml:space="preserve">li atti di indirizzo nei confronti dell'ARRS per la contrattazione collettiva di comparto prima di ogni rinnovo contrattuale. L'ARRS, entro cinque giorni dalla conclusione delle trattative, trasmette al Comitato l'ipotesi di accordo, corredata della relazione tecnica e dei prospetti contenenti la quantificazione complessiva dei costi contrattuali diretti ed indiretti, con l'indicazione della relativa copertura finanziaria. </w:t>
      </w:r>
      <w:r w:rsidRPr="00E65DD4">
        <w:rPr>
          <w:rFonts w:ascii="Arial" w:eastAsia="Times New Roman" w:hAnsi="Arial" w:cs="Arial"/>
          <w:color w:val="333333"/>
          <w:sz w:val="24"/>
          <w:szCs w:val="24"/>
          <w:u w:val="single"/>
          <w:lang w:eastAsia="it-IT"/>
        </w:rPr>
        <w:t xml:space="preserve">Il Comitato, entro venti giorni </w:t>
      </w:r>
      <w:r w:rsidRPr="00E65DD4">
        <w:rPr>
          <w:rFonts w:ascii="Arial" w:eastAsia="Times New Roman" w:hAnsi="Arial" w:cs="Arial"/>
          <w:color w:val="333333"/>
          <w:sz w:val="24"/>
          <w:szCs w:val="24"/>
          <w:lang w:eastAsia="it-IT"/>
        </w:rPr>
        <w:t xml:space="preserve">dal ricevimento dell'ipotesi di accordo, </w:t>
      </w:r>
      <w:r w:rsidRPr="00E65DD4">
        <w:rPr>
          <w:rFonts w:ascii="Arial" w:eastAsia="Times New Roman" w:hAnsi="Arial" w:cs="Arial"/>
          <w:color w:val="333333"/>
          <w:sz w:val="24"/>
          <w:szCs w:val="24"/>
          <w:u w:val="single"/>
          <w:lang w:eastAsia="it-IT"/>
        </w:rPr>
        <w:t xml:space="preserve">esprime il proprio parere </w:t>
      </w:r>
      <w:r w:rsidRPr="00E65DD4">
        <w:rPr>
          <w:rFonts w:ascii="Arial" w:eastAsia="Times New Roman" w:hAnsi="Arial" w:cs="Arial"/>
          <w:color w:val="333333"/>
          <w:sz w:val="24"/>
          <w:szCs w:val="24"/>
          <w:lang w:eastAsia="it-IT"/>
        </w:rPr>
        <w:t xml:space="preserve">su di essa, nonché sugli oneri finanziari diretti e indiretti a carico dei bilanci degli enti, con il supporto degli organi di controllo. </w:t>
      </w:r>
      <w:r w:rsidRPr="00E65DD4">
        <w:rPr>
          <w:rFonts w:ascii="Arial" w:eastAsia="Times New Roman" w:hAnsi="Arial" w:cs="Arial"/>
          <w:color w:val="333333"/>
          <w:sz w:val="24"/>
          <w:szCs w:val="24"/>
          <w:u w:val="single"/>
          <w:lang w:eastAsia="it-IT"/>
        </w:rPr>
        <w:t>L'ipotesi di accordo è sottoposta nei dieci giorni successivi all'approvazione della Giunta regionale</w:t>
      </w:r>
      <w:r w:rsidRPr="00E65DD4">
        <w:rPr>
          <w:rFonts w:ascii="Arial" w:eastAsia="Times New Roman" w:hAnsi="Arial" w:cs="Arial"/>
          <w:color w:val="333333"/>
          <w:sz w:val="24"/>
          <w:szCs w:val="24"/>
          <w:lang w:eastAsia="it-IT"/>
        </w:rPr>
        <w:t>.</w:t>
      </w:r>
      <w:r w:rsidRPr="00F75A5F">
        <w:rPr>
          <w:rFonts w:ascii="Arial" w:eastAsia="Times New Roman" w:hAnsi="Arial" w:cs="Arial"/>
          <w:color w:val="333333"/>
          <w:sz w:val="24"/>
          <w:szCs w:val="24"/>
          <w:lang w:eastAsia="it-IT"/>
        </w:rPr>
        <w:t xml:space="preserve"> </w:t>
      </w:r>
      <w:r w:rsidRPr="00E65DD4">
        <w:rPr>
          <w:rFonts w:ascii="Arial" w:eastAsia="Times New Roman" w:hAnsi="Arial" w:cs="Arial"/>
          <w:color w:val="333333"/>
          <w:sz w:val="24"/>
          <w:szCs w:val="24"/>
          <w:lang w:eastAsia="it-IT"/>
        </w:rPr>
        <w:t xml:space="preserve"> Acquisita l'approvazione sull'ipotesi di accordo, il </w:t>
      </w:r>
      <w:r w:rsidRPr="00E65DD4">
        <w:rPr>
          <w:rFonts w:ascii="Arial" w:eastAsia="Times New Roman" w:hAnsi="Arial" w:cs="Arial"/>
          <w:color w:val="333333"/>
          <w:sz w:val="24"/>
          <w:szCs w:val="24"/>
          <w:u w:val="single"/>
          <w:lang w:eastAsia="it-IT"/>
        </w:rPr>
        <w:t>Presidente dell'ARRS, nei cinque giorni successivi, sottoscrive con le organizzazioni sindacali il contratto collettivo di comparto</w:t>
      </w:r>
      <w:r w:rsidRPr="00E65DD4">
        <w:rPr>
          <w:rFonts w:ascii="Arial" w:eastAsia="Times New Roman" w:hAnsi="Arial" w:cs="Arial"/>
          <w:color w:val="333333"/>
          <w:sz w:val="24"/>
          <w:szCs w:val="24"/>
          <w:lang w:eastAsia="it-IT"/>
        </w:rPr>
        <w:t>. Prima della sottoscrizione, l'ARRS verifica, sulla base della rappresentatività accertata per l'ammissione alle trattative ai sensi dell'articolo 54, che le organizzazioni sindacali che aderiscono all'ipotesi di accordo rappresentino nel loro complesso</w:t>
      </w:r>
      <w:r w:rsidRPr="00E65DD4">
        <w:rPr>
          <w:rFonts w:ascii="Arial" w:eastAsia="Times New Roman" w:hAnsi="Arial" w:cs="Arial"/>
          <w:color w:val="333333"/>
          <w:sz w:val="24"/>
          <w:szCs w:val="24"/>
          <w:u w:val="single"/>
          <w:lang w:eastAsia="it-IT"/>
        </w:rPr>
        <w:t xml:space="preserve"> almeno il 51 per cento come media ponderata tra il dato elettorale e quello associativo nel comparto o nell'area contrattuale di riferimento, </w:t>
      </w:r>
      <w:r w:rsidRPr="00E65DD4">
        <w:rPr>
          <w:rFonts w:ascii="Arial" w:eastAsia="Times New Roman" w:hAnsi="Arial" w:cs="Arial"/>
          <w:color w:val="333333"/>
          <w:sz w:val="24"/>
          <w:szCs w:val="24"/>
          <w:lang w:eastAsia="it-IT"/>
        </w:rPr>
        <w:t xml:space="preserve"> I contratti e gli accordi collettivi di comparto sono pubblicati nel Bollettino ufficiale della Regione, sul sito istituzionale dell'ARRS e degli enti interessat</w:t>
      </w:r>
      <w:r w:rsidR="004B1220" w:rsidRPr="00F75A5F">
        <w:rPr>
          <w:rFonts w:ascii="Arial" w:eastAsia="Times New Roman" w:hAnsi="Arial" w:cs="Arial"/>
          <w:color w:val="333333"/>
          <w:sz w:val="24"/>
          <w:szCs w:val="24"/>
          <w:lang w:eastAsia="it-IT"/>
        </w:rPr>
        <w:t>i</w:t>
      </w:r>
    </w:p>
    <w:p w:rsidR="004B1220" w:rsidRPr="004B1220" w:rsidRDefault="004B1220" w:rsidP="004B1220">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Nell'ambito del comparto unico di contrattazione si distinguono le seguenti autonome aree di contrattazione:</w:t>
      </w:r>
    </w:p>
    <w:p w:rsidR="004B1220" w:rsidRPr="004B1220" w:rsidRDefault="004B1220" w:rsidP="004B1220">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a) area delle categorie, a cui fa capo il contratto collettivo di comparto del personale appartenente alle categorie, comprensivo di una specifica sezione riguardante le peculiarità del personale del Corpo forestale della Valle d'Aosta e del Corpo valdostano dei vigili del fuoco;</w:t>
      </w:r>
    </w:p>
    <w:p w:rsidR="00E65DD4" w:rsidRPr="00F75A5F" w:rsidRDefault="004B1220" w:rsidP="004B1220">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b) area della dirigenza, a cui fa capo il contratto collettivo di comparto del personale appartenente alla qualifica unica dirigenziale</w:t>
      </w:r>
    </w:p>
    <w:p w:rsidR="004B1220" w:rsidRPr="004B1220" w:rsidRDefault="004B1220" w:rsidP="004B1220">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 xml:space="preserve">Il </w:t>
      </w:r>
      <w:r w:rsidRPr="004B1220">
        <w:rPr>
          <w:rFonts w:ascii="Arial" w:eastAsia="Times New Roman" w:hAnsi="Arial" w:cs="Arial"/>
          <w:b/>
          <w:color w:val="333333"/>
          <w:sz w:val="24"/>
          <w:szCs w:val="24"/>
          <w:lang w:eastAsia="it-IT"/>
        </w:rPr>
        <w:t>Comitato regionale per le relazioni sindacali (</w:t>
      </w:r>
      <w:r w:rsidRPr="004B1220">
        <w:rPr>
          <w:rFonts w:ascii="Arial" w:eastAsia="Times New Roman" w:hAnsi="Arial" w:cs="Arial"/>
          <w:color w:val="333333"/>
          <w:sz w:val="24"/>
          <w:szCs w:val="24"/>
          <w:lang w:eastAsia="it-IT"/>
        </w:rPr>
        <w:t xml:space="preserve">CRRS) è istituito presso la Presidenza della Regione e si avvale per il suo funzionamento della struttura regionale competente in materia di personale. Il CRRS </w:t>
      </w:r>
      <w:r w:rsidRPr="004B1220">
        <w:rPr>
          <w:rFonts w:ascii="Arial" w:eastAsia="Times New Roman" w:hAnsi="Arial" w:cs="Arial"/>
          <w:b/>
          <w:color w:val="333333"/>
          <w:sz w:val="24"/>
          <w:szCs w:val="24"/>
          <w:lang w:eastAsia="it-IT"/>
        </w:rPr>
        <w:t>ha la piena titolarità giuridica della contrattazione di primo livello</w:t>
      </w:r>
      <w:r w:rsidRPr="004B1220">
        <w:rPr>
          <w:rFonts w:ascii="Arial" w:eastAsia="Times New Roman" w:hAnsi="Arial" w:cs="Arial"/>
          <w:color w:val="333333"/>
          <w:sz w:val="24"/>
          <w:szCs w:val="24"/>
          <w:lang w:eastAsia="it-IT"/>
        </w:rPr>
        <w:t xml:space="preserve">. Il CRRS esercita a livello regionale, in rappresentanza degli enti ogni attività relativa alle relazioni sindacali, alla negoziazione dei contratti collettivi e all'assistenza dei medesimi enti, al fine dell'applicazione uniforme dei contratti e degli accordi collettivi. </w:t>
      </w:r>
      <w:r w:rsidRPr="004B1220">
        <w:rPr>
          <w:rFonts w:ascii="Arial" w:eastAsia="Times New Roman" w:hAnsi="Arial" w:cs="Arial"/>
          <w:color w:val="333333"/>
          <w:sz w:val="24"/>
          <w:szCs w:val="24"/>
          <w:u w:val="single"/>
          <w:lang w:eastAsia="it-IT"/>
        </w:rPr>
        <w:t xml:space="preserve">Il CRRS svolge le proprie attribuzioni in posizione di autonomia, risponde unicamente al </w:t>
      </w:r>
      <w:r w:rsidRPr="004B1220">
        <w:rPr>
          <w:rFonts w:ascii="Arial" w:eastAsia="Times New Roman" w:hAnsi="Arial" w:cs="Arial"/>
          <w:color w:val="333333"/>
          <w:sz w:val="24"/>
          <w:szCs w:val="24"/>
          <w:u w:val="single"/>
          <w:lang w:eastAsia="it-IT"/>
        </w:rPr>
        <w:lastRenderedPageBreak/>
        <w:t>Comitato regionale per le politiche contrattuali</w:t>
      </w:r>
      <w:r w:rsidRPr="004B1220">
        <w:rPr>
          <w:rFonts w:ascii="Arial" w:eastAsia="Times New Roman" w:hAnsi="Arial" w:cs="Arial"/>
          <w:color w:val="333333"/>
          <w:sz w:val="24"/>
          <w:szCs w:val="24"/>
          <w:lang w:eastAsia="it-IT"/>
        </w:rPr>
        <w:t xml:space="preserve"> e può chiedere tutte le informazioni necessarie all'espletamento della propria attività agli uffici competenti.</w:t>
      </w:r>
    </w:p>
    <w:p w:rsidR="004B1220" w:rsidRPr="004B1220" w:rsidRDefault="004B1220" w:rsidP="004B1220">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 xml:space="preserve"> Il CRRS cura le attività di studio, monitoraggio e documentazione necessarie all'esercizio della contrattazione collettiva. Entro il primo trimestre di ciascun anno, il CRRS presenta al Comitato regionale per le politiche contrattuali una relazione sull'attività svolta nell'anno precedente e sull'evoluzione delle retribuzioni reali dei dipendenti del comparto unico regionale, con l'indicazione di un quadro di confronto con i rapporti di lavoro nel settore privato. A tal fine, il CRRS si avvale della collaborazione della struttura regionale competente in materia di statistica per l'acquisizione delle informazioni statistiche e per la formulazione dei modelli statistici di rilevazione. Il CRRS si avvale, inoltre, della collaborazione degli enti di cui all'articolo 1, comma 1, che garantiscono l'accesso ai dati raccolti in sede di predisposizione del bilancio, del conto annuale del personale e del monitoraggio dei flussi di cassa e relativi agli aspetti riguardanti il costo del lavoro pubblico. Il CRRS effettua il monitoraggio sull'applicazione dei contratti e degli accordi collettivi di comparto e presenta annualmente al Presidente della Regione e al Presidente del Consiglio permanente degli enti locali un rapporto in cui verifica la corretta ripartizione fra le materie regolate dalla legge e quelle di competenza della contrattazione di comparto, di settore e decentrata, evidenziando le principali criticità emerse in sede di contrattazione collettiva di comparto, di settore e decentrata.</w:t>
      </w:r>
    </w:p>
    <w:p w:rsidR="00F75A5F" w:rsidRPr="00F75A5F" w:rsidRDefault="004B1220" w:rsidP="00F75A5F">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 xml:space="preserve">Il CRRS è costituito dal presidente, nominato con decreto del Presidente della Regione, e da quattro componenti. I restanti componenti sono designati, in ragione di due unità per ciascuno, dall'Amministrazione regionale e dal Consiglio permanente degli enti locali e sono nominati con deliberazione della Giunta regionale. Il presidente e i restanti componenti del CRRS restano in carica quattro anni e possono essere riconfermati. Il presidente nomina, tra gli </w:t>
      </w:r>
    </w:p>
    <w:p w:rsidR="004B1220" w:rsidRPr="004B1220" w:rsidRDefault="004B1220" w:rsidP="004B1220">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Non possono far parte del CRRS né ricoprire le funzioni di presidente persone che rivestano incarichi pubblici elettivi o cariche in partiti politici o in organizzazioni sindacali o che abbiano rivestito tali incarichi o cariche nei tre anni precedenti alla nomina o alla designazione. L'incompatibilità si intende estesa a qualsiasi rapporto di carattere professionale o di consulenza con le predette organizzazioni sindacali o politiche.</w:t>
      </w:r>
    </w:p>
    <w:p w:rsidR="00F75A5F" w:rsidRPr="00F75A5F" w:rsidRDefault="004B1220" w:rsidP="00F75A5F">
      <w:pPr>
        <w:spacing w:after="101" w:line="240" w:lineRule="auto"/>
        <w:rPr>
          <w:rFonts w:ascii="Arial" w:eastAsia="Times New Roman" w:hAnsi="Arial" w:cs="Arial"/>
          <w:color w:val="333333"/>
          <w:sz w:val="24"/>
          <w:szCs w:val="24"/>
          <w:lang w:eastAsia="it-IT"/>
        </w:rPr>
      </w:pPr>
      <w:r w:rsidRPr="004B1220">
        <w:rPr>
          <w:rFonts w:ascii="Arial" w:eastAsia="Times New Roman" w:hAnsi="Arial" w:cs="Arial"/>
          <w:color w:val="333333"/>
          <w:sz w:val="24"/>
          <w:szCs w:val="24"/>
          <w:lang w:eastAsia="it-IT"/>
        </w:rPr>
        <w:t xml:space="preserve"> Le organizzazioni sindacali rappresentative ai sensi del presente articolo hanno diritto a partecipare alla contrattazione collettiva di comparto o di settore.. Sono rappresentative le organizzazioni sindacali che nel comparto o nell'area contrattuale separata della dirigenza abbiano una rappresentatività non inferiore al 5 per cento, considerando a tal fine la media ponderata tra il dato associativo e il dato elettorale, in proporzione rispettivamente del 75 e del 25 per cento. Il dato associativo è espresso dalle adesioni, desunte dalle deleghe per il versamento dei contributi sindacali, rispetto al totale degli iscritti dell'ambito considerato. Il dato elettorale è espresso dai voti ottenuti nelle elezioni delle rappresentanze sindacali interne, rispetto al numero dei voti espressi nell'ambito considerato.</w:t>
      </w:r>
    </w:p>
    <w:p w:rsidR="0004729B" w:rsidRPr="00F75A5F" w:rsidRDefault="00F75A5F" w:rsidP="00F75A5F">
      <w:pPr>
        <w:spacing w:after="101" w:line="240" w:lineRule="auto"/>
        <w:rPr>
          <w:rFonts w:ascii="Arial" w:hAnsi="Arial" w:cs="Arial"/>
          <w:color w:val="333333"/>
          <w:sz w:val="24"/>
          <w:szCs w:val="24"/>
          <w:u w:val="single"/>
        </w:rPr>
      </w:pPr>
      <w:r w:rsidRPr="00F75A5F">
        <w:rPr>
          <w:rFonts w:ascii="Arial" w:hAnsi="Arial" w:cs="Arial"/>
          <w:color w:val="333333"/>
          <w:sz w:val="24"/>
          <w:szCs w:val="24"/>
          <w:u w:val="single"/>
        </w:rPr>
        <w:t xml:space="preserve"> RAPPORTO </w:t>
      </w:r>
      <w:proofErr w:type="spellStart"/>
      <w:r w:rsidRPr="00F75A5F">
        <w:rPr>
          <w:rFonts w:ascii="Arial" w:hAnsi="Arial" w:cs="Arial"/>
          <w:color w:val="333333"/>
          <w:sz w:val="24"/>
          <w:szCs w:val="24"/>
          <w:u w:val="single"/>
        </w:rPr>
        <w:t>DI</w:t>
      </w:r>
      <w:proofErr w:type="spellEnd"/>
      <w:r w:rsidRPr="00F75A5F">
        <w:rPr>
          <w:rFonts w:ascii="Arial" w:hAnsi="Arial" w:cs="Arial"/>
          <w:color w:val="333333"/>
          <w:sz w:val="24"/>
          <w:szCs w:val="24"/>
          <w:u w:val="single"/>
        </w:rPr>
        <w:t xml:space="preserve"> LAVORO</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MANSIONI Il dipendente deve essere adibito alle mansioni per le quali è stato assunto o alle mansioni equivalenti nell'ambito della categoria e posizione di inquadramento.. Il dipendente può essere adibito a svolgere compiti specifici non prevalenti della categoria o della posizione superiore ovvero, occasionalmente e ove possibile con criteri di rotazione, a compiti e mansioni immediatamente inferiori, se richiesto dal dirigente della struttura organizzativa cui è assegnato, senza che ciò comporti alcuna variazione agli effetti giuridici ed economici. L'esercizio di fatto di mansioni non corrispondenti alla categoria o alla posizione di appartenenza non ha effetto ai fini dell'inquadramento del lavoratore</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lastRenderedPageBreak/>
        <w:t>Per oggettive esigenze di servizio possono essere conferite ai dipendenti mansioni superiori:</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a) nel caso di vacanza di un posto della dotazione organica, per un periodo non superiore a sei mesi dal verificarsi della vacanza, prorogabili di ulteriori sei mesi;</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b) nel caso di sostituzione di altro dipendente con diritto alla conservazione del posto per tutto il periodo di durata dell'assenza, escluso il periodo di ferie.</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 xml:space="preserve"> L'attribuzione temporanea di mansioni superiori può essere disposta,  qualora non sia possibile attribuire le mansioni ad altro personale di pari categoria o posizione, al personale prescelto, di norma, nell'ambito della stessa struttura organizzativa, in possesso:</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a) di idoneità già conseguita in concorsi o selezioni precedenti relativi al profilo professionale per cui è disposta l'attribuzione temporanea di mansioni superiori;</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b) in via subordinata, dei requisiti richiesti per l'accesso al posto per cui è disposta l'attribuzione temporanea di mansioni superiori.</w:t>
      </w:r>
    </w:p>
    <w:p w:rsidR="00F75A5F" w:rsidRPr="00F75A5F" w:rsidRDefault="00F75A5F" w:rsidP="00F75A5F">
      <w:pPr>
        <w:spacing w:after="101" w:line="240" w:lineRule="auto"/>
        <w:rPr>
          <w:rFonts w:ascii="Arial" w:eastAsia="Times New Roman" w:hAnsi="Arial" w:cs="Arial"/>
          <w:color w:val="333333"/>
          <w:sz w:val="24"/>
          <w:szCs w:val="24"/>
          <w:lang w:eastAsia="it-IT"/>
        </w:rPr>
      </w:pPr>
      <w:r w:rsidRPr="00F75A5F">
        <w:rPr>
          <w:rFonts w:ascii="Arial" w:eastAsia="Times New Roman" w:hAnsi="Arial" w:cs="Arial"/>
          <w:color w:val="333333"/>
          <w:sz w:val="24"/>
          <w:szCs w:val="24"/>
          <w:lang w:eastAsia="it-IT"/>
        </w:rPr>
        <w:t>Le mansioni superiori possono essere attribuite a condizione che siano avviate le procedure per la copertura del posto vacante e fino all'espletamento delle stesse. Il dipendente ha diritto, per il periodo di effettivo espletamento delle mansioni superiori, a percepire il trattamento economico di base ed accessorio previsto per il posto per il quale sono conferite le mansioni.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b/>
          <w:color w:val="000000"/>
          <w:sz w:val="24"/>
          <w:szCs w:val="24"/>
          <w:lang w:eastAsia="it-IT"/>
        </w:rPr>
        <w:t>Attività extraimpiego</w:t>
      </w:r>
      <w:r w:rsidRPr="00F75A5F">
        <w:rPr>
          <w:rFonts w:ascii="Arial" w:eastAsia="Times New Roman" w:hAnsi="Arial" w:cs="Arial"/>
          <w:color w:val="000000"/>
          <w:sz w:val="24"/>
          <w:szCs w:val="24"/>
          <w:lang w:eastAsia="it-IT"/>
        </w:rPr>
        <w:sym w:font="Wingdings" w:char="F0E0"/>
      </w:r>
      <w:r w:rsidRPr="00F75A5F">
        <w:rPr>
          <w:rFonts w:ascii="Arial" w:eastAsia="Times New Roman" w:hAnsi="Arial" w:cs="Arial"/>
          <w:color w:val="000000"/>
          <w:sz w:val="24"/>
          <w:szCs w:val="24"/>
          <w:lang w:eastAsia="it-IT"/>
        </w:rPr>
        <w:t>. Il dipendente può svolgere, senza necessità di preventiva autorizzazione, le seguenti attività extraimpiego:</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a) collaborazioni a giornali, riviste, enciclopedie e simili;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b) utilizzazione economica come autore o inventore di opere dell'ingegno o di invenzioni industriali;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c) partecipazione a convegni e seminari e tenuta di singole lezioni presso università o istituzioni scolastiche;</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d) attività di formazione diretta ai dipendenti delle pubbliche amministrazioni;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proofErr w:type="spellStart"/>
      <w:r w:rsidRPr="00F75A5F">
        <w:rPr>
          <w:rFonts w:ascii="Arial" w:eastAsia="Times New Roman" w:hAnsi="Arial" w:cs="Arial"/>
          <w:color w:val="000000"/>
          <w:sz w:val="24"/>
          <w:szCs w:val="24"/>
          <w:lang w:eastAsia="it-IT"/>
        </w:rPr>
        <w:t>dbis</w:t>
      </w:r>
      <w:proofErr w:type="spellEnd"/>
      <w:r w:rsidRPr="00F75A5F">
        <w:rPr>
          <w:rFonts w:ascii="Arial" w:eastAsia="Times New Roman" w:hAnsi="Arial" w:cs="Arial"/>
          <w:color w:val="000000"/>
          <w:sz w:val="24"/>
          <w:szCs w:val="24"/>
          <w:lang w:eastAsia="it-IT"/>
        </w:rPr>
        <w:t xml:space="preserve">) attività di volontariato per le quali sia previsto il solo rimborso delle spese documentate per l'attività prestata.  </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a) gli incarichi per lo svolgimento dei quali è previsto il collocamento in aspettativa o comando;</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b) gli incarichi conferiti dalle organizzazioni sindacali a dipendenti presso le stesse distaccati o collocati in aspettativa senza assegni.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Il dipendente può assumere la qualità di socio in società di persone o di capitali a condizione che non vi presti attività lavorativa o non assuma cariche negli organi delle stesse, ancorché a titolo gratuito. Il dipendente per avviare attività professionali o imprenditoriali può essere collocato in aspettativa, senza assegni e senza decorrenza dell'anzianità di servizio, per un periodo non superiore a dodici mesi, tenuto conto delle esigenze organizzative dell'ente di appartenenza e previo esame della documentazione presentata dall'interessato. </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u w:val="single"/>
          <w:lang w:eastAsia="it-IT"/>
        </w:rPr>
        <w:lastRenderedPageBreak/>
        <w:t>Previa autorizzazione</w:t>
      </w:r>
      <w:r w:rsidRPr="00F75A5F">
        <w:rPr>
          <w:rFonts w:ascii="Arial" w:eastAsia="Times New Roman" w:hAnsi="Arial" w:cs="Arial"/>
          <w:color w:val="000000"/>
          <w:sz w:val="24"/>
          <w:szCs w:val="24"/>
          <w:lang w:eastAsia="it-IT"/>
        </w:rPr>
        <w:t xml:space="preserve"> dell'ente di appartenenza:</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 xml:space="preserve">a) incarichi esterni, per i quali sia o meno previsto un compenso sotto qualsiasi forma, conferiti da altri enti pubblici o da soggetti privati che non siano in conflitto, anche potenziale, con l'attività di lavoro svolta dal dipendente stesso; </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 xml:space="preserve">b) cariche in società sportive dilettantistiche, organizzazioni di volontariato, organizzazioni non lucrative di utilità sociale, società cooperative, associazioni e fondazioni, per le quali sia o meno previsto un compenso sotto qualsiasi forma, che non siano in conflitto, anche potenziale, con l'attività di lavoro svolta dal dipendente stesso; </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c) cariche in qualità di presidente o di componente degli organi di amministrazione di enti, aziende ed agenzie dipendenti dalla Regione o dagli altri enti di cui all'articolo 1, comma 1, o di società dagli stessi partecipate, anche indirettamente; in tali casi, il dipendente, a domanda, può essere collocato in aspettativa senza assegni per l'intera durata della carica.</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 xml:space="preserve">Il dipendente può inoltre essere autorizzato ad effettuare prestazioni di lavoro occasionale a favore di enti pubblici o di soggetti privati.  </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 xml:space="preserve">Gli incarichi extraimpiego autorizzati ai sensi del presente articolo non possono comportare complessivamente un compenso annuale superiore al 35 per cento del trattamento economico complessivo in godimento nella categoria e posizione di appartenenza. Il tempo dedicato agli impieghi autorizzati non può eccedere le cinquanta giornate </w:t>
      </w:r>
      <w:proofErr w:type="spellStart"/>
      <w:r w:rsidRPr="00F75A5F">
        <w:rPr>
          <w:rFonts w:ascii="Arial" w:eastAsia="Times New Roman" w:hAnsi="Arial" w:cs="Arial"/>
          <w:color w:val="000000"/>
          <w:sz w:val="24"/>
          <w:szCs w:val="24"/>
          <w:lang w:eastAsia="it-IT"/>
        </w:rPr>
        <w:t>calendariali</w:t>
      </w:r>
      <w:proofErr w:type="spellEnd"/>
      <w:r w:rsidRPr="00F75A5F">
        <w:rPr>
          <w:rFonts w:ascii="Arial" w:eastAsia="Times New Roman" w:hAnsi="Arial" w:cs="Arial"/>
          <w:color w:val="000000"/>
          <w:sz w:val="24"/>
          <w:szCs w:val="24"/>
          <w:lang w:eastAsia="it-IT"/>
        </w:rPr>
        <w:t xml:space="preserve">.  </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La conciliabilità dell'attività extraimpiego è effettuata dal dirigente responsabile della struttura presso la quale il dipendente interessato presta servizio</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I dipendenti il cui rapporto di impiego a tempo parziale presso l'ente di appartenenza non sia superiore al 50 per cento della prestazione lavorativa a tempo pieno possono essere autorizzati, con le modalità di cui al presente articolo e nel rispetto di quanto stabilito dai provvedimenti di organizzazione, ad assumere cariche in società di persone o di capitali o impieghi presso soggetti privati o a svolgere attività di lavoro autonomo o libero-professionale con iscrizione al relativo albo, ove prevista, a favore di altri enti pubblici o di soggetti privati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 xml:space="preserve">Negli altri casi il dipendente non può esercitare alcun commercio, industria o professione o assumere impieghi alle dipendenze di enti pubblici o soggetti privati. </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b/>
          <w:color w:val="000000"/>
          <w:sz w:val="24"/>
          <w:szCs w:val="24"/>
          <w:lang w:eastAsia="it-IT"/>
        </w:rPr>
        <w:t>Responsabilità disciplinare</w:t>
      </w:r>
      <w:r w:rsidRPr="00F75A5F">
        <w:rPr>
          <w:rFonts w:ascii="Arial" w:eastAsia="Times New Roman" w:hAnsi="Arial" w:cs="Arial"/>
          <w:b/>
          <w:color w:val="000000"/>
          <w:sz w:val="24"/>
          <w:szCs w:val="24"/>
          <w:lang w:eastAsia="it-IT"/>
        </w:rPr>
        <w:sym w:font="Wingdings" w:char="F0E0"/>
      </w:r>
      <w:r w:rsidRPr="00F75A5F">
        <w:rPr>
          <w:rFonts w:ascii="Arial" w:eastAsia="Times New Roman" w:hAnsi="Arial" w:cs="Arial"/>
          <w:b/>
          <w:color w:val="000000"/>
          <w:sz w:val="24"/>
          <w:szCs w:val="24"/>
          <w:lang w:eastAsia="it-IT"/>
        </w:rPr>
        <w:t xml:space="preserve"> Ai dipendenti degli enti di cui all'articolo 1, comma 1, si applicano le disposizioni in materia di responsabilità, infrazioni e sanzioni disciplinari di cui agli articoli da 55 a 55sexies del d.lgs. 165/2001, le quali, ai sensi dell'articolo 55, comma 1, del medesimo decreto legislativo, costituiscono norme non derogabili dai contratti o dagli accordi collettivi regionali di lavoro</w:t>
      </w:r>
      <w:r w:rsidRPr="00F75A5F">
        <w:rPr>
          <w:rFonts w:ascii="Arial" w:eastAsia="Times New Roman" w:hAnsi="Arial" w:cs="Arial"/>
          <w:color w:val="000000"/>
          <w:sz w:val="24"/>
          <w:szCs w:val="24"/>
          <w:lang w:eastAsia="it-IT"/>
        </w:rPr>
        <w:t>.</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b/>
          <w:color w:val="000000"/>
          <w:sz w:val="24"/>
          <w:szCs w:val="24"/>
          <w:lang w:eastAsia="it-IT"/>
        </w:rPr>
        <w:t>Telelavoro</w:t>
      </w:r>
      <w:r w:rsidRPr="00F75A5F">
        <w:rPr>
          <w:rFonts w:ascii="Arial" w:eastAsia="Times New Roman" w:hAnsi="Arial" w:cs="Arial"/>
          <w:color w:val="000000"/>
          <w:sz w:val="24"/>
          <w:szCs w:val="24"/>
          <w:lang w:eastAsia="it-IT"/>
        </w:rPr>
        <w:sym w:font="Wingdings" w:char="F0E0"/>
      </w:r>
      <w:r w:rsidRPr="00F75A5F">
        <w:rPr>
          <w:rFonts w:ascii="Arial" w:eastAsia="Times New Roman" w:hAnsi="Arial" w:cs="Arial"/>
          <w:color w:val="000000"/>
          <w:sz w:val="24"/>
          <w:szCs w:val="24"/>
          <w:lang w:eastAsia="it-IT"/>
        </w:rPr>
        <w:t xml:space="preserve">. Con la promozione del telelavoro perseguono gli obiettivi di razionalizzazione dell'organizzazione del lavoro e realizzazione di economie di gestione attraverso l'impiego flessibile delle risorse umane, conciliazione del lavoro con la famiglia e la vita privata, lotta allo spopolamento delle località decentrate, decongestionamento dei poli urbani, riduzione dei costi, pubblici e privati, di trasporto. Esiste un  Comitato </w:t>
      </w:r>
      <w:r w:rsidRPr="00F75A5F">
        <w:rPr>
          <w:rFonts w:ascii="Arial" w:eastAsia="Times New Roman" w:hAnsi="Arial" w:cs="Arial"/>
          <w:color w:val="000000"/>
          <w:sz w:val="24"/>
          <w:szCs w:val="24"/>
          <w:lang w:eastAsia="it-IT"/>
        </w:rPr>
        <w:lastRenderedPageBreak/>
        <w:t>paritetico, denominato Comitato per il telelavoro.  Per telelavoro si intende la prestazione di lavoro effettuata dal dipendente in un luogo ritenuto idoneo dal datore di lavoro, collocato al di fuori della sede di servizio, in cui la prestazione sia tecnicamente possibile utilizzando le tecnologie informatiche che consentono il collegamento del dipendente stesso con l'ente di appartenenza e sotto la direzione del dirigente responsabile.. Il telelavoro può svolgersi con le seguenti modalità:</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a) domiciliare, se svolto nell'abitazione del dipendente stesso;</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 xml:space="preserve">b) </w:t>
      </w:r>
      <w:proofErr w:type="spellStart"/>
      <w:r w:rsidRPr="00F75A5F">
        <w:rPr>
          <w:rFonts w:ascii="Arial" w:eastAsia="Times New Roman" w:hAnsi="Arial" w:cs="Arial"/>
          <w:color w:val="000000"/>
          <w:sz w:val="24"/>
          <w:szCs w:val="24"/>
          <w:lang w:eastAsia="it-IT"/>
        </w:rPr>
        <w:t>telecentrale</w:t>
      </w:r>
      <w:proofErr w:type="spellEnd"/>
      <w:r w:rsidRPr="00F75A5F">
        <w:rPr>
          <w:rFonts w:ascii="Arial" w:eastAsia="Times New Roman" w:hAnsi="Arial" w:cs="Arial"/>
          <w:color w:val="000000"/>
          <w:sz w:val="24"/>
          <w:szCs w:val="24"/>
          <w:lang w:eastAsia="it-IT"/>
        </w:rPr>
        <w:t>, se svolto in una sede periferica gestita con altre istituzioni;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 xml:space="preserve">Il contratto collettivo regionale di lavoro adegua la disciplina economica e normativa del rapporto di lavoro alle specifiche modalità di svolgimento del telelavoro, garantendo in ogni caso ai lavoratori un trattamento equivalente a quello dei dipendenti impiegati nella sede di lavoro, con particolare riguardo alla tutela della sicurezza e della salute sui luoghi di lavoro e al rimborso delle eventuali spese sostenute dal dipendente nel caso di telelavoro </w:t>
      </w:r>
      <w:proofErr w:type="spellStart"/>
      <w:r w:rsidRPr="00F75A5F">
        <w:rPr>
          <w:rFonts w:ascii="Arial" w:eastAsia="Times New Roman" w:hAnsi="Arial" w:cs="Arial"/>
          <w:color w:val="000000"/>
          <w:sz w:val="24"/>
          <w:szCs w:val="24"/>
          <w:lang w:eastAsia="it-IT"/>
        </w:rPr>
        <w:t>domiciliare.La</w:t>
      </w:r>
      <w:proofErr w:type="spellEnd"/>
      <w:r w:rsidRPr="00F75A5F">
        <w:rPr>
          <w:rFonts w:ascii="Arial" w:eastAsia="Times New Roman" w:hAnsi="Arial" w:cs="Arial"/>
          <w:color w:val="000000"/>
          <w:sz w:val="24"/>
          <w:szCs w:val="24"/>
          <w:lang w:eastAsia="it-IT"/>
        </w:rPr>
        <w:t xml:space="preserve"> contrattazione deve tener conto delle seguenti situazioni: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a) disabilità psico-fisiche tali da rendere disagevole il raggiungimento del luogo di lavoro;</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b) esigenze legate alla conciliazione del lavoro con la famiglia e la vita privata e alla cura e all'assistenza di familiari o conviventi;</w:t>
      </w:r>
    </w:p>
    <w:p w:rsidR="00F75A5F" w:rsidRPr="00F75A5F" w:rsidRDefault="00F75A5F" w:rsidP="00F75A5F">
      <w:pPr>
        <w:spacing w:after="100" w:afterAutospacing="1" w:line="240" w:lineRule="auto"/>
        <w:jc w:val="both"/>
        <w:rPr>
          <w:rFonts w:ascii="Arial" w:eastAsia="Times New Roman" w:hAnsi="Arial" w:cs="Arial"/>
          <w:color w:val="000000"/>
          <w:sz w:val="24"/>
          <w:szCs w:val="24"/>
          <w:lang w:eastAsia="it-IT"/>
        </w:rPr>
      </w:pPr>
      <w:r w:rsidRPr="00F75A5F">
        <w:rPr>
          <w:rFonts w:ascii="Arial" w:eastAsia="Times New Roman" w:hAnsi="Arial" w:cs="Arial"/>
          <w:color w:val="000000"/>
          <w:sz w:val="24"/>
          <w:szCs w:val="24"/>
          <w:lang w:eastAsia="it-IT"/>
        </w:rPr>
        <w:t>c) maggiore tempo di percorrenza dall'abitazione del dipendente alla sede di lavoro.</w:t>
      </w:r>
    </w:p>
    <w:p w:rsidR="00F75A5F" w:rsidRPr="00F75A5F" w:rsidRDefault="00F75A5F" w:rsidP="00F75A5F">
      <w:pPr>
        <w:spacing w:after="101" w:line="240" w:lineRule="auto"/>
        <w:rPr>
          <w:rFonts w:ascii="Arial" w:eastAsia="Times New Roman" w:hAnsi="Arial" w:cs="Arial"/>
          <w:color w:val="333333"/>
          <w:sz w:val="24"/>
          <w:szCs w:val="24"/>
          <w:lang w:eastAsia="it-IT"/>
        </w:rPr>
      </w:pPr>
    </w:p>
    <w:p w:rsidR="00F75A5F" w:rsidRPr="00F75A5F" w:rsidRDefault="00F75A5F" w:rsidP="00F75A5F">
      <w:pPr>
        <w:spacing w:after="101" w:line="240" w:lineRule="auto"/>
        <w:rPr>
          <w:rFonts w:ascii="Arial" w:eastAsia="Times New Roman" w:hAnsi="Arial" w:cs="Arial"/>
          <w:color w:val="333333"/>
          <w:sz w:val="24"/>
          <w:szCs w:val="24"/>
          <w:lang w:eastAsia="it-IT"/>
        </w:rPr>
      </w:pPr>
    </w:p>
    <w:p w:rsidR="00F75A5F" w:rsidRPr="00F75A5F" w:rsidRDefault="00F75A5F" w:rsidP="00F75A5F">
      <w:pPr>
        <w:spacing w:after="101" w:line="240" w:lineRule="auto"/>
        <w:rPr>
          <w:rFonts w:ascii="Arial" w:hAnsi="Arial" w:cs="Arial"/>
          <w:color w:val="333333"/>
          <w:sz w:val="24"/>
          <w:szCs w:val="24"/>
        </w:rPr>
      </w:pPr>
    </w:p>
    <w:p w:rsidR="007A33DC" w:rsidRPr="00F75A5F" w:rsidRDefault="007A33DC" w:rsidP="0089569A">
      <w:pPr>
        <w:pStyle w:val="NormaleWeb"/>
        <w:shd w:val="clear" w:color="auto" w:fill="FFFFFF"/>
        <w:spacing w:before="0" w:beforeAutospacing="0" w:after="101" w:afterAutospacing="0"/>
        <w:rPr>
          <w:rFonts w:ascii="Arial" w:hAnsi="Arial" w:cs="Arial"/>
          <w:color w:val="333333"/>
        </w:rPr>
      </w:pPr>
    </w:p>
    <w:p w:rsidR="0024731A" w:rsidRPr="00F75A5F" w:rsidRDefault="0024731A">
      <w:pPr>
        <w:rPr>
          <w:rFonts w:ascii="Arial" w:hAnsi="Arial" w:cs="Arial"/>
          <w:sz w:val="24"/>
          <w:szCs w:val="24"/>
        </w:rPr>
      </w:pPr>
    </w:p>
    <w:sectPr w:rsidR="0024731A" w:rsidRPr="00F75A5F" w:rsidSect="0024731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89569A"/>
    <w:rsid w:val="0004729B"/>
    <w:rsid w:val="00062772"/>
    <w:rsid w:val="00150AC0"/>
    <w:rsid w:val="00163A0A"/>
    <w:rsid w:val="001B5AA2"/>
    <w:rsid w:val="0024731A"/>
    <w:rsid w:val="00263B2C"/>
    <w:rsid w:val="0026762F"/>
    <w:rsid w:val="002F6FC2"/>
    <w:rsid w:val="004B1220"/>
    <w:rsid w:val="004B6749"/>
    <w:rsid w:val="007A33DC"/>
    <w:rsid w:val="007F0FCE"/>
    <w:rsid w:val="0089569A"/>
    <w:rsid w:val="00AF58D8"/>
    <w:rsid w:val="00CC3239"/>
    <w:rsid w:val="00E378FF"/>
    <w:rsid w:val="00E646F6"/>
    <w:rsid w:val="00E65DD4"/>
    <w:rsid w:val="00EA7B57"/>
    <w:rsid w:val="00F75A5F"/>
    <w:rsid w:val="00FD1867"/>
    <w:rsid w:val="00FE1835"/>
    <w:rsid w:val="00FF3C6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731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89569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89569A"/>
    <w:rPr>
      <w:color w:val="0000FF"/>
      <w:u w:val="single"/>
    </w:rPr>
  </w:style>
  <w:style w:type="character" w:styleId="Enfasigrassetto">
    <w:name w:val="Strong"/>
    <w:basedOn w:val="Carpredefinitoparagrafo"/>
    <w:uiPriority w:val="22"/>
    <w:qFormat/>
    <w:rsid w:val="00E378FF"/>
    <w:rPr>
      <w:b/>
      <w:bCs/>
    </w:rPr>
  </w:style>
</w:styles>
</file>

<file path=word/webSettings.xml><?xml version="1.0" encoding="utf-8"?>
<w:webSettings xmlns:r="http://schemas.openxmlformats.org/officeDocument/2006/relationships" xmlns:w="http://schemas.openxmlformats.org/wordprocessingml/2006/main">
  <w:divs>
    <w:div w:id="39524058">
      <w:bodyDiv w:val="1"/>
      <w:marLeft w:val="0"/>
      <w:marRight w:val="0"/>
      <w:marTop w:val="0"/>
      <w:marBottom w:val="0"/>
      <w:divBdr>
        <w:top w:val="none" w:sz="0" w:space="0" w:color="auto"/>
        <w:left w:val="none" w:sz="0" w:space="0" w:color="auto"/>
        <w:bottom w:val="none" w:sz="0" w:space="0" w:color="auto"/>
        <w:right w:val="none" w:sz="0" w:space="0" w:color="auto"/>
      </w:divBdr>
    </w:div>
    <w:div w:id="177471697">
      <w:bodyDiv w:val="1"/>
      <w:marLeft w:val="0"/>
      <w:marRight w:val="0"/>
      <w:marTop w:val="0"/>
      <w:marBottom w:val="0"/>
      <w:divBdr>
        <w:top w:val="none" w:sz="0" w:space="0" w:color="auto"/>
        <w:left w:val="none" w:sz="0" w:space="0" w:color="auto"/>
        <w:bottom w:val="none" w:sz="0" w:space="0" w:color="auto"/>
        <w:right w:val="none" w:sz="0" w:space="0" w:color="auto"/>
      </w:divBdr>
      <w:divsChild>
        <w:div w:id="119811015">
          <w:marLeft w:val="0"/>
          <w:marRight w:val="0"/>
          <w:marTop w:val="0"/>
          <w:marBottom w:val="0"/>
          <w:divBdr>
            <w:top w:val="none" w:sz="0" w:space="0" w:color="auto"/>
            <w:left w:val="none" w:sz="0" w:space="0" w:color="auto"/>
            <w:bottom w:val="none" w:sz="0" w:space="0" w:color="auto"/>
            <w:right w:val="none" w:sz="0" w:space="0" w:color="auto"/>
          </w:divBdr>
          <w:divsChild>
            <w:div w:id="1373916836">
              <w:marLeft w:val="-151"/>
              <w:marRight w:val="-151"/>
              <w:marTop w:val="0"/>
              <w:marBottom w:val="0"/>
              <w:divBdr>
                <w:top w:val="none" w:sz="0" w:space="0" w:color="auto"/>
                <w:left w:val="none" w:sz="0" w:space="0" w:color="auto"/>
                <w:bottom w:val="none" w:sz="0" w:space="0" w:color="auto"/>
                <w:right w:val="none" w:sz="0" w:space="0" w:color="auto"/>
              </w:divBdr>
            </w:div>
          </w:divsChild>
        </w:div>
      </w:divsChild>
    </w:div>
    <w:div w:id="195890346">
      <w:bodyDiv w:val="1"/>
      <w:marLeft w:val="0"/>
      <w:marRight w:val="0"/>
      <w:marTop w:val="0"/>
      <w:marBottom w:val="0"/>
      <w:divBdr>
        <w:top w:val="none" w:sz="0" w:space="0" w:color="auto"/>
        <w:left w:val="none" w:sz="0" w:space="0" w:color="auto"/>
        <w:bottom w:val="none" w:sz="0" w:space="0" w:color="auto"/>
        <w:right w:val="none" w:sz="0" w:space="0" w:color="auto"/>
      </w:divBdr>
    </w:div>
    <w:div w:id="256719867">
      <w:bodyDiv w:val="1"/>
      <w:marLeft w:val="0"/>
      <w:marRight w:val="0"/>
      <w:marTop w:val="0"/>
      <w:marBottom w:val="0"/>
      <w:divBdr>
        <w:top w:val="none" w:sz="0" w:space="0" w:color="auto"/>
        <w:left w:val="none" w:sz="0" w:space="0" w:color="auto"/>
        <w:bottom w:val="none" w:sz="0" w:space="0" w:color="auto"/>
        <w:right w:val="none" w:sz="0" w:space="0" w:color="auto"/>
      </w:divBdr>
    </w:div>
    <w:div w:id="349839799">
      <w:bodyDiv w:val="1"/>
      <w:marLeft w:val="0"/>
      <w:marRight w:val="0"/>
      <w:marTop w:val="0"/>
      <w:marBottom w:val="0"/>
      <w:divBdr>
        <w:top w:val="none" w:sz="0" w:space="0" w:color="auto"/>
        <w:left w:val="none" w:sz="0" w:space="0" w:color="auto"/>
        <w:bottom w:val="none" w:sz="0" w:space="0" w:color="auto"/>
        <w:right w:val="none" w:sz="0" w:space="0" w:color="auto"/>
      </w:divBdr>
    </w:div>
    <w:div w:id="364331431">
      <w:bodyDiv w:val="1"/>
      <w:marLeft w:val="0"/>
      <w:marRight w:val="0"/>
      <w:marTop w:val="0"/>
      <w:marBottom w:val="0"/>
      <w:divBdr>
        <w:top w:val="none" w:sz="0" w:space="0" w:color="auto"/>
        <w:left w:val="none" w:sz="0" w:space="0" w:color="auto"/>
        <w:bottom w:val="none" w:sz="0" w:space="0" w:color="auto"/>
        <w:right w:val="none" w:sz="0" w:space="0" w:color="auto"/>
      </w:divBdr>
    </w:div>
    <w:div w:id="641230512">
      <w:bodyDiv w:val="1"/>
      <w:marLeft w:val="0"/>
      <w:marRight w:val="0"/>
      <w:marTop w:val="0"/>
      <w:marBottom w:val="0"/>
      <w:divBdr>
        <w:top w:val="none" w:sz="0" w:space="0" w:color="auto"/>
        <w:left w:val="none" w:sz="0" w:space="0" w:color="auto"/>
        <w:bottom w:val="none" w:sz="0" w:space="0" w:color="auto"/>
        <w:right w:val="none" w:sz="0" w:space="0" w:color="auto"/>
      </w:divBdr>
    </w:div>
    <w:div w:id="766539105">
      <w:bodyDiv w:val="1"/>
      <w:marLeft w:val="0"/>
      <w:marRight w:val="0"/>
      <w:marTop w:val="0"/>
      <w:marBottom w:val="0"/>
      <w:divBdr>
        <w:top w:val="none" w:sz="0" w:space="0" w:color="auto"/>
        <w:left w:val="none" w:sz="0" w:space="0" w:color="auto"/>
        <w:bottom w:val="none" w:sz="0" w:space="0" w:color="auto"/>
        <w:right w:val="none" w:sz="0" w:space="0" w:color="auto"/>
      </w:divBdr>
      <w:divsChild>
        <w:div w:id="800925490">
          <w:marLeft w:val="0"/>
          <w:marRight w:val="0"/>
          <w:marTop w:val="0"/>
          <w:marBottom w:val="0"/>
          <w:divBdr>
            <w:top w:val="none" w:sz="0" w:space="0" w:color="auto"/>
            <w:left w:val="none" w:sz="0" w:space="0" w:color="auto"/>
            <w:bottom w:val="none" w:sz="0" w:space="0" w:color="auto"/>
            <w:right w:val="none" w:sz="0" w:space="0" w:color="auto"/>
          </w:divBdr>
          <w:divsChild>
            <w:div w:id="1489519218">
              <w:marLeft w:val="-151"/>
              <w:marRight w:val="-151"/>
              <w:marTop w:val="0"/>
              <w:marBottom w:val="0"/>
              <w:divBdr>
                <w:top w:val="none" w:sz="0" w:space="0" w:color="auto"/>
                <w:left w:val="none" w:sz="0" w:space="0" w:color="auto"/>
                <w:bottom w:val="none" w:sz="0" w:space="0" w:color="auto"/>
                <w:right w:val="none" w:sz="0" w:space="0" w:color="auto"/>
              </w:divBdr>
            </w:div>
          </w:divsChild>
        </w:div>
      </w:divsChild>
    </w:div>
    <w:div w:id="821502880">
      <w:bodyDiv w:val="1"/>
      <w:marLeft w:val="0"/>
      <w:marRight w:val="0"/>
      <w:marTop w:val="0"/>
      <w:marBottom w:val="0"/>
      <w:divBdr>
        <w:top w:val="none" w:sz="0" w:space="0" w:color="auto"/>
        <w:left w:val="none" w:sz="0" w:space="0" w:color="auto"/>
        <w:bottom w:val="none" w:sz="0" w:space="0" w:color="auto"/>
        <w:right w:val="none" w:sz="0" w:space="0" w:color="auto"/>
      </w:divBdr>
    </w:div>
    <w:div w:id="1003780071">
      <w:bodyDiv w:val="1"/>
      <w:marLeft w:val="0"/>
      <w:marRight w:val="0"/>
      <w:marTop w:val="0"/>
      <w:marBottom w:val="0"/>
      <w:divBdr>
        <w:top w:val="none" w:sz="0" w:space="0" w:color="auto"/>
        <w:left w:val="none" w:sz="0" w:space="0" w:color="auto"/>
        <w:bottom w:val="none" w:sz="0" w:space="0" w:color="auto"/>
        <w:right w:val="none" w:sz="0" w:space="0" w:color="auto"/>
      </w:divBdr>
    </w:div>
    <w:div w:id="1255939864">
      <w:bodyDiv w:val="1"/>
      <w:marLeft w:val="0"/>
      <w:marRight w:val="0"/>
      <w:marTop w:val="0"/>
      <w:marBottom w:val="0"/>
      <w:divBdr>
        <w:top w:val="none" w:sz="0" w:space="0" w:color="auto"/>
        <w:left w:val="none" w:sz="0" w:space="0" w:color="auto"/>
        <w:bottom w:val="none" w:sz="0" w:space="0" w:color="auto"/>
        <w:right w:val="none" w:sz="0" w:space="0" w:color="auto"/>
      </w:divBdr>
    </w:div>
    <w:div w:id="1335568423">
      <w:bodyDiv w:val="1"/>
      <w:marLeft w:val="0"/>
      <w:marRight w:val="0"/>
      <w:marTop w:val="0"/>
      <w:marBottom w:val="0"/>
      <w:divBdr>
        <w:top w:val="none" w:sz="0" w:space="0" w:color="auto"/>
        <w:left w:val="none" w:sz="0" w:space="0" w:color="auto"/>
        <w:bottom w:val="none" w:sz="0" w:space="0" w:color="auto"/>
        <w:right w:val="none" w:sz="0" w:space="0" w:color="auto"/>
      </w:divBdr>
      <w:divsChild>
        <w:div w:id="1957323962">
          <w:marLeft w:val="0"/>
          <w:marRight w:val="0"/>
          <w:marTop w:val="0"/>
          <w:marBottom w:val="0"/>
          <w:divBdr>
            <w:top w:val="none" w:sz="0" w:space="0" w:color="auto"/>
            <w:left w:val="none" w:sz="0" w:space="0" w:color="auto"/>
            <w:bottom w:val="none" w:sz="0" w:space="0" w:color="auto"/>
            <w:right w:val="none" w:sz="0" w:space="0" w:color="auto"/>
          </w:divBdr>
          <w:divsChild>
            <w:div w:id="1888880974">
              <w:marLeft w:val="-151"/>
              <w:marRight w:val="-151"/>
              <w:marTop w:val="0"/>
              <w:marBottom w:val="0"/>
              <w:divBdr>
                <w:top w:val="none" w:sz="0" w:space="0" w:color="auto"/>
                <w:left w:val="none" w:sz="0" w:space="0" w:color="auto"/>
                <w:bottom w:val="none" w:sz="0" w:space="0" w:color="auto"/>
                <w:right w:val="none" w:sz="0" w:space="0" w:color="auto"/>
              </w:divBdr>
            </w:div>
          </w:divsChild>
        </w:div>
      </w:divsChild>
    </w:div>
    <w:div w:id="1369600517">
      <w:bodyDiv w:val="1"/>
      <w:marLeft w:val="0"/>
      <w:marRight w:val="0"/>
      <w:marTop w:val="0"/>
      <w:marBottom w:val="0"/>
      <w:divBdr>
        <w:top w:val="none" w:sz="0" w:space="0" w:color="auto"/>
        <w:left w:val="none" w:sz="0" w:space="0" w:color="auto"/>
        <w:bottom w:val="none" w:sz="0" w:space="0" w:color="auto"/>
        <w:right w:val="none" w:sz="0" w:space="0" w:color="auto"/>
      </w:divBdr>
      <w:divsChild>
        <w:div w:id="1841850924">
          <w:marLeft w:val="0"/>
          <w:marRight w:val="0"/>
          <w:marTop w:val="0"/>
          <w:marBottom w:val="0"/>
          <w:divBdr>
            <w:top w:val="none" w:sz="0" w:space="0" w:color="auto"/>
            <w:left w:val="none" w:sz="0" w:space="0" w:color="auto"/>
            <w:bottom w:val="none" w:sz="0" w:space="0" w:color="auto"/>
            <w:right w:val="none" w:sz="0" w:space="0" w:color="auto"/>
          </w:divBdr>
          <w:divsChild>
            <w:div w:id="764417869">
              <w:marLeft w:val="-151"/>
              <w:marRight w:val="-151"/>
              <w:marTop w:val="0"/>
              <w:marBottom w:val="0"/>
              <w:divBdr>
                <w:top w:val="none" w:sz="0" w:space="0" w:color="auto"/>
                <w:left w:val="none" w:sz="0" w:space="0" w:color="auto"/>
                <w:bottom w:val="none" w:sz="0" w:space="0" w:color="auto"/>
                <w:right w:val="none" w:sz="0" w:space="0" w:color="auto"/>
              </w:divBdr>
            </w:div>
          </w:divsChild>
        </w:div>
      </w:divsChild>
    </w:div>
    <w:div w:id="1404447402">
      <w:bodyDiv w:val="1"/>
      <w:marLeft w:val="0"/>
      <w:marRight w:val="0"/>
      <w:marTop w:val="0"/>
      <w:marBottom w:val="0"/>
      <w:divBdr>
        <w:top w:val="none" w:sz="0" w:space="0" w:color="auto"/>
        <w:left w:val="none" w:sz="0" w:space="0" w:color="auto"/>
        <w:bottom w:val="none" w:sz="0" w:space="0" w:color="auto"/>
        <w:right w:val="none" w:sz="0" w:space="0" w:color="auto"/>
      </w:divBdr>
      <w:divsChild>
        <w:div w:id="2106996342">
          <w:marLeft w:val="0"/>
          <w:marRight w:val="0"/>
          <w:marTop w:val="0"/>
          <w:marBottom w:val="0"/>
          <w:divBdr>
            <w:top w:val="none" w:sz="0" w:space="0" w:color="auto"/>
            <w:left w:val="none" w:sz="0" w:space="0" w:color="auto"/>
            <w:bottom w:val="none" w:sz="0" w:space="0" w:color="auto"/>
            <w:right w:val="none" w:sz="0" w:space="0" w:color="auto"/>
          </w:divBdr>
          <w:divsChild>
            <w:div w:id="1095907992">
              <w:marLeft w:val="-151"/>
              <w:marRight w:val="-151"/>
              <w:marTop w:val="0"/>
              <w:marBottom w:val="0"/>
              <w:divBdr>
                <w:top w:val="none" w:sz="0" w:space="0" w:color="auto"/>
                <w:left w:val="none" w:sz="0" w:space="0" w:color="auto"/>
                <w:bottom w:val="none" w:sz="0" w:space="0" w:color="auto"/>
                <w:right w:val="none" w:sz="0" w:space="0" w:color="auto"/>
              </w:divBdr>
            </w:div>
          </w:divsChild>
        </w:div>
      </w:divsChild>
    </w:div>
    <w:div w:id="1667778860">
      <w:bodyDiv w:val="1"/>
      <w:marLeft w:val="0"/>
      <w:marRight w:val="0"/>
      <w:marTop w:val="0"/>
      <w:marBottom w:val="0"/>
      <w:divBdr>
        <w:top w:val="none" w:sz="0" w:space="0" w:color="auto"/>
        <w:left w:val="none" w:sz="0" w:space="0" w:color="auto"/>
        <w:bottom w:val="none" w:sz="0" w:space="0" w:color="auto"/>
        <w:right w:val="none" w:sz="0" w:space="0" w:color="auto"/>
      </w:divBdr>
    </w:div>
    <w:div w:id="1839928431">
      <w:bodyDiv w:val="1"/>
      <w:marLeft w:val="0"/>
      <w:marRight w:val="0"/>
      <w:marTop w:val="0"/>
      <w:marBottom w:val="0"/>
      <w:divBdr>
        <w:top w:val="none" w:sz="0" w:space="0" w:color="auto"/>
        <w:left w:val="none" w:sz="0" w:space="0" w:color="auto"/>
        <w:bottom w:val="none" w:sz="0" w:space="0" w:color="auto"/>
        <w:right w:val="none" w:sz="0" w:space="0" w:color="auto"/>
      </w:divBdr>
      <w:divsChild>
        <w:div w:id="1264075063">
          <w:marLeft w:val="0"/>
          <w:marRight w:val="0"/>
          <w:marTop w:val="0"/>
          <w:marBottom w:val="0"/>
          <w:divBdr>
            <w:top w:val="none" w:sz="0" w:space="0" w:color="auto"/>
            <w:left w:val="none" w:sz="0" w:space="0" w:color="auto"/>
            <w:bottom w:val="none" w:sz="0" w:space="0" w:color="auto"/>
            <w:right w:val="none" w:sz="0" w:space="0" w:color="auto"/>
          </w:divBdr>
          <w:divsChild>
            <w:div w:id="238752324">
              <w:marLeft w:val="-151"/>
              <w:marRight w:val="-151"/>
              <w:marTop w:val="0"/>
              <w:marBottom w:val="0"/>
              <w:divBdr>
                <w:top w:val="none" w:sz="0" w:space="0" w:color="auto"/>
                <w:left w:val="none" w:sz="0" w:space="0" w:color="auto"/>
                <w:bottom w:val="none" w:sz="0" w:space="0" w:color="auto"/>
                <w:right w:val="none" w:sz="0" w:space="0" w:color="auto"/>
              </w:divBdr>
            </w:div>
          </w:divsChild>
        </w:div>
      </w:divsChild>
    </w:div>
    <w:div w:id="2061198349">
      <w:bodyDiv w:val="1"/>
      <w:marLeft w:val="0"/>
      <w:marRight w:val="0"/>
      <w:marTop w:val="0"/>
      <w:marBottom w:val="0"/>
      <w:divBdr>
        <w:top w:val="none" w:sz="0" w:space="0" w:color="auto"/>
        <w:left w:val="none" w:sz="0" w:space="0" w:color="auto"/>
        <w:bottom w:val="none" w:sz="0" w:space="0" w:color="auto"/>
        <w:right w:val="none" w:sz="0" w:space="0" w:color="auto"/>
      </w:divBdr>
    </w:div>
    <w:div w:id="2089184678">
      <w:bodyDiv w:val="1"/>
      <w:marLeft w:val="0"/>
      <w:marRight w:val="0"/>
      <w:marTop w:val="0"/>
      <w:marBottom w:val="0"/>
      <w:divBdr>
        <w:top w:val="none" w:sz="0" w:space="0" w:color="auto"/>
        <w:left w:val="none" w:sz="0" w:space="0" w:color="auto"/>
        <w:bottom w:val="none" w:sz="0" w:space="0" w:color="auto"/>
        <w:right w:val="none" w:sz="0" w:space="0" w:color="auto"/>
      </w:divBdr>
    </w:div>
    <w:div w:id="2090955189">
      <w:bodyDiv w:val="1"/>
      <w:marLeft w:val="0"/>
      <w:marRight w:val="0"/>
      <w:marTop w:val="0"/>
      <w:marBottom w:val="0"/>
      <w:divBdr>
        <w:top w:val="none" w:sz="0" w:space="0" w:color="auto"/>
        <w:left w:val="none" w:sz="0" w:space="0" w:color="auto"/>
        <w:bottom w:val="none" w:sz="0" w:space="0" w:color="auto"/>
        <w:right w:val="none" w:sz="0" w:space="0" w:color="auto"/>
      </w:divBdr>
      <w:divsChild>
        <w:div w:id="1000349291">
          <w:marLeft w:val="0"/>
          <w:marRight w:val="0"/>
          <w:marTop w:val="0"/>
          <w:marBottom w:val="0"/>
          <w:divBdr>
            <w:top w:val="none" w:sz="0" w:space="0" w:color="auto"/>
            <w:left w:val="none" w:sz="0" w:space="0" w:color="auto"/>
            <w:bottom w:val="none" w:sz="0" w:space="0" w:color="auto"/>
            <w:right w:val="none" w:sz="0" w:space="0" w:color="auto"/>
          </w:divBdr>
          <w:divsChild>
            <w:div w:id="111695188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136439158">
      <w:bodyDiv w:val="1"/>
      <w:marLeft w:val="0"/>
      <w:marRight w:val="0"/>
      <w:marTop w:val="0"/>
      <w:marBottom w:val="0"/>
      <w:divBdr>
        <w:top w:val="none" w:sz="0" w:space="0" w:color="auto"/>
        <w:left w:val="none" w:sz="0" w:space="0" w:color="auto"/>
        <w:bottom w:val="none" w:sz="0" w:space="0" w:color="auto"/>
        <w:right w:val="none" w:sz="0" w:space="0" w:color="auto"/>
      </w:divBdr>
      <w:divsChild>
        <w:div w:id="522785620">
          <w:marLeft w:val="0"/>
          <w:marRight w:val="0"/>
          <w:marTop w:val="0"/>
          <w:marBottom w:val="0"/>
          <w:divBdr>
            <w:top w:val="none" w:sz="0" w:space="0" w:color="auto"/>
            <w:left w:val="none" w:sz="0" w:space="0" w:color="auto"/>
            <w:bottom w:val="none" w:sz="0" w:space="0" w:color="auto"/>
            <w:right w:val="none" w:sz="0" w:space="0" w:color="auto"/>
          </w:divBdr>
          <w:divsChild>
            <w:div w:id="44917414">
              <w:marLeft w:val="-151"/>
              <w:marRight w:val="-151"/>
              <w:marTop w:val="0"/>
              <w:marBottom w:val="0"/>
              <w:divBdr>
                <w:top w:val="none" w:sz="0" w:space="0" w:color="auto"/>
                <w:left w:val="none" w:sz="0" w:space="0" w:color="auto"/>
                <w:bottom w:val="none" w:sz="0" w:space="0" w:color="auto"/>
                <w:right w:val="none" w:sz="0" w:space="0" w:color="auto"/>
              </w:divBdr>
            </w:div>
          </w:divsChild>
        </w:div>
      </w:divsChild>
    </w:div>
    <w:div w:id="213837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Risorse_umane" TargetMode="External"/><Relationship Id="rId13" Type="http://schemas.openxmlformats.org/officeDocument/2006/relationships/hyperlink" Target="http://www.consiglio.regione.vda.it/app/leggieregolamenti/dettaglio?pk_lr=6061&amp;versione=V" TargetMode="External"/><Relationship Id="rId3" Type="http://schemas.openxmlformats.org/officeDocument/2006/relationships/webSettings" Target="webSettings.xml"/><Relationship Id="rId7" Type="http://schemas.openxmlformats.org/officeDocument/2006/relationships/hyperlink" Target="https://it.wikipedia.org/wiki/Provvedimento_amministrativo" TargetMode="External"/><Relationship Id="rId12" Type="http://schemas.openxmlformats.org/officeDocument/2006/relationships/hyperlink" Target="http://www.consiglio.regione.vda.it/app/leggieregolamenti/dettaglio?pk_lr=606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t.wikipedia.org/wiki/Atto_giuridico" TargetMode="External"/><Relationship Id="rId11" Type="http://schemas.openxmlformats.org/officeDocument/2006/relationships/hyperlink" Target="http://www.consiglio.regione.vda.it/app/leggieregolamenti/dettaglio?pk_lr=6061" TargetMode="External"/><Relationship Id="rId5" Type="http://schemas.openxmlformats.org/officeDocument/2006/relationships/hyperlink" Target="https://it.wikipedia.org/wiki/Dirigente_(pubblica_amministrazione_italiana)" TargetMode="External"/><Relationship Id="rId15" Type="http://schemas.openxmlformats.org/officeDocument/2006/relationships/hyperlink" Target="http://www.consiglio.regione.vda.it/app/leggieregolamenti/dettaglio?pk_lr=6061&amp;versione=V" TargetMode="External"/><Relationship Id="rId10" Type="http://schemas.openxmlformats.org/officeDocument/2006/relationships/hyperlink" Target="http://www.consiglio.regione.vda.it/app/leggieregolamenti/dettaglio?pk_lr=6061" TargetMode="External"/><Relationship Id="rId4" Type="http://schemas.openxmlformats.org/officeDocument/2006/relationships/hyperlink" Target="https://it.wikipedia.org/wiki/Programma" TargetMode="External"/><Relationship Id="rId9" Type="http://schemas.openxmlformats.org/officeDocument/2006/relationships/hyperlink" Target="https://it.wikipedia.org/wiki/Governo_italiano" TargetMode="External"/><Relationship Id="rId14" Type="http://schemas.openxmlformats.org/officeDocument/2006/relationships/hyperlink" Target="http://www.consiglio.regione.vda.it/app/leggieregolamenti/dettaglio?pk_lr=6061&amp;versione=V"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TotalTime>
  <Pages>1</Pages>
  <Words>8995</Words>
  <Characters>51273</Characters>
  <Application>Microsoft Office Word</Application>
  <DocSecurity>0</DocSecurity>
  <Lines>427</Lines>
  <Paragraphs>120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2018-06-21T10:15:00Z</dcterms:created>
  <dcterms:modified xsi:type="dcterms:W3CDTF">2018-06-30T11:03:00Z</dcterms:modified>
</cp:coreProperties>
</file>