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724" w:rsidRPr="00C725DC" w:rsidRDefault="00AB2724" w:rsidP="00AB2724">
      <w:pPr>
        <w:jc w:val="both"/>
        <w:rPr>
          <w:rFonts w:ascii="Arial" w:hAnsi="Arial" w:cs="Arial"/>
          <w:bCs/>
          <w:color w:val="000000" w:themeColor="text1"/>
          <w:sz w:val="24"/>
          <w:szCs w:val="24"/>
        </w:rPr>
      </w:pPr>
      <w:r w:rsidRPr="00C725DC">
        <w:rPr>
          <w:rFonts w:ascii="Arial" w:hAnsi="Arial" w:cs="Arial"/>
          <w:bCs/>
          <w:color w:val="000000" w:themeColor="text1"/>
          <w:sz w:val="24"/>
          <w:szCs w:val="24"/>
        </w:rPr>
        <w:t>MOTIVAZIONE</w:t>
      </w:r>
    </w:p>
    <w:p w:rsidR="00AB2724" w:rsidRPr="00C725DC" w:rsidRDefault="00AB2724" w:rsidP="00AB2724">
      <w:pPr>
        <w:jc w:val="both"/>
        <w:rPr>
          <w:rFonts w:ascii="Arial" w:hAnsi="Arial" w:cs="Arial"/>
          <w:sz w:val="24"/>
          <w:szCs w:val="24"/>
        </w:rPr>
      </w:pPr>
      <w:r w:rsidRPr="00C725DC">
        <w:rPr>
          <w:rFonts w:ascii="Arial" w:hAnsi="Arial" w:cs="Arial"/>
          <w:sz w:val="24"/>
          <w:szCs w:val="24"/>
        </w:rPr>
        <w:t>ART 3 ogni provvedimento amministrativo debba essere motivato, compresi gli atti riguardanti l’organizzazione amministrativa, i concorsi pubblici e il personale . All’obbligo di motivazione sono sottratti solo due tipologie di atti : gli atti normativi e gli atti a contenuto generale</w:t>
      </w:r>
    </w:p>
    <w:p w:rsidR="00AB2724" w:rsidRPr="00C725DC" w:rsidRDefault="00AB2724" w:rsidP="00AB2724">
      <w:pPr>
        <w:jc w:val="both"/>
        <w:rPr>
          <w:rFonts w:ascii="Arial" w:hAnsi="Arial" w:cs="Arial"/>
          <w:sz w:val="24"/>
          <w:szCs w:val="24"/>
        </w:rPr>
      </w:pPr>
      <w:r w:rsidRPr="00C725DC">
        <w:rPr>
          <w:rFonts w:ascii="Arial" w:hAnsi="Arial" w:cs="Arial"/>
          <w:sz w:val="24"/>
          <w:szCs w:val="24"/>
        </w:rPr>
        <w:t>A livello costituzionale l’obbligo di motivazione è sancito dall’articolo non solo ex art. 113, ma anche dall’art 97 Cost. che prescrive come l’attività amministrativa debba essere informata e finalizzata all’imparzialità e al buon andamento. La motivazione, dunque, si pone come un’estrinsecazione propria del principio di buon andamento e dei suoi corollari, quali il principio di trasparenza, efficacia, efficienza ed economicità dell’azione amministrativa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L'obbligo di motivazione dell'atto amministrativo è stato espressamente introdotto dall'</w:t>
      </w:r>
      <w:r w:rsidRPr="00C725DC">
        <w:rPr>
          <w:rFonts w:ascii="Arial" w:hAnsi="Arial" w:cs="Arial"/>
          <w:b/>
          <w:bCs/>
          <w:color w:val="000000"/>
        </w:rPr>
        <w:t>art. 3 della L. n. 241/1990</w:t>
      </w:r>
      <w:r w:rsidRPr="00C725DC">
        <w:rPr>
          <w:rFonts w:ascii="Arial" w:hAnsi="Arial" w:cs="Arial"/>
          <w:color w:val="000000"/>
        </w:rPr>
        <w:t> che, in via generale, ha previsto che tutti gli atti amministrativi debbono indicare i </w:t>
      </w:r>
      <w:r w:rsidRPr="00C725DC">
        <w:rPr>
          <w:rFonts w:ascii="Arial" w:hAnsi="Arial" w:cs="Arial"/>
          <w:b/>
          <w:bCs/>
          <w:color w:val="000000"/>
        </w:rPr>
        <w:t>presupposti di fatto e le ragioni giuridiche</w:t>
      </w:r>
      <w:r w:rsidRPr="00C725DC">
        <w:rPr>
          <w:rFonts w:ascii="Arial" w:hAnsi="Arial" w:cs="Arial"/>
          <w:color w:val="000000"/>
        </w:rPr>
        <w:t> a base dell'atto stesso, sulla base delle </w:t>
      </w:r>
      <w:r w:rsidRPr="00C725DC">
        <w:rPr>
          <w:rFonts w:ascii="Arial" w:hAnsi="Arial" w:cs="Arial"/>
          <w:b/>
          <w:bCs/>
          <w:color w:val="000000"/>
        </w:rPr>
        <w:t>risultanze dell'istruttoria.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L'obbligo di motivazione dell'atto amministrativo è espressamente escluso per quegli </w:t>
      </w:r>
      <w:r w:rsidRPr="00C725DC">
        <w:rPr>
          <w:rFonts w:ascii="Arial" w:hAnsi="Arial" w:cs="Arial"/>
          <w:b/>
          <w:bCs/>
          <w:color w:val="000000"/>
        </w:rPr>
        <w:t>atti di portata generale ed astratta come i regolamenti amministrativi </w:t>
      </w:r>
      <w:r w:rsidRPr="00C725DC">
        <w:rPr>
          <w:rFonts w:ascii="Arial" w:hAnsi="Arial" w:cs="Arial"/>
          <w:color w:val="000000"/>
        </w:rPr>
        <w:t>che, per la loro natura ampiamente discrezionale, non sono soggetti all'obbligo di motivazione. In tal senso non soggiacciono all'obbligo di motivazione gli </w:t>
      </w:r>
      <w:r w:rsidRPr="00C725DC">
        <w:rPr>
          <w:rFonts w:ascii="Arial" w:hAnsi="Arial" w:cs="Arial"/>
          <w:b/>
          <w:bCs/>
          <w:color w:val="000000"/>
        </w:rPr>
        <w:t>atti di pianificazione generali</w:t>
      </w:r>
      <w:r w:rsidRPr="00C725DC">
        <w:rPr>
          <w:rFonts w:ascii="Arial" w:hAnsi="Arial" w:cs="Arial"/>
          <w:color w:val="000000"/>
        </w:rPr>
        <w:t>. Diversamente sono soggetti all'obbligo di motivazione gli</w:t>
      </w:r>
      <w:r w:rsidRPr="00C725DC">
        <w:rPr>
          <w:rFonts w:ascii="Arial" w:hAnsi="Arial" w:cs="Arial"/>
          <w:b/>
          <w:bCs/>
          <w:color w:val="000000"/>
        </w:rPr>
        <w:t> atti di variante</w:t>
      </w:r>
      <w:r w:rsidRPr="00C725DC">
        <w:rPr>
          <w:rFonts w:ascii="Arial" w:hAnsi="Arial" w:cs="Arial"/>
          <w:color w:val="000000"/>
        </w:rPr>
        <w:t> dei provvedimenti pianificatori in quanto incidenti su aspettative già legittimamente formatesi.</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La motivazione dell'atto amministrativo può essere indicata anche </w:t>
      </w:r>
      <w:r w:rsidRPr="00C725DC">
        <w:rPr>
          <w:rFonts w:ascii="Arial" w:hAnsi="Arial" w:cs="Arial"/>
          <w:b/>
          <w:bCs/>
          <w:color w:val="000000"/>
        </w:rPr>
        <w:t>per relationem</w:t>
      </w:r>
      <w:r w:rsidRPr="00C725DC">
        <w:rPr>
          <w:rFonts w:ascii="Arial" w:hAnsi="Arial" w:cs="Arial"/>
          <w:color w:val="000000"/>
        </w:rPr>
        <w:t>, nel senso che essa può essere espressa anche con il riferimento ad atti del procedimento amministrativo come, ad esempio, pareri o valutazioni tecniche.</w:t>
      </w:r>
      <w:r w:rsidRPr="00C725DC">
        <w:rPr>
          <w:rFonts w:ascii="Arial" w:hAnsi="Arial" w:cs="Arial"/>
          <w:color w:val="000000"/>
        </w:rPr>
        <w:br/>
        <w:t>In tal caso, però, per la legittimità dell'atto amministrativo, è necessario che l'atto indicato per relationem sia </w:t>
      </w:r>
      <w:r w:rsidRPr="00C725DC">
        <w:rPr>
          <w:rFonts w:ascii="Arial" w:hAnsi="Arial" w:cs="Arial"/>
          <w:b/>
          <w:bCs/>
          <w:color w:val="000000"/>
        </w:rPr>
        <w:t>reso disponibile</w:t>
      </w:r>
      <w:r w:rsidRPr="00C725DC">
        <w:rPr>
          <w:rFonts w:ascii="Arial" w:hAnsi="Arial" w:cs="Arial"/>
          <w:color w:val="000000"/>
        </w:rPr>
        <w:t>.</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Alla luce di quanto disposto dall'art. 3 della L. n. 241/1990, deve ritenersi invalido per </w:t>
      </w:r>
      <w:r w:rsidRPr="00C725DC">
        <w:rPr>
          <w:rFonts w:ascii="Arial" w:hAnsi="Arial" w:cs="Arial"/>
          <w:b/>
          <w:bCs/>
          <w:color w:val="000000"/>
        </w:rPr>
        <w:t>violazione di legge</w:t>
      </w:r>
      <w:r w:rsidRPr="00C725DC">
        <w:rPr>
          <w:rFonts w:ascii="Arial" w:hAnsi="Arial" w:cs="Arial"/>
          <w:color w:val="000000"/>
        </w:rPr>
        <w:t> l'atto amministrativo </w:t>
      </w:r>
      <w:r w:rsidRPr="00C725DC">
        <w:rPr>
          <w:rFonts w:ascii="Arial" w:hAnsi="Arial" w:cs="Arial"/>
          <w:b/>
          <w:bCs/>
          <w:color w:val="000000"/>
        </w:rPr>
        <w:t>sfornito di motivazione</w:t>
      </w:r>
      <w:r w:rsidRPr="00C725DC">
        <w:rPr>
          <w:rFonts w:ascii="Arial" w:hAnsi="Arial" w:cs="Arial"/>
          <w:color w:val="000000"/>
        </w:rPr>
        <w:t> ovvero l'atto amministrativo che </w:t>
      </w:r>
      <w:r w:rsidRPr="00C725DC">
        <w:rPr>
          <w:rFonts w:ascii="Arial" w:hAnsi="Arial" w:cs="Arial"/>
          <w:b/>
          <w:bCs/>
          <w:color w:val="000000"/>
        </w:rPr>
        <w:t>non esprima</w:t>
      </w:r>
      <w:r w:rsidRPr="00C725DC">
        <w:rPr>
          <w:rFonts w:ascii="Arial" w:hAnsi="Arial" w:cs="Arial"/>
          <w:color w:val="000000"/>
        </w:rPr>
        <w:t> compiutamente i </w:t>
      </w:r>
      <w:r w:rsidRPr="00C725DC">
        <w:rPr>
          <w:rFonts w:ascii="Arial" w:hAnsi="Arial" w:cs="Arial"/>
          <w:b/>
          <w:bCs/>
          <w:color w:val="000000"/>
        </w:rPr>
        <w:t>presupposti di fatto e le ragioni giuridiche</w:t>
      </w:r>
      <w:r w:rsidRPr="00C725DC">
        <w:rPr>
          <w:rFonts w:ascii="Arial" w:hAnsi="Arial" w:cs="Arial"/>
          <w:color w:val="000000"/>
        </w:rPr>
        <w:t> alla base dell'atto, ovvero che</w:t>
      </w:r>
      <w:r w:rsidRPr="00C725DC">
        <w:rPr>
          <w:rFonts w:ascii="Arial" w:hAnsi="Arial" w:cs="Arial"/>
          <w:b/>
          <w:bCs/>
          <w:color w:val="000000"/>
        </w:rPr>
        <w:t> non indichi l'atto</w:t>
      </w:r>
      <w:r w:rsidRPr="00C725DC">
        <w:rPr>
          <w:rFonts w:ascii="Arial" w:hAnsi="Arial" w:cs="Arial"/>
          <w:color w:val="000000"/>
        </w:rPr>
        <w:t> cui fa </w:t>
      </w:r>
      <w:r w:rsidRPr="00C725DC">
        <w:rPr>
          <w:rFonts w:ascii="Arial" w:hAnsi="Arial" w:cs="Arial"/>
          <w:b/>
          <w:bCs/>
          <w:color w:val="000000"/>
        </w:rPr>
        <w:t>riferimento per la motivazione</w:t>
      </w:r>
      <w:r w:rsidRPr="00C725DC">
        <w:rPr>
          <w:rFonts w:ascii="Arial" w:hAnsi="Arial" w:cs="Arial"/>
          <w:color w:val="000000"/>
        </w:rPr>
        <w:t> o che non lo renda disponibile.</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E' illegittimo per </w:t>
      </w:r>
      <w:r w:rsidRPr="00C725DC">
        <w:rPr>
          <w:rFonts w:ascii="Arial" w:hAnsi="Arial" w:cs="Arial"/>
          <w:b/>
          <w:bCs/>
          <w:color w:val="000000"/>
        </w:rPr>
        <w:t>eccesso di potere</w:t>
      </w:r>
      <w:r w:rsidRPr="00C725DC">
        <w:rPr>
          <w:rFonts w:ascii="Arial" w:hAnsi="Arial" w:cs="Arial"/>
          <w:color w:val="000000"/>
        </w:rPr>
        <w:t>, invece, l'atto la cui motivazione sia </w:t>
      </w:r>
      <w:r w:rsidRPr="00C725DC">
        <w:rPr>
          <w:rFonts w:ascii="Arial" w:hAnsi="Arial" w:cs="Arial"/>
          <w:b/>
          <w:bCs/>
          <w:color w:val="000000"/>
        </w:rPr>
        <w:t>perplessa, contraddittoria, incongrua e/o illogica.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La L. n. 15 del 2005 ha introdotto la </w:t>
      </w:r>
      <w:r w:rsidRPr="00C725DC">
        <w:rPr>
          <w:rFonts w:ascii="Arial" w:hAnsi="Arial" w:cs="Arial"/>
          <w:b/>
          <w:bCs/>
          <w:color w:val="000000"/>
        </w:rPr>
        <w:t>c.d. motivazione anticipata</w:t>
      </w:r>
      <w:r w:rsidRPr="00C725DC">
        <w:rPr>
          <w:rFonts w:ascii="Arial" w:hAnsi="Arial" w:cs="Arial"/>
          <w:color w:val="000000"/>
        </w:rPr>
        <w:t> nel caso in cui, a fronte di un'istanza del privato, la PA intenda emettere un provvedimento di rigetto. In tal caso, l'art. 10 bis della L. n. 241/1990 prevede che la PA sia tenuta a comunicare anticipatamente i motivi di rigetto dell'istanza</w:t>
      </w:r>
    </w:p>
    <w:p w:rsidR="00AB2724" w:rsidRPr="00C725DC" w:rsidRDefault="00AB2724" w:rsidP="00AB2724">
      <w:pPr>
        <w:jc w:val="both"/>
        <w:rPr>
          <w:rFonts w:ascii="Arial" w:hAnsi="Arial" w:cs="Arial"/>
          <w:bCs/>
          <w:color w:val="000000" w:themeColor="text1"/>
          <w:sz w:val="24"/>
          <w:szCs w:val="24"/>
        </w:rPr>
      </w:pPr>
      <w:r w:rsidRPr="00C725DC">
        <w:rPr>
          <w:rFonts w:ascii="Arial" w:hAnsi="Arial" w:cs="Arial"/>
          <w:bCs/>
          <w:color w:val="000000" w:themeColor="text1"/>
          <w:sz w:val="24"/>
          <w:szCs w:val="24"/>
        </w:rPr>
        <w:t>CONCLUSIONE PROCEDIMENTO AMMINISTRATIVO</w:t>
      </w:r>
    </w:p>
    <w:p w:rsidR="00AB2724" w:rsidRPr="00C725DC" w:rsidRDefault="00AB2724" w:rsidP="00AB2724">
      <w:pPr>
        <w:jc w:val="both"/>
        <w:rPr>
          <w:rFonts w:ascii="Arial" w:hAnsi="Arial" w:cs="Arial"/>
          <w:color w:val="000000" w:themeColor="text1"/>
          <w:sz w:val="24"/>
          <w:szCs w:val="24"/>
        </w:rPr>
      </w:pPr>
      <w:r w:rsidRPr="00C725DC">
        <w:rPr>
          <w:rFonts w:ascii="Arial" w:hAnsi="Arial" w:cs="Arial"/>
          <w:bCs/>
          <w:color w:val="000000" w:themeColor="text1"/>
          <w:sz w:val="24"/>
          <w:szCs w:val="24"/>
        </w:rPr>
        <w:t>La P.A. ha l’obbligo di adottare un provvedimento finale espresso</w:t>
      </w:r>
      <w:r w:rsidRPr="00C725DC">
        <w:rPr>
          <w:rFonts w:ascii="Arial" w:hAnsi="Arial" w:cs="Arial"/>
          <w:color w:val="000000" w:themeColor="text1"/>
          <w:sz w:val="24"/>
          <w:szCs w:val="24"/>
        </w:rPr>
        <w:t xml:space="preserve">,  entro 30 giorni sia quando il procedimento consegua obbligatoriamente ad un’istanza, sia quando debba essere iniziato d’ufficio. Decorso il termine, entro un anno il privato può presentare ricorso </w:t>
      </w:r>
      <w:r w:rsidRPr="00C725DC">
        <w:rPr>
          <w:rFonts w:ascii="Arial" w:hAnsi="Arial" w:cs="Arial"/>
          <w:color w:val="000000" w:themeColor="text1"/>
          <w:sz w:val="24"/>
          <w:szCs w:val="24"/>
        </w:rPr>
        <w:lastRenderedPageBreak/>
        <w:t>giurisdizionale contro il silenzio della P.A. e far valere la responsabilità amministrativa del dirigente</w:t>
      </w:r>
    </w:p>
    <w:p w:rsidR="00AB2724" w:rsidRPr="00C725DC" w:rsidRDefault="00AB2724" w:rsidP="00AB2724">
      <w:pPr>
        <w:jc w:val="both"/>
        <w:rPr>
          <w:rFonts w:ascii="Arial" w:hAnsi="Arial" w:cs="Arial"/>
          <w:sz w:val="24"/>
          <w:szCs w:val="24"/>
        </w:rPr>
      </w:pPr>
      <w:r w:rsidRPr="00C725DC">
        <w:rPr>
          <w:rFonts w:ascii="Arial" w:hAnsi="Arial" w:cs="Arial"/>
          <w:sz w:val="24"/>
          <w:szCs w:val="24"/>
        </w:rPr>
        <w:t>Rimane dunque fermo, in entrambe le versioni dei testi normativi, vecchia e nuova, l’obbligo centrale per la P.A. di “dare risposta” al cittadino, nella forma istituzionalmente dovuta, ovvero mediante l’emanazione di un provvedimento espresso, di accoglimento o di rigetto.</w:t>
      </w:r>
    </w:p>
    <w:p w:rsidR="00AB2724" w:rsidRPr="00C725DC" w:rsidRDefault="00AB2724" w:rsidP="00AB2724">
      <w:pPr>
        <w:jc w:val="both"/>
        <w:rPr>
          <w:rFonts w:ascii="Arial" w:hAnsi="Arial" w:cs="Arial"/>
          <w:sz w:val="24"/>
          <w:szCs w:val="24"/>
        </w:rPr>
      </w:pPr>
      <w:r w:rsidRPr="00C725DC">
        <w:rPr>
          <w:rFonts w:ascii="Arial" w:hAnsi="Arial" w:cs="Arial"/>
          <w:sz w:val="24"/>
          <w:szCs w:val="24"/>
        </w:rPr>
        <w:t>Il superamento del termine equivale raramente a silenzioinadempimento, fonte di responsabilità. Lo sarà solo quando: a) la legge lo qualifichi espressamente come tale; b) si verta in materie specifiche, analiticamente indicate all’art. 20 della L. 241/09: patrimonio culturale e paesaggistico, l'ambiente, la difesa nazionale, la pubblica sicurezza e l'immigrazione, la salute e la pubblica incolumità all’elenco sub lett b), il nuovo testo normativo ha aggiunto le materie dell’ asilo e la cittadinanza</w:t>
      </w:r>
    </w:p>
    <w:p w:rsidR="00AB2724" w:rsidRPr="00C725DC" w:rsidRDefault="00AB2724" w:rsidP="00AB2724">
      <w:pPr>
        <w:jc w:val="both"/>
        <w:rPr>
          <w:rFonts w:ascii="Arial" w:hAnsi="Arial" w:cs="Arial"/>
          <w:sz w:val="24"/>
          <w:szCs w:val="24"/>
        </w:rPr>
      </w:pP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Art. 2 9 bis L'organo di governo individua, nell'ambito delle figure apicali dell'amministrazione, il soggetto cui attribuire il potere sostitutivo in caso di inerzia. Nell'ipotesi di omessa individuazione il potere sostitutivo si considera attribuito al dirigente generale o, in mancanza, al dirigente preposto all'ufficio o in mancanza al funzionario di più elevato livello presente nell'amministrazione. Per ciascun procedimento, sul sito internet istituzionale dell’amministrazione è pubblicata, in formato tabellare e con collegamento ben visibile nella homepage, l’indicazione del soggetto a cui è attribuito il potere sostitutivo e a cui l’interessato può rivolgersi ai sensi e per gli effetti del comma 9-ter. Tale soggetto, in caso di ritardo, comunica senza indugio il nominativo del responsabile, ai fini della valutazione dell’avvio del procedimento disciplinare, secondo le disposizioni del proprio ordinamento e dei contratti collettivi nazionali di lavoro, e, in caso di mancata ottemperanza alle disposizioni del presente comma, assume la sua medesima responsabilità oltre a quella propria.</w:t>
      </w:r>
      <w:r w:rsidRPr="00C725DC">
        <w:rPr>
          <w:rFonts w:ascii="Arial" w:hAnsi="Arial" w:cs="Arial"/>
          <w:color w:val="000000"/>
        </w:rPr>
        <w:br/>
      </w:r>
      <w:r w:rsidRPr="00C725DC">
        <w:rPr>
          <w:rFonts w:ascii="Arial" w:hAnsi="Arial" w:cs="Arial"/>
          <w:i/>
          <w:iCs/>
          <w:color w:val="FF0000"/>
        </w:rPr>
        <w:t>(comma introdotto dall'art. 1, comma 1, legge n. 35 del 2012, poi così modificato dall'art. 13, comma 01, legge n. 134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9-ter. Decorso inutilmente il termine per la conclusione del procedimento o quello superiore di cui al comma 7, il privato può rivolgersi al responsabile di cui al comma 9-bis perché, entro un termine pari alla metà di quello originariamente previsto, concluda il procedimento attraverso le strutture competenti o con la nomina di un commissario.</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9-quater. Il responsabile individuato ai sensi del comma 9-bis, entro il 30 gennaio di ogni anno, comunica all'organo di governo, i procedimenti, suddivisi per tipologia e strutture amministrative competenti, nei quali non è stato rispettato il termine di conclusione previsti dalla legge o dai regolamenti. Le Amministrazioni provvedono all'attuazione del presente comma, con le risorse umane, strumentali e finanziarie disponibili a legislazione vigente, senza nuovi o maggiori oneri a carico della finanza pubblica.</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9-quinquies. Nei provvedimenti rilasciati in ritardo su istanza di parte è espressamente indicato il termine previsto dalla legge o dai regolamenti di cui all'articolo 2 e quello effettivamente impiegato.</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jc w:val="both"/>
        <w:rPr>
          <w:rFonts w:ascii="Arial" w:hAnsi="Arial" w:cs="Arial"/>
          <w:color w:val="000000" w:themeColor="text1"/>
          <w:sz w:val="24"/>
          <w:szCs w:val="24"/>
        </w:rPr>
      </w:pPr>
      <w:r w:rsidRPr="00C725DC">
        <w:rPr>
          <w:rFonts w:ascii="Arial" w:hAnsi="Arial" w:cs="Arial"/>
          <w:sz w:val="24"/>
          <w:szCs w:val="24"/>
        </w:rPr>
        <w:lastRenderedPageBreak/>
        <w:t>Il mancato rispetto del termine per provvedere è danno ingiusto, risarcibile, se – verificati i noti elementi costitutivi della fattispecie di cui all’art. 2043 c.c. - consegue a dolo o colpa. La P.A. quindi, si discolpa solo nelle ipotesi ben note dell’errore (di diritto o di fatto) scusabile(11), categoria elaborata dalla giurisprudenza successiva la celebre sentenza della Suprema Corte di Cassazione, n. 500/99, sotto l’influenza di quella comunitaria.</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La legge, pur ritenendo necessario il consenso di più amministrazioni ai fini della definizione del procedimento, ammette oggi che gli atti determinativi o condizionanti il contenuto della decisione finale possano essere sostituiti dalla determinazione assunta in seno alla conferenza di servizi.</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Il modello di conferenza di servizi introdotto dall’art. 14 legge 241/90 differisce dalla </w:t>
      </w:r>
      <w:r w:rsidRPr="00C725DC">
        <w:rPr>
          <w:rFonts w:ascii="Arial" w:eastAsia="Times New Roman" w:hAnsi="Arial" w:cs="Arial"/>
          <w:b/>
          <w:bCs/>
          <w:color w:val="333333"/>
          <w:sz w:val="24"/>
          <w:szCs w:val="24"/>
          <w:lang w:eastAsia="it-IT"/>
        </w:rPr>
        <w:t>conferenza istruttoria</w:t>
      </w:r>
      <w:r w:rsidRPr="00C725DC">
        <w:rPr>
          <w:rFonts w:ascii="Arial" w:eastAsia="Times New Roman" w:hAnsi="Arial" w:cs="Arial"/>
          <w:color w:val="333333"/>
          <w:sz w:val="24"/>
          <w:szCs w:val="24"/>
          <w:lang w:eastAsia="it-IT"/>
        </w:rPr>
        <w:t> anche se la disciplina è in parte identica: si tratta delle c.d. </w:t>
      </w:r>
      <w:r w:rsidRPr="00C725DC">
        <w:rPr>
          <w:rFonts w:ascii="Arial" w:eastAsia="Times New Roman" w:hAnsi="Arial" w:cs="Arial"/>
          <w:b/>
          <w:bCs/>
          <w:color w:val="333333"/>
          <w:sz w:val="24"/>
          <w:szCs w:val="24"/>
          <w:lang w:eastAsia="it-IT"/>
        </w:rPr>
        <w:t>conferenze decisorie</w:t>
      </w:r>
      <w:r w:rsidRPr="00C725DC">
        <w:rPr>
          <w:rFonts w:ascii="Arial" w:eastAsia="Times New Roman" w:hAnsi="Arial" w:cs="Arial"/>
          <w:color w:val="333333"/>
          <w:sz w:val="24"/>
          <w:szCs w:val="24"/>
          <w:lang w:eastAsia="it-IT"/>
        </w:rPr>
        <w:t>. Il legislatore, le circoscrive ai casi in cui sia necessario acquisire “intese, concerti, nullaosta o assensi comunque denominati di altre amministrazioni pubbliche” e l’amministrazione, avendoli formalmente richiesti, non li ottenga entro quindici giorni dall’inizio del procedimento.</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Secondo l’art. 14 ter legge 241/90 il provvedimento finale conforme alla determinazione conclusiva favorevole della conferenza “sostituisce a tutti gli effetti, ogni autorizzazione, concessione, nulla osta o atto di assenso comunque denominato di competenza delle amministrazioni partecipanti, o comunque invitate a partecipare, alla predetta conferenza”</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 xml:space="preserve">PREAVVISO DI RIGETTO </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Introdotto dalla legge 15/05, il preavviso di rigetto costituisce l’atto con il quale, nei procedimenti ad istanza di parte, il responsabile del procedimento o l’autorità competente, prima di adottare il provvedimento negativo, informa tempestivamente l’interessato dei motivi ostativi all’accoglimento dell’istanza, accordando allo stesso un termine di 10 gg per produrre osservazioni scritte o elementi documentali a propria difesA;  si tratta di un atto avente natura endoprocedimentale, non impugnabile perché non immediatamente lesivo, che deve essere adottato, come precisato in dottrina ed in giurisprudenza</w:t>
      </w:r>
      <w:bookmarkStart w:id="0" w:name="sdfootnote1anc"/>
      <w:r w:rsidR="008642E2" w:rsidRPr="00C725DC">
        <w:rPr>
          <w:rFonts w:ascii="Arial" w:hAnsi="Arial" w:cs="Arial"/>
          <w:color w:val="000000"/>
          <w:vertAlign w:val="superscript"/>
        </w:rPr>
        <w:fldChar w:fldCharType="begin"/>
      </w:r>
      <w:r w:rsidRPr="00C725DC">
        <w:rPr>
          <w:rFonts w:ascii="Arial" w:hAnsi="Arial" w:cs="Arial"/>
          <w:color w:val="000000"/>
          <w:vertAlign w:val="superscript"/>
        </w:rPr>
        <w:instrText xml:space="preserve"> HYPERLINK "https://www.diritto.it/il-preavviso-di-rigetto-previsto-dall-art-1o-bis-della-legge-24190-riflessioni-su-alcune-cruciali-problematiche/" \l "sdfootnote1sym" </w:instrText>
      </w:r>
      <w:r w:rsidR="008642E2" w:rsidRPr="00C725DC">
        <w:rPr>
          <w:rFonts w:ascii="Arial" w:hAnsi="Arial" w:cs="Arial"/>
          <w:color w:val="000000"/>
          <w:vertAlign w:val="superscript"/>
        </w:rPr>
        <w:fldChar w:fldCharType="separate"/>
      </w:r>
      <w:r w:rsidRPr="00C725DC">
        <w:rPr>
          <w:rStyle w:val="Collegamentoipertestuale"/>
          <w:rFonts w:ascii="Arial" w:hAnsi="Arial" w:cs="Arial"/>
          <w:color w:val="3D779E"/>
          <w:u w:val="none"/>
          <w:vertAlign w:val="superscript"/>
        </w:rPr>
        <w:t>1</w:t>
      </w:r>
      <w:r w:rsidR="008642E2" w:rsidRPr="00C725DC">
        <w:rPr>
          <w:rFonts w:ascii="Arial" w:hAnsi="Arial" w:cs="Arial"/>
          <w:color w:val="000000"/>
          <w:vertAlign w:val="superscript"/>
        </w:rPr>
        <w:fldChar w:fldCharType="end"/>
      </w:r>
      <w:bookmarkEnd w:id="0"/>
      <w:r w:rsidRPr="00C725DC">
        <w:rPr>
          <w:rFonts w:ascii="Arial" w:hAnsi="Arial" w:cs="Arial"/>
          <w:color w:val="000000"/>
        </w:rPr>
        <w:t>, in fase predecisoria, dopo l’espletamento dell’attività istruttoria vera e propria e non prima, al fine di garantire autentica effettività al diritto di contraddittorio dell’interessato.</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Il preavviso di rigetto assolve ad una pluralità di funzioni: in primo luogo e prevalentemente garantisce il contraddittorio dell’interessato, in attuazione del principio del giusto procedimento; assicura il rispetto dei principi di buon andamento, di economicità e di efficienza dell’azione amministrativa di cui agli artt 97 Cost e 2 e 6 della legge 241/90; favorisce, infine, la deflazione del contenzioso sollecitando la composizione ed il superamento dei conflitti in sede procedimentale.</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Per quanto riguarda l’ambito applicativo, l’art 10 bis fa espresso riferimento ai procedimenti ad istanza di parte ed esclude solo le procedure concorsuali ed i procedimenti in materia previdenziale ed assistenziale</w:t>
      </w:r>
    </w:p>
    <w:p w:rsidR="00C725DC" w:rsidRPr="00C725DC" w:rsidRDefault="00C725DC" w:rsidP="00C725DC">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ve la Pa ritenga di </w:t>
      </w:r>
      <w:r w:rsidRPr="00C725DC">
        <w:rPr>
          <w:rFonts w:ascii="Arial" w:hAnsi="Arial" w:cs="Arial"/>
          <w:b/>
          <w:bCs/>
          <w:color w:val="000000"/>
        </w:rPr>
        <w:t>confermare il diniego</w:t>
      </w:r>
      <w:r w:rsidRPr="00C725DC">
        <w:rPr>
          <w:rFonts w:ascii="Arial" w:hAnsi="Arial" w:cs="Arial"/>
          <w:color w:val="000000"/>
        </w:rPr>
        <w:t> preannunicato dovrà </w:t>
      </w:r>
      <w:r w:rsidRPr="00C725DC">
        <w:rPr>
          <w:rFonts w:ascii="Arial" w:hAnsi="Arial" w:cs="Arial"/>
          <w:b/>
          <w:bCs/>
          <w:color w:val="000000"/>
        </w:rPr>
        <w:t>specificatamente motivare</w:t>
      </w:r>
      <w:r w:rsidRPr="00C725DC">
        <w:rPr>
          <w:rFonts w:ascii="Arial" w:hAnsi="Arial" w:cs="Arial"/>
          <w:color w:val="000000"/>
        </w:rPr>
        <w:t> (con integrazione della motivazione già espressa in sede di preavviso di rigetto) in ordine al </w:t>
      </w:r>
      <w:r w:rsidRPr="00C725DC">
        <w:rPr>
          <w:rFonts w:ascii="Arial" w:hAnsi="Arial" w:cs="Arial"/>
          <w:b/>
          <w:bCs/>
          <w:color w:val="000000"/>
        </w:rPr>
        <w:t>mancato accoglimento delle controdeduzioni</w:t>
      </w:r>
      <w:r w:rsidRPr="00C725DC">
        <w:rPr>
          <w:rFonts w:ascii="Arial" w:hAnsi="Arial" w:cs="Arial"/>
          <w:color w:val="000000"/>
        </w:rPr>
        <w:t> del soggetto latore dell'istanza.</w:t>
      </w:r>
    </w:p>
    <w:p w:rsidR="00C725DC" w:rsidRPr="00C725DC" w:rsidRDefault="00C725DC" w:rsidP="00C725DC">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Con riferimento al </w:t>
      </w:r>
      <w:r w:rsidRPr="00C725DC">
        <w:rPr>
          <w:rFonts w:ascii="Arial" w:hAnsi="Arial" w:cs="Arial"/>
          <w:b/>
          <w:bCs/>
          <w:color w:val="000000"/>
        </w:rPr>
        <w:t>contenuto del preavviso di rigetto</w:t>
      </w:r>
      <w:r w:rsidRPr="00C725DC">
        <w:rPr>
          <w:rFonts w:ascii="Arial" w:hAnsi="Arial" w:cs="Arial"/>
          <w:color w:val="000000"/>
        </w:rPr>
        <w:t>, esso dovrà </w:t>
      </w:r>
      <w:r w:rsidRPr="00C725DC">
        <w:rPr>
          <w:rFonts w:ascii="Arial" w:hAnsi="Arial" w:cs="Arial"/>
          <w:b/>
          <w:bCs/>
          <w:color w:val="000000"/>
        </w:rPr>
        <w:t>motivare</w:t>
      </w:r>
      <w:r w:rsidRPr="00C725DC">
        <w:rPr>
          <w:rFonts w:ascii="Arial" w:hAnsi="Arial" w:cs="Arial"/>
          <w:color w:val="000000"/>
        </w:rPr>
        <w:t> con l'indicazione delle ragioni giuridiche e dei presupposti di fatto che conducono al </w:t>
      </w:r>
      <w:r w:rsidRPr="00C725DC">
        <w:rPr>
          <w:rFonts w:ascii="Arial" w:hAnsi="Arial" w:cs="Arial"/>
          <w:b/>
          <w:bCs/>
          <w:color w:val="000000"/>
        </w:rPr>
        <w:t xml:space="preserve">rigetto </w:t>
      </w:r>
      <w:r w:rsidRPr="00C725DC">
        <w:rPr>
          <w:rFonts w:ascii="Arial" w:hAnsi="Arial" w:cs="Arial"/>
          <w:b/>
          <w:bCs/>
          <w:color w:val="000000"/>
        </w:rPr>
        <w:lastRenderedPageBreak/>
        <w:t>dell'istanza</w:t>
      </w:r>
      <w:r w:rsidRPr="00C725DC">
        <w:rPr>
          <w:rFonts w:ascii="Arial" w:hAnsi="Arial" w:cs="Arial"/>
          <w:color w:val="000000"/>
        </w:rPr>
        <w:t>; l'eventuale </w:t>
      </w:r>
      <w:r w:rsidRPr="00C725DC">
        <w:rPr>
          <w:rFonts w:ascii="Arial" w:hAnsi="Arial" w:cs="Arial"/>
          <w:b/>
          <w:bCs/>
          <w:color w:val="000000"/>
        </w:rPr>
        <w:t>incompletezza</w:t>
      </w:r>
      <w:r w:rsidRPr="00C725DC">
        <w:rPr>
          <w:rFonts w:ascii="Arial" w:hAnsi="Arial" w:cs="Arial"/>
          <w:color w:val="000000"/>
        </w:rPr>
        <w:t> </w:t>
      </w:r>
      <w:r w:rsidRPr="00C725DC">
        <w:rPr>
          <w:rFonts w:ascii="Arial" w:hAnsi="Arial" w:cs="Arial"/>
          <w:b/>
          <w:bCs/>
          <w:color w:val="000000"/>
        </w:rPr>
        <w:t>della comunicazione</w:t>
      </w:r>
      <w:r w:rsidRPr="00C725DC">
        <w:rPr>
          <w:rFonts w:ascii="Arial" w:hAnsi="Arial" w:cs="Arial"/>
          <w:color w:val="000000"/>
        </w:rPr>
        <w:t> relativa al preavviso di rigetto, può condurre all'</w:t>
      </w:r>
      <w:r w:rsidRPr="00C725DC">
        <w:rPr>
          <w:rFonts w:ascii="Arial" w:hAnsi="Arial" w:cs="Arial"/>
          <w:b/>
          <w:bCs/>
          <w:color w:val="000000"/>
        </w:rPr>
        <w:t>illegittimità del provvedimento finale</w:t>
      </w:r>
      <w:r w:rsidRPr="00C725DC">
        <w:rPr>
          <w:rFonts w:ascii="Arial" w:hAnsi="Arial" w:cs="Arial"/>
          <w:color w:val="000000"/>
        </w:rPr>
        <w:t> ove l'interessato non sia messo in condizione di consocere appieno i motivi di rigetto dell'istanza e di partecipare alla successiva fase endoprocedimentale.</w:t>
      </w:r>
    </w:p>
    <w:p w:rsidR="00C725DC" w:rsidRDefault="00C725DC" w:rsidP="00C725DC">
      <w:pPr>
        <w:pStyle w:val="NormaleWeb"/>
        <w:shd w:val="clear" w:color="auto" w:fill="FFFFFF"/>
        <w:spacing w:before="0" w:beforeAutospacing="0" w:after="134" w:afterAutospacing="0"/>
        <w:rPr>
          <w:rFonts w:ascii="Arial" w:hAnsi="Arial" w:cs="Arial"/>
          <w:color w:val="000000"/>
          <w:shd w:val="clear" w:color="auto" w:fill="FFFFFF"/>
        </w:rPr>
      </w:pPr>
      <w:r w:rsidRPr="00C725DC">
        <w:rPr>
          <w:rFonts w:ascii="Arial" w:hAnsi="Arial" w:cs="Arial"/>
          <w:color w:val="000000"/>
          <w:shd w:val="clear" w:color="auto" w:fill="FFFFFF"/>
        </w:rPr>
        <w:t>a comunicazione del preavviso di rigetto </w:t>
      </w:r>
      <w:r w:rsidRPr="00C725DC">
        <w:rPr>
          <w:rFonts w:ascii="Arial" w:hAnsi="Arial" w:cs="Arial"/>
          <w:b/>
          <w:bCs/>
          <w:color w:val="000000"/>
          <w:shd w:val="clear" w:color="auto" w:fill="FFFFFF"/>
        </w:rPr>
        <w:t>interrompe i termini per la conclusione del procedimento amministrativo</w:t>
      </w:r>
      <w:r w:rsidRPr="00C725DC">
        <w:rPr>
          <w:rFonts w:ascii="Arial" w:hAnsi="Arial" w:cs="Arial"/>
          <w:color w:val="000000"/>
          <w:shd w:val="clear" w:color="auto" w:fill="FFFFFF"/>
        </w:rPr>
        <w:t> che iniziano a  decorrere nuovamente, successivamente alla presentazione delle osservazioni da parte del destinatario della comunicazione o all'inutile decorso del termine di dieci giorni dal ricevimento della comunicazione stessa. Parte della dottrina ha sostenuto trattarsi, nonostante il chiaro tenore letterale della norma, di una </w:t>
      </w:r>
      <w:r w:rsidRPr="00C725DC">
        <w:rPr>
          <w:rFonts w:ascii="Arial" w:hAnsi="Arial" w:cs="Arial"/>
          <w:b/>
          <w:bCs/>
          <w:color w:val="000000"/>
          <w:shd w:val="clear" w:color="auto" w:fill="FFFFFF"/>
        </w:rPr>
        <w:t>sospensione dei termini per provvedere</w:t>
      </w:r>
      <w:r w:rsidRPr="00C725DC">
        <w:rPr>
          <w:rFonts w:ascii="Arial" w:hAnsi="Arial" w:cs="Arial"/>
          <w:color w:val="000000"/>
          <w:shd w:val="clear" w:color="auto" w:fill="FFFFFF"/>
        </w:rPr>
        <w:t> e non di una vera e propria interruzione. Tale opzione ermeneutica </w:t>
      </w:r>
      <w:r w:rsidRPr="00C725DC">
        <w:rPr>
          <w:rFonts w:ascii="Arial" w:hAnsi="Arial" w:cs="Arial"/>
          <w:b/>
          <w:bCs/>
          <w:color w:val="000000"/>
          <w:shd w:val="clear" w:color="auto" w:fill="FFFFFF"/>
        </w:rPr>
        <w:t>non è stata avallata dalla giurisprudenza</w:t>
      </w:r>
      <w:r w:rsidRPr="00C725DC">
        <w:rPr>
          <w:rFonts w:ascii="Arial" w:hAnsi="Arial" w:cs="Arial"/>
          <w:color w:val="000000"/>
          <w:shd w:val="clear" w:color="auto" w:fill="FFFFFF"/>
        </w:rPr>
        <w:t>  che, anzi, ha ravvisato la ragionevolezza dell'opzione legislativa in relazione alla necessità di ponderare le controdeduzioni e la documentazione allegate dal destinatario della comunicazione.</w:t>
      </w:r>
    </w:p>
    <w:p w:rsidR="00AE7BEA" w:rsidRDefault="00AE7BEA" w:rsidP="00AE7BEA">
      <w:pPr>
        <w:rPr>
          <w:rFonts w:ascii="Arial" w:hAnsi="Arial" w:cs="Arial"/>
          <w:sz w:val="24"/>
          <w:szCs w:val="24"/>
        </w:rPr>
      </w:pPr>
      <w:r>
        <w:rPr>
          <w:rFonts w:ascii="Arial" w:hAnsi="Arial" w:cs="Arial"/>
          <w:sz w:val="24"/>
          <w:szCs w:val="24"/>
        </w:rPr>
        <w:t>ISTITUTI DI PARTECIPAZIONE</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Il </w:t>
      </w:r>
      <w:r>
        <w:rPr>
          <w:rFonts w:ascii="Arial" w:hAnsi="Arial" w:cs="Arial"/>
          <w:b/>
          <w:bCs/>
          <w:color w:val="000000"/>
        </w:rPr>
        <w:t>capo III della L. n. 241/1990</w:t>
      </w:r>
      <w:r>
        <w:rPr>
          <w:rFonts w:ascii="Arial" w:hAnsi="Arial" w:cs="Arial"/>
          <w:color w:val="000000"/>
        </w:rPr>
        <w:t> disciplina la partecipazione al procedimento amministrativo con il quale si realizza l'intervento degli interessati nel procedimento medesimo a la possibilità degli stessi di </w:t>
      </w:r>
      <w:r>
        <w:rPr>
          <w:rFonts w:ascii="Arial" w:hAnsi="Arial" w:cs="Arial"/>
          <w:b/>
          <w:bCs/>
          <w:color w:val="000000"/>
        </w:rPr>
        <w:t>orientare la direzione del provvedimento finale</w:t>
      </w:r>
      <w:r>
        <w:rPr>
          <w:rFonts w:ascii="Arial" w:hAnsi="Arial" w:cs="Arial"/>
          <w:color w:val="000000"/>
        </w:rPr>
        <w:t> in fase non contenziosa.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 partecipazione al procedimento amministrativo si realizza, così, attraverso una </w:t>
      </w:r>
      <w:r>
        <w:rPr>
          <w:rFonts w:ascii="Arial" w:hAnsi="Arial" w:cs="Arial"/>
          <w:b/>
          <w:bCs/>
          <w:color w:val="000000"/>
        </w:rPr>
        <w:t>serie di istituti</w:t>
      </w:r>
      <w:r>
        <w:rPr>
          <w:rFonts w:ascii="Arial" w:hAnsi="Arial" w:cs="Arial"/>
          <w:color w:val="000000"/>
        </w:rPr>
        <w:t>: la </w:t>
      </w:r>
      <w:r>
        <w:rPr>
          <w:rFonts w:ascii="Arial" w:hAnsi="Arial" w:cs="Arial"/>
          <w:b/>
          <w:bCs/>
          <w:color w:val="000000"/>
        </w:rPr>
        <w:t>comunicazione di avvio del procedimento, il diritto di partecipare al (o intervenire nel) procedimento, il diritto di accesso agli atti del procedimento, il c.d. preavviso di rigetto con riferimento ai procedimenti su istanza di parte, gli accordi con i privati per la determinazione del contenuto del provvedimento ovvero in sostituzione dello stesso</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Le </w:t>
      </w:r>
      <w:r>
        <w:rPr>
          <w:rFonts w:ascii="Arial" w:hAnsi="Arial" w:cs="Arial"/>
          <w:b/>
          <w:bCs/>
          <w:color w:val="000000"/>
        </w:rPr>
        <w:t>norme sulla partecipazione</w:t>
      </w:r>
      <w:r>
        <w:rPr>
          <w:rFonts w:ascii="Arial" w:hAnsi="Arial" w:cs="Arial"/>
          <w:color w:val="000000"/>
        </w:rPr>
        <w:t> al procedimento amministrativo conformano l'azione amministrativa ai </w:t>
      </w:r>
      <w:r>
        <w:rPr>
          <w:rFonts w:ascii="Arial" w:hAnsi="Arial" w:cs="Arial"/>
          <w:b/>
          <w:bCs/>
          <w:color w:val="000000"/>
        </w:rPr>
        <w:t>principi della trasparenza</w:t>
      </w:r>
      <w:r>
        <w:rPr>
          <w:rFonts w:ascii="Arial" w:hAnsi="Arial" w:cs="Arial"/>
          <w:color w:val="000000"/>
        </w:rPr>
        <w:t> (in quanto i destinatari dei provvedimenti sono messi in condizione di intervenire nel procedimento orientando il provvedimento finale), di </w:t>
      </w:r>
      <w:r>
        <w:rPr>
          <w:rFonts w:ascii="Arial" w:hAnsi="Arial" w:cs="Arial"/>
          <w:b/>
          <w:bCs/>
          <w:color w:val="000000"/>
        </w:rPr>
        <w:t>economicità ed efficacia</w:t>
      </w:r>
      <w:r>
        <w:rPr>
          <w:rFonts w:ascii="Arial" w:hAnsi="Arial" w:cs="Arial"/>
          <w:color w:val="000000"/>
        </w:rPr>
        <w:t> (per il conseguente deflazionamento del contenzioso e per il miglior conseguimento delle finalità pubbliche con l'acquisizione dei fatti rilevanti ai fini dell'adozione del provvedimento finale).</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Le norme sulla partecipazione al procedimento amministrativo sono, peraltro, </w:t>
      </w:r>
      <w:r>
        <w:rPr>
          <w:rFonts w:ascii="Arial" w:hAnsi="Arial" w:cs="Arial"/>
          <w:b/>
          <w:bCs/>
          <w:color w:val="000000"/>
        </w:rPr>
        <w:t>espressione di principi </w:t>
      </w:r>
      <w:r>
        <w:rPr>
          <w:rFonts w:ascii="Arial" w:hAnsi="Arial" w:cs="Arial"/>
          <w:color w:val="000000"/>
        </w:rPr>
        <w:t>costituzionali come quello </w:t>
      </w:r>
      <w:r>
        <w:rPr>
          <w:rFonts w:ascii="Arial" w:hAnsi="Arial" w:cs="Arial"/>
          <w:b/>
          <w:bCs/>
          <w:color w:val="000000"/>
        </w:rPr>
        <w:t>d'uguaglianza</w:t>
      </w:r>
      <w:r>
        <w:rPr>
          <w:rFonts w:ascii="Arial" w:hAnsi="Arial" w:cs="Arial"/>
          <w:color w:val="000000"/>
        </w:rPr>
        <w:t>, temperando la fisiologica diseguaglianza sussistente con il soggetto pubblico, del </w:t>
      </w:r>
      <w:r>
        <w:rPr>
          <w:rFonts w:ascii="Arial" w:hAnsi="Arial" w:cs="Arial"/>
          <w:b/>
          <w:bCs/>
          <w:color w:val="000000"/>
        </w:rPr>
        <w:t>diritto di difesa</w:t>
      </w:r>
      <w:r>
        <w:rPr>
          <w:rFonts w:ascii="Arial" w:hAnsi="Arial" w:cs="Arial"/>
          <w:color w:val="000000"/>
        </w:rPr>
        <w:t>, consentendo al privato la cui sfera giuridica possa essere incisa dal provvedimento amministrativo finale di partecipare al procedimento destinato all'adozione del provvedimento medesimo. Le norme sulla partecipazione al procedimento amministrativo consentono, inoltre, di realizzare le finalità di</w:t>
      </w:r>
      <w:r>
        <w:rPr>
          <w:rFonts w:ascii="Arial" w:hAnsi="Arial" w:cs="Arial"/>
          <w:b/>
          <w:bCs/>
          <w:color w:val="000000"/>
        </w:rPr>
        <w:t> imparzialità e di buona amministrazione di cui all'art. 97 Cost.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 xml:space="preserve">PREAVVISO DI RIGETTO </w:t>
      </w:r>
      <w:r>
        <w:rPr>
          <w:rFonts w:ascii="Arial" w:hAnsi="Arial" w:cs="Arial"/>
          <w:color w:val="000000"/>
        </w:rPr>
        <w:sym w:font="Wingdings" w:char="00E0"/>
      </w:r>
      <w:r>
        <w:rPr>
          <w:rFonts w:ascii="Arial" w:hAnsi="Arial" w:cs="Arial"/>
          <w:color w:val="000000"/>
        </w:rPr>
        <w:t xml:space="preserve"> RIGUARDARE LA RISPOSTA IN MERITO</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L'art. 7 disciplina la COMUNICAZIONE di avvio al proc amministrativo che è dovuta sia con riferimento ai procedimenti d'ufficio sia con riferimento ai procedimenti su istanza di parte; nella comunicazione debbono essere individuati: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w:t>
      </w:r>
      <w:r>
        <w:rPr>
          <w:rFonts w:ascii="Arial" w:hAnsi="Arial" w:cs="Arial"/>
          <w:b/>
          <w:bCs/>
          <w:color w:val="000000"/>
        </w:rPr>
        <w:t> data d'avvio del procedimento</w:t>
      </w:r>
      <w:r>
        <w:rPr>
          <w:rFonts w:ascii="Arial" w:hAnsi="Arial" w:cs="Arial"/>
          <w:color w:val="000000"/>
        </w:rPr>
        <w:t> ed il termine per la sua conclusione, nonchè i rimedi esperibili in caso di inerzia;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w:t>
      </w:r>
      <w:r>
        <w:rPr>
          <w:rFonts w:ascii="Arial" w:hAnsi="Arial" w:cs="Arial"/>
          <w:b/>
          <w:bCs/>
          <w:color w:val="000000"/>
        </w:rPr>
        <w:t>oggetto</w:t>
      </w:r>
      <w:r>
        <w:rPr>
          <w:rFonts w:ascii="Arial" w:hAnsi="Arial" w:cs="Arial"/>
          <w:color w:val="000000"/>
        </w:rPr>
        <w:t> del procedimento ;</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lastRenderedPageBreak/>
        <w:t>l</w:t>
      </w:r>
      <w:r>
        <w:rPr>
          <w:rFonts w:ascii="Arial" w:hAnsi="Arial" w:cs="Arial"/>
          <w:b/>
          <w:bCs/>
          <w:color w:val="000000"/>
        </w:rPr>
        <w:t>'ufficio cui è affidato il procedimento</w:t>
      </w:r>
      <w:r>
        <w:rPr>
          <w:rFonts w:ascii="Arial" w:hAnsi="Arial" w:cs="Arial"/>
          <w:color w:val="000000"/>
        </w:rPr>
        <w:t> ed il relativo </w:t>
      </w:r>
      <w:r>
        <w:rPr>
          <w:rFonts w:ascii="Arial" w:hAnsi="Arial" w:cs="Arial"/>
          <w:b/>
          <w:bCs/>
          <w:color w:val="000000"/>
        </w:rPr>
        <w:t>responsabile</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l'ufficio presso cui è possibile </w:t>
      </w:r>
      <w:r>
        <w:rPr>
          <w:rFonts w:ascii="Arial" w:hAnsi="Arial" w:cs="Arial"/>
          <w:b/>
          <w:bCs/>
          <w:color w:val="000000"/>
        </w:rPr>
        <w:t>prendere visione degli atti.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 comunicazione d'avvio del procedimento viene inoltrata 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il </w:t>
      </w:r>
      <w:r>
        <w:rPr>
          <w:rFonts w:ascii="Arial" w:hAnsi="Arial" w:cs="Arial"/>
          <w:b/>
          <w:bCs/>
          <w:color w:val="000000"/>
        </w:rPr>
        <w:t>destinatario del provvedimento finale</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gli </w:t>
      </w:r>
      <w:r>
        <w:rPr>
          <w:rFonts w:ascii="Arial" w:hAnsi="Arial" w:cs="Arial"/>
          <w:b/>
          <w:bCs/>
          <w:color w:val="000000"/>
        </w:rPr>
        <w:t>interventori necessari</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i </w:t>
      </w:r>
      <w:r>
        <w:rPr>
          <w:rFonts w:ascii="Arial" w:hAnsi="Arial" w:cs="Arial"/>
          <w:b/>
          <w:bCs/>
          <w:color w:val="000000"/>
        </w:rPr>
        <w:t>controinteressati agevolmente individuabili</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Appare, dunque, superato l'orientamento giurisprudenziale che negava, nei procedimenti ad istanza di parte, l'obbligo di comunicare l'avvio del procedimento.</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Ad ogni modo, sussistono casi in cui la comunicazione d'avvio del procedimento non è dovuta:</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1) si tratta delle ipotesi in cui sussista una</w:t>
      </w:r>
      <w:r>
        <w:rPr>
          <w:rFonts w:ascii="Arial" w:hAnsi="Arial" w:cs="Arial"/>
          <w:b/>
          <w:bCs/>
          <w:color w:val="000000"/>
        </w:rPr>
        <w:t> particolare urgenza di provvedere </w:t>
      </w:r>
      <w:r>
        <w:rPr>
          <w:rFonts w:ascii="Arial" w:hAnsi="Arial" w:cs="Arial"/>
          <w:color w:val="000000"/>
        </w:rPr>
        <w:t>(ad es. le ordinanze contingibili e urgenti del sindaco ex art 50 TUEL);</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2) dei </w:t>
      </w:r>
      <w:r>
        <w:rPr>
          <w:rFonts w:ascii="Arial" w:hAnsi="Arial" w:cs="Arial"/>
          <w:b/>
          <w:bCs/>
          <w:color w:val="000000"/>
        </w:rPr>
        <w:t>provvedimenti di natura cautelare</w:t>
      </w:r>
      <w:r>
        <w:rPr>
          <w:rFonts w:ascii="Arial" w:hAnsi="Arial" w:cs="Arial"/>
          <w:color w:val="000000"/>
        </w:rPr>
        <w:t> con riferimento ai quali l'esigenza di celerità prevale sulle norme relative alla partecipazione;</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3) degli </w:t>
      </w:r>
      <w:r>
        <w:rPr>
          <w:rFonts w:ascii="Arial" w:hAnsi="Arial" w:cs="Arial"/>
          <w:b/>
          <w:bCs/>
          <w:color w:val="000000"/>
        </w:rPr>
        <w:t>atti normativi o amministrativi generali</w:t>
      </w:r>
      <w:r>
        <w:rPr>
          <w:rFonts w:ascii="Arial" w:hAnsi="Arial" w:cs="Arial"/>
          <w:color w:val="000000"/>
        </w:rPr>
        <w:t> (al riguardo, la dottrina ha osservato come, in effetti, appaia poco ragionevole l'eslcusione di tali atti con riferimento ai quali, in particolare, forti sarebbero le istanze partecipative dal novero degli atti soggetti all'obbligo della comunicazione d'avvio; la giurisprudenza ha, dunque, patrocinato una lettura restrittiva della norma volta ad eslcudere la sua applicabilità solo in relazione a quegli atti normativi e amministrativi generali che contemplino specifiche norme derogatorie al riguardo).</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4) dei </w:t>
      </w:r>
      <w:r>
        <w:rPr>
          <w:rFonts w:ascii="Arial" w:hAnsi="Arial" w:cs="Arial"/>
          <w:b/>
          <w:bCs/>
          <w:color w:val="000000"/>
        </w:rPr>
        <w:t>procedimenti tributari </w:t>
      </w:r>
      <w:r>
        <w:rPr>
          <w:rFonts w:ascii="Arial" w:hAnsi="Arial" w:cs="Arial"/>
          <w:color w:val="000000"/>
        </w:rPr>
        <w:t>.</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w:t>
      </w:r>
      <w:r>
        <w:rPr>
          <w:rFonts w:ascii="Arial" w:hAnsi="Arial" w:cs="Arial"/>
          <w:b/>
          <w:bCs/>
          <w:color w:val="000000"/>
        </w:rPr>
        <w:t>art. 9 della L. n. 241/1990</w:t>
      </w:r>
      <w:r>
        <w:rPr>
          <w:rFonts w:ascii="Arial" w:hAnsi="Arial" w:cs="Arial"/>
          <w:color w:val="000000"/>
        </w:rPr>
        <w:t> disciplina, invece, il </w:t>
      </w:r>
      <w:r>
        <w:rPr>
          <w:rFonts w:ascii="Arial" w:hAnsi="Arial" w:cs="Arial"/>
          <w:b/>
          <w:bCs/>
          <w:color w:val="000000"/>
        </w:rPr>
        <w:t>diritto di intervento nel procedimento amministrativo</w:t>
      </w:r>
      <w:r>
        <w:rPr>
          <w:rFonts w:ascii="Arial" w:hAnsi="Arial" w:cs="Arial"/>
          <w:color w:val="000000"/>
        </w:rPr>
        <w:t> stabilendo che tutti i </w:t>
      </w:r>
      <w:r>
        <w:rPr>
          <w:rFonts w:ascii="Arial" w:hAnsi="Arial" w:cs="Arial"/>
          <w:b/>
          <w:bCs/>
          <w:color w:val="000000"/>
        </w:rPr>
        <w:t>portatori di interessi pubblici, privati o diffusi (in quest'ultimo caso ove sussista un ente rappresentativo)</w:t>
      </w:r>
      <w:r>
        <w:rPr>
          <w:rFonts w:ascii="Arial" w:hAnsi="Arial" w:cs="Arial"/>
          <w:color w:val="000000"/>
        </w:rPr>
        <w:t> che possano subire pregiudizio dal provvedimento finale abbiano il diritto di intervenire nel procedimento amministrativo, presentando osservazioni e istanze concernenti il contenuto del provvedimento finale. L'art. 9, secondo una parte della dottrina, rappresenterebbe la fonte della legittimazione, </w:t>
      </w:r>
      <w:r>
        <w:rPr>
          <w:rFonts w:ascii="Arial" w:hAnsi="Arial" w:cs="Arial"/>
          <w:b/>
          <w:bCs/>
          <w:color w:val="000000"/>
        </w:rPr>
        <w:t>sia processuale che procedimentale</w:t>
      </w:r>
      <w:r>
        <w:rPr>
          <w:rFonts w:ascii="Arial" w:hAnsi="Arial" w:cs="Arial"/>
          <w:color w:val="000000"/>
        </w:rPr>
        <w:t>, degli enti portatori di interesi diffusi. Secondo altra prevalente dottrina, occorrerebbe, invece, distinguere tra i portatori di </w:t>
      </w:r>
      <w:r>
        <w:rPr>
          <w:rFonts w:ascii="Arial" w:hAnsi="Arial" w:cs="Arial"/>
          <w:b/>
          <w:bCs/>
          <w:color w:val="000000"/>
        </w:rPr>
        <w:t>interessi diffusi di matrice collaborativa</w:t>
      </w:r>
      <w:r>
        <w:rPr>
          <w:rFonts w:ascii="Arial" w:hAnsi="Arial" w:cs="Arial"/>
          <w:color w:val="000000"/>
        </w:rPr>
        <w:t> ed i poratori di </w:t>
      </w:r>
      <w:r>
        <w:rPr>
          <w:rFonts w:ascii="Arial" w:hAnsi="Arial" w:cs="Arial"/>
          <w:b/>
          <w:bCs/>
          <w:color w:val="000000"/>
        </w:rPr>
        <w:t>interessi diffusi di matrice difensiva</w:t>
      </w:r>
      <w:r>
        <w:rPr>
          <w:rFonts w:ascii="Arial" w:hAnsi="Arial" w:cs="Arial"/>
          <w:color w:val="000000"/>
        </w:rPr>
        <w:t> in quanto solo con riferimento ai secondi la legittimazione procedimentale di cui all'art. 9 della L. n. 241 del 1990 si salderebbe alla legittimazione all'impugnativa del provvedimento. In generale, comunque, si contesta che sussista un parallelismo tra la legittimazione procedimentale sancita dall'art. 9 della L. n. 241 del 1990 e la legitimazione processuale ad impugnare il provvedimento finale, trattandosi di interessi non necessariamente coincidenti. In tale prospettiva la pretermissione di soggetti portatori di interessi di carattere partecipativo e non difensivo, sarà motivo di impugnativa del provvedimento finale che potranno sollevare soltanto i soggetti legittimati ad impugnare il provvedimento e non i soggetti pretermessi.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L'art. 10, correlato con i precedenti artt. 7 e 9 stabilisce il diritto per i destinatari della comunicazione di avvio del procedimento nonchè per i soggetti intervenuti ai sensi dell'art. 9 </w:t>
      </w:r>
      <w:r>
        <w:rPr>
          <w:rFonts w:ascii="Arial" w:hAnsi="Arial" w:cs="Arial"/>
          <w:b/>
          <w:bCs/>
          <w:color w:val="000000"/>
        </w:rPr>
        <w:t>di accedere agli atti del procedimento amministrativo</w:t>
      </w:r>
      <w:r>
        <w:rPr>
          <w:rFonts w:ascii="Arial" w:hAnsi="Arial" w:cs="Arial"/>
          <w:color w:val="000000"/>
        </w:rPr>
        <w:t xml:space="preserve">. A differenza della specifica disciplina dell'accesso di cui agli artt. 22 e s. della L. n. 241/1990, si ritiene che il diritto </w:t>
      </w:r>
      <w:r>
        <w:rPr>
          <w:rFonts w:ascii="Arial" w:hAnsi="Arial" w:cs="Arial"/>
          <w:color w:val="000000"/>
        </w:rPr>
        <w:lastRenderedPageBreak/>
        <w:t>d'accesso di cui all'art. 10 </w:t>
      </w:r>
      <w:r>
        <w:rPr>
          <w:rFonts w:ascii="Arial" w:hAnsi="Arial" w:cs="Arial"/>
          <w:b/>
          <w:bCs/>
          <w:color w:val="000000"/>
        </w:rPr>
        <w:t>prescinda dalla presentazione di una specifica istanza. </w:t>
      </w:r>
      <w:r>
        <w:rPr>
          <w:rFonts w:ascii="Arial" w:hAnsi="Arial" w:cs="Arial"/>
          <w:color w:val="000000"/>
        </w:rPr>
        <w:t>La partecipazione al procedimento amministrativo da parte dei soggetti di cui agli artt. 7 e 9 della L. n. 241 del 1990 potrà estrinsecarsi, come già sottolineato, anche attraverso la </w:t>
      </w:r>
      <w:r>
        <w:rPr>
          <w:rFonts w:ascii="Arial" w:hAnsi="Arial" w:cs="Arial"/>
          <w:b/>
          <w:bCs/>
          <w:color w:val="000000"/>
        </w:rPr>
        <w:t>presentazione di memorie scritte e documenti.</w:t>
      </w:r>
    </w:p>
    <w:p w:rsidR="00AE7BEA" w:rsidRDefault="00AE7BEA" w:rsidP="00AE7BEA">
      <w:pPr>
        <w:pStyle w:val="NormaleWeb"/>
        <w:shd w:val="clear" w:color="auto" w:fill="FFFFFF"/>
        <w:spacing w:before="107" w:beforeAutospacing="0" w:after="161" w:afterAutospacing="0"/>
        <w:rPr>
          <w:rFonts w:ascii="Arial" w:hAnsi="Arial" w:cs="Arial"/>
          <w:color w:val="000000"/>
        </w:rPr>
      </w:pPr>
      <w:r>
        <w:rPr>
          <w:rFonts w:ascii="Arial" w:hAnsi="Arial" w:cs="Arial"/>
          <w:color w:val="000000"/>
        </w:rPr>
        <w:t>Con riferimento alla partecipazione al procedimento amministrativo deve, infine, ricordarsi la norma di cui all'art. 11 della L. n. 241 del 1990 secondo cui, con riferimento al provvedimento finale del procedimento amministrativo, è possibile dar vita, in accordo con il/i destinatario/i del provvedimento finale, ad </w:t>
      </w:r>
      <w:r>
        <w:rPr>
          <w:rFonts w:ascii="Arial" w:hAnsi="Arial" w:cs="Arial"/>
          <w:b/>
          <w:bCs/>
          <w:color w:val="000000"/>
        </w:rPr>
        <w:t xml:space="preserve">accordi procedimentali sostitutivi o integratvi  </w:t>
      </w:r>
      <w:r>
        <w:rPr>
          <w:rFonts w:ascii="Arial" w:hAnsi="Arial" w:cs="Arial"/>
          <w:color w:val="000000"/>
        </w:rPr>
        <w:t xml:space="preserve">, cui si applicano i principi del codice civile (al riguardo tale possibilità è stata generalizzata dal Legislatore del 2005 nell'ottica di un generale impulso al ricorso ai moduli privatistici nell'azione amministrativa), redatti informa scritta a pena i nullità. </w:t>
      </w:r>
    </w:p>
    <w:p w:rsidR="00AE7BEA" w:rsidRDefault="00AE7BEA" w:rsidP="00AE7BEA">
      <w:pPr>
        <w:shd w:val="clear" w:color="auto" w:fill="FFFFFF"/>
        <w:rPr>
          <w:rFonts w:ascii="Arial" w:hAnsi="Arial" w:cs="Arial"/>
          <w:color w:val="000000"/>
          <w:sz w:val="24"/>
          <w:szCs w:val="24"/>
        </w:rPr>
      </w:pPr>
      <w:r>
        <w:rPr>
          <w:rFonts w:ascii="Arial" w:hAnsi="Arial" w:cs="Arial"/>
          <w:color w:val="000000"/>
          <w:sz w:val="24"/>
          <w:szCs w:val="24"/>
        </w:rPr>
        <w:t>Infine, occorre sottolineare come, a mente dell'</w:t>
      </w:r>
      <w:r>
        <w:rPr>
          <w:rFonts w:ascii="Arial" w:hAnsi="Arial" w:cs="Arial"/>
          <w:b/>
          <w:bCs/>
          <w:color w:val="000000"/>
          <w:sz w:val="24"/>
          <w:szCs w:val="24"/>
        </w:rPr>
        <w:t>art. 21 octies della L. n. 241 del 1990</w:t>
      </w:r>
      <w:r>
        <w:rPr>
          <w:rFonts w:ascii="Arial" w:hAnsi="Arial" w:cs="Arial"/>
          <w:color w:val="000000"/>
          <w:sz w:val="24"/>
          <w:szCs w:val="24"/>
        </w:rPr>
        <w:t>, la violazione di norme concernenti la partecipazione al procedimento amministrativo non sia idonea a determinare l'iannullamento del provvedimento amministrativo ove, per la </w:t>
      </w:r>
      <w:r>
        <w:rPr>
          <w:rFonts w:ascii="Arial" w:hAnsi="Arial" w:cs="Arial"/>
          <w:b/>
          <w:bCs/>
          <w:color w:val="000000"/>
          <w:sz w:val="24"/>
          <w:szCs w:val="24"/>
        </w:rPr>
        <w:t>natura vincolata del provvedimento stesso</w:t>
      </w:r>
      <w:r>
        <w:rPr>
          <w:rFonts w:ascii="Arial" w:hAnsi="Arial" w:cs="Arial"/>
          <w:color w:val="000000"/>
          <w:sz w:val="24"/>
          <w:szCs w:val="24"/>
        </w:rPr>
        <w:t>, il suo contenuto non avrebbe, comunque, potuto essere difforme. Con riferimento ai provvedimenti di natura non vincolata, invece, il medesimo art. 21 octies limita la possibilità di  escludere l'annullamento del provvedimento illegittimo all'ipotesi dell'omessa comunicazione d'avvio del procedimento e solo laddove l'amministrazione dimostri  che il contenuto del provvedimento non avrebbe potuto essere diverso da quello in concreto adottato.</w:t>
      </w:r>
    </w:p>
    <w:p w:rsidR="00AE7BEA" w:rsidRDefault="00AE7BEA" w:rsidP="00AE7BEA">
      <w:pPr>
        <w:shd w:val="clear" w:color="auto" w:fill="FFFFFF"/>
        <w:rPr>
          <w:rFonts w:ascii="Arial" w:hAnsi="Arial" w:cs="Arial"/>
          <w:color w:val="000000"/>
          <w:sz w:val="24"/>
          <w:szCs w:val="24"/>
        </w:rPr>
      </w:pPr>
      <w:r>
        <w:rPr>
          <w:rFonts w:ascii="Arial" w:hAnsi="Arial" w:cs="Arial"/>
          <w:color w:val="000000"/>
          <w:sz w:val="24"/>
          <w:szCs w:val="24"/>
        </w:rPr>
        <w:t>ELEMENTI DELL’ATTO</w:t>
      </w:r>
    </w:p>
    <w:p w:rsidR="00AE7BEA" w:rsidRDefault="00AE7BEA" w:rsidP="00AE7BEA">
      <w:pPr>
        <w:shd w:val="clear" w:color="auto" w:fill="FFFFFF"/>
        <w:rPr>
          <w:rFonts w:ascii="Arial" w:hAnsi="Arial" w:cs="Arial"/>
          <w:sz w:val="24"/>
          <w:szCs w:val="24"/>
        </w:rPr>
      </w:pPr>
      <w:r>
        <w:rPr>
          <w:rFonts w:ascii="Arial" w:hAnsi="Arial" w:cs="Arial"/>
          <w:sz w:val="24"/>
          <w:szCs w:val="24"/>
        </w:rPr>
        <w:t>Gli elementi costitutivi dell’atto si distinguono in essenziali e accidentali</w:t>
      </w:r>
    </w:p>
    <w:p w:rsidR="00AE7BEA" w:rsidRDefault="00AE7BEA" w:rsidP="00AE7BEA">
      <w:pPr>
        <w:shd w:val="clear" w:color="auto" w:fill="FFFFFF"/>
        <w:rPr>
          <w:rFonts w:ascii="Arial" w:hAnsi="Arial" w:cs="Arial"/>
          <w:sz w:val="24"/>
          <w:szCs w:val="24"/>
        </w:rPr>
      </w:pPr>
      <w:r>
        <w:rPr>
          <w:rFonts w:ascii="Arial" w:hAnsi="Arial" w:cs="Arial"/>
          <w:sz w:val="24"/>
          <w:szCs w:val="24"/>
        </w:rPr>
        <w:t>Sono elementi essenziali:</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Il d e s t i n a t a r i o è l’organo pubblico o il soggetto privato nei cui confronti si producono gli effetti del provvedimento. Il destinatario deve essere determinato o determinabile</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La volontà. Secondo alcuni autori, la v o l o n t à costituisce un elemento essenziale del provvedimento, perché anche nel diritto pubblico vige il principio fondamentale, secondo il quale nessun atto può considerarsi riferibile al soggetto che lo ha compiuto, se non è stato da esso consapevolmente voluto.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L’oggetto. L’o g </w:t>
      </w:r>
      <w:proofErr w:type="spellStart"/>
      <w:r>
        <w:rPr>
          <w:rFonts w:ascii="Arial" w:hAnsi="Arial" w:cs="Arial"/>
          <w:sz w:val="24"/>
          <w:szCs w:val="24"/>
        </w:rPr>
        <w:t>g</w:t>
      </w:r>
      <w:proofErr w:type="spellEnd"/>
      <w:r>
        <w:rPr>
          <w:rFonts w:ascii="Arial" w:hAnsi="Arial" w:cs="Arial"/>
          <w:sz w:val="24"/>
          <w:szCs w:val="24"/>
        </w:rPr>
        <w:t xml:space="preserve"> e t </w:t>
      </w:r>
      <w:proofErr w:type="spellStart"/>
      <w:r>
        <w:rPr>
          <w:rFonts w:ascii="Arial" w:hAnsi="Arial" w:cs="Arial"/>
          <w:sz w:val="24"/>
          <w:szCs w:val="24"/>
        </w:rPr>
        <w:t>t</w:t>
      </w:r>
      <w:proofErr w:type="spellEnd"/>
      <w:r>
        <w:rPr>
          <w:rFonts w:ascii="Arial" w:hAnsi="Arial" w:cs="Arial"/>
          <w:sz w:val="24"/>
          <w:szCs w:val="24"/>
        </w:rPr>
        <w:t xml:space="preserve"> o è il bene, il comportamento, il rapporto o il fatto di cui si occupa l’atto amministrativo. L’oggetto deve essere d e t e r m i n a t o , p o s </w:t>
      </w:r>
      <w:proofErr w:type="spellStart"/>
      <w:r>
        <w:rPr>
          <w:rFonts w:ascii="Arial" w:hAnsi="Arial" w:cs="Arial"/>
          <w:sz w:val="24"/>
          <w:szCs w:val="24"/>
        </w:rPr>
        <w:t>s</w:t>
      </w:r>
      <w:proofErr w:type="spellEnd"/>
      <w:r>
        <w:rPr>
          <w:rFonts w:ascii="Arial" w:hAnsi="Arial" w:cs="Arial"/>
          <w:sz w:val="24"/>
          <w:szCs w:val="24"/>
        </w:rPr>
        <w:t xml:space="preserve"> i b i l e </w:t>
      </w:r>
      <w:proofErr w:type="spellStart"/>
      <w:r>
        <w:rPr>
          <w:rFonts w:ascii="Arial" w:hAnsi="Arial" w:cs="Arial"/>
          <w:sz w:val="24"/>
          <w:szCs w:val="24"/>
        </w:rPr>
        <w:t>e</w:t>
      </w:r>
      <w:proofErr w:type="spellEnd"/>
      <w:r>
        <w:rPr>
          <w:rFonts w:ascii="Arial" w:hAnsi="Arial" w:cs="Arial"/>
          <w:sz w:val="24"/>
          <w:szCs w:val="24"/>
        </w:rPr>
        <w:t xml:space="preserve"> l e c i t o .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Il contenuto. Per c o n t e n u t o sta ad indicare la p a r t e c d . p r e c e t </w:t>
      </w:r>
      <w:proofErr w:type="spellStart"/>
      <w:r>
        <w:rPr>
          <w:rFonts w:ascii="Arial" w:hAnsi="Arial" w:cs="Arial"/>
          <w:sz w:val="24"/>
          <w:szCs w:val="24"/>
        </w:rPr>
        <w:t>t</w:t>
      </w:r>
      <w:proofErr w:type="spellEnd"/>
      <w:r>
        <w:rPr>
          <w:rFonts w:ascii="Arial" w:hAnsi="Arial" w:cs="Arial"/>
          <w:sz w:val="24"/>
          <w:szCs w:val="24"/>
        </w:rPr>
        <w:t xml:space="preserve"> i v a d e l </w:t>
      </w:r>
      <w:proofErr w:type="spellStart"/>
      <w:r>
        <w:rPr>
          <w:rFonts w:ascii="Arial" w:hAnsi="Arial" w:cs="Arial"/>
          <w:sz w:val="24"/>
          <w:szCs w:val="24"/>
        </w:rPr>
        <w:t>l</w:t>
      </w:r>
      <w:proofErr w:type="spellEnd"/>
      <w:r>
        <w:rPr>
          <w:rFonts w:ascii="Arial" w:hAnsi="Arial" w:cs="Arial"/>
          <w:sz w:val="24"/>
          <w:szCs w:val="24"/>
        </w:rPr>
        <w:t xml:space="preserve"> ’ a t </w:t>
      </w:r>
      <w:proofErr w:type="spellStart"/>
      <w:r>
        <w:rPr>
          <w:rFonts w:ascii="Arial" w:hAnsi="Arial" w:cs="Arial"/>
          <w:sz w:val="24"/>
          <w:szCs w:val="24"/>
        </w:rPr>
        <w:t>t</w:t>
      </w:r>
      <w:proofErr w:type="spellEnd"/>
      <w:r>
        <w:rPr>
          <w:rFonts w:ascii="Arial" w:hAnsi="Arial" w:cs="Arial"/>
          <w:sz w:val="24"/>
          <w:szCs w:val="24"/>
        </w:rPr>
        <w:t xml:space="preserve"> o , e consiste in ciò che con esso si intende autorizzare, disporre, ordinare, concedere, attestare etc. il contenuto muta col variare dell’atto essendo ogni atto caratterizzato dal proprio contenuto. Anche il contenuto, come l’oggetto, deve essere p o s </w:t>
      </w:r>
      <w:proofErr w:type="spellStart"/>
      <w:r>
        <w:rPr>
          <w:rFonts w:ascii="Arial" w:hAnsi="Arial" w:cs="Arial"/>
          <w:sz w:val="24"/>
          <w:szCs w:val="24"/>
        </w:rPr>
        <w:t>s</w:t>
      </w:r>
      <w:proofErr w:type="spellEnd"/>
      <w:r>
        <w:rPr>
          <w:rFonts w:ascii="Arial" w:hAnsi="Arial" w:cs="Arial"/>
          <w:sz w:val="24"/>
          <w:szCs w:val="24"/>
        </w:rPr>
        <w:t xml:space="preserve"> i b i l e , l e c i t o e d e t e r m i n a t o </w:t>
      </w:r>
      <w:proofErr w:type="spellStart"/>
      <w:r>
        <w:rPr>
          <w:rFonts w:ascii="Arial" w:hAnsi="Arial" w:cs="Arial"/>
          <w:sz w:val="24"/>
          <w:szCs w:val="24"/>
        </w:rPr>
        <w:t>o</w:t>
      </w:r>
      <w:proofErr w:type="spellEnd"/>
      <w:r>
        <w:rPr>
          <w:rFonts w:ascii="Arial" w:hAnsi="Arial" w:cs="Arial"/>
          <w:sz w:val="24"/>
          <w:szCs w:val="24"/>
        </w:rPr>
        <w:t xml:space="preserve"> d e t e r m i n a b i l e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La forma. In via di principio si ritiene che in relazione ai provvedimenti amministrativi valga il principio della libertà di f o r m a . Tuttavia la maggior parte delle leggi, prevedono la </w:t>
      </w:r>
      <w:r>
        <w:rPr>
          <w:rFonts w:ascii="Arial" w:hAnsi="Arial" w:cs="Arial"/>
          <w:sz w:val="24"/>
          <w:szCs w:val="24"/>
        </w:rPr>
        <w:lastRenderedPageBreak/>
        <w:t>forma scritta, come forma ad substantiam, la cui mancanza pertanto comporta la nullità dell’atto.</w:t>
      </w:r>
    </w:p>
    <w:p w:rsidR="00AE7BEA" w:rsidRDefault="00AE7BEA" w:rsidP="00AE7BEA">
      <w:pPr>
        <w:shd w:val="clear" w:color="auto" w:fill="FFFFFF"/>
        <w:rPr>
          <w:rFonts w:ascii="Arial" w:hAnsi="Arial" w:cs="Arial"/>
          <w:sz w:val="24"/>
          <w:szCs w:val="24"/>
        </w:rPr>
      </w:pPr>
      <w:r>
        <w:rPr>
          <w:rFonts w:ascii="Arial" w:hAnsi="Arial" w:cs="Arial"/>
          <w:sz w:val="24"/>
          <w:szCs w:val="24"/>
        </w:rPr>
        <w:t>Causa è il fine istituzionale, cioè la finalità pubblica per il qale è stato emanato l’atto</w:t>
      </w:r>
    </w:p>
    <w:p w:rsidR="00AE7BEA" w:rsidRDefault="00AE7BEA" w:rsidP="00AE7BEA">
      <w:pPr>
        <w:shd w:val="clear" w:color="auto" w:fill="FFFFFF"/>
        <w:rPr>
          <w:rFonts w:ascii="Arial" w:hAnsi="Arial" w:cs="Arial"/>
          <w:sz w:val="24"/>
          <w:szCs w:val="24"/>
        </w:rPr>
      </w:pPr>
      <w:r>
        <w:rPr>
          <w:rFonts w:ascii="Arial" w:hAnsi="Arial" w:cs="Arial"/>
          <w:sz w:val="24"/>
          <w:szCs w:val="24"/>
        </w:rPr>
        <w:t>Soggetto è l’autorità che emana l’atto e può esser un organo collegiale o monocratico.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Elementi  Accidentali: Anche nel campo del diritto amministrativo sono contemplati i cd. e l e m e n t i a c </w:t>
      </w:r>
      <w:proofErr w:type="spellStart"/>
      <w:r>
        <w:rPr>
          <w:rFonts w:ascii="Arial" w:hAnsi="Arial" w:cs="Arial"/>
          <w:sz w:val="24"/>
          <w:szCs w:val="24"/>
        </w:rPr>
        <w:t>c</w:t>
      </w:r>
      <w:proofErr w:type="spellEnd"/>
      <w:r>
        <w:rPr>
          <w:rFonts w:ascii="Arial" w:hAnsi="Arial" w:cs="Arial"/>
          <w:sz w:val="24"/>
          <w:szCs w:val="24"/>
        </w:rPr>
        <w:t xml:space="preserve"> i d e n t a l i che possono essere apposti ad atti discrezionali regolati da norme non cogenti, solo se ed in quanto non alterino il contenuto tipico. Sono elementi accidentali dell’atto: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il t e r m i n e : mediante il quale si fa dipendere l’inizio (termine iniziale) o la fine (termine finale) degli effetti di un provvedimento dal verificarsi di un evento futuro certo;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la c o n d i z i o n e : mediante la quale sia fa dipendere l’inizio (condizione sospensiva) o la fine (condizione risolutiva) degli effetti di un provvedimento dal verificarsi di un evento futuro e incerto;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l’o n e r e : costituisce un peso imposto al destinatario del provvedimento (es.: ti concedo la concessione del lido con l’obbligo di pulire l’intera spiaggia adiacente);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le r i s e r v e ,  con cui la P.A. si riserva di adottare futuri provvedimenti in relazione all’oggetto stesso dell’atto emanato</w:t>
      </w:r>
    </w:p>
    <w:p w:rsidR="00AE7BEA" w:rsidRDefault="00AE7BEA" w:rsidP="00AE7BEA">
      <w:pPr>
        <w:shd w:val="clear" w:color="auto" w:fill="FFFFFF"/>
        <w:rPr>
          <w:rFonts w:ascii="Arial" w:hAnsi="Arial" w:cs="Arial"/>
          <w:sz w:val="24"/>
          <w:szCs w:val="24"/>
        </w:rPr>
      </w:pPr>
      <w:r>
        <w:rPr>
          <w:rFonts w:ascii="Arial" w:hAnsi="Arial" w:cs="Arial"/>
          <w:sz w:val="24"/>
          <w:szCs w:val="24"/>
        </w:rPr>
        <w:t>PROVVEDIMENTI AMMINISTRTAIVI</w:t>
      </w:r>
    </w:p>
    <w:p w:rsidR="00AE7BEA" w:rsidRDefault="00AE7BEA" w:rsidP="00AE7BEA">
      <w:pPr>
        <w:shd w:val="clear" w:color="auto" w:fill="FFFFFF"/>
        <w:rPr>
          <w:rFonts w:ascii="Arial" w:hAnsi="Arial" w:cs="Arial"/>
          <w:color w:val="333333"/>
          <w:sz w:val="24"/>
          <w:szCs w:val="24"/>
          <w:shd w:val="clear" w:color="auto" w:fill="F5F5F5"/>
        </w:rPr>
      </w:pPr>
      <w:r>
        <w:rPr>
          <w:rFonts w:ascii="Arial" w:hAnsi="Arial" w:cs="Arial"/>
          <w:color w:val="333333"/>
          <w:sz w:val="24"/>
          <w:szCs w:val="24"/>
          <w:shd w:val="clear" w:color="auto" w:fill="F5F5F5"/>
        </w:rPr>
        <w:t>Non esistendo una definizione di </w:t>
      </w:r>
      <w:r>
        <w:rPr>
          <w:rFonts w:ascii="Arial" w:hAnsi="Arial" w:cs="Arial"/>
          <w:b/>
          <w:bCs/>
          <w:color w:val="333333"/>
          <w:sz w:val="24"/>
          <w:szCs w:val="24"/>
          <w:shd w:val="clear" w:color="auto" w:fill="F5F5F5"/>
        </w:rPr>
        <w:t>provvedimento amministrativo</w:t>
      </w:r>
      <w:r>
        <w:rPr>
          <w:rFonts w:ascii="Arial" w:hAnsi="Arial" w:cs="Arial"/>
          <w:color w:val="333333"/>
          <w:sz w:val="24"/>
          <w:szCs w:val="24"/>
          <w:shd w:val="clear" w:color="auto" w:fill="F5F5F5"/>
        </w:rPr>
        <w:t> fornita dal legislatore, questa mancanza è stata colmata dalla dottrina</w:t>
      </w:r>
    </w:p>
    <w:p w:rsidR="00AE7BEA" w:rsidRDefault="00AE7BEA" w:rsidP="00AE7BEA">
      <w:pPr>
        <w:shd w:val="clear" w:color="auto" w:fill="FFFFFF"/>
        <w:rPr>
          <w:rFonts w:ascii="Arial" w:hAnsi="Arial" w:cs="Arial"/>
          <w:color w:val="333333"/>
          <w:sz w:val="24"/>
          <w:szCs w:val="24"/>
          <w:shd w:val="clear" w:color="auto" w:fill="F5F5F5"/>
        </w:rPr>
      </w:pPr>
      <w:r>
        <w:rPr>
          <w:rFonts w:ascii="Arial" w:hAnsi="Arial" w:cs="Arial"/>
          <w:color w:val="333333"/>
          <w:sz w:val="24"/>
          <w:szCs w:val="24"/>
          <w:shd w:val="clear" w:color="auto" w:fill="FFFFFF"/>
        </w:rPr>
        <w:t>Tradizionalmente l’</w:t>
      </w:r>
      <w:r>
        <w:rPr>
          <w:rStyle w:val="Enfasigrassetto"/>
          <w:rFonts w:ascii="Arial" w:hAnsi="Arial" w:cs="Arial"/>
          <w:color w:val="333333"/>
          <w:sz w:val="24"/>
          <w:szCs w:val="24"/>
          <w:bdr w:val="none" w:sz="0" w:space="0" w:color="auto" w:frame="1"/>
          <w:shd w:val="clear" w:color="auto" w:fill="FFFFFF"/>
        </w:rPr>
        <w:t>atto amministrativo </w:t>
      </w:r>
      <w:r>
        <w:rPr>
          <w:rFonts w:ascii="Arial" w:hAnsi="Arial" w:cs="Arial"/>
          <w:color w:val="333333"/>
          <w:sz w:val="24"/>
          <w:szCs w:val="24"/>
          <w:shd w:val="clear" w:color="auto" w:fill="FFFFFF"/>
        </w:rPr>
        <w:t>è definito come qualsiasi manifestazione di volontà, giudizio o conoscenza proveniente da una pubblica amministrazione nell’esercizio di una potestà amministrazione.</w:t>
      </w:r>
    </w:p>
    <w:p w:rsidR="00AE7BEA" w:rsidRDefault="00AE7BEA" w:rsidP="00AE7BEA">
      <w:pPr>
        <w:shd w:val="clear" w:color="auto" w:fill="FFFFFF"/>
        <w:rPr>
          <w:rFonts w:ascii="Arial" w:hAnsi="Arial" w:cs="Arial"/>
          <w:color w:val="333333"/>
          <w:sz w:val="24"/>
          <w:szCs w:val="24"/>
          <w:shd w:val="clear" w:color="auto" w:fill="F5F5F5"/>
        </w:rPr>
      </w:pPr>
      <w:r>
        <w:rPr>
          <w:rFonts w:ascii="Arial" w:hAnsi="Arial" w:cs="Arial"/>
          <w:color w:val="333333"/>
          <w:sz w:val="24"/>
          <w:szCs w:val="24"/>
          <w:shd w:val="clear" w:color="auto" w:fill="F5F5F5"/>
        </w:rPr>
        <w:t xml:space="preserve">Per provvedimento amministrativo si intende quell'atto consistente in una manifestazione di volontà adottata dall'amministrazione per la cura di un concreto interesse pubblico e diretta a produrre in maniera unilaterale effetti giuridici nei rapporti esterni con i destinatari che presenta inoltre le seguenti caratteristiche: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a u t o r i t a r i e t à o i m p e r a t i v i t à , che consiste nell’imporre unilateralmente modificazioni nella sfera giuridica dei destinatari1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e s e c u t o r i e t à : accanto all’esecutività (che è l’astratta attitudine dell’atto ad essere eseguito), i provvedimenti amministrativi possono essere dotati anche di una particolare efficacia, che va sotto il nome di esecutorietà, consistente nella possibilità concessa alla pubblica amministrazione di dare immediata e diretta esecuzione all’atto amministrativo sfavorevole, anche contro il volere del destinatario, senza previa pronunzia giurisdizionale. Non tutti i provvedimenti sono esecutori, ma soltanto quelli la cui esecutorietà sia espressamente prevista dalla legge; </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sym w:font="Symbol" w:char="00B7"/>
      </w:r>
      <w:r>
        <w:rPr>
          <w:rFonts w:ascii="Arial" w:hAnsi="Arial" w:cs="Arial"/>
          <w:sz w:val="24"/>
          <w:szCs w:val="24"/>
        </w:rPr>
        <w:t xml:space="preserve"> t i p i c i t à : nel senso che i provvedimenti amministrativi sono solo quelli previsti dall’ordinamento e n o m i n a t i v i t à , nel senso che a ciascun interesse pubblico particolare da realizzare corrisponde un tipo di atto previsto e definito (esplicitamente o per implicito) dalla legge;</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i n o p </w:t>
      </w:r>
      <w:proofErr w:type="spellStart"/>
      <w:r>
        <w:rPr>
          <w:rFonts w:ascii="Arial" w:hAnsi="Arial" w:cs="Arial"/>
          <w:sz w:val="24"/>
          <w:szCs w:val="24"/>
        </w:rPr>
        <w:t>p</w:t>
      </w:r>
      <w:proofErr w:type="spellEnd"/>
      <w:r>
        <w:rPr>
          <w:rFonts w:ascii="Arial" w:hAnsi="Arial" w:cs="Arial"/>
          <w:sz w:val="24"/>
          <w:szCs w:val="24"/>
        </w:rPr>
        <w:t xml:space="preserve"> u g n a b i l i t à : nel senso che i provvedimenti non sono più suscettibili di annullamento o revoca su ricorso dell’interessato, decorsi i termini perentori</w:t>
      </w:r>
    </w:p>
    <w:p w:rsidR="00AE7BEA" w:rsidRDefault="00AE7BEA" w:rsidP="00AE7BEA">
      <w:pPr>
        <w:shd w:val="clear" w:color="auto" w:fill="FFFFFF"/>
        <w:rPr>
          <w:rFonts w:ascii="Arial" w:hAnsi="Arial" w:cs="Arial"/>
          <w:sz w:val="24"/>
          <w:szCs w:val="24"/>
        </w:rPr>
      </w:pPr>
      <w:r>
        <w:rPr>
          <w:rFonts w:ascii="Arial" w:hAnsi="Arial" w:cs="Arial"/>
          <w:sz w:val="24"/>
          <w:szCs w:val="24"/>
        </w:rPr>
        <w:t>Quindi tutti i provvedimenti sono atti ma non tutti gli atti sono provvedimenti.</w:t>
      </w:r>
    </w:p>
    <w:p w:rsidR="00AE7BEA" w:rsidRDefault="00AE7BEA" w:rsidP="00AE7BEA">
      <w:pPr>
        <w:shd w:val="clear" w:color="auto" w:fill="FFFFFF"/>
        <w:rPr>
          <w:rFonts w:ascii="Arial" w:hAnsi="Arial" w:cs="Arial"/>
          <w:sz w:val="24"/>
          <w:szCs w:val="24"/>
        </w:rPr>
      </w:pPr>
    </w:p>
    <w:p w:rsidR="00AE7BEA" w:rsidRDefault="00AE7BEA" w:rsidP="00AE7BEA">
      <w:pPr>
        <w:shd w:val="clear" w:color="auto" w:fill="FFFFFF"/>
        <w:rPr>
          <w:rFonts w:ascii="Arial" w:hAnsi="Arial" w:cs="Arial"/>
          <w:sz w:val="24"/>
          <w:szCs w:val="24"/>
        </w:rPr>
      </w:pPr>
      <w:r>
        <w:rPr>
          <w:rFonts w:ascii="Arial" w:hAnsi="Arial" w:cs="Arial"/>
          <w:sz w:val="24"/>
          <w:szCs w:val="24"/>
        </w:rPr>
        <w:t>PARTI DEL PROVVEDIMENTO</w:t>
      </w:r>
    </w:p>
    <w:p w:rsidR="00AE7BEA" w:rsidRDefault="00AE7BEA" w:rsidP="00AE7BEA">
      <w:pPr>
        <w:shd w:val="clear" w:color="auto" w:fill="FFFFFF"/>
        <w:rPr>
          <w:rFonts w:ascii="Arial" w:hAnsi="Arial" w:cs="Arial"/>
          <w:sz w:val="24"/>
          <w:szCs w:val="24"/>
        </w:rPr>
      </w:pPr>
      <w:r>
        <w:rPr>
          <w:rFonts w:ascii="Arial" w:hAnsi="Arial" w:cs="Arial"/>
          <w:sz w:val="24"/>
          <w:szCs w:val="24"/>
        </w:rPr>
        <w:t>Ciascun provvedimento amministrativo è generalmente composto dalle seguenti parti:</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i n t e s t a z i o n e : cioè l’indicazione dell’autorità da cui il provvedimento promana; 1 L’autoritarietà è propria di ogni provvedimento amministrativo, ed in particolare essa si sostanzia: </w:t>
      </w:r>
      <w:r>
        <w:rPr>
          <w:rFonts w:ascii="Arial" w:hAnsi="Arial" w:cs="Arial"/>
          <w:sz w:val="24"/>
          <w:szCs w:val="24"/>
        </w:rPr>
        <w:sym w:font="Symbol" w:char="00B7"/>
      </w:r>
      <w:r>
        <w:rPr>
          <w:rFonts w:ascii="Arial" w:hAnsi="Arial" w:cs="Arial"/>
          <w:sz w:val="24"/>
          <w:szCs w:val="24"/>
        </w:rPr>
        <w:t xml:space="preserve"> per i provvedimenti positivi: nella costituzione, modificazione o estinzione dei poteri e delle facoltà del destinatario indipendentemente dal suo consenso e, quindi, anche contro la sua volontà. I p r o v </w:t>
      </w:r>
      <w:proofErr w:type="spellStart"/>
      <w:r>
        <w:rPr>
          <w:rFonts w:ascii="Arial" w:hAnsi="Arial" w:cs="Arial"/>
          <w:sz w:val="24"/>
          <w:szCs w:val="24"/>
        </w:rPr>
        <w:t>v</w:t>
      </w:r>
      <w:proofErr w:type="spellEnd"/>
      <w:r>
        <w:rPr>
          <w:rFonts w:ascii="Arial" w:hAnsi="Arial" w:cs="Arial"/>
          <w:sz w:val="24"/>
          <w:szCs w:val="24"/>
        </w:rPr>
        <w:t xml:space="preserve"> e d i m e n t i p o s i t i v i , dunque, purché efficaci, anche se illegittimi, s o n o s e m p r e i m p e r a t i v i e d e s e c u t i v i ; </w:t>
      </w:r>
      <w:r>
        <w:rPr>
          <w:rFonts w:ascii="Arial" w:hAnsi="Arial" w:cs="Arial"/>
          <w:sz w:val="24"/>
          <w:szCs w:val="24"/>
        </w:rPr>
        <w:sym w:font="Symbol" w:char="00B7"/>
      </w:r>
      <w:r>
        <w:rPr>
          <w:rFonts w:ascii="Arial" w:hAnsi="Arial" w:cs="Arial"/>
          <w:sz w:val="24"/>
          <w:szCs w:val="24"/>
        </w:rPr>
        <w:t xml:space="preserve"> per i provvedimenti negativi: nelle c.d. non spettanza e cioè nella definizione autoritativa che quel determinato provvedimento non spetta al destinatario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p r e a m b o l o : in cui sono indicate le norme di legge o i regolamenti in base ai quali l’atto stesso è stato adottato, nonché le attestazioni relative agli atti preparatori; </w:t>
      </w:r>
    </w:p>
    <w:p w:rsidR="00AE7BEA" w:rsidRDefault="00AE7BEA" w:rsidP="00AE7BEA">
      <w:pPr>
        <w:shd w:val="clear" w:color="auto" w:fill="FFFFFF"/>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m o t i v a z i o n e : che consiste in una “p a r t e d e s c r i t </w:t>
      </w:r>
      <w:proofErr w:type="spellStart"/>
      <w:r>
        <w:rPr>
          <w:rFonts w:ascii="Arial" w:hAnsi="Arial" w:cs="Arial"/>
          <w:sz w:val="24"/>
          <w:szCs w:val="24"/>
        </w:rPr>
        <w:t>t</w:t>
      </w:r>
      <w:proofErr w:type="spellEnd"/>
      <w:r>
        <w:rPr>
          <w:rFonts w:ascii="Arial" w:hAnsi="Arial" w:cs="Arial"/>
          <w:sz w:val="24"/>
          <w:szCs w:val="24"/>
        </w:rPr>
        <w:t xml:space="preserve"> i v a ”, nella quale la P.A. indica gli interessi coinvolti nel procedimento e una “p a r t e v a l u t a t i v a ”, nella quale la P.A. valuta comparativamente gli interessi motivando le ragioni per le quali ha preferito soddisfare un interesse in luogo di un altro; </w:t>
      </w:r>
      <w:r>
        <w:rPr>
          <w:rFonts w:ascii="Arial" w:hAnsi="Arial" w:cs="Arial"/>
          <w:sz w:val="24"/>
          <w:szCs w:val="24"/>
        </w:rPr>
        <w:sym w:font="Symbol" w:char="00B7"/>
      </w:r>
      <w:r>
        <w:rPr>
          <w:rFonts w:ascii="Arial" w:hAnsi="Arial" w:cs="Arial"/>
          <w:sz w:val="24"/>
          <w:szCs w:val="24"/>
        </w:rPr>
        <w:t xml:space="preserve"> d i s p o s i t i v o : che è la parte precettiva dell’atto e costituisce la dichiarazione di volontà vera e propria; </w:t>
      </w:r>
      <w:r>
        <w:rPr>
          <w:rFonts w:ascii="Arial" w:hAnsi="Arial" w:cs="Arial"/>
          <w:sz w:val="24"/>
          <w:szCs w:val="24"/>
        </w:rPr>
        <w:sym w:font="Symbol" w:char="00B7"/>
      </w:r>
      <w:r>
        <w:rPr>
          <w:rFonts w:ascii="Arial" w:hAnsi="Arial" w:cs="Arial"/>
          <w:sz w:val="24"/>
          <w:szCs w:val="24"/>
        </w:rPr>
        <w:t xml:space="preserve"> l u o g o e d a t a di emanazione;</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s o t </w:t>
      </w:r>
      <w:proofErr w:type="spellStart"/>
      <w:r>
        <w:rPr>
          <w:rFonts w:ascii="Arial" w:hAnsi="Arial" w:cs="Arial"/>
          <w:sz w:val="24"/>
          <w:szCs w:val="24"/>
        </w:rPr>
        <w:t>t</w:t>
      </w:r>
      <w:proofErr w:type="spellEnd"/>
      <w:r>
        <w:rPr>
          <w:rFonts w:ascii="Arial" w:hAnsi="Arial" w:cs="Arial"/>
          <w:sz w:val="24"/>
          <w:szCs w:val="24"/>
        </w:rPr>
        <w:t xml:space="preserve"> o s c r i z i o n e : cioè la firma dell’autorità che emana l’atto o di quella delegata. A ciò si aggiunga che, come previsto dall’art. 3 4° co. L. 241/90: “In ogni atto notificato al destinatario devono essere indicati il t e r m i n e </w:t>
      </w:r>
      <w:proofErr w:type="spellStart"/>
      <w:r>
        <w:rPr>
          <w:rFonts w:ascii="Arial" w:hAnsi="Arial" w:cs="Arial"/>
          <w:sz w:val="24"/>
          <w:szCs w:val="24"/>
        </w:rPr>
        <w:t>e</w:t>
      </w:r>
      <w:proofErr w:type="spellEnd"/>
      <w:r>
        <w:rPr>
          <w:rFonts w:ascii="Arial" w:hAnsi="Arial" w:cs="Arial"/>
          <w:sz w:val="24"/>
          <w:szCs w:val="24"/>
        </w:rPr>
        <w:t xml:space="preserve"> l ’ a u t o r i t à c u i è p o s </w:t>
      </w:r>
      <w:proofErr w:type="spellStart"/>
      <w:r>
        <w:rPr>
          <w:rFonts w:ascii="Arial" w:hAnsi="Arial" w:cs="Arial"/>
          <w:sz w:val="24"/>
          <w:szCs w:val="24"/>
        </w:rPr>
        <w:t>s</w:t>
      </w:r>
      <w:proofErr w:type="spellEnd"/>
      <w:r>
        <w:rPr>
          <w:rFonts w:ascii="Arial" w:hAnsi="Arial" w:cs="Arial"/>
          <w:sz w:val="24"/>
          <w:szCs w:val="24"/>
        </w:rPr>
        <w:t xml:space="preserve"> i b i l e r i c o r </w:t>
      </w:r>
      <w:proofErr w:type="spellStart"/>
      <w:r>
        <w:rPr>
          <w:rFonts w:ascii="Arial" w:hAnsi="Arial" w:cs="Arial"/>
          <w:sz w:val="24"/>
          <w:szCs w:val="24"/>
        </w:rPr>
        <w:t>r</w:t>
      </w:r>
      <w:proofErr w:type="spellEnd"/>
      <w:r>
        <w:rPr>
          <w:rFonts w:ascii="Arial" w:hAnsi="Arial" w:cs="Arial"/>
          <w:sz w:val="24"/>
          <w:szCs w:val="24"/>
        </w:rPr>
        <w:t xml:space="preserve"> e r e</w:t>
      </w:r>
    </w:p>
    <w:p w:rsidR="00AE7BEA" w:rsidRDefault="00AE7BEA" w:rsidP="00AE7BEA">
      <w:pPr>
        <w:shd w:val="clear" w:color="auto" w:fill="FFFFFF"/>
        <w:rPr>
          <w:rFonts w:ascii="Arial" w:hAnsi="Arial" w:cs="Arial"/>
          <w:color w:val="000000"/>
          <w:sz w:val="24"/>
          <w:szCs w:val="24"/>
        </w:rPr>
      </w:pPr>
      <w:r>
        <w:rPr>
          <w:rFonts w:ascii="Arial" w:hAnsi="Arial" w:cs="Arial"/>
          <w:color w:val="000000"/>
          <w:sz w:val="24"/>
          <w:szCs w:val="24"/>
        </w:rPr>
        <w:t>EFFICACIA DEL PROVVEDIMENTO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L’e f </w:t>
      </w:r>
      <w:proofErr w:type="spellStart"/>
      <w:r>
        <w:rPr>
          <w:rFonts w:ascii="Arial" w:hAnsi="Arial" w:cs="Arial"/>
          <w:sz w:val="24"/>
          <w:szCs w:val="24"/>
        </w:rPr>
        <w:t>f</w:t>
      </w:r>
      <w:proofErr w:type="spellEnd"/>
      <w:r>
        <w:rPr>
          <w:rFonts w:ascii="Arial" w:hAnsi="Arial" w:cs="Arial"/>
          <w:sz w:val="24"/>
          <w:szCs w:val="24"/>
        </w:rPr>
        <w:t xml:space="preserve"> i c a c i a g i u r i d i c a dell’atto indica la sua idoneità a produrre effetti, e si manifesta, di regola quando l’atto si p e r f e z i o n a , ossia quando esso acquisisce quegli elementi minimi che ne consentono l’identificazione come atto ascrivibile al tipo normativo cui sono imputati quei determinati effetti. Tradizionalmente si distinguono in dottrina tre tipi di efficacia: </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t xml:space="preserve">Efficacia costitutiva.SI estrinseca in trasformazioni giuridiche in senso tecnico, quali la costituzione, la modificazione o l’estinzione di situazioni giuridiche (es: concessione edilizia). L’efficacia costitutiva è propria dei provvedimenti amministrativi.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Efficacia dichiarativa.: dà luogo a mutamenti interni delle situazioni giuridiche, lasciandone intatto il contenuto strutturale e sostanziale. (es. gli atti di iscrizione dei beni pubblici).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Efficacia preclusiva.  si ha laddove l’atto anziché costituire ex novo un effetto lo rende incontestabile, come gli a t </w:t>
      </w:r>
      <w:proofErr w:type="spellStart"/>
      <w:r>
        <w:rPr>
          <w:rFonts w:ascii="Arial" w:hAnsi="Arial" w:cs="Arial"/>
          <w:sz w:val="24"/>
          <w:szCs w:val="24"/>
        </w:rPr>
        <w:t>t</w:t>
      </w:r>
      <w:proofErr w:type="spellEnd"/>
      <w:r>
        <w:rPr>
          <w:rFonts w:ascii="Arial" w:hAnsi="Arial" w:cs="Arial"/>
          <w:sz w:val="24"/>
          <w:szCs w:val="24"/>
        </w:rPr>
        <w:t xml:space="preserve"> i d i a c </w:t>
      </w:r>
      <w:proofErr w:type="spellStart"/>
      <w:r>
        <w:rPr>
          <w:rFonts w:ascii="Arial" w:hAnsi="Arial" w:cs="Arial"/>
          <w:sz w:val="24"/>
          <w:szCs w:val="24"/>
        </w:rPr>
        <w:t>c</w:t>
      </w:r>
      <w:proofErr w:type="spellEnd"/>
      <w:r>
        <w:rPr>
          <w:rFonts w:ascii="Arial" w:hAnsi="Arial" w:cs="Arial"/>
          <w:sz w:val="24"/>
          <w:szCs w:val="24"/>
        </w:rPr>
        <w:t xml:space="preserve"> e r t a m e n t o che rendono certa una situazione che prima era incerta.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L’Efficacia nel tempo si evidenzia nella fissazione del momento in cui gli effetti si producono ovvero iniziano a prodursi (se si tratta di atti a efficacia durevole Vi sono atti ad e f </w:t>
      </w:r>
      <w:proofErr w:type="spellStart"/>
      <w:r>
        <w:rPr>
          <w:rFonts w:ascii="Arial" w:hAnsi="Arial" w:cs="Arial"/>
          <w:sz w:val="24"/>
          <w:szCs w:val="24"/>
        </w:rPr>
        <w:t>f</w:t>
      </w:r>
      <w:proofErr w:type="spellEnd"/>
      <w:r>
        <w:rPr>
          <w:rFonts w:ascii="Arial" w:hAnsi="Arial" w:cs="Arial"/>
          <w:sz w:val="24"/>
          <w:szCs w:val="24"/>
        </w:rPr>
        <w:t xml:space="preserve"> i c a c i a i s t a n t a n e a , i cui effetti si producono in un determinato momento, nel quale l’efficacia stessa dell’atto si esaurisce (es. provvedimento di espropriazione). Vi sono poi Atti ad efficacia permanente., i cui effetti, che iniziano a prodursi da un certo momento, si prolungano nel tempo sino ad altro momento ovvero in ipotesi, permanentemente sino a che sopraggiunga altro fatto o atto capace di interrompere l’efficacia del primo (es. concessione di un pubblico servizio).</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Gli  Atti recettizzi invece diventano efficaci solo quando pervengono alla conoscenza del destinatario.. La. L. 15/2005, introducendo l’art. 21bis2 , distingue i provvedimenti limitativi della sfera giuridica dei privati dagli altri provvedimenti, stabilendo che i primi sono sempre a t </w:t>
      </w:r>
      <w:proofErr w:type="spellStart"/>
      <w:r>
        <w:rPr>
          <w:rFonts w:ascii="Arial" w:hAnsi="Arial" w:cs="Arial"/>
          <w:sz w:val="24"/>
          <w:szCs w:val="24"/>
        </w:rPr>
        <w:t>t</w:t>
      </w:r>
      <w:proofErr w:type="spellEnd"/>
      <w:r>
        <w:rPr>
          <w:rFonts w:ascii="Arial" w:hAnsi="Arial" w:cs="Arial"/>
          <w:sz w:val="24"/>
          <w:szCs w:val="24"/>
        </w:rPr>
        <w:t xml:space="preserve"> i r e c e t </w:t>
      </w:r>
      <w:proofErr w:type="spellStart"/>
      <w:r>
        <w:rPr>
          <w:rFonts w:ascii="Arial" w:hAnsi="Arial" w:cs="Arial"/>
          <w:sz w:val="24"/>
          <w:szCs w:val="24"/>
        </w:rPr>
        <w:t>t</w:t>
      </w:r>
      <w:proofErr w:type="spellEnd"/>
      <w:r>
        <w:rPr>
          <w:rFonts w:ascii="Arial" w:hAnsi="Arial" w:cs="Arial"/>
          <w:sz w:val="24"/>
          <w:szCs w:val="24"/>
        </w:rPr>
        <w:t xml:space="preserve"> i z </w:t>
      </w:r>
      <w:proofErr w:type="spellStart"/>
      <w:r>
        <w:rPr>
          <w:rFonts w:ascii="Arial" w:hAnsi="Arial" w:cs="Arial"/>
          <w:sz w:val="24"/>
          <w:szCs w:val="24"/>
        </w:rPr>
        <w:t>z</w:t>
      </w:r>
      <w:proofErr w:type="spellEnd"/>
      <w:r>
        <w:rPr>
          <w:rFonts w:ascii="Arial" w:hAnsi="Arial" w:cs="Arial"/>
          <w:sz w:val="24"/>
          <w:szCs w:val="24"/>
        </w:rPr>
        <w:t xml:space="preserve"> i , cioè sono idonei a produrre effetti giuridici solo nel momento in cui vengano comunicati al destinatario, laddove invece, gli altri provvedimenti acquistano efficacia con il solo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2 Art. 21bis: “Il provvedimento limitativo della sfera giuridica dei privati acquista efficacia nei confronti di ciascun destinatario con la comunicazione allo stesso effettuata anche nelle forme stabilite per la notifica agli irreperibili nei casi previsti dal codice di procedura civile. Qualora per il numero dei destinatari la comunicazione personale non sia possibile o risulti particolarmente gravosa, l’amministrazione provvede mediante forme di pubblicità idonee di volta in volta stabilite dall’amministrazione medesima. Il provvedimento limitativo della sfera giuridica dei privati non avente carattere sanzionatorio può contenere una motivata clausola di immediata efficacia. I provvedimenti limitativi della sfera giuridica dei privati aventi carattere cautelare ed urgente sono immediatamente efficaci”. Nei “provvedimenti limitativi della sfera giuridica dei privati”, rientrano senza dubbio, tutti i provvedimenti ablatori, essendo in essi, insito un effetto privativo di una facoltà o di un diritto facente capo al destinatario del provvedimento. </w:t>
      </w:r>
    </w:p>
    <w:p w:rsidR="00AE7BEA" w:rsidRDefault="00AE7BEA" w:rsidP="00AE7BEA">
      <w:pPr>
        <w:shd w:val="clear" w:color="auto" w:fill="FFFFFF"/>
        <w:rPr>
          <w:rFonts w:ascii="Arial" w:hAnsi="Arial" w:cs="Arial"/>
          <w:sz w:val="24"/>
          <w:szCs w:val="24"/>
        </w:rPr>
      </w:pPr>
      <w:r>
        <w:rPr>
          <w:rFonts w:ascii="Arial" w:hAnsi="Arial" w:cs="Arial"/>
          <w:sz w:val="24"/>
          <w:szCs w:val="24"/>
        </w:rPr>
        <w:t>L’art. 21bis prevede inoltre due ipotesi in cui è possibile derogare alla regola della comunicazione. Innanzitutto, nel caso di provvedimenti avente carattere cautelare ed urgente, che, infatti, per espressa previsione, sono “immediatamente esecutivi”, quindi idonei a produrre effetti a prescindere dallo loro comunicazione. La seconda ipotesi di deroga alla recettizietà dei provvedimenti limitativi della sfera giuridica dei privati è prevista per i provvedimenti a carattere non sanzionatorio, che possono “contenere una motivata clausola di efficacia”.</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t>L’esecuzione, l’esecutorietà e l’esecutività.</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 Il termine “e s e c u z i o n e ” indica il complesso delle attività (atti, procedimenti ed operazioni) intese a realizzare sul piano materiale gli effetti giuridici dell’atto, a t r a d u r </w:t>
      </w:r>
      <w:proofErr w:type="spellStart"/>
      <w:r>
        <w:rPr>
          <w:rFonts w:ascii="Arial" w:hAnsi="Arial" w:cs="Arial"/>
          <w:sz w:val="24"/>
          <w:szCs w:val="24"/>
        </w:rPr>
        <w:t>r</w:t>
      </w:r>
      <w:proofErr w:type="spellEnd"/>
      <w:r>
        <w:rPr>
          <w:rFonts w:ascii="Arial" w:hAnsi="Arial" w:cs="Arial"/>
          <w:sz w:val="24"/>
          <w:szCs w:val="24"/>
        </w:rPr>
        <w:t xml:space="preserve"> e i n f a t </w:t>
      </w:r>
      <w:proofErr w:type="spellStart"/>
      <w:r>
        <w:rPr>
          <w:rFonts w:ascii="Arial" w:hAnsi="Arial" w:cs="Arial"/>
          <w:sz w:val="24"/>
          <w:szCs w:val="24"/>
        </w:rPr>
        <w:t>t</w:t>
      </w:r>
      <w:proofErr w:type="spellEnd"/>
      <w:r>
        <w:rPr>
          <w:rFonts w:ascii="Arial" w:hAnsi="Arial" w:cs="Arial"/>
          <w:sz w:val="24"/>
          <w:szCs w:val="24"/>
        </w:rPr>
        <w:t xml:space="preserve"> o l ’ e f </w:t>
      </w:r>
      <w:proofErr w:type="spellStart"/>
      <w:r>
        <w:rPr>
          <w:rFonts w:ascii="Arial" w:hAnsi="Arial" w:cs="Arial"/>
          <w:sz w:val="24"/>
          <w:szCs w:val="24"/>
        </w:rPr>
        <w:t>f</w:t>
      </w:r>
      <w:proofErr w:type="spellEnd"/>
      <w:r>
        <w:rPr>
          <w:rFonts w:ascii="Arial" w:hAnsi="Arial" w:cs="Arial"/>
          <w:sz w:val="24"/>
          <w:szCs w:val="24"/>
        </w:rPr>
        <w:t xml:space="preserve"> e t </w:t>
      </w:r>
      <w:proofErr w:type="spellStart"/>
      <w:r>
        <w:rPr>
          <w:rFonts w:ascii="Arial" w:hAnsi="Arial" w:cs="Arial"/>
          <w:sz w:val="24"/>
          <w:szCs w:val="24"/>
        </w:rPr>
        <w:t>t</w:t>
      </w:r>
      <w:proofErr w:type="spellEnd"/>
      <w:r>
        <w:rPr>
          <w:rFonts w:ascii="Arial" w:hAnsi="Arial" w:cs="Arial"/>
          <w:sz w:val="24"/>
          <w:szCs w:val="24"/>
        </w:rPr>
        <w:t xml:space="preserve"> o , soddisfacendo il relativo interesse. Il concetto di esecuzione va tenuto distinto dal concetto di e s e c u t i v i t à , che indica l’astratta idoneità dell’atto ad essere “portato in esecuzione” in quanto, in relazione ad esso, si sono verificati tutti i requisiti di efficacia previsti dall’atto stesso (termini, condizione) o dalla legge (controllo, comunicazione etc.). In altri termini l’esecutività di un provvedimento amministrativo consiste nella sua idoneità “a produrre automaticamente e immediatamente i propri effetti, allorché l’atto sia divenuto efficace”. Ed invero, il legislatore ha posto come regola generale quella per cui, salvo espressa previsione in senso contrario contenuta nella legge o nel corpo dell’atto, i provvedimenti amministrativi “sono eseguiti immediatamente” (art. 21quater 1 co. L. 241/1990)6 . A volte l’esecuzione di un provvedimento necessità dell’attività del terzo, attività che il terzo potrebbe anche rifiutarsi di porre in essere. Nel settore privatistico qualora, il negozio giuridico, non sia portato ad esecuzione, la parte lesa può ricorre all’autorità giudiziaria al fine di ottenere o l’esecuzione coattiva della prestazione, oppure, qualora quest’ultima non sia possibile il risarcimento del danno. La condizione, diversamente dal termine, opera retroattivamente (art. 1360 c.c.) salve eccezioni. Il che significa che una volta avveratosi il fatto previsto come condizione sospensiva dell’efficacia dell’atto di che trattasi, questi si dispiega ex tunc; dal .momento del perfezionamento dell’atto stesso. Art. 21-quater 1° co: “I provvedimenti amministrativi efficaci sono eseguiti immediatamente, salvo che sia diversamente stabilito dalla legge o dal provvedimento medesimo.” </w:t>
      </w:r>
    </w:p>
    <w:p w:rsidR="00AE7BEA" w:rsidRDefault="00AE7BEA" w:rsidP="00AE7BEA">
      <w:pPr>
        <w:shd w:val="clear" w:color="auto" w:fill="FFFFFF"/>
        <w:rPr>
          <w:rFonts w:ascii="Arial" w:hAnsi="Arial" w:cs="Arial"/>
          <w:sz w:val="24"/>
          <w:szCs w:val="24"/>
        </w:rPr>
      </w:pPr>
      <w:r>
        <w:rPr>
          <w:rFonts w:ascii="Arial" w:hAnsi="Arial" w:cs="Arial"/>
          <w:sz w:val="24"/>
          <w:szCs w:val="24"/>
        </w:rPr>
        <w:t xml:space="preserve">L’efficacia e l’esecuzione dei provvedimenti Nel settore amministrativo le cose sono un po’ diverse, in quanto, come sappiamo, gli atti amministrativi, rispetto a quelli privatistici presentano una sostanziale peculiarità, sono atti di esercizio di potere, il quale è attribuito dalla legge all’autorità amministrativa, perché curi (realizzi in concreto) determinato interessi pubblici. Pertanto l’esigenza che i valori (ossia gli effetti giuridici) da essi prodotti siano portati ad esecuzione, ossia tramutati in fatti, non è un esigenza privata di un singolo soggetto, ma è un esigenza pubblica. Ciò da luogo ad un conseguenza di fondamentale importanza nella teorica dell’efficacia degli atti amministrativi: che in molteplici casi, e attraverso strumenti diversificati, è prevista in capo all’autorità amministrativa la capacità di portare a realizzazione (trasformare l’effetto in fatto), anche coattivamente (es. conseguire coattivamente la presa di possesso da parte dell’espropriante e della cosa espropriata a fronte della mancata consegna di quest’ultimo). Si parla a riguarda della cd. e s e c u t o r i e t à dell’atto amministrativo, termine con il quale si indica l’”a t </w:t>
      </w:r>
      <w:proofErr w:type="spellStart"/>
      <w:r>
        <w:rPr>
          <w:rFonts w:ascii="Arial" w:hAnsi="Arial" w:cs="Arial"/>
          <w:sz w:val="24"/>
          <w:szCs w:val="24"/>
        </w:rPr>
        <w:t>t</w:t>
      </w:r>
      <w:proofErr w:type="spellEnd"/>
      <w:r>
        <w:rPr>
          <w:rFonts w:ascii="Arial" w:hAnsi="Arial" w:cs="Arial"/>
          <w:sz w:val="24"/>
          <w:szCs w:val="24"/>
        </w:rPr>
        <w:t xml:space="preserve"> i t u d i n e d e l p r o v </w:t>
      </w:r>
      <w:proofErr w:type="spellStart"/>
      <w:r>
        <w:rPr>
          <w:rFonts w:ascii="Arial" w:hAnsi="Arial" w:cs="Arial"/>
          <w:sz w:val="24"/>
          <w:szCs w:val="24"/>
        </w:rPr>
        <w:t>v</w:t>
      </w:r>
      <w:proofErr w:type="spellEnd"/>
      <w:r>
        <w:rPr>
          <w:rFonts w:ascii="Arial" w:hAnsi="Arial" w:cs="Arial"/>
          <w:sz w:val="24"/>
          <w:szCs w:val="24"/>
        </w:rPr>
        <w:t xml:space="preserve"> e d i m e n t o a d e s </w:t>
      </w:r>
      <w:proofErr w:type="spellStart"/>
      <w:r>
        <w:rPr>
          <w:rFonts w:ascii="Arial" w:hAnsi="Arial" w:cs="Arial"/>
          <w:sz w:val="24"/>
          <w:szCs w:val="24"/>
        </w:rPr>
        <w:t>s</w:t>
      </w:r>
      <w:proofErr w:type="spellEnd"/>
      <w:r>
        <w:rPr>
          <w:rFonts w:ascii="Arial" w:hAnsi="Arial" w:cs="Arial"/>
          <w:sz w:val="24"/>
          <w:szCs w:val="24"/>
        </w:rPr>
        <w:t xml:space="preserve"> e r e a t </w:t>
      </w:r>
      <w:proofErr w:type="spellStart"/>
      <w:r>
        <w:rPr>
          <w:rFonts w:ascii="Arial" w:hAnsi="Arial" w:cs="Arial"/>
          <w:sz w:val="24"/>
          <w:szCs w:val="24"/>
        </w:rPr>
        <w:t>t</w:t>
      </w:r>
      <w:proofErr w:type="spellEnd"/>
      <w:r>
        <w:rPr>
          <w:rFonts w:ascii="Arial" w:hAnsi="Arial" w:cs="Arial"/>
          <w:sz w:val="24"/>
          <w:szCs w:val="24"/>
        </w:rPr>
        <w:t xml:space="preserve"> u a t o c o a t </w:t>
      </w:r>
      <w:proofErr w:type="spellStart"/>
      <w:r>
        <w:rPr>
          <w:rFonts w:ascii="Arial" w:hAnsi="Arial" w:cs="Arial"/>
          <w:sz w:val="24"/>
          <w:szCs w:val="24"/>
        </w:rPr>
        <w:t>t</w:t>
      </w:r>
      <w:proofErr w:type="spellEnd"/>
      <w:r>
        <w:rPr>
          <w:rFonts w:ascii="Arial" w:hAnsi="Arial" w:cs="Arial"/>
          <w:sz w:val="24"/>
          <w:szCs w:val="24"/>
        </w:rPr>
        <w:t xml:space="preserve"> i v a m e n t e ”, cioè anche contro il volere del suo destinatario</w:t>
      </w:r>
    </w:p>
    <w:p w:rsidR="00AE7BEA" w:rsidRDefault="00AE7BEA" w:rsidP="00AE7BEA">
      <w:pPr>
        <w:shd w:val="clear" w:color="auto" w:fill="FFFFFF"/>
        <w:rPr>
          <w:rFonts w:ascii="Arial" w:hAnsi="Arial" w:cs="Arial"/>
          <w:sz w:val="24"/>
          <w:szCs w:val="24"/>
        </w:rPr>
      </w:pPr>
      <w:r>
        <w:rPr>
          <w:rFonts w:ascii="Arial" w:hAnsi="Arial" w:cs="Arial"/>
          <w:sz w:val="24"/>
          <w:szCs w:val="24"/>
        </w:rPr>
        <w:t>. In altri termini con l’espressione esecutorietà del provvedimento amministrativo si indica la possibilità che la sua esecuzione sia compiuta, in quanto espressione di autotutela, direttamente e coattivamente dalla pubblica amministrazione, senza dover ricorrere previamente all’autorità giudiziaria</w:t>
      </w:r>
    </w:p>
    <w:p w:rsidR="00AE7BEA" w:rsidRDefault="00AE7BEA" w:rsidP="00AE7BEA">
      <w:pPr>
        <w:shd w:val="clear" w:color="auto" w:fill="FFFFFF"/>
        <w:rPr>
          <w:rFonts w:ascii="Arial" w:hAnsi="Arial" w:cs="Arial"/>
          <w:sz w:val="24"/>
          <w:szCs w:val="24"/>
        </w:rPr>
      </w:pPr>
      <w:r>
        <w:rPr>
          <w:rFonts w:ascii="Arial" w:hAnsi="Arial" w:cs="Arial"/>
          <w:sz w:val="24"/>
          <w:szCs w:val="24"/>
        </w:rPr>
        <w:lastRenderedPageBreak/>
        <w:t xml:space="preserve"> . Il nuovo articolo 21ter disciplina l’esecutorietà, definendone positivamente le conseguenze giuridiche e regolandone in dettaglio il meccanismo. La novella nel momento in cui stabilisce al suo primo comma9 : “Nei casi e con le modalità previste dalla legge, le pubbliche amministrazioni possono imporre coattivamente l’adempimento degli obblighi nei loro confronti”, recepisce l’impostazione legalistica del concetto di esecutorietà. Significa che l’esecuzione coattiva deve essere espressamente prevista dalla legge e deve avvenire con i procedimenti stabiliti dalla legge stessa, mentre negli altri casi si applicherà il diritto comune e l’esecuzione in sede giurisdizionale. L’art. 21ter recepisce, quindi un p r i n c i p i o che, ormai, era generalmente condiviso dalla dottrina e dalla giurisprudenza: quello d e l </w:t>
      </w:r>
      <w:proofErr w:type="spellStart"/>
      <w:r>
        <w:rPr>
          <w:rFonts w:ascii="Arial" w:hAnsi="Arial" w:cs="Arial"/>
          <w:sz w:val="24"/>
          <w:szCs w:val="24"/>
        </w:rPr>
        <w:t>l</w:t>
      </w:r>
      <w:proofErr w:type="spellEnd"/>
      <w:r>
        <w:rPr>
          <w:rFonts w:ascii="Arial" w:hAnsi="Arial" w:cs="Arial"/>
          <w:sz w:val="24"/>
          <w:szCs w:val="24"/>
        </w:rPr>
        <w:t xml:space="preserve"> ’ e c </w:t>
      </w:r>
      <w:proofErr w:type="spellStart"/>
      <w:r>
        <w:rPr>
          <w:rFonts w:ascii="Arial" w:hAnsi="Arial" w:cs="Arial"/>
          <w:sz w:val="24"/>
          <w:szCs w:val="24"/>
        </w:rPr>
        <w:t>c</w:t>
      </w:r>
      <w:proofErr w:type="spellEnd"/>
      <w:r>
        <w:rPr>
          <w:rFonts w:ascii="Arial" w:hAnsi="Arial" w:cs="Arial"/>
          <w:sz w:val="24"/>
          <w:szCs w:val="24"/>
        </w:rPr>
        <w:t xml:space="preserve"> e z i o n a l i t à d e l </w:t>
      </w:r>
      <w:proofErr w:type="spellStart"/>
      <w:r>
        <w:rPr>
          <w:rFonts w:ascii="Arial" w:hAnsi="Arial" w:cs="Arial"/>
          <w:sz w:val="24"/>
          <w:szCs w:val="24"/>
        </w:rPr>
        <w:t>l</w:t>
      </w:r>
      <w:proofErr w:type="spellEnd"/>
      <w:r>
        <w:rPr>
          <w:rFonts w:ascii="Arial" w:hAnsi="Arial" w:cs="Arial"/>
          <w:sz w:val="24"/>
          <w:szCs w:val="24"/>
        </w:rPr>
        <w:t xml:space="preserve"> ’ e s e c u t o r i e t à d e i p r o v </w:t>
      </w:r>
      <w:proofErr w:type="spellStart"/>
      <w:r>
        <w:rPr>
          <w:rFonts w:ascii="Arial" w:hAnsi="Arial" w:cs="Arial"/>
          <w:sz w:val="24"/>
          <w:szCs w:val="24"/>
        </w:rPr>
        <w:t>v</w:t>
      </w:r>
      <w:proofErr w:type="spellEnd"/>
      <w:r>
        <w:rPr>
          <w:rFonts w:ascii="Arial" w:hAnsi="Arial" w:cs="Arial"/>
          <w:sz w:val="24"/>
          <w:szCs w:val="24"/>
        </w:rPr>
        <w:t xml:space="preserve"> e d i m e n t i .  Da non confondere con l’a u t o r i t a r i e t à , che nei provvedimenti, costituisce la possibilità di produrre unilateralmente modificazione della sfera giuridica del destinatario, mentre per atti diversi dai provvedimenti (ad esempio certificazioni) si atteggia come certezza legale privilegiata (nel senso che fa piena prova fino a sentenze dichiarativa di falso). 8 Riassumendo dunque, non tutti i provvedimenti perfetti sono sempre efficaci, cioè in grado di poter produrre gli effetti da essi previsti. Allo stesso modo non tutti i provvedimenti efficaci sono sempre esecutori, ciò traducibili in fatti anche contro il volere del loro destinatario. Mentre sono sempre esecutivi, cioè traducibili in fatti, i provvedimenti divenuti efficaci, salvo che sia diversamente stabilito dalla legge o dal provvedimento medesimo. 9 Art. 21-ter. 1 co. “Nei casi e con le modalità stabiliti dalla legge, le pubbliche amministrazioni possono imporre coattivamente l’adempimento degli obblighi nei loro confronti. Il provvedimento costitutivo di obblighi indica il termine e le modalità dell’esecuzione da parte del soggetto obbligato. Qualora l’interessato non ottemperi, le pubbliche amministrazioni, previa diffida, possono provvedere all’esecuzione coattiva nelle ipotesi e secondo le modalità previste dalla legge.” </w:t>
      </w:r>
    </w:p>
    <w:p w:rsidR="00AE7BEA" w:rsidRDefault="00AE7BEA" w:rsidP="00AE7BEA">
      <w:pPr>
        <w:shd w:val="clear" w:color="auto" w:fill="FFFFFF"/>
        <w:rPr>
          <w:rFonts w:ascii="Arial" w:hAnsi="Arial" w:cs="Arial"/>
          <w:color w:val="000000"/>
          <w:sz w:val="24"/>
          <w:szCs w:val="24"/>
        </w:rPr>
      </w:pPr>
      <w:r>
        <w:rPr>
          <w:rFonts w:ascii="Arial" w:hAnsi="Arial" w:cs="Arial"/>
          <w:sz w:val="24"/>
          <w:szCs w:val="24"/>
        </w:rPr>
        <w:t>i Quanto al meccanismo dell’esecutorietà, l’art. 21ter, dopo aver previsto che le p.a. possano imporre coattivamente l’adempimento degli obblighi nei loro confronti, ritiene necessario che il provvedimento costitutivo di obblighi indichi “il termine e le modalità di esecuzione da parte del soggetto obbligato”. In caso di inottemperanza del soggetto obbligato la p.a., “previa diffida”, può provvedere all’esecuzione coattive “nelle ipotesi e secondo le modalità previste dalla legge”.</w:t>
      </w:r>
    </w:p>
    <w:p w:rsidR="00AE7BEA" w:rsidRDefault="00AE7BEA" w:rsidP="00AE7BEA">
      <w:pPr>
        <w:rPr>
          <w:rFonts w:ascii="Arial" w:hAnsi="Arial" w:cs="Arial"/>
          <w:sz w:val="24"/>
          <w:szCs w:val="24"/>
        </w:rPr>
      </w:pPr>
    </w:p>
    <w:p w:rsidR="00AE7BEA" w:rsidRPr="00C725DC" w:rsidRDefault="00AE7BEA" w:rsidP="00C725DC">
      <w:pPr>
        <w:pStyle w:val="NormaleWeb"/>
        <w:shd w:val="clear" w:color="auto" w:fill="FFFFFF"/>
        <w:spacing w:before="0" w:beforeAutospacing="0" w:after="134" w:afterAutospacing="0"/>
        <w:rPr>
          <w:rFonts w:ascii="Arial" w:hAnsi="Arial" w:cs="Arial"/>
          <w:color w:val="000000"/>
        </w:rPr>
      </w:pPr>
    </w:p>
    <w:sectPr w:rsidR="00AE7BEA" w:rsidRPr="00C725DC" w:rsidSect="00550B2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compat/>
  <w:rsids>
    <w:rsidRoot w:val="00AB2724"/>
    <w:rsid w:val="000C581B"/>
    <w:rsid w:val="004E4C36"/>
    <w:rsid w:val="00550B29"/>
    <w:rsid w:val="00554D2F"/>
    <w:rsid w:val="00827312"/>
    <w:rsid w:val="008642E2"/>
    <w:rsid w:val="00AB2724"/>
    <w:rsid w:val="00AE7BEA"/>
    <w:rsid w:val="00C725DC"/>
    <w:rsid w:val="00CB22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0B2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B27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725DC"/>
    <w:rPr>
      <w:color w:val="0000FF"/>
      <w:u w:val="single"/>
    </w:rPr>
  </w:style>
  <w:style w:type="character" w:styleId="Enfasicorsivo">
    <w:name w:val="Emphasis"/>
    <w:basedOn w:val="Carpredefinitoparagrafo"/>
    <w:uiPriority w:val="20"/>
    <w:qFormat/>
    <w:rsid w:val="00C725DC"/>
    <w:rPr>
      <w:i/>
      <w:iCs/>
    </w:rPr>
  </w:style>
  <w:style w:type="character" w:styleId="Enfasigrassetto">
    <w:name w:val="Strong"/>
    <w:basedOn w:val="Carpredefinitoparagrafo"/>
    <w:uiPriority w:val="22"/>
    <w:qFormat/>
    <w:rsid w:val="00AE7BEA"/>
    <w:rPr>
      <w:b/>
      <w:bCs/>
    </w:rPr>
  </w:style>
</w:styles>
</file>

<file path=word/webSettings.xml><?xml version="1.0" encoding="utf-8"?>
<w:webSettings xmlns:r="http://schemas.openxmlformats.org/officeDocument/2006/relationships" xmlns:w="http://schemas.openxmlformats.org/wordprocessingml/2006/main">
  <w:divs>
    <w:div w:id="7014439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36">
          <w:marLeft w:val="0"/>
          <w:marRight w:val="0"/>
          <w:marTop w:val="0"/>
          <w:marBottom w:val="0"/>
          <w:divBdr>
            <w:top w:val="none" w:sz="0" w:space="0" w:color="auto"/>
            <w:left w:val="none" w:sz="0" w:space="0" w:color="auto"/>
            <w:bottom w:val="none" w:sz="0" w:space="0" w:color="auto"/>
            <w:right w:val="none" w:sz="0" w:space="0" w:color="auto"/>
          </w:divBdr>
        </w:div>
        <w:div w:id="1723169162">
          <w:marLeft w:val="0"/>
          <w:marRight w:val="0"/>
          <w:marTop w:val="0"/>
          <w:marBottom w:val="0"/>
          <w:divBdr>
            <w:top w:val="none" w:sz="0" w:space="0" w:color="auto"/>
            <w:left w:val="none" w:sz="0" w:space="0" w:color="auto"/>
            <w:bottom w:val="none" w:sz="0" w:space="0" w:color="auto"/>
            <w:right w:val="none" w:sz="0" w:space="0" w:color="auto"/>
          </w:divBdr>
        </w:div>
        <w:div w:id="1049764313">
          <w:marLeft w:val="0"/>
          <w:marRight w:val="0"/>
          <w:marTop w:val="0"/>
          <w:marBottom w:val="0"/>
          <w:divBdr>
            <w:top w:val="none" w:sz="0" w:space="0" w:color="auto"/>
            <w:left w:val="none" w:sz="0" w:space="0" w:color="auto"/>
            <w:bottom w:val="none" w:sz="0" w:space="0" w:color="auto"/>
            <w:right w:val="none" w:sz="0" w:space="0" w:color="auto"/>
          </w:divBdr>
        </w:div>
        <w:div w:id="282226527">
          <w:marLeft w:val="0"/>
          <w:marRight w:val="0"/>
          <w:marTop w:val="0"/>
          <w:marBottom w:val="0"/>
          <w:divBdr>
            <w:top w:val="none" w:sz="0" w:space="0" w:color="auto"/>
            <w:left w:val="none" w:sz="0" w:space="0" w:color="auto"/>
            <w:bottom w:val="none" w:sz="0" w:space="0" w:color="auto"/>
            <w:right w:val="none" w:sz="0" w:space="0" w:color="auto"/>
          </w:divBdr>
        </w:div>
        <w:div w:id="759178559">
          <w:marLeft w:val="0"/>
          <w:marRight w:val="0"/>
          <w:marTop w:val="0"/>
          <w:marBottom w:val="0"/>
          <w:divBdr>
            <w:top w:val="none" w:sz="0" w:space="0" w:color="auto"/>
            <w:left w:val="none" w:sz="0" w:space="0" w:color="auto"/>
            <w:bottom w:val="none" w:sz="0" w:space="0" w:color="auto"/>
            <w:right w:val="none" w:sz="0" w:space="0" w:color="auto"/>
          </w:divBdr>
        </w:div>
        <w:div w:id="1990329936">
          <w:marLeft w:val="0"/>
          <w:marRight w:val="0"/>
          <w:marTop w:val="0"/>
          <w:marBottom w:val="0"/>
          <w:divBdr>
            <w:top w:val="none" w:sz="0" w:space="0" w:color="auto"/>
            <w:left w:val="none" w:sz="0" w:space="0" w:color="auto"/>
            <w:bottom w:val="none" w:sz="0" w:space="0" w:color="auto"/>
            <w:right w:val="none" w:sz="0" w:space="0" w:color="auto"/>
          </w:divBdr>
        </w:div>
        <w:div w:id="1064639861">
          <w:marLeft w:val="0"/>
          <w:marRight w:val="0"/>
          <w:marTop w:val="0"/>
          <w:marBottom w:val="0"/>
          <w:divBdr>
            <w:top w:val="none" w:sz="0" w:space="0" w:color="auto"/>
            <w:left w:val="none" w:sz="0" w:space="0" w:color="auto"/>
            <w:bottom w:val="none" w:sz="0" w:space="0" w:color="auto"/>
            <w:right w:val="none" w:sz="0" w:space="0" w:color="auto"/>
          </w:divBdr>
        </w:div>
      </w:divsChild>
    </w:div>
    <w:div w:id="743769299">
      <w:bodyDiv w:val="1"/>
      <w:marLeft w:val="0"/>
      <w:marRight w:val="0"/>
      <w:marTop w:val="0"/>
      <w:marBottom w:val="0"/>
      <w:divBdr>
        <w:top w:val="none" w:sz="0" w:space="0" w:color="auto"/>
        <w:left w:val="none" w:sz="0" w:space="0" w:color="auto"/>
        <w:bottom w:val="none" w:sz="0" w:space="0" w:color="auto"/>
        <w:right w:val="none" w:sz="0" w:space="0" w:color="auto"/>
      </w:divBdr>
    </w:div>
    <w:div w:id="1251037627">
      <w:bodyDiv w:val="1"/>
      <w:marLeft w:val="0"/>
      <w:marRight w:val="0"/>
      <w:marTop w:val="0"/>
      <w:marBottom w:val="0"/>
      <w:divBdr>
        <w:top w:val="none" w:sz="0" w:space="0" w:color="auto"/>
        <w:left w:val="none" w:sz="0" w:space="0" w:color="auto"/>
        <w:bottom w:val="none" w:sz="0" w:space="0" w:color="auto"/>
        <w:right w:val="none" w:sz="0" w:space="0" w:color="auto"/>
      </w:divBdr>
    </w:div>
    <w:div w:id="1442726478">
      <w:bodyDiv w:val="1"/>
      <w:marLeft w:val="0"/>
      <w:marRight w:val="0"/>
      <w:marTop w:val="0"/>
      <w:marBottom w:val="0"/>
      <w:divBdr>
        <w:top w:val="none" w:sz="0" w:space="0" w:color="auto"/>
        <w:left w:val="none" w:sz="0" w:space="0" w:color="auto"/>
        <w:bottom w:val="none" w:sz="0" w:space="0" w:color="auto"/>
        <w:right w:val="none" w:sz="0" w:space="0" w:color="auto"/>
      </w:divBdr>
    </w:div>
    <w:div w:id="1541818840">
      <w:bodyDiv w:val="1"/>
      <w:marLeft w:val="0"/>
      <w:marRight w:val="0"/>
      <w:marTop w:val="0"/>
      <w:marBottom w:val="0"/>
      <w:divBdr>
        <w:top w:val="none" w:sz="0" w:space="0" w:color="auto"/>
        <w:left w:val="none" w:sz="0" w:space="0" w:color="auto"/>
        <w:bottom w:val="none" w:sz="0" w:space="0" w:color="auto"/>
        <w:right w:val="none" w:sz="0" w:space="0" w:color="auto"/>
      </w:divBdr>
    </w:div>
    <w:div w:id="2051295109">
      <w:bodyDiv w:val="1"/>
      <w:marLeft w:val="0"/>
      <w:marRight w:val="0"/>
      <w:marTop w:val="0"/>
      <w:marBottom w:val="0"/>
      <w:divBdr>
        <w:top w:val="none" w:sz="0" w:space="0" w:color="auto"/>
        <w:left w:val="none" w:sz="0" w:space="0" w:color="auto"/>
        <w:bottom w:val="none" w:sz="0" w:space="0" w:color="auto"/>
        <w:right w:val="none" w:sz="0" w:space="0" w:color="auto"/>
      </w:divBdr>
    </w:div>
    <w:div w:id="2073651041">
      <w:bodyDiv w:val="1"/>
      <w:marLeft w:val="0"/>
      <w:marRight w:val="0"/>
      <w:marTop w:val="0"/>
      <w:marBottom w:val="0"/>
      <w:divBdr>
        <w:top w:val="none" w:sz="0" w:space="0" w:color="auto"/>
        <w:left w:val="none" w:sz="0" w:space="0" w:color="auto"/>
        <w:bottom w:val="none" w:sz="0" w:space="0" w:color="auto"/>
        <w:right w:val="none" w:sz="0" w:space="0" w:color="auto"/>
      </w:divBdr>
    </w:div>
    <w:div w:id="212719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5293</Words>
  <Characters>30172</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2019-10-25T12:53:00Z</dcterms:created>
  <dcterms:modified xsi:type="dcterms:W3CDTF">2019-10-25T12:53:00Z</dcterms:modified>
</cp:coreProperties>
</file>