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FD9" w:rsidRPr="00E76FD9" w:rsidRDefault="00E76FD9" w:rsidP="00E76FD9">
      <w:pPr>
        <w:rPr>
          <w:rFonts w:ascii="Arial" w:hAnsi="Arial" w:cs="Arial"/>
          <w:sz w:val="24"/>
          <w:szCs w:val="24"/>
        </w:rPr>
      </w:pPr>
      <w:r w:rsidRPr="00E76FD9">
        <w:rPr>
          <w:rFonts w:ascii="Arial" w:hAnsi="Arial" w:cs="Arial"/>
          <w:sz w:val="24"/>
          <w:szCs w:val="24"/>
        </w:rPr>
        <w:t xml:space="preserve">QUESITO: SCIA + SILENZIO ASSENSO </w:t>
      </w:r>
    </w:p>
    <w:p w:rsidR="00E76FD9" w:rsidRPr="00E76FD9" w:rsidRDefault="00E76FD9" w:rsidP="00E76FD9">
      <w:pPr>
        <w:rPr>
          <w:rFonts w:ascii="Arial" w:hAnsi="Arial" w:cs="Arial"/>
          <w:sz w:val="24"/>
          <w:szCs w:val="24"/>
        </w:rPr>
      </w:pPr>
    </w:p>
    <w:p w:rsidR="00E76FD9" w:rsidRPr="00E76FD9" w:rsidRDefault="00E76FD9" w:rsidP="00E76FD9">
      <w:pPr>
        <w:rPr>
          <w:rFonts w:ascii="Arial" w:hAnsi="Arial" w:cs="Arial"/>
          <w:sz w:val="24"/>
          <w:szCs w:val="24"/>
        </w:rPr>
      </w:pPr>
      <w:bookmarkStart w:id="0" w:name="_GoBack"/>
      <w:bookmarkEnd w:id="0"/>
      <w:r w:rsidRPr="00E76FD9">
        <w:rPr>
          <w:rFonts w:ascii="Arial" w:hAnsi="Arial" w:cs="Arial"/>
          <w:sz w:val="24"/>
          <w:szCs w:val="24"/>
        </w:rPr>
        <w:t xml:space="preserve">L’art 19 della l. 241/90 riporta che per ogni atto di autorizzazione, licenza, concessione, permesso ma anche per l’iscrizione ai vari albi o ruoli per l’esercizio di un attività imprenditoriale, commerciale o artigianale e di atti amministrativi a contenuto generale tranne nei casi in cui siano interessati i vincoli ambientali, paesaggistici, culturali, di pubblica sicurezza, immigrazione, asilo, cittadinanza e finanze per il rilascio degli atti è necessario, da parte dell’interessato, la presentazione di una segnalazione (SCIA). Si sta parlando quindi di tutti gli atti a contenuto vincolato a carattere non discrezionale. La scia dovrà essere corredata da dichiarazioni sostitutive di certificazioni e atti di notorietà così come specificato negli art 46-47 del DPR 445/2000 a cui, dove la normativa lo prevede, dovrà essere allegato il documento di riconoscimento. Dovranno inoltre essere allegati alla segnalazione, dove previsto dalla normativa, le attestazioni e le asseverazioni comprese di eventuali elaborati tecnici da parte di professionisti abilitati per consentire all’amministrazione le verifiche di competenza sulla richiesta ricevuta. La segnalazione può essere presentata tramite consegna a mano, mezzo raccomandata o dove la normativa lo consenta a mezzo telematico. L’attività oggetto della segnalazione può essere avviata nel momento di presentazione della richiesta anche nel caso in cui per dare avvio si attendano i pareri di altre amministrazioni e enti competenti in materia. Nel caso in cui, infatti, l’amministrazione competente accerti la carenza dei requisiti necessari potrà entro sessanta giorni dalla ricezione della segnalazione mettere in piedi tutti quei provvedimenti e atti necessari alla corretta applicazione della norma vigente in materia dando comunque un termine di trenta giorni al privato per poter adempiere ad eventuali azioni correttive per uniformare la propria attività. Nel caso in cui vi sia invece un pericolo per l’interesse pubblico negli ambiti riportati nella art 19 l’amministrazione potrà disporre la sospensione immediata dell’attività esercitata. Nel caso in cui nelle attestazioni il privato dichiari il falso potrà essere punito con la reclusione. </w:t>
      </w:r>
    </w:p>
    <w:p w:rsidR="00E76FD9" w:rsidRPr="00E76FD9" w:rsidRDefault="00E76FD9" w:rsidP="00E76FD9">
      <w:pPr>
        <w:spacing w:after="0" w:line="240" w:lineRule="auto"/>
        <w:rPr>
          <w:rFonts w:ascii="Arial" w:hAnsi="Arial" w:cs="Arial"/>
          <w:sz w:val="24"/>
          <w:szCs w:val="24"/>
        </w:rPr>
      </w:pPr>
      <w:r w:rsidRPr="00E76FD9">
        <w:rPr>
          <w:rFonts w:ascii="Arial" w:hAnsi="Arial" w:cs="Arial"/>
          <w:sz w:val="24"/>
          <w:szCs w:val="24"/>
        </w:rPr>
        <w:t xml:space="preserve">Negli altri casi, ad istanza di parte, non disciplinati dall’art 19 della l 241/90, si parla di atti a contenuto non vincolato e a carattere discrezionale, il silenzio dell’amministrazione vale come provvedimento di accoglimento dell’istanza presentata salvo che la PA non provveda a comunicazione di diniego decorsi trenta giorni dalla presentazione della richiesta. </w:t>
      </w:r>
    </w:p>
    <w:p w:rsidR="00E76FD9" w:rsidRPr="00E76FD9" w:rsidRDefault="00E76FD9" w:rsidP="00E76FD9">
      <w:pPr>
        <w:spacing w:after="0" w:line="240" w:lineRule="auto"/>
        <w:rPr>
          <w:rFonts w:ascii="Arial" w:hAnsi="Arial" w:cs="Arial"/>
          <w:sz w:val="24"/>
          <w:szCs w:val="24"/>
        </w:rPr>
      </w:pPr>
      <w:r w:rsidRPr="00E76FD9">
        <w:rPr>
          <w:rFonts w:ascii="Arial" w:hAnsi="Arial" w:cs="Arial"/>
          <w:sz w:val="24"/>
          <w:szCs w:val="24"/>
        </w:rPr>
        <w:t>Entro i 30 giorni dalla presentazione dell’istanza nei casi in cui vi sia la necessità di pareri di altre amministrazioni si potrà indire una conferenza di servizi nella quale verrà valutata la richiesta e verrà prodotto un provvedimento finale a conclusione dell’iter se si tratta di conferenza decisoria. Se invece si tratta di una conferenza preliminare verrà comunicato al privato quelle che saranno le condizioni per avere esito positivo. La terza casistica di conferenza è quella istruttoria che verrà convocata nel caso in cui venga coinvolto un interesse pubblico. Nel caso di silenzio assenso l’amministrazione può effettuare istanza di autotutela per revocare o annullare il provvedimento amministrativo.</w:t>
      </w:r>
    </w:p>
    <w:p w:rsidR="00354EB5" w:rsidRPr="00E76FD9" w:rsidRDefault="00354EB5">
      <w:pPr>
        <w:rPr>
          <w:rFonts w:ascii="Arial" w:hAnsi="Arial" w:cs="Arial"/>
          <w:sz w:val="24"/>
          <w:szCs w:val="24"/>
        </w:rPr>
      </w:pPr>
    </w:p>
    <w:p w:rsidR="00E76FD9" w:rsidRPr="00E76FD9" w:rsidRDefault="00E76FD9">
      <w:pPr>
        <w:rPr>
          <w:rFonts w:ascii="Arial" w:hAnsi="Arial" w:cs="Arial"/>
          <w:sz w:val="24"/>
          <w:szCs w:val="24"/>
        </w:rPr>
      </w:pPr>
    </w:p>
    <w:p w:rsidR="00E76FD9" w:rsidRPr="00E76FD9" w:rsidRDefault="00E76FD9" w:rsidP="00E76FD9">
      <w:pPr>
        <w:rPr>
          <w:rFonts w:ascii="Arial" w:hAnsi="Arial" w:cs="Arial"/>
          <w:sz w:val="24"/>
          <w:szCs w:val="24"/>
        </w:rPr>
      </w:pPr>
      <w:r w:rsidRPr="00E76FD9">
        <w:rPr>
          <w:rFonts w:ascii="Arial" w:hAnsi="Arial" w:cs="Arial"/>
          <w:sz w:val="24"/>
          <w:szCs w:val="24"/>
        </w:rPr>
        <w:t>ECCESSO DI POTERE</w:t>
      </w:r>
    </w:p>
    <w:p w:rsidR="00E76FD9" w:rsidRPr="00E76FD9" w:rsidRDefault="00E76FD9" w:rsidP="00E76FD9">
      <w:pPr>
        <w:rPr>
          <w:rFonts w:ascii="Arial" w:hAnsi="Arial" w:cs="Arial"/>
          <w:sz w:val="24"/>
          <w:szCs w:val="24"/>
        </w:rPr>
      </w:pPr>
      <w:r w:rsidRPr="00E76FD9">
        <w:rPr>
          <w:rFonts w:ascii="Arial" w:hAnsi="Arial" w:cs="Arial"/>
          <w:sz w:val="24"/>
          <w:szCs w:val="24"/>
        </w:rPr>
        <w:t xml:space="preserve">L’eccesso di potere è uno dei vizi di legittimità dell’atto amministrativo, assieme all’incompetenza e al vizio di legge, e consiste nel vizio dell’atto che viene adottato per un fine diverso da quello prefissato dalla norma attributiva del potere. In sostanza, l’eccesso </w:t>
      </w:r>
      <w:r w:rsidRPr="00E76FD9">
        <w:rPr>
          <w:rFonts w:ascii="Arial" w:hAnsi="Arial" w:cs="Arial"/>
          <w:sz w:val="24"/>
          <w:szCs w:val="24"/>
        </w:rPr>
        <w:lastRenderedPageBreak/>
        <w:t>di potere si manifesta nel cattivo uso del potere di scelta da parte della pubblica amministrazione, cioè in un eccesso di discrezionalità. Perché si concretizzi la figura dell’eccesso di potere occorrono i seguenti presupposti:</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Un potere discrezionale della P.A. in quanto, per atti vincolati, la legge non riconosce alcuna possibilità di scelta circa il contenuto, di conseguenza, l’unico vizio rilevabile potrebbe essere quello del vizio di legge;</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L’atto deve essere conforme alla legge, poiché, nuovamente, in quel caso il vizio sarebbe quello di violazione di legge;</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Uno sviamento del potere discrezionale dal fine pubblico da realizzare</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Prova dello sviamento del potere.</w:t>
      </w:r>
    </w:p>
    <w:p w:rsidR="00E76FD9" w:rsidRPr="00E76FD9" w:rsidRDefault="00E76FD9" w:rsidP="00E76FD9">
      <w:pPr>
        <w:rPr>
          <w:rFonts w:ascii="Arial" w:hAnsi="Arial" w:cs="Arial"/>
          <w:sz w:val="24"/>
          <w:szCs w:val="24"/>
        </w:rPr>
      </w:pPr>
      <w:r w:rsidRPr="00E76FD9">
        <w:rPr>
          <w:rFonts w:ascii="Arial" w:hAnsi="Arial" w:cs="Arial"/>
          <w:sz w:val="24"/>
          <w:szCs w:val="24"/>
        </w:rPr>
        <w:t>Accertare nella pratica l’eccesso di potere risulta alquanto difficile, perciò la dottrina e la giurisprudenza hanno elaborato una serie di cosiddette “figure sintomatiche”, la cui presenza rivela in genere un cattivo uso del potere da parte dell’amministrazione. In sostanza, non essendo l’eccesso di potere un vizio che possa risultare dall’esame dell’atto, la dimostrazione che il ragionamento seguito dall’amministrazione sia illogico, incoerente o irragionevole, dimostra la presenza del vizio in questione.</w:t>
      </w:r>
    </w:p>
    <w:p w:rsidR="00E76FD9" w:rsidRPr="00E76FD9" w:rsidRDefault="00E76FD9" w:rsidP="00E76FD9">
      <w:pPr>
        <w:rPr>
          <w:rFonts w:ascii="Arial" w:hAnsi="Arial" w:cs="Arial"/>
          <w:sz w:val="24"/>
          <w:szCs w:val="24"/>
        </w:rPr>
      </w:pPr>
      <w:r w:rsidRPr="00E76FD9">
        <w:rPr>
          <w:rFonts w:ascii="Arial" w:hAnsi="Arial" w:cs="Arial"/>
          <w:sz w:val="24"/>
          <w:szCs w:val="24"/>
        </w:rPr>
        <w:t>L’eccesso di potere si manifesta essenzialmente attraverso le seguenti figure, dette figure sintomatiche:</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Sviamento dall’interesse pubblico: l’atto è stato emanato per un interesse diverso da quello pubblico (di un privati, del funzionario responsabile, …);</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Sviamento dalla causa tipica: l’amministrazione ha agito per perseguire un fine, pur sempre pubblico, ma diverso risetto a quello stabilito dalla legge;</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Contraddittorietà e illogicità dell’atto: l’atto emanato presenta una motivazione illogica o in contrasto con il dispositivo;</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Contraddittorietà tra più atti: l’atto emesso è incompatibile con uno emesso precedentemente;</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Travisamento ed erronea valutazione dei di fatti: il provvedimento si basa sul presupposto di fatti palesemente erronei o falsi;</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Disparità di trattamento: in presenza di situazioni identiche l’amministrazione applica trattamenti diversi;</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Violazione di circolare: l’amministrazione emana l’atto discostandosi dalle prescrizioni contenute nella circolare. In questo caso di ha eccesso di potere e non violazione di legge perché la circolare non ha valore normativo;</w:t>
      </w:r>
    </w:p>
    <w:p w:rsidR="00E76FD9" w:rsidRPr="00E76FD9" w:rsidRDefault="00E76FD9" w:rsidP="00E76FD9">
      <w:pPr>
        <w:pStyle w:val="Paragrafoelenco"/>
        <w:numPr>
          <w:ilvl w:val="0"/>
          <w:numId w:val="1"/>
        </w:numPr>
        <w:rPr>
          <w:rFonts w:ascii="Arial" w:hAnsi="Arial" w:cs="Arial"/>
          <w:sz w:val="24"/>
          <w:szCs w:val="24"/>
        </w:rPr>
      </w:pPr>
      <w:r w:rsidRPr="00E76FD9">
        <w:rPr>
          <w:rFonts w:ascii="Arial" w:hAnsi="Arial" w:cs="Arial"/>
          <w:sz w:val="24"/>
          <w:szCs w:val="24"/>
        </w:rPr>
        <w:t>Ingiustizia manifesta: si tratta di una figura rara poiché l’ingiustizia manifesta generalmente attiene al merito e non alla legittimità. La giurisprudenza ha, però, individuato alcune ipotesi di ingiustizia manifesta che si concretizzano nell’eccesso di potere, in cui si evidenzia una palese violazione del principio di ragionevolezza</w:t>
      </w:r>
    </w:p>
    <w:p w:rsidR="00E76FD9" w:rsidRPr="00E76FD9" w:rsidRDefault="00E76FD9" w:rsidP="00E76FD9">
      <w:pPr>
        <w:rPr>
          <w:rFonts w:ascii="Arial" w:hAnsi="Arial" w:cs="Arial"/>
          <w:sz w:val="24"/>
          <w:szCs w:val="24"/>
        </w:rPr>
      </w:pPr>
      <w:r w:rsidRPr="00E76FD9">
        <w:rPr>
          <w:rFonts w:ascii="Arial" w:hAnsi="Arial" w:cs="Arial"/>
          <w:sz w:val="24"/>
          <w:szCs w:val="24"/>
        </w:rPr>
        <w:t xml:space="preserve">La L. 241/90 e successive modificazioni ha tradotto in norme di legge molti dei principi guida dell’attività amministrativa, con la conseguenza che talune violazioni di precetti di logica e correttezza comportamentale, prima considerate figure sintomatiche dell’Eccesso di potere, ora rappresentano violazioni di legge. </w:t>
      </w:r>
    </w:p>
    <w:p w:rsidR="00E76FD9" w:rsidRPr="00E76FD9" w:rsidRDefault="00E76FD9">
      <w:pPr>
        <w:rPr>
          <w:rFonts w:ascii="Arial" w:hAnsi="Arial" w:cs="Arial"/>
          <w:sz w:val="24"/>
          <w:szCs w:val="24"/>
        </w:rPr>
      </w:pPr>
    </w:p>
    <w:p w:rsidR="00E76FD9" w:rsidRPr="00E76FD9" w:rsidRDefault="00E76FD9" w:rsidP="00E76FD9">
      <w:pPr>
        <w:jc w:val="center"/>
        <w:rPr>
          <w:rFonts w:ascii="Arial" w:hAnsi="Arial" w:cs="Arial"/>
          <w:b/>
          <w:sz w:val="24"/>
          <w:szCs w:val="24"/>
        </w:rPr>
      </w:pPr>
      <w:r w:rsidRPr="00E76FD9">
        <w:rPr>
          <w:rFonts w:ascii="Arial" w:hAnsi="Arial" w:cs="Arial"/>
          <w:b/>
          <w:sz w:val="24"/>
          <w:szCs w:val="24"/>
        </w:rPr>
        <w:t>Principio di veridicità, attendibilità, correttezza e comprensibilità.</w:t>
      </w:r>
    </w:p>
    <w:p w:rsidR="00E76FD9" w:rsidRPr="00E76FD9" w:rsidRDefault="00E76FD9" w:rsidP="00E76FD9">
      <w:pPr>
        <w:jc w:val="center"/>
        <w:rPr>
          <w:rFonts w:ascii="Arial" w:hAnsi="Arial" w:cs="Arial"/>
          <w:b/>
          <w:sz w:val="24"/>
          <w:szCs w:val="24"/>
        </w:rPr>
      </w:pPr>
    </w:p>
    <w:p w:rsidR="00E76FD9" w:rsidRPr="00E76FD9" w:rsidRDefault="00E76FD9" w:rsidP="00E76FD9">
      <w:pPr>
        <w:jc w:val="both"/>
        <w:rPr>
          <w:rFonts w:ascii="Arial" w:hAnsi="Arial" w:cs="Arial"/>
          <w:sz w:val="24"/>
          <w:szCs w:val="24"/>
        </w:rPr>
      </w:pPr>
      <w:r w:rsidRPr="00E76FD9">
        <w:rPr>
          <w:rFonts w:ascii="Arial" w:hAnsi="Arial" w:cs="Arial"/>
          <w:sz w:val="24"/>
          <w:szCs w:val="24"/>
        </w:rPr>
        <w:t>Secondo il principio di veridicità lo strumento del bilancio deve rappresentare delle condizioni veritiere sia nella fase previsionale sia nella fase della rendicontazione. A tal proposito non è ammesso fare delle sopravvalutazioni o delle sottovalutazini delle singole poste in gioco perché deve essere fatta un’analisi oggettiva di tutti gli elementi che dobbiamo inserire a bilancio, sulla base anche degli andamenti degli anni precedenti. Il principio di veridicità non può essere disgiunto dagli altri principi di attendibilità veridicità e comprensibilità.</w:t>
      </w:r>
    </w:p>
    <w:p w:rsidR="00E76FD9" w:rsidRPr="00E76FD9" w:rsidRDefault="00E76FD9" w:rsidP="00E76FD9">
      <w:pPr>
        <w:jc w:val="both"/>
        <w:rPr>
          <w:rFonts w:ascii="Arial" w:hAnsi="Arial" w:cs="Arial"/>
          <w:sz w:val="24"/>
          <w:szCs w:val="24"/>
        </w:rPr>
      </w:pPr>
      <w:r w:rsidRPr="00E76FD9">
        <w:rPr>
          <w:rFonts w:ascii="Arial" w:hAnsi="Arial" w:cs="Arial"/>
          <w:sz w:val="24"/>
          <w:szCs w:val="24"/>
        </w:rPr>
        <w:t>L’attendibilità del bilancio prevede che tutte le previsioni e le valutazioni di carattere economico, finanziario e patrimoniale, siano sostenute da accurate analisi di tipo storico e programmatico, o in alternativa da altri idonei e obiettivi parametri di riferimenti, al fine di rendere attendibili i documenti predisposti .</w:t>
      </w:r>
    </w:p>
    <w:p w:rsidR="00E76FD9" w:rsidRPr="00E76FD9" w:rsidRDefault="00E76FD9" w:rsidP="00E76FD9">
      <w:pPr>
        <w:jc w:val="both"/>
        <w:rPr>
          <w:rFonts w:ascii="Arial" w:hAnsi="Arial" w:cs="Arial"/>
          <w:sz w:val="24"/>
          <w:szCs w:val="24"/>
        </w:rPr>
      </w:pPr>
      <w:r w:rsidRPr="00E76FD9">
        <w:rPr>
          <w:rFonts w:ascii="Arial" w:hAnsi="Arial" w:cs="Arial"/>
          <w:sz w:val="24"/>
          <w:szCs w:val="24"/>
        </w:rPr>
        <w:t>Affinché le informazioni contabili siano attendibili queste devono essere scevre da errori e distorsioni rilevanti in modo tale che gli utilizzatori possano fare affidamento ad esse. L’osservanza e il rispetto poi di tutte le norme che disciplinano la redazione di tutti i documenti contabili (programmazione, previsione, gestione e rendicontazione) deve essere alla base della loro formazione secondo quanto poi stabilito dal principio di correttezza.</w:t>
      </w:r>
    </w:p>
    <w:p w:rsidR="00E76FD9" w:rsidRPr="00E76FD9" w:rsidRDefault="00E76FD9" w:rsidP="00E76FD9">
      <w:pPr>
        <w:jc w:val="both"/>
        <w:rPr>
          <w:rFonts w:ascii="Arial" w:hAnsi="Arial" w:cs="Arial"/>
          <w:sz w:val="24"/>
          <w:szCs w:val="24"/>
        </w:rPr>
      </w:pPr>
      <w:r w:rsidRPr="00E76FD9">
        <w:rPr>
          <w:rFonts w:ascii="Arial" w:hAnsi="Arial" w:cs="Arial"/>
          <w:sz w:val="24"/>
          <w:szCs w:val="24"/>
        </w:rPr>
        <w:t>Il bilancio deve infine essere reso comprensibile e deve evidenziare una chiara classificazione delle voci finanziarie economiche e patrimoniali in modo da favorire la consultazione e garantire un’analisi delle informazioni previsionali, gestionali e di rendicontazione.</w:t>
      </w:r>
    </w:p>
    <w:p w:rsidR="00E76FD9" w:rsidRPr="00E76FD9" w:rsidRDefault="00E76FD9" w:rsidP="00E76FD9">
      <w:pPr>
        <w:rPr>
          <w:rFonts w:ascii="Arial" w:hAnsi="Arial" w:cs="Arial"/>
          <w:sz w:val="24"/>
          <w:szCs w:val="24"/>
        </w:rPr>
      </w:pPr>
      <w:r w:rsidRPr="00E76FD9">
        <w:rPr>
          <w:rFonts w:ascii="Arial" w:hAnsi="Arial" w:cs="Arial"/>
          <w:sz w:val="24"/>
          <w:szCs w:val="24"/>
        </w:rPr>
        <w:t>Il principio di veridicità, attendibilità, correttezza e comprensibilità si applica a tutto il sistema di bilancio</w:t>
      </w:r>
    </w:p>
    <w:p w:rsidR="00E76FD9" w:rsidRPr="00E76FD9" w:rsidRDefault="00E76FD9" w:rsidP="00E76FD9">
      <w:pPr>
        <w:rPr>
          <w:rFonts w:ascii="Arial" w:hAnsi="Arial" w:cs="Arial"/>
          <w:b/>
          <w:sz w:val="24"/>
          <w:szCs w:val="24"/>
        </w:rPr>
      </w:pPr>
      <w:r w:rsidRPr="00E76FD9">
        <w:rPr>
          <w:rFonts w:ascii="Arial" w:hAnsi="Arial" w:cs="Arial"/>
          <w:b/>
          <w:sz w:val="24"/>
          <w:szCs w:val="24"/>
        </w:rPr>
        <w:t>Principio di integrità.</w:t>
      </w:r>
    </w:p>
    <w:p w:rsidR="00E76FD9" w:rsidRPr="00E76FD9" w:rsidRDefault="00E76FD9" w:rsidP="00E76FD9">
      <w:pPr>
        <w:rPr>
          <w:rFonts w:ascii="Arial" w:hAnsi="Arial" w:cs="Arial"/>
          <w:sz w:val="24"/>
          <w:szCs w:val="24"/>
        </w:rPr>
      </w:pPr>
      <w:r w:rsidRPr="00E76FD9">
        <w:rPr>
          <w:rFonts w:ascii="Arial" w:hAnsi="Arial" w:cs="Arial"/>
          <w:sz w:val="24"/>
          <w:szCs w:val="24"/>
        </w:rPr>
        <w:t>Il principio di integrità è uno dei principi enunciati all’allegato 1 del d.lgs. 118/2011.</w:t>
      </w:r>
    </w:p>
    <w:p w:rsidR="00E76FD9" w:rsidRPr="00E76FD9" w:rsidRDefault="00E76FD9" w:rsidP="00E76FD9">
      <w:pPr>
        <w:rPr>
          <w:rFonts w:ascii="Arial" w:hAnsi="Arial" w:cs="Arial"/>
          <w:color w:val="0C0C0F"/>
          <w:sz w:val="24"/>
          <w:szCs w:val="24"/>
          <w:shd w:val="clear" w:color="auto" w:fill="FFFFFF"/>
        </w:rPr>
      </w:pPr>
      <w:r w:rsidRPr="00E76FD9">
        <w:rPr>
          <w:rFonts w:ascii="Arial" w:hAnsi="Arial" w:cs="Arial"/>
          <w:sz w:val="24"/>
          <w:szCs w:val="24"/>
        </w:rPr>
        <w:t xml:space="preserve">Il d.lgs. 118/2011 </w:t>
      </w:r>
      <w:r w:rsidRPr="00E76FD9">
        <w:rPr>
          <w:rFonts w:ascii="Arial" w:hAnsi="Arial" w:cs="Arial"/>
          <w:i/>
          <w:color w:val="0C0C0F"/>
          <w:sz w:val="24"/>
          <w:szCs w:val="24"/>
          <w:shd w:val="clear" w:color="auto" w:fill="FFFFFF"/>
        </w:rPr>
        <w:t>“Disposizioni in materia di armonizzazione dei sistemi contabili e degli schemi di bilancio delle Regioni, degli enti locali e dei loro organismi</w:t>
      </w:r>
      <w:r w:rsidRPr="00E76FD9">
        <w:rPr>
          <w:rFonts w:ascii="Arial" w:hAnsi="Arial" w:cs="Arial"/>
          <w:color w:val="0C0C0F"/>
          <w:sz w:val="24"/>
          <w:szCs w:val="24"/>
          <w:shd w:val="clear" w:color="auto" w:fill="FFFFFF"/>
        </w:rPr>
        <w:t xml:space="preserve">” </w:t>
      </w:r>
      <w:r w:rsidRPr="00E76FD9">
        <w:rPr>
          <w:rFonts w:ascii="Arial" w:hAnsi="Arial" w:cs="Arial"/>
          <w:sz w:val="24"/>
          <w:szCs w:val="24"/>
        </w:rPr>
        <w:t>all’art. 3 stabilisce che le Regioni, gli enti locali ed i loro enti ed organismi strumentali devono conformare la propria gestione ai principi di contabilità generali elencati all’allegato 1 del predetto testo normativo. In tal modo è possibile garantire la trasparenza dei conti pubblici così come stabilito</w:t>
      </w:r>
      <w:r w:rsidRPr="00E76FD9">
        <w:rPr>
          <w:rFonts w:ascii="Arial" w:hAnsi="Arial" w:cs="Arial"/>
          <w:color w:val="0C0C0F"/>
          <w:sz w:val="24"/>
          <w:szCs w:val="24"/>
          <w:shd w:val="clear" w:color="auto" w:fill="FFFFFF"/>
        </w:rPr>
        <w:t xml:space="preserve"> dalle direttive dell'Unione europea.</w:t>
      </w:r>
    </w:p>
    <w:p w:rsidR="00E76FD9" w:rsidRPr="00E76FD9" w:rsidRDefault="00E76FD9" w:rsidP="00E76FD9">
      <w:pPr>
        <w:rPr>
          <w:rFonts w:ascii="Arial" w:hAnsi="Arial" w:cs="Arial"/>
          <w:color w:val="0C0C0F"/>
          <w:sz w:val="24"/>
          <w:szCs w:val="24"/>
          <w:shd w:val="clear" w:color="auto" w:fill="FFFFFF"/>
        </w:rPr>
      </w:pPr>
      <w:r w:rsidRPr="00E76FD9">
        <w:rPr>
          <w:rFonts w:ascii="Arial" w:hAnsi="Arial" w:cs="Arial"/>
          <w:color w:val="0C0C0F"/>
          <w:sz w:val="24"/>
          <w:szCs w:val="24"/>
          <w:shd w:val="clear" w:color="auto" w:fill="FFFFFF"/>
        </w:rPr>
        <w:t>L’allegato 1 del d.lgs. 118/2011 richiamato dall’art.3 enuncia 18 principi generali di contabilità. Al numero 4 viene definito il principio di integrità.</w:t>
      </w:r>
    </w:p>
    <w:p w:rsidR="00E76FD9" w:rsidRPr="00E76FD9" w:rsidRDefault="00E76FD9" w:rsidP="00E76FD9">
      <w:pPr>
        <w:rPr>
          <w:rFonts w:ascii="Arial" w:hAnsi="Arial" w:cs="Arial"/>
          <w:color w:val="0C0C0F"/>
          <w:sz w:val="24"/>
          <w:szCs w:val="24"/>
          <w:shd w:val="clear" w:color="auto" w:fill="FFFFFF"/>
        </w:rPr>
      </w:pPr>
      <w:r w:rsidRPr="00E76FD9">
        <w:rPr>
          <w:rFonts w:ascii="Arial" w:hAnsi="Arial" w:cs="Arial"/>
          <w:color w:val="0C0C0F"/>
          <w:sz w:val="24"/>
          <w:szCs w:val="24"/>
          <w:shd w:val="clear" w:color="auto" w:fill="FFFFFF"/>
        </w:rPr>
        <w:t xml:space="preserve">In esso si stabilisce che nel redigere il bilancio di previsione e nei documenti di rendicontazione le entrate e le uscite devono essere scritte al lordo di qualsiasi onere o provento ad esso collegato. </w:t>
      </w:r>
    </w:p>
    <w:p w:rsidR="00E76FD9" w:rsidRPr="00E76FD9" w:rsidRDefault="00E76FD9" w:rsidP="00E76FD9">
      <w:pPr>
        <w:rPr>
          <w:rFonts w:ascii="Arial" w:hAnsi="Arial" w:cs="Arial"/>
          <w:color w:val="0C0C0F"/>
          <w:sz w:val="24"/>
          <w:szCs w:val="24"/>
          <w:shd w:val="clear" w:color="auto" w:fill="FFFFFF"/>
        </w:rPr>
      </w:pPr>
      <w:r w:rsidRPr="00E76FD9">
        <w:rPr>
          <w:rFonts w:ascii="Arial" w:hAnsi="Arial" w:cs="Arial"/>
          <w:color w:val="0C0C0F"/>
          <w:sz w:val="24"/>
          <w:szCs w:val="24"/>
          <w:shd w:val="clear" w:color="auto" w:fill="FFFFFF"/>
        </w:rPr>
        <w:t xml:space="preserve">Lo stesso principio si applica a tutti i valori del sistema di bilancio, quindi anche ai valori economici ed alle grandezze patrimoniali che si ritrovano nel conto economico e nel conto del patrimonio. </w:t>
      </w:r>
    </w:p>
    <w:p w:rsidR="00E76FD9" w:rsidRPr="00E76FD9" w:rsidRDefault="00E76FD9" w:rsidP="00E76FD9">
      <w:pPr>
        <w:rPr>
          <w:rFonts w:ascii="Arial" w:hAnsi="Arial" w:cs="Arial"/>
          <w:sz w:val="24"/>
          <w:szCs w:val="24"/>
        </w:rPr>
      </w:pPr>
      <w:r w:rsidRPr="00E76FD9">
        <w:rPr>
          <w:rFonts w:ascii="Arial" w:hAnsi="Arial" w:cs="Arial"/>
          <w:color w:val="0C0C0F"/>
          <w:sz w:val="24"/>
          <w:szCs w:val="24"/>
          <w:shd w:val="clear" w:color="auto" w:fill="FFFFFF"/>
        </w:rPr>
        <w:t xml:space="preserve"> </w:t>
      </w:r>
    </w:p>
    <w:p w:rsidR="00E76FD9" w:rsidRPr="00E76FD9" w:rsidRDefault="00E76FD9" w:rsidP="00E76FD9">
      <w:pPr>
        <w:rPr>
          <w:rFonts w:ascii="Arial" w:hAnsi="Arial" w:cs="Arial"/>
          <w:sz w:val="24"/>
          <w:szCs w:val="24"/>
        </w:rPr>
      </w:pPr>
    </w:p>
    <w:p w:rsidR="00E76FD9" w:rsidRPr="00E76FD9" w:rsidRDefault="00E76FD9" w:rsidP="00E76FD9">
      <w:pPr>
        <w:rPr>
          <w:rFonts w:ascii="Arial" w:hAnsi="Arial" w:cs="Arial"/>
          <w:sz w:val="24"/>
          <w:szCs w:val="24"/>
        </w:rPr>
      </w:pPr>
      <w:r w:rsidRPr="00E76FD9">
        <w:rPr>
          <w:rFonts w:ascii="Arial" w:hAnsi="Arial" w:cs="Arial"/>
          <w:sz w:val="24"/>
          <w:szCs w:val="24"/>
        </w:rPr>
        <w:t>L’avvio del procedimento con vizio di forma.</w:t>
      </w:r>
    </w:p>
    <w:p w:rsidR="00E76FD9" w:rsidRPr="00E76FD9" w:rsidRDefault="00E76FD9" w:rsidP="00E76FD9">
      <w:pPr>
        <w:jc w:val="both"/>
        <w:rPr>
          <w:rFonts w:ascii="Arial" w:hAnsi="Arial" w:cs="Arial"/>
          <w:sz w:val="24"/>
          <w:szCs w:val="24"/>
        </w:rPr>
      </w:pPr>
      <w:r w:rsidRPr="00E76FD9">
        <w:rPr>
          <w:rFonts w:ascii="Arial" w:hAnsi="Arial" w:cs="Arial"/>
          <w:sz w:val="24"/>
          <w:szCs w:val="24"/>
        </w:rPr>
        <w:t>Quando la PA deve avviare un procedimento amministrativo, le parti interessate dal procedimento devono essere informate; questo avviene sia se il procedimento deve essere avviato per istanza di parte, sia se l’iniziativa avviene d’ufficio.</w:t>
      </w:r>
    </w:p>
    <w:p w:rsidR="00E76FD9" w:rsidRPr="00E76FD9" w:rsidRDefault="00E76FD9" w:rsidP="00E76FD9">
      <w:pPr>
        <w:jc w:val="both"/>
        <w:rPr>
          <w:rFonts w:ascii="Arial" w:hAnsi="Arial" w:cs="Arial"/>
          <w:sz w:val="24"/>
          <w:szCs w:val="24"/>
        </w:rPr>
      </w:pPr>
      <w:r w:rsidRPr="00E76FD9">
        <w:rPr>
          <w:rFonts w:ascii="Arial" w:hAnsi="Arial" w:cs="Arial"/>
          <w:sz w:val="24"/>
          <w:szCs w:val="24"/>
        </w:rPr>
        <w:t>Attualmente la comunicazione è inviata preferibilmente in forma digitale, mediante PEC ma, qualora il destinatario ne sia sprovvisto, è necessario utilizzare altre vie convenzionali quali la posta ordinaria.</w:t>
      </w:r>
    </w:p>
    <w:p w:rsidR="00E76FD9" w:rsidRPr="00E76FD9" w:rsidRDefault="00E76FD9" w:rsidP="00E76FD9">
      <w:pPr>
        <w:jc w:val="both"/>
        <w:rPr>
          <w:rFonts w:ascii="Arial" w:hAnsi="Arial" w:cs="Arial"/>
          <w:sz w:val="24"/>
          <w:szCs w:val="24"/>
        </w:rPr>
      </w:pPr>
      <w:r w:rsidRPr="00E76FD9">
        <w:rPr>
          <w:rFonts w:ascii="Arial" w:hAnsi="Arial" w:cs="Arial"/>
          <w:sz w:val="24"/>
          <w:szCs w:val="24"/>
        </w:rPr>
        <w:t>La comunicazione di avvio del procedimento, ai sensi della legge 241/90, deve riportare dei contenuti predeterminati. Tali contenuti sono:</w:t>
      </w:r>
    </w:p>
    <w:p w:rsidR="00E76FD9" w:rsidRPr="00E76FD9" w:rsidRDefault="00E76FD9" w:rsidP="00E76FD9">
      <w:pPr>
        <w:pStyle w:val="Paragrafoelenco"/>
        <w:numPr>
          <w:ilvl w:val="0"/>
          <w:numId w:val="2"/>
        </w:numPr>
        <w:spacing w:after="200" w:line="276" w:lineRule="auto"/>
        <w:jc w:val="both"/>
        <w:rPr>
          <w:rFonts w:ascii="Arial" w:hAnsi="Arial" w:cs="Arial"/>
          <w:sz w:val="24"/>
          <w:szCs w:val="24"/>
        </w:rPr>
      </w:pPr>
      <w:r w:rsidRPr="00E76FD9">
        <w:rPr>
          <w:rFonts w:ascii="Arial" w:hAnsi="Arial" w:cs="Arial"/>
          <w:sz w:val="24"/>
          <w:szCs w:val="24"/>
        </w:rPr>
        <w:t>L’intestazione, recante i dati dell’amministrazione competente;</w:t>
      </w:r>
    </w:p>
    <w:p w:rsidR="00E76FD9" w:rsidRPr="00E76FD9" w:rsidRDefault="00E76FD9" w:rsidP="00E76FD9">
      <w:pPr>
        <w:pStyle w:val="Paragrafoelenco"/>
        <w:numPr>
          <w:ilvl w:val="0"/>
          <w:numId w:val="2"/>
        </w:numPr>
        <w:spacing w:after="200" w:line="276" w:lineRule="auto"/>
        <w:jc w:val="both"/>
        <w:rPr>
          <w:rFonts w:ascii="Arial" w:hAnsi="Arial" w:cs="Arial"/>
          <w:sz w:val="24"/>
          <w:szCs w:val="24"/>
        </w:rPr>
      </w:pPr>
      <w:r w:rsidRPr="00E76FD9">
        <w:rPr>
          <w:rFonts w:ascii="Arial" w:hAnsi="Arial" w:cs="Arial"/>
          <w:sz w:val="24"/>
          <w:szCs w:val="24"/>
        </w:rPr>
        <w:t>Il destinatario della comunicazione (possono essercene più d’uno);</w:t>
      </w:r>
    </w:p>
    <w:p w:rsidR="00E76FD9" w:rsidRPr="00E76FD9" w:rsidRDefault="00E76FD9" w:rsidP="00E76FD9">
      <w:pPr>
        <w:pStyle w:val="Paragrafoelenco"/>
        <w:numPr>
          <w:ilvl w:val="0"/>
          <w:numId w:val="2"/>
        </w:numPr>
        <w:spacing w:after="200" w:line="276" w:lineRule="auto"/>
        <w:jc w:val="both"/>
        <w:rPr>
          <w:rFonts w:ascii="Arial" w:hAnsi="Arial" w:cs="Arial"/>
          <w:sz w:val="24"/>
          <w:szCs w:val="24"/>
        </w:rPr>
      </w:pPr>
      <w:r w:rsidRPr="00E76FD9">
        <w:rPr>
          <w:rFonts w:ascii="Arial" w:hAnsi="Arial" w:cs="Arial"/>
          <w:sz w:val="24"/>
          <w:szCs w:val="24"/>
        </w:rPr>
        <w:t>(se il procedimento è stato avviato per presentazione di istanza di parte) il numero di protocollo e la data del protocollo della domanda acquisita;</w:t>
      </w:r>
    </w:p>
    <w:p w:rsidR="00E76FD9" w:rsidRPr="00E76FD9" w:rsidRDefault="00E76FD9" w:rsidP="00E76FD9">
      <w:pPr>
        <w:pStyle w:val="Paragrafoelenco"/>
        <w:numPr>
          <w:ilvl w:val="0"/>
          <w:numId w:val="2"/>
        </w:numPr>
        <w:spacing w:after="200" w:line="276" w:lineRule="auto"/>
        <w:jc w:val="both"/>
        <w:rPr>
          <w:rFonts w:ascii="Arial" w:hAnsi="Arial" w:cs="Arial"/>
          <w:sz w:val="24"/>
          <w:szCs w:val="24"/>
        </w:rPr>
      </w:pPr>
      <w:r w:rsidRPr="00E76FD9">
        <w:rPr>
          <w:rFonts w:ascii="Arial" w:hAnsi="Arial" w:cs="Arial"/>
          <w:sz w:val="24"/>
          <w:szCs w:val="24"/>
        </w:rPr>
        <w:t>L’oggetto, recante i riferimenti normativi del procedimento avviato;</w:t>
      </w:r>
    </w:p>
    <w:p w:rsidR="00E76FD9" w:rsidRPr="00E76FD9" w:rsidRDefault="00E76FD9" w:rsidP="00E76FD9">
      <w:pPr>
        <w:pStyle w:val="Paragrafoelenco"/>
        <w:numPr>
          <w:ilvl w:val="0"/>
          <w:numId w:val="2"/>
        </w:numPr>
        <w:spacing w:after="200" w:line="276" w:lineRule="auto"/>
        <w:jc w:val="both"/>
        <w:rPr>
          <w:rFonts w:ascii="Arial" w:hAnsi="Arial" w:cs="Arial"/>
          <w:sz w:val="24"/>
          <w:szCs w:val="24"/>
        </w:rPr>
      </w:pPr>
      <w:r w:rsidRPr="00E76FD9">
        <w:rPr>
          <w:rFonts w:ascii="Arial" w:hAnsi="Arial" w:cs="Arial"/>
          <w:sz w:val="24"/>
          <w:szCs w:val="24"/>
        </w:rPr>
        <w:t>L’indicazione del responsabile del procedimento;</w:t>
      </w:r>
    </w:p>
    <w:p w:rsidR="00E76FD9" w:rsidRPr="00E76FD9" w:rsidRDefault="00E76FD9" w:rsidP="00E76FD9">
      <w:pPr>
        <w:pStyle w:val="Paragrafoelenco"/>
        <w:numPr>
          <w:ilvl w:val="0"/>
          <w:numId w:val="2"/>
        </w:numPr>
        <w:spacing w:after="200" w:line="276" w:lineRule="auto"/>
        <w:jc w:val="both"/>
        <w:rPr>
          <w:rFonts w:ascii="Arial" w:hAnsi="Arial" w:cs="Arial"/>
          <w:sz w:val="24"/>
          <w:szCs w:val="24"/>
        </w:rPr>
      </w:pPr>
      <w:r w:rsidRPr="00E76FD9">
        <w:rPr>
          <w:rFonts w:ascii="Arial" w:hAnsi="Arial" w:cs="Arial"/>
          <w:sz w:val="24"/>
          <w:szCs w:val="24"/>
        </w:rPr>
        <w:t>Il referente detentore del potere sostitutivo in caso di inerzia della PA;</w:t>
      </w:r>
    </w:p>
    <w:p w:rsidR="00E76FD9" w:rsidRPr="00E76FD9" w:rsidRDefault="00E76FD9" w:rsidP="00E76FD9">
      <w:pPr>
        <w:pStyle w:val="Paragrafoelenco"/>
        <w:numPr>
          <w:ilvl w:val="0"/>
          <w:numId w:val="2"/>
        </w:numPr>
        <w:spacing w:after="200" w:line="276" w:lineRule="auto"/>
        <w:jc w:val="both"/>
        <w:rPr>
          <w:rFonts w:ascii="Arial" w:hAnsi="Arial" w:cs="Arial"/>
          <w:sz w:val="24"/>
          <w:szCs w:val="24"/>
        </w:rPr>
      </w:pPr>
      <w:r w:rsidRPr="00E76FD9">
        <w:rPr>
          <w:rFonts w:ascii="Arial" w:hAnsi="Arial" w:cs="Arial"/>
          <w:sz w:val="24"/>
          <w:szCs w:val="24"/>
        </w:rPr>
        <w:t>L’ufficio ove è possibile prendere visione degli atti del procedimento;</w:t>
      </w:r>
    </w:p>
    <w:p w:rsidR="00E76FD9" w:rsidRPr="00E76FD9" w:rsidRDefault="00E76FD9" w:rsidP="00E76FD9">
      <w:pPr>
        <w:pStyle w:val="Paragrafoelenco"/>
        <w:numPr>
          <w:ilvl w:val="0"/>
          <w:numId w:val="2"/>
        </w:numPr>
        <w:spacing w:after="200" w:line="276" w:lineRule="auto"/>
        <w:jc w:val="both"/>
        <w:rPr>
          <w:rFonts w:ascii="Arial" w:hAnsi="Arial" w:cs="Arial"/>
          <w:sz w:val="24"/>
          <w:szCs w:val="24"/>
        </w:rPr>
      </w:pPr>
      <w:r w:rsidRPr="00E76FD9">
        <w:rPr>
          <w:rFonts w:ascii="Arial" w:hAnsi="Arial" w:cs="Arial"/>
          <w:sz w:val="24"/>
          <w:szCs w:val="24"/>
        </w:rPr>
        <w:t>L’indicazione del tempo entro il quale il procedimento dovrà concludersi;</w:t>
      </w:r>
    </w:p>
    <w:p w:rsidR="00E76FD9" w:rsidRPr="00E76FD9" w:rsidRDefault="00E76FD9" w:rsidP="00E76FD9">
      <w:pPr>
        <w:pStyle w:val="Paragrafoelenco"/>
        <w:numPr>
          <w:ilvl w:val="0"/>
          <w:numId w:val="2"/>
        </w:numPr>
        <w:spacing w:after="200" w:line="276" w:lineRule="auto"/>
        <w:jc w:val="both"/>
        <w:rPr>
          <w:rFonts w:ascii="Arial" w:hAnsi="Arial" w:cs="Arial"/>
          <w:sz w:val="24"/>
          <w:szCs w:val="24"/>
        </w:rPr>
      </w:pPr>
      <w:r w:rsidRPr="00E76FD9">
        <w:rPr>
          <w:rFonts w:ascii="Arial" w:hAnsi="Arial" w:cs="Arial"/>
          <w:sz w:val="24"/>
          <w:szCs w:val="24"/>
        </w:rPr>
        <w:t xml:space="preserve"> (eventuale) La possibilità di partecipazione in forma telematica al procedimento stesso (articolo 14bis, comma 1, della l.r. 6 agosto 2007, n. 19);</w:t>
      </w:r>
    </w:p>
    <w:p w:rsidR="00E76FD9" w:rsidRPr="00E76FD9" w:rsidRDefault="00E76FD9" w:rsidP="00E76FD9">
      <w:pPr>
        <w:jc w:val="both"/>
        <w:rPr>
          <w:rFonts w:ascii="Arial" w:hAnsi="Arial" w:cs="Arial"/>
          <w:sz w:val="24"/>
          <w:szCs w:val="24"/>
        </w:rPr>
      </w:pPr>
      <w:r w:rsidRPr="00E76FD9">
        <w:rPr>
          <w:rFonts w:ascii="Arial" w:hAnsi="Arial" w:cs="Arial"/>
          <w:sz w:val="24"/>
          <w:szCs w:val="24"/>
        </w:rPr>
        <w:t>Vizio di forma:</w:t>
      </w:r>
    </w:p>
    <w:p w:rsidR="00E76FD9" w:rsidRPr="00E76FD9" w:rsidRDefault="00E76FD9" w:rsidP="00E76FD9">
      <w:pPr>
        <w:jc w:val="both"/>
        <w:rPr>
          <w:rFonts w:ascii="Arial" w:hAnsi="Arial" w:cs="Arial"/>
          <w:sz w:val="24"/>
          <w:szCs w:val="24"/>
        </w:rPr>
      </w:pPr>
      <w:r w:rsidRPr="00E76FD9">
        <w:rPr>
          <w:rFonts w:ascii="Arial" w:hAnsi="Arial" w:cs="Arial"/>
          <w:sz w:val="24"/>
          <w:szCs w:val="24"/>
        </w:rPr>
        <w:t>Qualora la comunicazione non riportasse uno o più contenuti fra quelli sopra elencati, la comunicazione sarebbe inficiata da un vizio di forma.</w:t>
      </w:r>
    </w:p>
    <w:p w:rsidR="00E76FD9" w:rsidRPr="00E76FD9" w:rsidRDefault="00E76FD9" w:rsidP="00E76FD9">
      <w:pPr>
        <w:jc w:val="both"/>
        <w:rPr>
          <w:rFonts w:ascii="Arial" w:hAnsi="Arial" w:cs="Arial"/>
          <w:sz w:val="24"/>
          <w:szCs w:val="24"/>
        </w:rPr>
      </w:pPr>
      <w:r w:rsidRPr="00E76FD9">
        <w:rPr>
          <w:rFonts w:ascii="Arial" w:hAnsi="Arial" w:cs="Arial"/>
          <w:sz w:val="24"/>
          <w:szCs w:val="24"/>
        </w:rPr>
        <w:t>Nel caso in cui la pa avesse emesso un provvedimento conclusivo (espresso) senza aver dato comunicazione dell’avvio del procedimento, il provvedimento finale sarebbe illegittimo per violazione della legge.</w:t>
      </w:r>
    </w:p>
    <w:p w:rsidR="00E76FD9" w:rsidRPr="00E76FD9" w:rsidRDefault="00E76FD9" w:rsidP="00E76FD9">
      <w:pPr>
        <w:rPr>
          <w:rFonts w:ascii="Arial" w:hAnsi="Arial" w:cs="Arial"/>
          <w:sz w:val="24"/>
          <w:szCs w:val="24"/>
        </w:rPr>
      </w:pPr>
      <w:r w:rsidRPr="00E76FD9">
        <w:rPr>
          <w:rFonts w:ascii="Arial" w:hAnsi="Arial" w:cs="Arial"/>
          <w:sz w:val="24"/>
          <w:szCs w:val="24"/>
        </w:rPr>
        <w:t>Tuttavia, l’art. 21 octies della L.241/90 prevede che la mancata comunicazione dell’avvio del procedimento non rende illegittimo il provvedimento conclusivo qualora la pa possa dimostrare che il provvedimento conclusivo non avrebbe potuto riportare altra decisione di quella effettivamente adottata</w:t>
      </w:r>
    </w:p>
    <w:p w:rsidR="00E76FD9" w:rsidRPr="00E76FD9" w:rsidRDefault="00E76FD9" w:rsidP="00E76FD9">
      <w:pPr>
        <w:rPr>
          <w:rFonts w:ascii="Arial" w:hAnsi="Arial" w:cs="Arial"/>
          <w:sz w:val="24"/>
          <w:szCs w:val="24"/>
        </w:rPr>
      </w:pPr>
    </w:p>
    <w:p w:rsidR="00E76FD9" w:rsidRPr="00E76FD9" w:rsidRDefault="00E76FD9" w:rsidP="00E76FD9">
      <w:pPr>
        <w:rPr>
          <w:rFonts w:ascii="Arial" w:hAnsi="Arial" w:cs="Arial"/>
          <w:sz w:val="24"/>
          <w:szCs w:val="24"/>
        </w:rPr>
      </w:pPr>
      <w:r w:rsidRPr="00E76FD9">
        <w:rPr>
          <w:rFonts w:ascii="Arial" w:hAnsi="Arial" w:cs="Arial"/>
          <w:sz w:val="24"/>
          <w:szCs w:val="24"/>
        </w:rPr>
        <w:t>ACCESSO FORMALE E ACCESSO INFORMALE</w:t>
      </w:r>
    </w:p>
    <w:p w:rsidR="00E76FD9" w:rsidRPr="00E76FD9" w:rsidRDefault="00E76FD9" w:rsidP="00E76FD9">
      <w:pPr>
        <w:rPr>
          <w:rFonts w:ascii="Arial" w:hAnsi="Arial" w:cs="Arial"/>
          <w:sz w:val="24"/>
          <w:szCs w:val="24"/>
        </w:rPr>
      </w:pP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 xml:space="preserve">Il diritto di accesso è costituito dall’insieme delle pretese del cittadino nei confronti della PA affinché la sua attività sia trasparente intendendosi per trasparenza la facile ed immediata controllabilità per gli stessi dell’operato della PA, a garanzia dell’imparzialità dell’azione amministrativa. </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lastRenderedPageBreak/>
        <w:t>La L 241/90 pone tale principio all’art. 1 come principio ispiratore di tutta l’azione amministrativa insieme con il principio di efficienza, efficacia, buon andamento, imparzialità.</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In particolare, il diritto di accesso sancito dalla L 241/90 è definito accesso documentale (detto accesso formale) e trova le sue disposizioni art. 22 e seguenti della legge medesima. Tale diritto consiste nel diritto degli interessati di prendere visione o di estrarre copia dei documenti amministrativi, intendendosi per documenti amministrativi ogni rappresentazione grafica, fotocinematografica, elettromagnetica, o di qualunque altra specie del contenuto di atti.</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Il diritto di accesso può essere esercitato dai soggetti interessati definiti come  soggetti portatori di interessi pubblici o diffusi che hanno un interesse diretto, concreto, attuale corrispondente ad una situazione giuridicamente tutelata collegata al documento. Il soggetto deve essere, quindi, portatore o di diritti soggetti, o di interessi legittimi, o di interessi collettivi, o di interessi diffusi.</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Il diritto soggettivo costituisce una posizione di vantaggio che un soggetto ha perché tutelata erga omnes, situazione in cui il soggetto non deve chiedere alla PA di potere esercitare un proprio diritto (es. se proprietario di una casa non deve chiedere alla PA il permesso per entrarvi), l’interesse legittimo è definito come la pretesa alla legittimità dell’operato della PA.</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L’interesse collettivo fa riferimento ad in interesse di più consociati portato avanti da un’associazione già organizzata e preesistente (es WWF).</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In ultimo, si parla di interesse diffuso in riferimento ad un interesse portato avanti da un comitato o un’associazione non preesistente, ma costituita solo per quella occasione (es. No Tav).</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 xml:space="preserve">Il diritto di accesso si esercita con richiesta motivata nei confronti di amministrazioni, aziende autonome, e speciali, enti pubblici e gestori di pubblici servizi attraverso richiesta motivata all’amministrazione che ha formato il documento o che lo detiene stabilmente, attraverso esame dello stesso, o estrazione di copia. </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Decorsi 30 giorni dalla richiesta senza che vi sia stato un riscontro da parte dell’amministrazione, la richiesta si considera respinta. In ogni caso, non può essere negato l’accesso ove sarebbe sufficiente fare ricorso al potere di differimento.</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lastRenderedPageBreak/>
        <w:t>Nel caso di diniego esplicito o silenzio è possibile ricorre al TAR, oppure al difensore civico.</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L’art. 24 individua i casi di esclusione dal diritto di accesso nelle seguenti fattispecie:</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1  documenti coperti da segreto di Stato o da segreto o divieto di divulgazione previsti dalla legge;</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2 atti relativi a procedimenti tributari;</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3 atti normativi, atti amministrativi generali, atti di programmazione e pianificazione;</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4 atti relativi a procedimenti selettivi che contengano informazioni di tipo psico-attitudinali di terzi.</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Inoltre, non sono permesse istante volte ad un controllo generalizzato dell’operato della PA.</w:t>
      </w:r>
    </w:p>
    <w:p w:rsidR="00E76FD9" w:rsidRPr="00E76FD9" w:rsidRDefault="00E76FD9" w:rsidP="00E76FD9">
      <w:pPr>
        <w:spacing w:line="360" w:lineRule="auto"/>
        <w:rPr>
          <w:rFonts w:ascii="Arial" w:hAnsi="Arial" w:cs="Arial"/>
          <w:sz w:val="24"/>
          <w:szCs w:val="24"/>
        </w:rPr>
      </w:pP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ACCESSO INFORMALE</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’accesso informale è previsto e disciplinato dall’art. 5 del DPR 184/2006 il quale prevede che nei casi in cui non siano presenti dei controinteressati che vedrebbero compromesso il loro diritto alla riservatezza, è possibile attuare l’accesso informale mediante l’indicazione degli estremi del documento, oppure dimostrando la propria identità, o i propri poteri di rappresentanza.</w:t>
      </w:r>
    </w:p>
    <w:p w:rsidR="00E76FD9" w:rsidRPr="00E76FD9" w:rsidRDefault="00E76FD9" w:rsidP="00E76FD9">
      <w:pPr>
        <w:spacing w:line="360" w:lineRule="auto"/>
        <w:rPr>
          <w:rFonts w:ascii="Arial" w:hAnsi="Arial" w:cs="Arial"/>
          <w:sz w:val="24"/>
          <w:szCs w:val="24"/>
        </w:rPr>
      </w:pPr>
      <w:r w:rsidRPr="00E76FD9">
        <w:rPr>
          <w:rFonts w:ascii="Arial" w:hAnsi="Arial" w:cs="Arial"/>
          <w:sz w:val="24"/>
          <w:szCs w:val="24"/>
        </w:rPr>
        <w:t>La richiesta dovrà essere esaminata immediatamente con estrazione di copia o presentazione del documento.</w:t>
      </w:r>
    </w:p>
    <w:p w:rsidR="00E76FD9" w:rsidRDefault="00E76FD9" w:rsidP="00E76FD9">
      <w:pPr>
        <w:spacing w:line="360" w:lineRule="auto"/>
        <w:rPr>
          <w:rFonts w:ascii="Arial" w:hAnsi="Arial" w:cs="Arial"/>
          <w:sz w:val="24"/>
          <w:szCs w:val="24"/>
        </w:rPr>
      </w:pPr>
      <w:r w:rsidRPr="00E76FD9">
        <w:rPr>
          <w:rFonts w:ascii="Arial" w:hAnsi="Arial" w:cs="Arial"/>
          <w:sz w:val="24"/>
          <w:szCs w:val="24"/>
        </w:rPr>
        <w:t>Si richiede comunque l’accesso formale ove vi siano dubbi sull’identità del richiedente o sulla legittimità della richiesta del richiedente.</w:t>
      </w:r>
    </w:p>
    <w:p w:rsidR="00E76FD9" w:rsidRPr="00AD2B3D" w:rsidRDefault="00E76FD9" w:rsidP="00E76FD9">
      <w:pPr>
        <w:pStyle w:val="Paragrafoelenco"/>
        <w:jc w:val="both"/>
        <w:rPr>
          <w:rFonts w:ascii="Times New Roman" w:hAnsi="Times New Roman" w:cs="Times New Roman"/>
          <w:sz w:val="24"/>
          <w:szCs w:val="24"/>
        </w:rPr>
      </w:pPr>
      <w:r w:rsidRPr="00AD2B3D">
        <w:rPr>
          <w:rFonts w:ascii="Times New Roman" w:hAnsi="Times New Roman" w:cs="Times New Roman"/>
          <w:sz w:val="24"/>
          <w:szCs w:val="24"/>
        </w:rPr>
        <w:t>Elementi costitutivi della discrezionalità amministrativa</w:t>
      </w:r>
    </w:p>
    <w:p w:rsidR="00E76FD9" w:rsidRDefault="00E76FD9" w:rsidP="00E76FD9">
      <w:pPr>
        <w:jc w:val="both"/>
        <w:rPr>
          <w:rFonts w:ascii="Times New Roman" w:hAnsi="Times New Roman" w:cs="Times New Roman"/>
          <w:sz w:val="24"/>
          <w:szCs w:val="24"/>
        </w:rPr>
      </w:pPr>
    </w:p>
    <w:p w:rsidR="00E76FD9" w:rsidRDefault="00E76FD9" w:rsidP="00E76FD9">
      <w:pPr>
        <w:jc w:val="both"/>
        <w:rPr>
          <w:rFonts w:ascii="Times New Roman" w:hAnsi="Times New Roman" w:cs="Times New Roman"/>
          <w:sz w:val="24"/>
          <w:szCs w:val="24"/>
        </w:rPr>
      </w:pPr>
      <w:r w:rsidRPr="00A275AD">
        <w:rPr>
          <w:rFonts w:ascii="Times New Roman" w:hAnsi="Times New Roman" w:cs="Times New Roman"/>
          <w:sz w:val="24"/>
          <w:szCs w:val="24"/>
        </w:rPr>
        <w:t>1-</w:t>
      </w:r>
      <w:r>
        <w:rPr>
          <w:rFonts w:ascii="Times New Roman" w:hAnsi="Times New Roman" w:cs="Times New Roman"/>
          <w:sz w:val="24"/>
          <w:szCs w:val="24"/>
        </w:rPr>
        <w:t xml:space="preserve"> Come è noto, l’art. 1 della legge 241/1990 chiarisce il concetto fondamentale che l’attività amministrativa è regolata sempre dalla Legge. Questo significa che il potere amministrativo, essendo subordinato al principio di Legalità, non è mai totalmente libero in quanto vincolato nel fine e quindi finalizzato al perseguimento di fini pubblici prestabiliti.</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Il concetto di discrezionalità amministrativa viene usato per identificare uno dei due possibili modi di interiezione tra l’azione della PA e la Legge: quando la PA è priva di qualsiasi “spazio di manovra” quindi di qualsiasi potere di autodeterminazione sulla scelta più opportuna, si parlerà di </w:t>
      </w:r>
      <w:r w:rsidRPr="0003625D">
        <w:rPr>
          <w:rFonts w:ascii="Times New Roman" w:hAnsi="Times New Roman" w:cs="Times New Roman"/>
          <w:sz w:val="24"/>
          <w:szCs w:val="24"/>
          <w:u w:val="single"/>
        </w:rPr>
        <w:lastRenderedPageBreak/>
        <w:t>attività vincolata</w:t>
      </w:r>
      <w:r>
        <w:rPr>
          <w:rFonts w:ascii="Times New Roman" w:hAnsi="Times New Roman" w:cs="Times New Roman"/>
          <w:sz w:val="24"/>
          <w:szCs w:val="24"/>
          <w:u w:val="single"/>
        </w:rPr>
        <w:t>,</w:t>
      </w:r>
      <w:r>
        <w:rPr>
          <w:rFonts w:ascii="Times New Roman" w:hAnsi="Times New Roman" w:cs="Times New Roman"/>
          <w:sz w:val="24"/>
          <w:szCs w:val="24"/>
        </w:rPr>
        <w:t xml:space="preserve"> diversamente quando la legge si limita ad indicare l’interesse pubblico da perseguire ma viene lasciato alla PA la possibilità di scegliere il modo migliore per il soddisfacimento di quell’interesse determinato, si parlerà di </w:t>
      </w:r>
      <w:r w:rsidRPr="001255CC">
        <w:rPr>
          <w:rFonts w:ascii="Times New Roman" w:hAnsi="Times New Roman" w:cs="Times New Roman"/>
          <w:sz w:val="24"/>
          <w:szCs w:val="24"/>
          <w:u w:val="single"/>
        </w:rPr>
        <w:t>attività discrezionale</w:t>
      </w:r>
      <w:r>
        <w:rPr>
          <w:rFonts w:ascii="Times New Roman" w:hAnsi="Times New Roman" w:cs="Times New Roman"/>
          <w:sz w:val="24"/>
          <w:szCs w:val="24"/>
        </w:rPr>
        <w:t>.</w:t>
      </w:r>
    </w:p>
    <w:p w:rsidR="00E76FD9" w:rsidRDefault="00E76FD9" w:rsidP="00E76FD9">
      <w:pPr>
        <w:jc w:val="both"/>
        <w:rPr>
          <w:rFonts w:ascii="Open Sans" w:hAnsi="Open Sans"/>
          <w:color w:val="000000"/>
          <w:shd w:val="clear" w:color="auto" w:fill="FFFFFF"/>
        </w:rPr>
      </w:pPr>
      <w:r>
        <w:rPr>
          <w:rFonts w:ascii="Times New Roman" w:hAnsi="Times New Roman" w:cs="Times New Roman"/>
          <w:sz w:val="24"/>
          <w:szCs w:val="24"/>
        </w:rPr>
        <w:t xml:space="preserve">Come sostiene dunque oggi la dottrina, per discrezionalità amministrativa si intende: “la </w:t>
      </w:r>
      <w:r w:rsidRPr="004E6F57">
        <w:rPr>
          <w:rFonts w:ascii="Times New Roman" w:hAnsi="Times New Roman" w:cs="Times New Roman"/>
          <w:sz w:val="24"/>
          <w:szCs w:val="24"/>
        </w:rPr>
        <w:t>facoltà di scelta tra più comportamenti giuridicamente leciti per il soddisfacimento dell’interesse pubblico stabilito dalla legge</w:t>
      </w:r>
      <w:r>
        <w:rPr>
          <w:rFonts w:ascii="Times New Roman" w:hAnsi="Times New Roman" w:cs="Times New Roman"/>
          <w:sz w:val="24"/>
          <w:szCs w:val="24"/>
        </w:rPr>
        <w:t>”, ma appare comunque evidente che al pari dell’attività vincolata, non può mai essere totalmente libera in quanto non potrà mai individuare e stabilire essa stessa i fini da perseguire</w:t>
      </w:r>
      <w:r>
        <w:rPr>
          <w:rFonts w:ascii="Open Sans" w:hAnsi="Open Sans"/>
          <w:color w:val="000000"/>
          <w:shd w:val="clear" w:color="auto" w:fill="FFFFFF"/>
        </w:rPr>
        <w:t>.</w:t>
      </w:r>
    </w:p>
    <w:p w:rsidR="00E76FD9" w:rsidRDefault="00E76FD9" w:rsidP="00E76FD9">
      <w:pPr>
        <w:jc w:val="both"/>
        <w:rPr>
          <w:rFonts w:ascii="Times New Roman" w:hAnsi="Times New Roman" w:cs="Times New Roman"/>
          <w:sz w:val="24"/>
          <w:szCs w:val="24"/>
        </w:rPr>
      </w:pPr>
      <w:r w:rsidRPr="009E0F72">
        <w:rPr>
          <w:rFonts w:ascii="Times New Roman" w:hAnsi="Times New Roman" w:cs="Times New Roman"/>
          <w:sz w:val="24"/>
          <w:szCs w:val="24"/>
        </w:rPr>
        <w:t>Questo non deve comunque far confondere la discrezionalità con il merito</w:t>
      </w:r>
      <w:r>
        <w:rPr>
          <w:rFonts w:ascii="Times New Roman" w:hAnsi="Times New Roman" w:cs="Times New Roman"/>
          <w:sz w:val="24"/>
          <w:szCs w:val="24"/>
        </w:rPr>
        <w:t xml:space="preserve"> amministrativo, in quanto quest’ultimo è attinente all’opportunità e alla convenienza di una determinata scelta della Pubblica Amministrazione che di fatto è libera, quindi non si tratterà di una valutazione giuridica. Al contrario, nella scelta discrezionale non esiste una scelta che sia totalmente libera perché come detto prima, è sempre legata al perseguimento di un fine pubblico stabilito dalla legge.</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O</w:t>
      </w:r>
      <w:r w:rsidRPr="00062D03">
        <w:rPr>
          <w:rFonts w:ascii="Times New Roman" w:hAnsi="Times New Roman" w:cs="Times New Roman"/>
          <w:sz w:val="24"/>
          <w:szCs w:val="24"/>
        </w:rPr>
        <w:t xml:space="preserve">ccorre delimitare l’oggetto della discrezionalità amministrativa, </w:t>
      </w:r>
      <w:r>
        <w:rPr>
          <w:rFonts w:ascii="Times New Roman" w:hAnsi="Times New Roman" w:cs="Times New Roman"/>
          <w:sz w:val="24"/>
          <w:szCs w:val="24"/>
        </w:rPr>
        <w:t xml:space="preserve">precisando </w:t>
      </w:r>
      <w:r w:rsidRPr="00062D03">
        <w:rPr>
          <w:rFonts w:ascii="Times New Roman" w:hAnsi="Times New Roman" w:cs="Times New Roman"/>
          <w:sz w:val="24"/>
          <w:szCs w:val="24"/>
        </w:rPr>
        <w:t>che la facoltà di scelta della P.A. può riguardare vari aspetti del suo operare.</w:t>
      </w:r>
      <w:r>
        <w:rPr>
          <w:rFonts w:ascii="Times New Roman" w:hAnsi="Times New Roman" w:cs="Times New Roman"/>
          <w:sz w:val="24"/>
          <w:szCs w:val="24"/>
        </w:rPr>
        <w:t xml:space="preserve"> </w:t>
      </w:r>
      <w:r w:rsidRPr="00062D03">
        <w:rPr>
          <w:rFonts w:ascii="Times New Roman" w:hAnsi="Times New Roman" w:cs="Times New Roman"/>
          <w:sz w:val="24"/>
          <w:szCs w:val="24"/>
        </w:rPr>
        <w:t>In particolare, essa può riguardare l’</w:t>
      </w:r>
      <w:r w:rsidRPr="00062D03">
        <w:rPr>
          <w:rFonts w:ascii="Times New Roman" w:hAnsi="Times New Roman" w:cs="Times New Roman"/>
          <w:sz w:val="24"/>
          <w:szCs w:val="24"/>
          <w:u w:val="single"/>
        </w:rPr>
        <w:t>an</w:t>
      </w:r>
      <w:r w:rsidRPr="00062D03">
        <w:rPr>
          <w:rFonts w:ascii="Times New Roman" w:hAnsi="Times New Roman" w:cs="Times New Roman"/>
          <w:sz w:val="24"/>
          <w:szCs w:val="24"/>
        </w:rPr>
        <w:t xml:space="preserve"> della emanazione di un provvedimento</w:t>
      </w:r>
      <w:r>
        <w:rPr>
          <w:rFonts w:ascii="Times New Roman" w:hAnsi="Times New Roman" w:cs="Times New Roman"/>
          <w:sz w:val="24"/>
          <w:szCs w:val="24"/>
        </w:rPr>
        <w:t xml:space="preserve"> (ossia la scelta sulla sua emanazione o meno) </w:t>
      </w:r>
      <w:r w:rsidRPr="00062D03">
        <w:rPr>
          <w:rFonts w:ascii="Times New Roman" w:hAnsi="Times New Roman" w:cs="Times New Roman"/>
          <w:sz w:val="24"/>
          <w:szCs w:val="24"/>
        </w:rPr>
        <w:t xml:space="preserve">, il </w:t>
      </w:r>
      <w:r w:rsidRPr="00062D03">
        <w:rPr>
          <w:rFonts w:ascii="Times New Roman" w:hAnsi="Times New Roman" w:cs="Times New Roman"/>
          <w:sz w:val="24"/>
          <w:szCs w:val="24"/>
          <w:u w:val="single"/>
        </w:rPr>
        <w:t>quando</w:t>
      </w:r>
      <w:r w:rsidRPr="00062D03">
        <w:rPr>
          <w:rFonts w:ascii="Times New Roman" w:hAnsi="Times New Roman" w:cs="Times New Roman"/>
          <w:sz w:val="24"/>
          <w:szCs w:val="24"/>
        </w:rPr>
        <w:t xml:space="preserve">, </w:t>
      </w:r>
      <w:r>
        <w:rPr>
          <w:rFonts w:ascii="Times New Roman" w:hAnsi="Times New Roman" w:cs="Times New Roman"/>
          <w:sz w:val="24"/>
          <w:szCs w:val="24"/>
        </w:rPr>
        <w:t>ossia</w:t>
      </w:r>
      <w:r w:rsidRPr="00062D03">
        <w:rPr>
          <w:rFonts w:ascii="Times New Roman" w:hAnsi="Times New Roman" w:cs="Times New Roman"/>
          <w:sz w:val="24"/>
          <w:szCs w:val="24"/>
        </w:rPr>
        <w:t xml:space="preserve"> </w:t>
      </w:r>
      <w:r>
        <w:rPr>
          <w:rFonts w:ascii="Times New Roman" w:hAnsi="Times New Roman" w:cs="Times New Roman"/>
          <w:sz w:val="24"/>
          <w:szCs w:val="24"/>
        </w:rPr>
        <w:t>l’</w:t>
      </w:r>
      <w:r w:rsidRPr="00062D03">
        <w:rPr>
          <w:rFonts w:ascii="Times New Roman" w:hAnsi="Times New Roman" w:cs="Times New Roman"/>
          <w:sz w:val="24"/>
          <w:szCs w:val="24"/>
        </w:rPr>
        <w:t xml:space="preserve">individuazione del momento più opportuno </w:t>
      </w:r>
      <w:r>
        <w:rPr>
          <w:rFonts w:ascii="Times New Roman" w:hAnsi="Times New Roman" w:cs="Times New Roman"/>
          <w:sz w:val="24"/>
          <w:szCs w:val="24"/>
        </w:rPr>
        <w:t xml:space="preserve">per la sua emanazione. </w:t>
      </w:r>
      <w:r w:rsidRPr="00062D03">
        <w:rPr>
          <w:rFonts w:ascii="Times New Roman" w:hAnsi="Times New Roman" w:cs="Times New Roman"/>
          <w:sz w:val="24"/>
          <w:szCs w:val="24"/>
        </w:rPr>
        <w:t xml:space="preserve">Ancora, può </w:t>
      </w:r>
      <w:r>
        <w:rPr>
          <w:rFonts w:ascii="Times New Roman" w:hAnsi="Times New Roman" w:cs="Times New Roman"/>
          <w:sz w:val="24"/>
          <w:szCs w:val="24"/>
        </w:rPr>
        <w:t>riguardare</w:t>
      </w:r>
      <w:r w:rsidRPr="00062D03">
        <w:rPr>
          <w:rFonts w:ascii="Times New Roman" w:hAnsi="Times New Roman" w:cs="Times New Roman"/>
          <w:sz w:val="24"/>
          <w:szCs w:val="24"/>
        </w:rPr>
        <w:t xml:space="preserve"> i due diversi aspetti del </w:t>
      </w:r>
      <w:r w:rsidRPr="0083014A">
        <w:rPr>
          <w:rFonts w:ascii="Times New Roman" w:hAnsi="Times New Roman" w:cs="Times New Roman"/>
          <w:sz w:val="24"/>
          <w:szCs w:val="24"/>
          <w:u w:val="single"/>
        </w:rPr>
        <w:t>quomodo</w:t>
      </w:r>
      <w:r w:rsidRPr="00062D03">
        <w:rPr>
          <w:rFonts w:ascii="Times New Roman" w:hAnsi="Times New Roman" w:cs="Times New Roman"/>
          <w:sz w:val="24"/>
          <w:szCs w:val="24"/>
        </w:rPr>
        <w:t xml:space="preserve">, che indica le modalità di esternazione del provvedimento e la facoltà di scegliere quali elementi accidentali inserirvi, </w:t>
      </w:r>
      <w:r>
        <w:rPr>
          <w:rFonts w:ascii="Times New Roman" w:hAnsi="Times New Roman" w:cs="Times New Roman"/>
          <w:sz w:val="24"/>
          <w:szCs w:val="24"/>
        </w:rPr>
        <w:t xml:space="preserve">ed infine </w:t>
      </w:r>
      <w:r w:rsidRPr="00062D03">
        <w:rPr>
          <w:rFonts w:ascii="Times New Roman" w:hAnsi="Times New Roman" w:cs="Times New Roman"/>
          <w:sz w:val="24"/>
          <w:szCs w:val="24"/>
        </w:rPr>
        <w:t xml:space="preserve">del </w:t>
      </w:r>
      <w:r w:rsidRPr="0083014A">
        <w:rPr>
          <w:rFonts w:ascii="Times New Roman" w:hAnsi="Times New Roman" w:cs="Times New Roman"/>
          <w:sz w:val="24"/>
          <w:szCs w:val="24"/>
          <w:u w:val="single"/>
        </w:rPr>
        <w:t>quid</w:t>
      </w:r>
      <w:r w:rsidRPr="00062D03">
        <w:rPr>
          <w:rFonts w:ascii="Times New Roman" w:hAnsi="Times New Roman" w:cs="Times New Roman"/>
          <w:sz w:val="24"/>
          <w:szCs w:val="24"/>
        </w:rPr>
        <w:t xml:space="preserve">, ossia la determinazione del contenuto </w:t>
      </w:r>
      <w:r>
        <w:rPr>
          <w:rFonts w:ascii="Times New Roman" w:hAnsi="Times New Roman" w:cs="Times New Roman"/>
          <w:sz w:val="24"/>
          <w:szCs w:val="24"/>
        </w:rPr>
        <w:t>più opportuno.</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È importante precisare che una Pubblica Amministrazione, nell’esercizio della facoltà discrezionale, non può prescindere da una ponderazione comparativa degli interessi coinvolti. Dall’analisi, dovrà individuare l’interesse primario (che è l’interesse, il fine pubblico positivamente determinato), dai secondari che possono essere pubblici, privati, collettivi, lo etc. cui il primario è collegato. Nella ponderazione, la PA avrà il compito di perseguire l’interesse primario definito dalla legge, senza che gli interesse secondari siano eccessivamente sacrificati.</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L’attività discrezionale seguirà quindi due momenti: </w:t>
      </w:r>
    </w:p>
    <w:p w:rsidR="00E76FD9" w:rsidRDefault="00E76FD9" w:rsidP="00E76FD9">
      <w:pPr>
        <w:pStyle w:val="Paragrafoelenco"/>
        <w:numPr>
          <w:ilvl w:val="0"/>
          <w:numId w:val="4"/>
        </w:numPr>
        <w:jc w:val="both"/>
        <w:rPr>
          <w:rFonts w:ascii="Times New Roman" w:hAnsi="Times New Roman" w:cs="Times New Roman"/>
          <w:sz w:val="24"/>
          <w:szCs w:val="24"/>
        </w:rPr>
      </w:pPr>
      <w:r>
        <w:rPr>
          <w:rFonts w:ascii="Times New Roman" w:hAnsi="Times New Roman" w:cs="Times New Roman"/>
          <w:sz w:val="24"/>
          <w:szCs w:val="24"/>
        </w:rPr>
        <w:t>Quello del giudizio, ossia nel momento dell’analisi dei fatti, nella individuazione degli interessi coinvolti, nella individuazione del primario dai secondari, nella loro ponderazione sulla base di una istruttoria;</w:t>
      </w:r>
    </w:p>
    <w:p w:rsidR="00E76FD9" w:rsidRDefault="00E76FD9" w:rsidP="00E76FD9">
      <w:pPr>
        <w:pStyle w:val="Paragrafoelenco"/>
        <w:numPr>
          <w:ilvl w:val="0"/>
          <w:numId w:val="4"/>
        </w:numPr>
        <w:jc w:val="both"/>
        <w:rPr>
          <w:rFonts w:ascii="Times New Roman" w:hAnsi="Times New Roman" w:cs="Times New Roman"/>
          <w:sz w:val="24"/>
          <w:szCs w:val="24"/>
        </w:rPr>
      </w:pPr>
      <w:r>
        <w:rPr>
          <w:rFonts w:ascii="Times New Roman" w:hAnsi="Times New Roman" w:cs="Times New Roman"/>
          <w:sz w:val="24"/>
          <w:szCs w:val="24"/>
        </w:rPr>
        <w:t>Quello della decisione, ossia nel momento in cui l’amministrazione, sulla base delle risultanze dell’istruttoria, enuncia la sua volontà adottando la soluzione che ritiene più idonea per il perseguimento dell’interesse pubblico primario.</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In queste fasi, l’attività discrezionale è guidata dalle regole che la legge 241/1990 ha posto alla base del procedimento amministrativo. </w:t>
      </w:r>
    </w:p>
    <w:p w:rsidR="00E76FD9" w:rsidRPr="000E5D5D" w:rsidRDefault="00E76FD9" w:rsidP="00E76FD9">
      <w:pPr>
        <w:jc w:val="both"/>
        <w:rPr>
          <w:rFonts w:ascii="Times New Roman" w:hAnsi="Times New Roman" w:cs="Times New Roman"/>
          <w:sz w:val="24"/>
          <w:szCs w:val="24"/>
        </w:rPr>
      </w:pPr>
      <w:r w:rsidRPr="000E5D5D">
        <w:rPr>
          <w:rFonts w:ascii="Times New Roman" w:hAnsi="Times New Roman" w:cs="Times New Roman"/>
          <w:sz w:val="24"/>
          <w:szCs w:val="24"/>
        </w:rPr>
        <w:t xml:space="preserve">Nel momento del giudizio, infatti, acquista particolare </w:t>
      </w:r>
      <w:r>
        <w:rPr>
          <w:rFonts w:ascii="Times New Roman" w:hAnsi="Times New Roman" w:cs="Times New Roman"/>
          <w:sz w:val="24"/>
          <w:szCs w:val="24"/>
        </w:rPr>
        <w:t>importanza</w:t>
      </w:r>
      <w:r w:rsidRPr="000E5D5D">
        <w:rPr>
          <w:rFonts w:ascii="Times New Roman" w:hAnsi="Times New Roman" w:cs="Times New Roman"/>
          <w:sz w:val="24"/>
          <w:szCs w:val="24"/>
        </w:rPr>
        <w:t xml:space="preserve"> la regola stabilita dall’art. 7 della L. n. 241/90, relativamente alla </w:t>
      </w:r>
      <w:r>
        <w:rPr>
          <w:rFonts w:ascii="Times New Roman" w:hAnsi="Times New Roman" w:cs="Times New Roman"/>
          <w:sz w:val="24"/>
          <w:szCs w:val="24"/>
        </w:rPr>
        <w:t xml:space="preserve">Comunicazione di avvio del procedimento. La Comunicazione è tra gli istituti più importanti di </w:t>
      </w:r>
      <w:r w:rsidRPr="000E5D5D">
        <w:rPr>
          <w:rFonts w:ascii="Times New Roman" w:hAnsi="Times New Roman" w:cs="Times New Roman"/>
          <w:sz w:val="24"/>
          <w:szCs w:val="24"/>
          <w:u w:val="single"/>
        </w:rPr>
        <w:t>partecipazione</w:t>
      </w:r>
      <w:r w:rsidRPr="000E5D5D">
        <w:rPr>
          <w:rFonts w:ascii="Times New Roman" w:hAnsi="Times New Roman" w:cs="Times New Roman"/>
          <w:sz w:val="24"/>
          <w:szCs w:val="24"/>
        </w:rPr>
        <w:t xml:space="preserve"> al procedimento amministrativo</w:t>
      </w:r>
      <w:r>
        <w:rPr>
          <w:rFonts w:ascii="Times New Roman" w:hAnsi="Times New Roman" w:cs="Times New Roman"/>
          <w:sz w:val="24"/>
          <w:szCs w:val="24"/>
        </w:rPr>
        <w:t xml:space="preserve"> che permette a quei soggetti</w:t>
      </w:r>
      <w:r w:rsidRPr="000E5D5D">
        <w:rPr>
          <w:rFonts w:ascii="Times New Roman" w:hAnsi="Times New Roman" w:cs="Times New Roman"/>
          <w:sz w:val="24"/>
          <w:szCs w:val="24"/>
        </w:rPr>
        <w:t xml:space="preserve"> sia privati, sia pubblici</w:t>
      </w:r>
      <w:r>
        <w:rPr>
          <w:rFonts w:ascii="Times New Roman" w:hAnsi="Times New Roman" w:cs="Times New Roman"/>
          <w:sz w:val="24"/>
          <w:szCs w:val="24"/>
        </w:rPr>
        <w:t xml:space="preserve"> portatori di interesse di evidenziare la rilevanza dei loro interessi rispetto a quello primario. La Legge 15/2005 ha modificato l’art. 21 octies comma 2 sulla violazione di questo istituto da parte della PA, in quanto </w:t>
      </w:r>
      <w:r w:rsidRPr="000E5D5D">
        <w:rPr>
          <w:rFonts w:ascii="Times New Roman" w:hAnsi="Times New Roman" w:cs="Times New Roman"/>
          <w:sz w:val="24"/>
          <w:szCs w:val="24"/>
        </w:rPr>
        <w:t>non conduce più</w:t>
      </w:r>
      <w:r>
        <w:rPr>
          <w:rFonts w:ascii="Times New Roman" w:hAnsi="Times New Roman" w:cs="Times New Roman"/>
          <w:sz w:val="24"/>
          <w:szCs w:val="24"/>
        </w:rPr>
        <w:t xml:space="preserve"> </w:t>
      </w:r>
      <w:r w:rsidRPr="000E5D5D">
        <w:rPr>
          <w:rFonts w:ascii="Times New Roman" w:hAnsi="Times New Roman" w:cs="Times New Roman"/>
          <w:sz w:val="24"/>
          <w:szCs w:val="24"/>
        </w:rPr>
        <w:t>ad una caducazione del provvedimento finale</w:t>
      </w:r>
      <w:r>
        <w:rPr>
          <w:rFonts w:ascii="Times New Roman" w:hAnsi="Times New Roman" w:cs="Times New Roman"/>
          <w:sz w:val="24"/>
          <w:szCs w:val="24"/>
        </w:rPr>
        <w:t xml:space="preserve"> quando è dimostrabile che l’apporto dei privati, </w:t>
      </w:r>
      <w:r w:rsidRPr="000E5D5D">
        <w:rPr>
          <w:rFonts w:ascii="Times New Roman" w:hAnsi="Times New Roman" w:cs="Times New Roman"/>
          <w:sz w:val="24"/>
          <w:szCs w:val="24"/>
        </w:rPr>
        <w:t>non sarebbe stato in grado di condizionare l’esito del provvedimento discrezionale.</w:t>
      </w:r>
    </w:p>
    <w:p w:rsidR="00E76FD9" w:rsidRDefault="00E76FD9" w:rsidP="00E76FD9">
      <w:pPr>
        <w:jc w:val="both"/>
        <w:rPr>
          <w:rFonts w:ascii="Times New Roman" w:hAnsi="Times New Roman" w:cs="Times New Roman"/>
          <w:sz w:val="24"/>
          <w:szCs w:val="24"/>
        </w:rPr>
      </w:pPr>
      <w:r w:rsidRPr="000E5D5D">
        <w:rPr>
          <w:rFonts w:ascii="Times New Roman" w:hAnsi="Times New Roman" w:cs="Times New Roman"/>
          <w:sz w:val="24"/>
          <w:szCs w:val="24"/>
        </w:rPr>
        <w:lastRenderedPageBreak/>
        <w:t>Quanto al momento della scelta, invece, assume un ruolo decisivo l’obbligo di motivazione del provvedimento, previsto dall’art. 3 della L. n. 241/90: la motivazione del provvedimento amministrativo discrezionale rappresenta l’unico strumento idoneo ad esplicitare la ponderazione degli interessi svolta dall’Amministrazione e la ragione che ha condotto quest’ultima ad una data soluzione, di cui è espressione il provvedimento finale.</w:t>
      </w:r>
    </w:p>
    <w:p w:rsidR="00E76FD9" w:rsidRPr="0089542D" w:rsidRDefault="00E76FD9" w:rsidP="00E76FD9">
      <w:pPr>
        <w:jc w:val="both"/>
        <w:rPr>
          <w:rFonts w:ascii="Times New Roman" w:hAnsi="Times New Roman" w:cs="Times New Roman"/>
          <w:sz w:val="24"/>
          <w:szCs w:val="24"/>
        </w:rPr>
      </w:pPr>
      <w:r w:rsidRPr="00C06874">
        <w:rPr>
          <w:rFonts w:ascii="Times New Roman" w:hAnsi="Times New Roman" w:cs="Times New Roman"/>
          <w:sz w:val="24"/>
          <w:szCs w:val="24"/>
        </w:rPr>
        <w:t>In ogni caso, l’attività discrezionale deve essere svolta nel rispetto delle regole di legittimità – ossia delle regole giuridiche che disciplinano l’esercizio del potere e la cui violazione rende il provvedimento illegittimo, e quindi sindacabile</w:t>
      </w:r>
      <w:r>
        <w:rPr>
          <w:rFonts w:ascii="Times New Roman" w:hAnsi="Times New Roman" w:cs="Times New Roman"/>
          <w:sz w:val="24"/>
          <w:szCs w:val="24"/>
        </w:rPr>
        <w:t xml:space="preserve"> dall’Autorità giuridica amministrativa.</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Un ultimo cenno merita la differenza che intercorre tra discrezionalità amministrativa e quella tecnica. Un tempo quest’ultima veniva considerata come facente parte di quella amministrativa, mentre oggi, la discrezionalità tecnica ricorre quando per </w:t>
      </w:r>
      <w:r w:rsidRPr="00A4039A">
        <w:rPr>
          <w:rFonts w:ascii="Times New Roman" w:hAnsi="Times New Roman" w:cs="Times New Roman"/>
          <w:sz w:val="24"/>
          <w:szCs w:val="24"/>
        </w:rPr>
        <w:t>l’esame di fatti o di situazioni rilevanti per l’esercizio del potere pubblico</w:t>
      </w:r>
      <w:r>
        <w:rPr>
          <w:rFonts w:ascii="Times New Roman" w:hAnsi="Times New Roman" w:cs="Times New Roman"/>
          <w:sz w:val="24"/>
          <w:szCs w:val="24"/>
        </w:rPr>
        <w:t xml:space="preserve">, si </w:t>
      </w:r>
      <w:r w:rsidRPr="00A4039A">
        <w:rPr>
          <w:rFonts w:ascii="Times New Roman" w:hAnsi="Times New Roman" w:cs="Times New Roman"/>
          <w:sz w:val="24"/>
          <w:szCs w:val="24"/>
        </w:rPr>
        <w:t>necessiti del ricorso a cognizioni tecniche o scientifiche di carattere specialistico.</w:t>
      </w:r>
      <w:r>
        <w:rPr>
          <w:rFonts w:ascii="Times New Roman" w:hAnsi="Times New Roman" w:cs="Times New Roman"/>
          <w:sz w:val="24"/>
          <w:szCs w:val="24"/>
        </w:rPr>
        <w:t xml:space="preserve"> Quindi, nell’esercizio di discrezionalità </w:t>
      </w:r>
      <w:r w:rsidRPr="00397923">
        <w:rPr>
          <w:rFonts w:ascii="Times New Roman" w:hAnsi="Times New Roman" w:cs="Times New Roman"/>
          <w:sz w:val="24"/>
          <w:szCs w:val="24"/>
        </w:rPr>
        <w:t>tecnica la P.A. compie una valutazione di fatti alla stregua di canoni scientifici e tecnici, senza svolgere alcuna comparazione tra l’interesse pubblico primario e gli interessi secondari al fine di individuare la soluzione più opportuna per l’interesse da perseguire</w:t>
      </w:r>
      <w:r>
        <w:rPr>
          <w:rFonts w:ascii="Times New Roman" w:hAnsi="Times New Roman" w:cs="Times New Roman"/>
          <w:sz w:val="24"/>
          <w:szCs w:val="24"/>
        </w:rPr>
        <w:t xml:space="preserve">. Dunque </w:t>
      </w:r>
      <w:r w:rsidRPr="00764BA7">
        <w:rPr>
          <w:rFonts w:ascii="Times New Roman" w:hAnsi="Times New Roman" w:cs="Times New Roman"/>
          <w:sz w:val="24"/>
          <w:szCs w:val="24"/>
        </w:rPr>
        <w:t xml:space="preserve">la discrezionalità amministrativa consta sia del momento del giudizio (nel quale si acquisiscono e si esaminano i fatti), che del momento della scelta (nel quale si compie una sintesi degli interessi in gioco e si determina la soluzione </w:t>
      </w:r>
      <w:r>
        <w:rPr>
          <w:rFonts w:ascii="Times New Roman" w:hAnsi="Times New Roman" w:cs="Times New Roman"/>
          <w:sz w:val="24"/>
          <w:szCs w:val="24"/>
        </w:rPr>
        <w:t>più adeguata</w:t>
      </w:r>
      <w:r w:rsidRPr="00764BA7">
        <w:rPr>
          <w:rFonts w:ascii="Times New Roman" w:hAnsi="Times New Roman" w:cs="Times New Roman"/>
          <w:sz w:val="24"/>
          <w:szCs w:val="24"/>
        </w:rPr>
        <w:t>)</w:t>
      </w:r>
      <w:r>
        <w:rPr>
          <w:rFonts w:ascii="Times New Roman" w:hAnsi="Times New Roman" w:cs="Times New Roman"/>
          <w:sz w:val="24"/>
          <w:szCs w:val="24"/>
        </w:rPr>
        <w:t xml:space="preserve">, </w:t>
      </w:r>
      <w:r w:rsidRPr="00764BA7">
        <w:rPr>
          <w:rFonts w:ascii="Times New Roman" w:hAnsi="Times New Roman" w:cs="Times New Roman"/>
          <w:sz w:val="24"/>
          <w:szCs w:val="24"/>
        </w:rPr>
        <w:t xml:space="preserve">la discrezionalità tecnica, viceversa, </w:t>
      </w:r>
      <w:r>
        <w:rPr>
          <w:rFonts w:ascii="Times New Roman" w:hAnsi="Times New Roman" w:cs="Times New Roman"/>
          <w:sz w:val="24"/>
          <w:szCs w:val="24"/>
        </w:rPr>
        <w:t>prevede solo il momento</w:t>
      </w:r>
      <w:r w:rsidRPr="00764BA7">
        <w:rPr>
          <w:rFonts w:ascii="Times New Roman" w:hAnsi="Times New Roman" w:cs="Times New Roman"/>
          <w:sz w:val="24"/>
          <w:szCs w:val="24"/>
        </w:rPr>
        <w:t xml:space="preserve"> del giudizio, </w:t>
      </w:r>
      <w:r>
        <w:rPr>
          <w:rFonts w:ascii="Times New Roman" w:hAnsi="Times New Roman" w:cs="Times New Roman"/>
          <w:sz w:val="24"/>
          <w:szCs w:val="24"/>
        </w:rPr>
        <w:t>quindi</w:t>
      </w:r>
      <w:r w:rsidRPr="00764BA7">
        <w:rPr>
          <w:rFonts w:ascii="Times New Roman" w:hAnsi="Times New Roman" w:cs="Times New Roman"/>
          <w:sz w:val="24"/>
          <w:szCs w:val="24"/>
        </w:rPr>
        <w:t xml:space="preserve"> soltanto una analisi di fatti, sia pure complessi, ma non di interessi.</w:t>
      </w:r>
    </w:p>
    <w:p w:rsidR="00E76FD9" w:rsidRDefault="00E76FD9" w:rsidP="00E76FD9">
      <w:pPr>
        <w:jc w:val="both"/>
        <w:rPr>
          <w:rFonts w:ascii="Times New Roman" w:hAnsi="Times New Roman" w:cs="Times New Roman"/>
          <w:sz w:val="24"/>
          <w:szCs w:val="24"/>
        </w:rPr>
      </w:pPr>
    </w:p>
    <w:p w:rsidR="00E76FD9" w:rsidRPr="00AD2B3D" w:rsidRDefault="00E76FD9" w:rsidP="00E76FD9">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2- </w:t>
      </w:r>
      <w:r w:rsidRPr="00AD2B3D">
        <w:rPr>
          <w:rFonts w:ascii="Times New Roman" w:hAnsi="Times New Roman" w:cs="Times New Roman"/>
          <w:sz w:val="24"/>
          <w:szCs w:val="24"/>
        </w:rPr>
        <w:t xml:space="preserve">Differenza tra vizi di merito e legittimità e rimedi esperibili </w:t>
      </w:r>
    </w:p>
    <w:p w:rsidR="00E76FD9" w:rsidRDefault="00E76FD9" w:rsidP="00E76FD9">
      <w:pPr>
        <w:jc w:val="both"/>
        <w:rPr>
          <w:rFonts w:ascii="Times New Roman" w:hAnsi="Times New Roman" w:cs="Times New Roman"/>
          <w:sz w:val="24"/>
          <w:szCs w:val="24"/>
        </w:rPr>
      </w:pPr>
      <w:r w:rsidRPr="00487B56">
        <w:rPr>
          <w:rFonts w:ascii="Times New Roman" w:hAnsi="Times New Roman" w:cs="Times New Roman"/>
          <w:sz w:val="24"/>
          <w:szCs w:val="24"/>
        </w:rPr>
        <w:t>I vizi dell'atto amministrativo possono distinguersi in due categorie, vizi di legittimità e vizi di merito e possono dar luogo all'invalidità dell'atto amministrativo stesso</w:t>
      </w:r>
      <w:r>
        <w:rPr>
          <w:rFonts w:ascii="Times New Roman" w:hAnsi="Times New Roman" w:cs="Times New Roman"/>
          <w:sz w:val="24"/>
          <w:szCs w:val="24"/>
        </w:rPr>
        <w:t xml:space="preserve"> perché non conformi alle norme di riferimento. </w:t>
      </w:r>
      <w:r w:rsidRPr="00405202">
        <w:rPr>
          <w:rFonts w:ascii="Times New Roman" w:hAnsi="Times New Roman" w:cs="Times New Roman"/>
          <w:sz w:val="24"/>
          <w:szCs w:val="24"/>
        </w:rPr>
        <w:t xml:space="preserve">Legittimità e merito rappresentano, in sostanza, i due requisiti dell'azione amministrativa </w:t>
      </w:r>
      <w:r>
        <w:rPr>
          <w:rFonts w:ascii="Times New Roman" w:hAnsi="Times New Roman" w:cs="Times New Roman"/>
          <w:sz w:val="24"/>
          <w:szCs w:val="24"/>
        </w:rPr>
        <w:t xml:space="preserve">ben </w:t>
      </w:r>
      <w:r w:rsidRPr="00405202">
        <w:rPr>
          <w:rFonts w:ascii="Times New Roman" w:hAnsi="Times New Roman" w:cs="Times New Roman"/>
          <w:sz w:val="24"/>
          <w:szCs w:val="24"/>
        </w:rPr>
        <w:t xml:space="preserve">indicati nell'art. 97 della Cost. </w:t>
      </w:r>
      <w:r>
        <w:rPr>
          <w:rFonts w:ascii="Times New Roman" w:hAnsi="Times New Roman" w:cs="Times New Roman"/>
          <w:sz w:val="24"/>
          <w:szCs w:val="24"/>
        </w:rPr>
        <w:t>d</w:t>
      </w:r>
      <w:r w:rsidRPr="00405202">
        <w:rPr>
          <w:rFonts w:ascii="Times New Roman" w:hAnsi="Times New Roman" w:cs="Times New Roman"/>
          <w:sz w:val="24"/>
          <w:szCs w:val="24"/>
        </w:rPr>
        <w:t xml:space="preserve">ove la legalità e la buona amministrazione sono i parametri </w:t>
      </w:r>
      <w:r>
        <w:rPr>
          <w:rFonts w:ascii="Times New Roman" w:hAnsi="Times New Roman" w:cs="Times New Roman"/>
          <w:sz w:val="24"/>
          <w:szCs w:val="24"/>
        </w:rPr>
        <w:t xml:space="preserve">a </w:t>
      </w:r>
      <w:r w:rsidRPr="00405202">
        <w:rPr>
          <w:rFonts w:ascii="Times New Roman" w:hAnsi="Times New Roman" w:cs="Times New Roman"/>
          <w:sz w:val="24"/>
          <w:szCs w:val="24"/>
        </w:rPr>
        <w:t>cui deve ispirarsi l'operato della PA.</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La differenza che intercorre tra le due classi di vizi è che si parla di</w:t>
      </w:r>
      <w:r w:rsidRPr="00405202">
        <w:rPr>
          <w:rFonts w:ascii="Times New Roman" w:hAnsi="Times New Roman" w:cs="Times New Roman"/>
          <w:sz w:val="24"/>
          <w:szCs w:val="24"/>
        </w:rPr>
        <w:t xml:space="preserve"> vizi di legittimità quando </w:t>
      </w:r>
      <w:r>
        <w:rPr>
          <w:rFonts w:ascii="Times New Roman" w:hAnsi="Times New Roman" w:cs="Times New Roman"/>
          <w:sz w:val="24"/>
          <w:szCs w:val="24"/>
        </w:rPr>
        <w:t xml:space="preserve">l’atto </w:t>
      </w:r>
      <w:r w:rsidRPr="00405202">
        <w:rPr>
          <w:rFonts w:ascii="Times New Roman" w:hAnsi="Times New Roman" w:cs="Times New Roman"/>
          <w:sz w:val="24"/>
          <w:szCs w:val="24"/>
        </w:rPr>
        <w:t>risulta difforme da norme giuridiche anche implicite (</w:t>
      </w:r>
      <w:r>
        <w:rPr>
          <w:rFonts w:ascii="Times New Roman" w:hAnsi="Times New Roman" w:cs="Times New Roman"/>
          <w:sz w:val="24"/>
          <w:szCs w:val="24"/>
        </w:rPr>
        <w:t>come nel</w:t>
      </w:r>
      <w:r w:rsidRPr="00405202">
        <w:rPr>
          <w:rFonts w:ascii="Times New Roman" w:hAnsi="Times New Roman" w:cs="Times New Roman"/>
          <w:sz w:val="24"/>
          <w:szCs w:val="24"/>
        </w:rPr>
        <w:t xml:space="preserve"> caso dell'eccesso di potere) </w:t>
      </w:r>
      <w:r>
        <w:rPr>
          <w:rFonts w:ascii="Times New Roman" w:hAnsi="Times New Roman" w:cs="Times New Roman"/>
          <w:sz w:val="24"/>
          <w:szCs w:val="24"/>
        </w:rPr>
        <w:t>mentre si parla di</w:t>
      </w:r>
      <w:r w:rsidRPr="00405202">
        <w:rPr>
          <w:rFonts w:ascii="Times New Roman" w:hAnsi="Times New Roman" w:cs="Times New Roman"/>
          <w:sz w:val="24"/>
          <w:szCs w:val="24"/>
        </w:rPr>
        <w:t xml:space="preserve"> vizi di merito quando l'atto non è conforme a regole </w:t>
      </w:r>
      <w:r w:rsidRPr="00405202">
        <w:rPr>
          <w:rFonts w:ascii="Times New Roman" w:hAnsi="Times New Roman" w:cs="Times New Roman"/>
          <w:sz w:val="24"/>
          <w:szCs w:val="24"/>
          <w:u w:val="single"/>
        </w:rPr>
        <w:t>non giuridiche</w:t>
      </w:r>
      <w:r w:rsidRPr="00405202">
        <w:rPr>
          <w:rFonts w:ascii="Times New Roman" w:hAnsi="Times New Roman" w:cs="Times New Roman"/>
          <w:sz w:val="24"/>
          <w:szCs w:val="24"/>
        </w:rPr>
        <w:t xml:space="preserve"> (</w:t>
      </w:r>
      <w:r>
        <w:rPr>
          <w:rFonts w:ascii="Times New Roman" w:hAnsi="Times New Roman" w:cs="Times New Roman"/>
          <w:sz w:val="24"/>
          <w:szCs w:val="24"/>
        </w:rPr>
        <w:t xml:space="preserve">quindi a </w:t>
      </w:r>
      <w:r w:rsidRPr="00405202">
        <w:rPr>
          <w:rFonts w:ascii="Times New Roman" w:hAnsi="Times New Roman" w:cs="Times New Roman"/>
          <w:sz w:val="24"/>
          <w:szCs w:val="24"/>
        </w:rPr>
        <w:t>norme di buona amministrazione) e che, tuttavia, determ</w:t>
      </w:r>
      <w:r>
        <w:rPr>
          <w:rFonts w:ascii="Times New Roman" w:hAnsi="Times New Roman" w:cs="Times New Roman"/>
          <w:sz w:val="24"/>
          <w:szCs w:val="24"/>
        </w:rPr>
        <w:t>inano</w:t>
      </w:r>
      <w:r w:rsidRPr="00405202">
        <w:rPr>
          <w:rFonts w:ascii="Times New Roman" w:hAnsi="Times New Roman" w:cs="Times New Roman"/>
          <w:sz w:val="24"/>
          <w:szCs w:val="24"/>
        </w:rPr>
        <w:t xml:space="preserve"> un contrasto, per motivi di </w:t>
      </w:r>
      <w:r>
        <w:rPr>
          <w:rFonts w:ascii="Times New Roman" w:hAnsi="Times New Roman" w:cs="Times New Roman"/>
          <w:sz w:val="24"/>
          <w:szCs w:val="24"/>
        </w:rPr>
        <w:t xml:space="preserve">equità, eticità, </w:t>
      </w:r>
      <w:r w:rsidRPr="00405202">
        <w:rPr>
          <w:rFonts w:ascii="Times New Roman" w:hAnsi="Times New Roman" w:cs="Times New Roman"/>
          <w:sz w:val="24"/>
          <w:szCs w:val="24"/>
        </w:rPr>
        <w:t xml:space="preserve">economicità, di opportunità, tra il mezzo utilizzato dalla PA ed il  mezzo che sarebbe stato idoneo al perseguimento ottimale del </w:t>
      </w:r>
      <w:r>
        <w:rPr>
          <w:rFonts w:ascii="Times New Roman" w:hAnsi="Times New Roman" w:cs="Times New Roman"/>
          <w:sz w:val="24"/>
          <w:szCs w:val="24"/>
        </w:rPr>
        <w:t>fine.</w:t>
      </w:r>
    </w:p>
    <w:p w:rsidR="00E76FD9" w:rsidRDefault="00E76FD9" w:rsidP="00E76FD9">
      <w:pPr>
        <w:jc w:val="both"/>
        <w:rPr>
          <w:rFonts w:ascii="Times New Roman" w:hAnsi="Times New Roman" w:cs="Times New Roman"/>
          <w:sz w:val="24"/>
          <w:szCs w:val="24"/>
        </w:rPr>
      </w:pPr>
      <w:r w:rsidRPr="004C295C">
        <w:rPr>
          <w:rFonts w:ascii="Times New Roman" w:hAnsi="Times New Roman" w:cs="Times New Roman"/>
          <w:sz w:val="24"/>
          <w:szCs w:val="24"/>
        </w:rPr>
        <w:t>I vizi di legittimità, a seconda degli elementi sui quali incidono, possono determinare diverse forme d'invalidità dell'atto amministrativo, possono, cioè, dar luogo a</w:t>
      </w:r>
      <w:r>
        <w:rPr>
          <w:rFonts w:ascii="Times New Roman" w:hAnsi="Times New Roman" w:cs="Times New Roman"/>
          <w:sz w:val="24"/>
          <w:szCs w:val="24"/>
        </w:rPr>
        <w:t xml:space="preserve"> nullità ed annullabilità. I</w:t>
      </w:r>
      <w:r w:rsidRPr="004C295C">
        <w:rPr>
          <w:rFonts w:ascii="Times New Roman" w:hAnsi="Times New Roman" w:cs="Times New Roman"/>
          <w:sz w:val="24"/>
          <w:szCs w:val="24"/>
        </w:rPr>
        <w:t>ndividuano due stati patologici profondamente diversi, sia sotto il profilo delle cause, sia sotto quello dell</w:t>
      </w:r>
      <w:r>
        <w:rPr>
          <w:rFonts w:ascii="Times New Roman" w:hAnsi="Times New Roman" w:cs="Times New Roman"/>
          <w:sz w:val="24"/>
          <w:szCs w:val="24"/>
        </w:rPr>
        <w:t>a</w:t>
      </w:r>
      <w:r w:rsidRPr="004C295C">
        <w:rPr>
          <w:rFonts w:ascii="Times New Roman" w:hAnsi="Times New Roman" w:cs="Times New Roman"/>
          <w:sz w:val="24"/>
          <w:szCs w:val="24"/>
        </w:rPr>
        <w:t xml:space="preserve"> relativa disciplina giuridica e, </w:t>
      </w:r>
      <w:r>
        <w:rPr>
          <w:rFonts w:ascii="Times New Roman" w:hAnsi="Times New Roman" w:cs="Times New Roman"/>
          <w:sz w:val="24"/>
          <w:szCs w:val="24"/>
        </w:rPr>
        <w:t>soprattutto</w:t>
      </w:r>
      <w:r w:rsidRPr="004C295C">
        <w:rPr>
          <w:rFonts w:ascii="Times New Roman" w:hAnsi="Times New Roman" w:cs="Times New Roman"/>
          <w:sz w:val="24"/>
          <w:szCs w:val="24"/>
        </w:rPr>
        <w:t xml:space="preserve"> di quella degli effetti.</w:t>
      </w:r>
      <w:r>
        <w:rPr>
          <w:rFonts w:ascii="Times New Roman" w:hAnsi="Times New Roman" w:cs="Times New Roman"/>
          <w:sz w:val="24"/>
          <w:szCs w:val="24"/>
        </w:rPr>
        <w:t xml:space="preserve"> </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Come stabilisce l’art. 21-septies della Legge 241/1990 è nullo quel provvedimento che manca degli elementi essenziali (ossia del soggetto, dell’oggetto, della causa,del contenuto e della forma), che è viziato dal difetto assoluto di attribuzione (si configura </w:t>
      </w:r>
      <w:r w:rsidRPr="00BC203D">
        <w:rPr>
          <w:rFonts w:ascii="Times New Roman" w:hAnsi="Times New Roman" w:cs="Times New Roman"/>
          <w:sz w:val="24"/>
          <w:szCs w:val="24"/>
        </w:rPr>
        <w:t>allorché l'organo che emana l'atto non ha assolutamente la competenza per emanarlo, in quanto si tratta di un organo appartenente ad un potere, o settore dell'amministrazione pubblica, completamente diversi</w:t>
      </w:r>
      <w:r>
        <w:rPr>
          <w:rFonts w:ascii="Times New Roman" w:hAnsi="Times New Roman" w:cs="Times New Roman"/>
          <w:sz w:val="24"/>
          <w:szCs w:val="24"/>
        </w:rPr>
        <w:t xml:space="preserve">), e di quello adottato in elusione del giudicato e di tutti quegli altri casi previsti dalla legge. Un </w:t>
      </w:r>
      <w:r w:rsidRPr="00BC203D">
        <w:rPr>
          <w:rFonts w:ascii="Times New Roman" w:hAnsi="Times New Roman" w:cs="Times New Roman"/>
          <w:sz w:val="24"/>
          <w:szCs w:val="24"/>
        </w:rPr>
        <w:t xml:space="preserve">atto amministrativo nullo, </w:t>
      </w:r>
      <w:r>
        <w:rPr>
          <w:rFonts w:ascii="Times New Roman" w:hAnsi="Times New Roman" w:cs="Times New Roman"/>
          <w:sz w:val="24"/>
          <w:szCs w:val="24"/>
        </w:rPr>
        <w:t xml:space="preserve">è </w:t>
      </w:r>
      <w:r>
        <w:rPr>
          <w:rFonts w:ascii="Times New Roman" w:hAnsi="Times New Roman" w:cs="Times New Roman"/>
          <w:sz w:val="24"/>
          <w:szCs w:val="24"/>
        </w:rPr>
        <w:lastRenderedPageBreak/>
        <w:t>incapace</w:t>
      </w:r>
      <w:r w:rsidRPr="00BC203D">
        <w:rPr>
          <w:rFonts w:ascii="Times New Roman" w:hAnsi="Times New Roman" w:cs="Times New Roman"/>
          <w:sz w:val="24"/>
          <w:szCs w:val="24"/>
        </w:rPr>
        <w:t xml:space="preserve"> di produrre effetti, non è esecutorio, non può essere sanato o convalidato </w:t>
      </w:r>
      <w:r>
        <w:rPr>
          <w:rFonts w:ascii="Times New Roman" w:hAnsi="Times New Roman" w:cs="Times New Roman"/>
          <w:sz w:val="24"/>
          <w:szCs w:val="24"/>
        </w:rPr>
        <w:t>ma può</w:t>
      </w:r>
      <w:r w:rsidRPr="00BC203D">
        <w:rPr>
          <w:rFonts w:ascii="Times New Roman" w:hAnsi="Times New Roman" w:cs="Times New Roman"/>
          <w:sz w:val="24"/>
          <w:szCs w:val="24"/>
        </w:rPr>
        <w:t xml:space="preserve"> essere </w:t>
      </w:r>
      <w:r>
        <w:rPr>
          <w:rFonts w:ascii="Times New Roman" w:hAnsi="Times New Roman" w:cs="Times New Roman"/>
          <w:sz w:val="24"/>
          <w:szCs w:val="24"/>
        </w:rPr>
        <w:t xml:space="preserve">solo </w:t>
      </w:r>
      <w:r w:rsidRPr="00BC203D">
        <w:rPr>
          <w:rFonts w:ascii="Times New Roman" w:hAnsi="Times New Roman" w:cs="Times New Roman"/>
          <w:sz w:val="24"/>
          <w:szCs w:val="24"/>
        </w:rPr>
        <w:t>convertito in un atto valido.</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Come invece stabilito dall’art. 21-octies, si parla di annullabilità quando l’atto è adottato in violazione di legge, per eccesso di potere e per incompetenza relativa. Parleremo di incompetenza relativa quando</w:t>
      </w:r>
      <w:r w:rsidRPr="00BC203D">
        <w:t xml:space="preserve"> </w:t>
      </w:r>
      <w:r w:rsidRPr="00BC203D">
        <w:rPr>
          <w:rFonts w:ascii="Times New Roman" w:hAnsi="Times New Roman" w:cs="Times New Roman"/>
          <w:sz w:val="24"/>
          <w:szCs w:val="24"/>
        </w:rPr>
        <w:t>un organo amministrativo invade la sfera di competenza di un altro organo appartenente allo stesso settore amministrativo o, comunque, allo stesso ente</w:t>
      </w:r>
      <w:r>
        <w:rPr>
          <w:rFonts w:ascii="Times New Roman" w:hAnsi="Times New Roman" w:cs="Times New Roman"/>
          <w:sz w:val="24"/>
          <w:szCs w:val="24"/>
        </w:rPr>
        <w:t xml:space="preserve">. </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Nonostante la Giurisprudenza non individui un’unica definizione, </w:t>
      </w:r>
      <w:r w:rsidRPr="00931CE5">
        <w:rPr>
          <w:rFonts w:ascii="Times New Roman" w:hAnsi="Times New Roman" w:cs="Times New Roman"/>
          <w:sz w:val="24"/>
          <w:szCs w:val="24"/>
        </w:rPr>
        <w:t>l’</w:t>
      </w:r>
      <w:r>
        <w:rPr>
          <w:rFonts w:ascii="Times New Roman" w:hAnsi="Times New Roman" w:cs="Times New Roman"/>
          <w:sz w:val="24"/>
          <w:szCs w:val="24"/>
        </w:rPr>
        <w:t>eccesso di potere si manifesta quando vi è un “cattivo” uso o deviazione del potere da parte della PA. Poiché l’attività amministrativa deve tendere sempre al principio di legalità e perseguire il fine stabilito dalla legge è quindi necessario che vi sia un atto a contenuto discrezionale per poter parlare di eccesso di potere. Poiché non è un vizio che ci appare in modo evidente, si parla di figure “ sintomatiche” ossia che presentano sintomi di questo cattivo uso e sono collegate direttamente alla correttezza, alla diligenza ed alla buona fede. Ci ritroviamo nella casistica di eccesso di potere non solo nel caso di sviamento (quindi quando il provvedimento emanato non persegue l’interesse pubblico ma un fine diverso che può essere quello di un privato oppure quando la PA ha perseguito un fine pubblico diverso da quello di fatto stabilito dalla legge), ma anche per irragionevolezza, contraddittorietà ed illogicità delle premesse di un atto amministrativo che vanno in contraddizione con la conclusione finale. Esistono poi delle figure secondarie che sono il travisamento e l’erronea valutazione dei fatti, la contraddittorietà tra più atti o anche tra più parti dello stesso atto, l’inosservanza delle circolari impartite da una stessa autorità o superiore, disparità di trattamento ed ingiustizia manifesta di un atto che è totalmente iniquo.</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Ultima classe dei vizi di leggittimità la ritroviamo nella violazione di legge. È una figura residuale comprensiva di </w:t>
      </w:r>
      <w:r w:rsidRPr="00F07535">
        <w:rPr>
          <w:rFonts w:ascii="Times New Roman" w:hAnsi="Times New Roman" w:cs="Times New Roman"/>
          <w:sz w:val="24"/>
          <w:szCs w:val="24"/>
        </w:rPr>
        <w:t xml:space="preserve">tutti gli altri vizi di legittimità che non configurano né </w:t>
      </w:r>
      <w:r>
        <w:rPr>
          <w:rFonts w:ascii="Times New Roman" w:hAnsi="Times New Roman" w:cs="Times New Roman"/>
          <w:sz w:val="24"/>
          <w:szCs w:val="24"/>
        </w:rPr>
        <w:t xml:space="preserve">nella </w:t>
      </w:r>
      <w:r w:rsidRPr="00F07535">
        <w:rPr>
          <w:rFonts w:ascii="Times New Roman" w:hAnsi="Times New Roman" w:cs="Times New Roman"/>
          <w:sz w:val="24"/>
          <w:szCs w:val="24"/>
        </w:rPr>
        <w:t>incompetenza relativa né eccesso di potere.</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Le PA hanno a disposizione degli strumenti di autotutela nei casi di provvedimenti che presentano vizi di legittimità e vizi di merito. Questi strumenti sono l’ANNULLAMENTO D’UFFICIO e la REVOCA, entrambi previsti dalla legge 241/90, rispettivamente all’art. 21-nonies e 21-quinquies.</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Il provvedimento illegittimo ai sensi dell’art. 21 octies, può essere annullato d’ufficio dall’organo che ha emesso tale provvedimento o da altro previsto dalla legge, sussistendo le ragioni d’interesse pubblico ed entro un termine ragionevole, ossia entro massimo diciotto mesi. Ai fini dell’esercizio del potere, il Legislatore rimette alla PA il compito di fare una duplice valutazione, in primis valutare se effettivamente quell’atto emesso presenti un vizio di illegittimità ed in secundis verificare la presenza di un interesse pubblico puntuale, attuale e concreto alla rimozione di quel provvedimento unitamente alla comparazione con il sacrificio degli interessi dei controinteressati. Si potrà andare anche oltre il termine dei diciotto mesi, nel caso in cui i </w:t>
      </w:r>
      <w:r w:rsidRPr="00147CD3">
        <w:rPr>
          <w:rFonts w:ascii="Times New Roman" w:hAnsi="Times New Roman" w:cs="Times New Roman"/>
          <w:sz w:val="24"/>
          <w:szCs w:val="24"/>
        </w:rPr>
        <w:t xml:space="preserve">provvedimenti amministrativi </w:t>
      </w:r>
      <w:r>
        <w:rPr>
          <w:rFonts w:ascii="Times New Roman" w:hAnsi="Times New Roman" w:cs="Times New Roman"/>
          <w:sz w:val="24"/>
          <w:szCs w:val="24"/>
        </w:rPr>
        <w:t xml:space="preserve">siano stati </w:t>
      </w:r>
      <w:r w:rsidRPr="00147CD3">
        <w:rPr>
          <w:rFonts w:ascii="Times New Roman" w:hAnsi="Times New Roman" w:cs="Times New Roman"/>
          <w:sz w:val="24"/>
          <w:szCs w:val="24"/>
        </w:rPr>
        <w:t xml:space="preserve">conseguiti sulla base di </w:t>
      </w:r>
      <w:r>
        <w:rPr>
          <w:rFonts w:ascii="Times New Roman" w:hAnsi="Times New Roman" w:cs="Times New Roman"/>
          <w:sz w:val="24"/>
          <w:szCs w:val="24"/>
        </w:rPr>
        <w:t>dichiarazioni false e mendaci e vi sia una sentenza passata in giudicato. Con il provvedimento di 2° grado, la PA può decidere l’annullamento d’ufficio del provvedimento di 1° viziato e tale provvedimento avrà effetti retroattivi.</w:t>
      </w:r>
    </w:p>
    <w:p w:rsidR="00E76FD9" w:rsidRDefault="00E76FD9" w:rsidP="00E76FD9">
      <w:pPr>
        <w:jc w:val="both"/>
        <w:rPr>
          <w:rFonts w:ascii="Times New Roman" w:hAnsi="Times New Roman" w:cs="Times New Roman"/>
          <w:sz w:val="24"/>
          <w:szCs w:val="24"/>
        </w:rPr>
      </w:pP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La Revoca, di cui all’art. 21-quinquies, è quell’istituto che permette di agire sui provvedimenti che presentano vizi di merito. </w:t>
      </w:r>
      <w:r w:rsidRPr="00C941A8">
        <w:rPr>
          <w:rFonts w:ascii="Times New Roman" w:hAnsi="Times New Roman" w:cs="Times New Roman"/>
          <w:sz w:val="24"/>
          <w:szCs w:val="24"/>
        </w:rPr>
        <w:t>Per sopravvenuti motivi di pubblico interesse o</w:t>
      </w:r>
      <w:r>
        <w:rPr>
          <w:rFonts w:ascii="Times New Roman" w:hAnsi="Times New Roman" w:cs="Times New Roman"/>
          <w:sz w:val="24"/>
          <w:szCs w:val="24"/>
        </w:rPr>
        <w:t xml:space="preserve"> </w:t>
      </w:r>
      <w:r w:rsidRPr="00C941A8">
        <w:rPr>
          <w:rFonts w:ascii="Times New Roman" w:hAnsi="Times New Roman" w:cs="Times New Roman"/>
          <w:sz w:val="24"/>
          <w:szCs w:val="24"/>
        </w:rPr>
        <w:t>nel caso di mutamento della situazione di fatto o di nuova valutazione dell'interesse pubblico originario, il provvedimento amministrativo può essere revocato da parte dell'organo che lo ha emanato ovvero da altro organo previsto dalla legg</w:t>
      </w:r>
      <w:r>
        <w:rPr>
          <w:rFonts w:ascii="Times New Roman" w:hAnsi="Times New Roman" w:cs="Times New Roman"/>
          <w:sz w:val="24"/>
          <w:szCs w:val="24"/>
        </w:rPr>
        <w:t xml:space="preserve">e. Sono oggetto di revoca quei provvedimenti durevoli quali atti normativi, </w:t>
      </w:r>
      <w:r>
        <w:rPr>
          <w:rFonts w:ascii="Times New Roman" w:hAnsi="Times New Roman" w:cs="Times New Roman"/>
          <w:sz w:val="24"/>
          <w:szCs w:val="24"/>
        </w:rPr>
        <w:lastRenderedPageBreak/>
        <w:t>autorizzazioni commerciali, piani urbanistici etc. La revoca, a differenza dell’annullamento di ufficio, determina l’inidoneità a produrre ulteriori effetti, quindi non ha effetti retroattivi. Nel caso in cui la revoca comporti dei pregiudizi, si provvederà ad un indennizzo per il solo danno emergente. La revoca provocherà la caducazione del provvedimento di 1° e sarà fondamentale la motivazione (come da art. 3 della L. 241/90) che dovrà essere legata al mutamento dell’interesse pubblico.</w:t>
      </w:r>
    </w:p>
    <w:p w:rsidR="00E76FD9" w:rsidRDefault="00E76FD9" w:rsidP="00E76FD9">
      <w:pPr>
        <w:jc w:val="both"/>
        <w:rPr>
          <w:rFonts w:ascii="Times New Roman" w:hAnsi="Times New Roman" w:cs="Times New Roman"/>
          <w:sz w:val="24"/>
          <w:szCs w:val="24"/>
        </w:rPr>
      </w:pPr>
    </w:p>
    <w:p w:rsidR="00E76FD9" w:rsidRDefault="00E76FD9" w:rsidP="00E76FD9">
      <w:pPr>
        <w:pStyle w:val="Paragrafoelenco"/>
        <w:numPr>
          <w:ilvl w:val="0"/>
          <w:numId w:val="3"/>
        </w:numPr>
        <w:jc w:val="both"/>
        <w:rPr>
          <w:rFonts w:ascii="Times New Roman" w:hAnsi="Times New Roman" w:cs="Times New Roman"/>
          <w:sz w:val="24"/>
          <w:szCs w:val="24"/>
        </w:rPr>
      </w:pPr>
      <w:r w:rsidRPr="00AD2B3D">
        <w:rPr>
          <w:rFonts w:ascii="Times New Roman" w:hAnsi="Times New Roman" w:cs="Times New Roman"/>
          <w:sz w:val="24"/>
          <w:szCs w:val="24"/>
        </w:rPr>
        <w:t>Modalità conclusione conferenza servizi simultanea</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3- La conferenza dei servizi, disciplinata dalla L. 241/90 all’art. 14 bis nasce come importante istituto di semplificazione amministrativa. </w:t>
      </w:r>
      <w:r w:rsidRPr="00BD5477">
        <w:rPr>
          <w:rFonts w:ascii="Times New Roman" w:hAnsi="Times New Roman" w:cs="Times New Roman"/>
          <w:sz w:val="24"/>
          <w:szCs w:val="24"/>
        </w:rPr>
        <w:t>Qualora sia opportuno effettuare un esame contestuale di vari interessi pubblici coinvolti in u</w:t>
      </w:r>
      <w:r>
        <w:rPr>
          <w:rFonts w:ascii="Times New Roman" w:hAnsi="Times New Roman" w:cs="Times New Roman"/>
          <w:sz w:val="24"/>
          <w:szCs w:val="24"/>
        </w:rPr>
        <w:t xml:space="preserve">n </w:t>
      </w:r>
      <w:r w:rsidRPr="00BD5477">
        <w:rPr>
          <w:rFonts w:ascii="Times New Roman" w:hAnsi="Times New Roman" w:cs="Times New Roman"/>
          <w:sz w:val="24"/>
          <w:szCs w:val="24"/>
        </w:rPr>
        <w:t>procedimento amministrativo</w:t>
      </w:r>
      <w:r>
        <w:rPr>
          <w:rFonts w:ascii="Times New Roman" w:hAnsi="Times New Roman" w:cs="Times New Roman"/>
          <w:sz w:val="24"/>
          <w:szCs w:val="24"/>
        </w:rPr>
        <w:t>, si indice una conferenza di servizi che permette alle varie amministrazioni di collaborare tra loro per snellire l’attività amministrativa evitando che nei procedimenti complessi, le amministrazioni debbano pronunciarsi in tempi e luoghi diversi. Essa</w:t>
      </w:r>
      <w:r w:rsidRPr="00BD5477">
        <w:rPr>
          <w:rFonts w:ascii="Times New Roman" w:hAnsi="Times New Roman" w:cs="Times New Roman"/>
          <w:sz w:val="24"/>
          <w:szCs w:val="24"/>
        </w:rPr>
        <w:t xml:space="preserve"> è sempre indetta quando l’amministrazione procedente deve acquisire intese,</w:t>
      </w:r>
      <w:r>
        <w:rPr>
          <w:rFonts w:ascii="Times New Roman" w:hAnsi="Times New Roman" w:cs="Times New Roman"/>
          <w:sz w:val="24"/>
          <w:szCs w:val="24"/>
        </w:rPr>
        <w:t xml:space="preserve"> </w:t>
      </w:r>
      <w:r w:rsidRPr="00BD5477">
        <w:rPr>
          <w:rFonts w:ascii="Times New Roman" w:hAnsi="Times New Roman" w:cs="Times New Roman"/>
          <w:sz w:val="24"/>
          <w:szCs w:val="24"/>
        </w:rPr>
        <w:t>concerti, nulla osta o assensi di altre amministrazioni pubbliche e non li ottenga,</w:t>
      </w:r>
      <w:r>
        <w:rPr>
          <w:rFonts w:ascii="Times New Roman" w:hAnsi="Times New Roman" w:cs="Times New Roman"/>
          <w:sz w:val="24"/>
          <w:szCs w:val="24"/>
        </w:rPr>
        <w:t xml:space="preserve"> </w:t>
      </w:r>
      <w:r w:rsidRPr="00BD5477">
        <w:rPr>
          <w:rFonts w:ascii="Times New Roman" w:hAnsi="Times New Roman" w:cs="Times New Roman"/>
          <w:sz w:val="24"/>
          <w:szCs w:val="24"/>
        </w:rPr>
        <w:t>entro trenta giorni dalla ricezione</w:t>
      </w:r>
      <w:r>
        <w:rPr>
          <w:rFonts w:ascii="Times New Roman" w:hAnsi="Times New Roman" w:cs="Times New Roman"/>
          <w:sz w:val="24"/>
          <w:szCs w:val="24"/>
        </w:rPr>
        <w:t xml:space="preserve"> </w:t>
      </w:r>
      <w:r w:rsidRPr="00BD5477">
        <w:rPr>
          <w:rFonts w:ascii="Times New Roman" w:hAnsi="Times New Roman" w:cs="Times New Roman"/>
          <w:sz w:val="24"/>
          <w:szCs w:val="24"/>
        </w:rPr>
        <w:t>della relativa richiesta.</w:t>
      </w:r>
      <w:r>
        <w:rPr>
          <w:rFonts w:ascii="Times New Roman" w:hAnsi="Times New Roman" w:cs="Times New Roman"/>
          <w:sz w:val="24"/>
          <w:szCs w:val="24"/>
        </w:rPr>
        <w:t xml:space="preserve"> P</w:t>
      </w:r>
      <w:r w:rsidRPr="00BD5477">
        <w:rPr>
          <w:rFonts w:ascii="Times New Roman" w:hAnsi="Times New Roman" w:cs="Times New Roman"/>
          <w:sz w:val="24"/>
          <w:szCs w:val="24"/>
        </w:rPr>
        <w:t xml:space="preserve">uò essere altresì indetta quando nello stesso termine </w:t>
      </w:r>
      <w:r>
        <w:rPr>
          <w:rFonts w:ascii="Times New Roman" w:hAnsi="Times New Roman" w:cs="Times New Roman"/>
          <w:sz w:val="24"/>
          <w:szCs w:val="24"/>
        </w:rPr>
        <w:t>vi è stato</w:t>
      </w:r>
      <w:r w:rsidRPr="00BD5477">
        <w:rPr>
          <w:rFonts w:ascii="Times New Roman" w:hAnsi="Times New Roman" w:cs="Times New Roman"/>
          <w:sz w:val="24"/>
          <w:szCs w:val="24"/>
        </w:rPr>
        <w:t xml:space="preserve"> il dissenso di una o più</w:t>
      </w:r>
      <w:r>
        <w:rPr>
          <w:rFonts w:ascii="Times New Roman" w:hAnsi="Times New Roman" w:cs="Times New Roman"/>
          <w:sz w:val="24"/>
          <w:szCs w:val="24"/>
        </w:rPr>
        <w:t xml:space="preserve"> </w:t>
      </w:r>
      <w:r w:rsidRPr="00BD5477">
        <w:rPr>
          <w:rFonts w:ascii="Times New Roman" w:hAnsi="Times New Roman" w:cs="Times New Roman"/>
          <w:sz w:val="24"/>
          <w:szCs w:val="24"/>
        </w:rPr>
        <w:t>amministrazioni interpellate o nei casi in cui è consentito all'amministrazione procedente di</w:t>
      </w:r>
      <w:r>
        <w:rPr>
          <w:rFonts w:ascii="Times New Roman" w:hAnsi="Times New Roman" w:cs="Times New Roman"/>
          <w:sz w:val="24"/>
          <w:szCs w:val="24"/>
        </w:rPr>
        <w:t xml:space="preserve"> </w:t>
      </w:r>
      <w:r w:rsidRPr="00BD5477">
        <w:rPr>
          <w:rFonts w:ascii="Times New Roman" w:hAnsi="Times New Roman" w:cs="Times New Roman"/>
          <w:sz w:val="24"/>
          <w:szCs w:val="24"/>
        </w:rPr>
        <w:t>provvedere direttamente in assenza delle determinazioni delle amministrazioni competenti.</w:t>
      </w:r>
      <w:r>
        <w:rPr>
          <w:rFonts w:ascii="Times New Roman" w:hAnsi="Times New Roman" w:cs="Times New Roman"/>
          <w:sz w:val="24"/>
          <w:szCs w:val="24"/>
        </w:rPr>
        <w:t xml:space="preserve"> Può essere convocata dall’Amministrazione nella figura del RUP oppure da un privato nei casi in cui la sua attività sia subordinata ad atti di assenso di più amministrazioni pubbliche.</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Esistono tre tipi di Conferenze dei servizi: preliminare, istruttoria e decisoria. La conferenza preliminare si può richiedere per progetti di particolare complessità su richiesta dell’interessato,</w:t>
      </w:r>
      <w:r w:rsidRPr="001B0E69">
        <w:t xml:space="preserve"> </w:t>
      </w:r>
      <w:r w:rsidRPr="001B0E69">
        <w:rPr>
          <w:rFonts w:ascii="Times New Roman" w:hAnsi="Times New Roman" w:cs="Times New Roman"/>
          <w:sz w:val="24"/>
          <w:szCs w:val="24"/>
        </w:rPr>
        <w:t>corredata da uno studio di fattibilità</w:t>
      </w:r>
      <w:r>
        <w:rPr>
          <w:rFonts w:ascii="Times New Roman" w:hAnsi="Times New Roman" w:cs="Times New Roman"/>
          <w:sz w:val="24"/>
          <w:szCs w:val="24"/>
        </w:rPr>
        <w:t xml:space="preserve">, ed ha lo scopo di indicare ai richiedenti, prima della presentazione dell’istanza o di un progetto definitivo, le condizioni per ottenere i necessari pareri, intese, autorizzazioni, concerti, nulla osta. </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La conferenza istruttoria si innesta nella fase istruttoria del procedimento amministrativo ed è indetta per effettuare un esame contestuale di più interessi pubblici coinvolti in un procedimento amministrativo o in più procedimenti di fatto coinvolti. Non serve dunque a concertare il contenuto di un provvedimento, ma a porre in evidenza i vari interessi coinvolti. </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 xml:space="preserve">La Conferenza decisoria si innesta nella fase decisoria del procedimento amministrativo. </w:t>
      </w:r>
      <w:r w:rsidRPr="008F4D19">
        <w:rPr>
          <w:rFonts w:ascii="Times New Roman" w:hAnsi="Times New Roman" w:cs="Times New Roman"/>
          <w:sz w:val="24"/>
          <w:szCs w:val="24"/>
        </w:rPr>
        <w:t>Il responsabile del procedimento deve sempre indire la conferenza di servizi decisoria quando per la conclusione del procedimento devono essere acquisiti almeno due pareri, intese, concerti, nulla osta o altri atti di assenso, da parte di diverse amministrazioni, inclusi i gestori di beni o servizi pubblici. Quando l’attività del privato è subordinata a più atti di assenso da adottare a conclusione di distinti procedimenti di competenza di diverse amministrazioni pubbliche, la conferenza è convocata su richiesta dell’interessato, da una delle amministrazioni procedenti (art. 14, comma 2).</w:t>
      </w:r>
    </w:p>
    <w:p w:rsidR="00E76FD9" w:rsidRDefault="00E76FD9" w:rsidP="00E76FD9">
      <w:pPr>
        <w:jc w:val="both"/>
        <w:rPr>
          <w:rFonts w:ascii="Times New Roman" w:hAnsi="Times New Roman" w:cs="Times New Roman"/>
          <w:sz w:val="24"/>
          <w:szCs w:val="24"/>
        </w:rPr>
      </w:pPr>
      <w:r w:rsidRPr="008F4D19">
        <w:rPr>
          <w:rFonts w:ascii="Times New Roman" w:hAnsi="Times New Roman" w:cs="Times New Roman"/>
          <w:sz w:val="24"/>
          <w:szCs w:val="24"/>
        </w:rPr>
        <w:t>La conferenza di servizi si svolge di regola in forma semplificata e in modalità asincrona (senza riunioni</w:t>
      </w:r>
      <w:r>
        <w:rPr>
          <w:rFonts w:ascii="Times New Roman" w:hAnsi="Times New Roman" w:cs="Times New Roman"/>
          <w:sz w:val="24"/>
          <w:szCs w:val="24"/>
        </w:rPr>
        <w:t xml:space="preserve"> e per via telematica</w:t>
      </w:r>
      <w:r w:rsidRPr="008F4D19">
        <w:rPr>
          <w:rFonts w:ascii="Times New Roman" w:hAnsi="Times New Roman" w:cs="Times New Roman"/>
          <w:sz w:val="24"/>
          <w:szCs w:val="24"/>
        </w:rPr>
        <w:t xml:space="preserve">). </w:t>
      </w:r>
      <w:r>
        <w:rPr>
          <w:rFonts w:ascii="Times New Roman" w:hAnsi="Times New Roman" w:cs="Times New Roman"/>
          <w:sz w:val="24"/>
          <w:szCs w:val="24"/>
        </w:rPr>
        <w:t>Invece, l</w:t>
      </w:r>
      <w:r w:rsidRPr="008F4D19">
        <w:rPr>
          <w:rFonts w:ascii="Times New Roman" w:hAnsi="Times New Roman" w:cs="Times New Roman"/>
          <w:sz w:val="24"/>
          <w:szCs w:val="24"/>
        </w:rPr>
        <w:t>a conferenza simultanea (</w:t>
      </w:r>
      <w:r>
        <w:rPr>
          <w:rFonts w:ascii="Times New Roman" w:hAnsi="Times New Roman" w:cs="Times New Roman"/>
          <w:sz w:val="24"/>
          <w:szCs w:val="24"/>
        </w:rPr>
        <w:t xml:space="preserve">quindi </w:t>
      </w:r>
      <w:r w:rsidRPr="008F4D19">
        <w:rPr>
          <w:rFonts w:ascii="Times New Roman" w:hAnsi="Times New Roman" w:cs="Times New Roman"/>
          <w:sz w:val="24"/>
          <w:szCs w:val="24"/>
        </w:rPr>
        <w:t>con la riunione)</w:t>
      </w:r>
      <w:r>
        <w:rPr>
          <w:rFonts w:ascii="Times New Roman" w:hAnsi="Times New Roman" w:cs="Times New Roman"/>
          <w:sz w:val="24"/>
          <w:szCs w:val="24"/>
        </w:rPr>
        <w:t xml:space="preserve"> ha carattere eccezionale ed eventuale ed è </w:t>
      </w:r>
      <w:r w:rsidRPr="008F4D19">
        <w:rPr>
          <w:rFonts w:ascii="Times New Roman" w:hAnsi="Times New Roman" w:cs="Times New Roman"/>
          <w:sz w:val="24"/>
          <w:szCs w:val="24"/>
        </w:rPr>
        <w:t>prevista solo nei seguenti casi:</w:t>
      </w:r>
    </w:p>
    <w:p w:rsidR="00E76FD9" w:rsidRPr="008F4D19" w:rsidRDefault="00E76FD9" w:rsidP="00E76FD9">
      <w:pPr>
        <w:jc w:val="both"/>
        <w:rPr>
          <w:rFonts w:ascii="Times New Roman" w:hAnsi="Times New Roman" w:cs="Times New Roman"/>
          <w:sz w:val="24"/>
          <w:szCs w:val="24"/>
        </w:rPr>
      </w:pPr>
      <w:r w:rsidRPr="008F4D19">
        <w:rPr>
          <w:rFonts w:ascii="Times New Roman" w:hAnsi="Times New Roman" w:cs="Times New Roman"/>
          <w:sz w:val="24"/>
          <w:szCs w:val="24"/>
        </w:rPr>
        <w:t>a)quando nel corso della conferenza semplificata sono stati acquisiti atti di assenso o dissenso che indicano condizioni o prescrizioni che richiedono modifiche sostanziali alla decisione oggetto della conferenza (art.14-bis, comma 5);</w:t>
      </w:r>
    </w:p>
    <w:p w:rsidR="00E76FD9" w:rsidRPr="008F4D19" w:rsidRDefault="00E76FD9" w:rsidP="00E76FD9">
      <w:pPr>
        <w:jc w:val="both"/>
        <w:rPr>
          <w:rFonts w:ascii="Times New Roman" w:hAnsi="Times New Roman" w:cs="Times New Roman"/>
          <w:sz w:val="24"/>
          <w:szCs w:val="24"/>
        </w:rPr>
      </w:pPr>
      <w:r w:rsidRPr="008F4D19">
        <w:rPr>
          <w:rFonts w:ascii="Times New Roman" w:hAnsi="Times New Roman" w:cs="Times New Roman"/>
          <w:sz w:val="24"/>
          <w:szCs w:val="24"/>
        </w:rPr>
        <w:lastRenderedPageBreak/>
        <w:t>b)nei casi di particolare complessità della decisione da assumere, l’amministrazione procedente può indire direttamente la conferenza simultanea o su richiesta motivata di una delle amministrazioni coinvolte o dal privato interessato attraverso una richiesta motivata entro il termine indicato nella indizione per l’integrazione documentale (art.14-bis, comma 7);</w:t>
      </w:r>
    </w:p>
    <w:p w:rsidR="00E76FD9" w:rsidRDefault="00E76FD9" w:rsidP="00E76FD9">
      <w:pPr>
        <w:jc w:val="both"/>
        <w:rPr>
          <w:rFonts w:ascii="Times New Roman" w:hAnsi="Times New Roman" w:cs="Times New Roman"/>
          <w:sz w:val="24"/>
          <w:szCs w:val="24"/>
        </w:rPr>
      </w:pPr>
      <w:r w:rsidRPr="008F4D19">
        <w:rPr>
          <w:rFonts w:ascii="Times New Roman" w:hAnsi="Times New Roman" w:cs="Times New Roman"/>
          <w:sz w:val="24"/>
          <w:szCs w:val="24"/>
        </w:rPr>
        <w:t>c)in caso di progetto sottoposto a valutazione di impatto ambientale (VIA) regionale: in questa ipotesi, tutti gli atti di assenso necessari alla realizzazione del progetto vengono acquisiti in una conferenza di servizi che è convocata direttamente in modalità simultanea (art.14, comma 4)</w:t>
      </w:r>
      <w:r>
        <w:rPr>
          <w:rFonts w:ascii="Times New Roman" w:hAnsi="Times New Roman" w:cs="Times New Roman"/>
          <w:sz w:val="24"/>
          <w:szCs w:val="24"/>
        </w:rPr>
        <w:t>.</w:t>
      </w:r>
    </w:p>
    <w:p w:rsidR="00E76FD9" w:rsidRDefault="00E76FD9" w:rsidP="00E76FD9">
      <w:pPr>
        <w:jc w:val="both"/>
        <w:rPr>
          <w:rFonts w:ascii="Times New Roman" w:hAnsi="Times New Roman" w:cs="Times New Roman"/>
          <w:sz w:val="24"/>
          <w:szCs w:val="24"/>
        </w:rPr>
      </w:pPr>
      <w:r w:rsidRPr="008F4D19">
        <w:rPr>
          <w:rFonts w:ascii="Times New Roman" w:hAnsi="Times New Roman" w:cs="Times New Roman"/>
          <w:sz w:val="24"/>
          <w:szCs w:val="24"/>
        </w:rPr>
        <w:t>Nella conferenza simultanea, la nuova disciplina prevede il rappresentante unico. Ciascun ente o amministrazione convocato alla riunione è rappresentato da un unico soggetto abilitato ad esprimere definitivamente e in modo univoco e vincolante la posizione dell’amministrazione stessa su tutte le decisioni di competenza della conferenza, anche indicando le modifiche progettuali eventualmente necessarie ai fini dell’assenso (art. 14-ter, comma 3)</w:t>
      </w:r>
      <w:r>
        <w:rPr>
          <w:rFonts w:ascii="Times New Roman" w:hAnsi="Times New Roman" w:cs="Times New Roman"/>
          <w:sz w:val="24"/>
          <w:szCs w:val="24"/>
        </w:rPr>
        <w:t xml:space="preserve">. </w:t>
      </w:r>
      <w:r w:rsidRPr="008F4D19">
        <w:rPr>
          <w:rFonts w:ascii="Times New Roman" w:hAnsi="Times New Roman" w:cs="Times New Roman"/>
          <w:sz w:val="24"/>
          <w:szCs w:val="24"/>
        </w:rPr>
        <w:t>Il rappresentante unico delle amministrazioni statali è nominato dal Presidente del Consiglio o, in caso di amministrazioni periferiche, dal Prefetto. Il rappresentante unico può essere nominato anche per determinate materie o</w:t>
      </w:r>
      <w:r>
        <w:rPr>
          <w:rFonts w:ascii="Times New Roman" w:hAnsi="Times New Roman" w:cs="Times New Roman"/>
          <w:sz w:val="24"/>
          <w:szCs w:val="24"/>
        </w:rPr>
        <w:t xml:space="preserve"> per</w:t>
      </w:r>
      <w:r w:rsidRPr="008F4D19">
        <w:rPr>
          <w:rFonts w:ascii="Times New Roman" w:hAnsi="Times New Roman" w:cs="Times New Roman"/>
          <w:sz w:val="24"/>
          <w:szCs w:val="24"/>
        </w:rPr>
        <w:t xml:space="preserve"> periodi di tempo</w:t>
      </w:r>
      <w:r>
        <w:rPr>
          <w:rFonts w:ascii="Times New Roman" w:hAnsi="Times New Roman" w:cs="Times New Roman"/>
          <w:sz w:val="24"/>
          <w:szCs w:val="24"/>
        </w:rPr>
        <w:t>.</w:t>
      </w:r>
    </w:p>
    <w:p w:rsidR="00E76FD9" w:rsidRDefault="00E76FD9" w:rsidP="00E76FD9">
      <w:pPr>
        <w:jc w:val="both"/>
        <w:rPr>
          <w:rFonts w:ascii="Times New Roman" w:hAnsi="Times New Roman" w:cs="Times New Roman"/>
          <w:sz w:val="24"/>
          <w:szCs w:val="24"/>
        </w:rPr>
      </w:pPr>
      <w:r w:rsidRPr="008B7CE5">
        <w:rPr>
          <w:rFonts w:ascii="Times New Roman" w:hAnsi="Times New Roman" w:cs="Times New Roman"/>
          <w:sz w:val="24"/>
          <w:szCs w:val="24"/>
        </w:rPr>
        <w:t xml:space="preserve">I lavori della conferenza simultanea si concludono entro 45 giorni dalla data della prima riunione. In caso di determinazioni complesse ove siano coinvolte amministrazioni preposte alla tutela ambientale, paesaggistico-territoriale, dei beni culturali e della salute dei cittadini, il termine è di 90 giorni </w:t>
      </w:r>
      <w:r>
        <w:rPr>
          <w:rFonts w:ascii="Times New Roman" w:hAnsi="Times New Roman" w:cs="Times New Roman"/>
          <w:sz w:val="24"/>
          <w:szCs w:val="24"/>
        </w:rPr>
        <w:t>d</w:t>
      </w:r>
      <w:r w:rsidRPr="008B7CE5">
        <w:rPr>
          <w:rFonts w:ascii="Times New Roman" w:hAnsi="Times New Roman" w:cs="Times New Roman"/>
          <w:sz w:val="24"/>
          <w:szCs w:val="24"/>
        </w:rPr>
        <w:t>ove disposizione di legge o i regolamenti sui termini non prevedono un termine diverso (art. 14-ter, comma 2).</w:t>
      </w:r>
    </w:p>
    <w:p w:rsidR="00E76FD9" w:rsidRDefault="00E76FD9" w:rsidP="00E76FD9">
      <w:pPr>
        <w:jc w:val="both"/>
        <w:rPr>
          <w:rFonts w:ascii="Times New Roman" w:hAnsi="Times New Roman" w:cs="Times New Roman"/>
          <w:sz w:val="24"/>
          <w:szCs w:val="24"/>
        </w:rPr>
      </w:pPr>
      <w:r>
        <w:rPr>
          <w:rFonts w:ascii="Times New Roman" w:hAnsi="Times New Roman" w:cs="Times New Roman"/>
          <w:sz w:val="24"/>
          <w:szCs w:val="24"/>
        </w:rPr>
        <w:t>La conferenza simultanea si potrà concludere con approvazione unanime e l</w:t>
      </w:r>
      <w:r w:rsidRPr="008B7CE5">
        <w:rPr>
          <w:rFonts w:ascii="Times New Roman" w:hAnsi="Times New Roman" w:cs="Times New Roman"/>
          <w:sz w:val="24"/>
          <w:szCs w:val="24"/>
        </w:rPr>
        <w:t xml:space="preserve">a determinazione </w:t>
      </w:r>
      <w:r>
        <w:rPr>
          <w:rFonts w:ascii="Times New Roman" w:hAnsi="Times New Roman" w:cs="Times New Roman"/>
          <w:sz w:val="24"/>
          <w:szCs w:val="24"/>
        </w:rPr>
        <w:t xml:space="preserve">sarà </w:t>
      </w:r>
      <w:r w:rsidRPr="008B7CE5">
        <w:rPr>
          <w:rFonts w:ascii="Times New Roman" w:hAnsi="Times New Roman" w:cs="Times New Roman"/>
          <w:sz w:val="24"/>
          <w:szCs w:val="24"/>
        </w:rPr>
        <w:t>immediatamente efficace</w:t>
      </w:r>
      <w:r>
        <w:rPr>
          <w:rFonts w:ascii="Times New Roman" w:hAnsi="Times New Roman" w:cs="Times New Roman"/>
          <w:sz w:val="24"/>
          <w:szCs w:val="24"/>
        </w:rPr>
        <w:t xml:space="preserve"> ovvero negativa che comporterà il rigetto della domanda oppure a maggioranza assoluta che comporterà la sospensione dell’efficacia</w:t>
      </w:r>
      <w:r w:rsidRPr="008B7CE5">
        <w:rPr>
          <w:rFonts w:ascii="Times New Roman" w:hAnsi="Times New Roman" w:cs="Times New Roman"/>
          <w:sz w:val="24"/>
          <w:szCs w:val="24"/>
        </w:rPr>
        <w:t xml:space="preserve"> della determinazione quando sono stati espressi dissensi qualificati per il periodo (di 10 giorni dalla sua comunicazione) utile alla presentazione dell’opposizione</w:t>
      </w:r>
      <w:r>
        <w:rPr>
          <w:rFonts w:ascii="Times New Roman" w:hAnsi="Times New Roman" w:cs="Times New Roman"/>
          <w:sz w:val="24"/>
          <w:szCs w:val="24"/>
        </w:rPr>
        <w:t>.</w:t>
      </w:r>
    </w:p>
    <w:p w:rsidR="00E76FD9" w:rsidRPr="008B7CE5" w:rsidRDefault="00E76FD9" w:rsidP="00E76FD9">
      <w:pPr>
        <w:jc w:val="both"/>
        <w:rPr>
          <w:rFonts w:ascii="Times New Roman" w:hAnsi="Times New Roman" w:cs="Times New Roman"/>
          <w:sz w:val="24"/>
          <w:szCs w:val="24"/>
        </w:rPr>
      </w:pPr>
      <w:r w:rsidRPr="008B7CE5">
        <w:rPr>
          <w:rFonts w:ascii="Times New Roman" w:hAnsi="Times New Roman" w:cs="Times New Roman"/>
          <w:sz w:val="24"/>
          <w:szCs w:val="24"/>
        </w:rPr>
        <w:t>La nuova disciplina prevede,</w:t>
      </w:r>
      <w:r>
        <w:rPr>
          <w:rFonts w:ascii="Times New Roman" w:hAnsi="Times New Roman" w:cs="Times New Roman"/>
          <w:sz w:val="24"/>
          <w:szCs w:val="24"/>
        </w:rPr>
        <w:t xml:space="preserve"> </w:t>
      </w:r>
      <w:r w:rsidRPr="008B7CE5">
        <w:rPr>
          <w:rFonts w:ascii="Times New Roman" w:hAnsi="Times New Roman" w:cs="Times New Roman"/>
          <w:sz w:val="24"/>
          <w:szCs w:val="24"/>
        </w:rPr>
        <w:t xml:space="preserve">la possibilità per le amministrazioni preposte alla tutela di interessi sensibili di rimettere, in caso di dissenso, la questione al </w:t>
      </w:r>
      <w:r w:rsidRPr="001B0E69">
        <w:rPr>
          <w:rFonts w:ascii="Times New Roman" w:hAnsi="Times New Roman" w:cs="Times New Roman"/>
          <w:sz w:val="24"/>
          <w:szCs w:val="24"/>
          <w:u w:val="single"/>
        </w:rPr>
        <w:t>Presidente del Consiglio dei Ministri</w:t>
      </w:r>
      <w:r w:rsidRPr="008B7CE5">
        <w:rPr>
          <w:rFonts w:ascii="Times New Roman" w:hAnsi="Times New Roman" w:cs="Times New Roman"/>
          <w:sz w:val="24"/>
          <w:szCs w:val="24"/>
        </w:rPr>
        <w:t>, ma rende molto più stringenti i tempi e prevede che per le amministrazioni statali l’opposizione sia proposta dal Ministro competente. In particolare:</w:t>
      </w:r>
      <w:r>
        <w:rPr>
          <w:rFonts w:ascii="Times New Roman" w:hAnsi="Times New Roman" w:cs="Times New Roman"/>
          <w:sz w:val="24"/>
          <w:szCs w:val="24"/>
        </w:rPr>
        <w:t xml:space="preserve"> </w:t>
      </w:r>
      <w:r w:rsidRPr="008B7CE5">
        <w:rPr>
          <w:rFonts w:ascii="Times New Roman" w:hAnsi="Times New Roman" w:cs="Times New Roman"/>
          <w:sz w:val="24"/>
          <w:szCs w:val="24"/>
        </w:rPr>
        <w:t>entro 10 giorni dalla comunicazione della determinazione conclusiva, le amministrazioni preposte alla tutela ambientale, paesaggistico-territoriale, dei beni culturali o alla tutela della salute e della pubblica incolumità dei cittadini possono proporre opposizione al Presidente del Consiglio dei Ministri, a condizione che abbiano espresso in modo inequivoco il proprio motivato dissenso prima della conclusione dei lavori della conferenza.</w:t>
      </w:r>
      <w:r>
        <w:rPr>
          <w:rFonts w:ascii="Times New Roman" w:hAnsi="Times New Roman" w:cs="Times New Roman"/>
          <w:sz w:val="24"/>
          <w:szCs w:val="24"/>
        </w:rPr>
        <w:t xml:space="preserve"> </w:t>
      </w:r>
      <w:r w:rsidRPr="008B7CE5">
        <w:rPr>
          <w:rFonts w:ascii="Times New Roman" w:hAnsi="Times New Roman" w:cs="Times New Roman"/>
          <w:sz w:val="24"/>
          <w:szCs w:val="24"/>
        </w:rPr>
        <w:t>Possono altresì presentare opposizione le amministrazioni delle regioni o delle province autonome di Trento e di Bolzano, il cui rappresentante, intervenendo in una materia spettante alla rispettiva competenza, abbia manifestato un dissenso motivato in seno alla conferenza (art. 14-quinquies, commi 1 e 2);</w:t>
      </w:r>
    </w:p>
    <w:p w:rsidR="00E76FD9" w:rsidRDefault="00E76FD9" w:rsidP="00E76FD9">
      <w:pPr>
        <w:jc w:val="both"/>
        <w:rPr>
          <w:rFonts w:ascii="Times New Roman" w:hAnsi="Times New Roman" w:cs="Times New Roman"/>
          <w:sz w:val="24"/>
          <w:szCs w:val="24"/>
        </w:rPr>
      </w:pPr>
      <w:r w:rsidRPr="008B7CE5">
        <w:rPr>
          <w:rFonts w:ascii="Times New Roman" w:hAnsi="Times New Roman" w:cs="Times New Roman"/>
          <w:sz w:val="24"/>
          <w:szCs w:val="24"/>
        </w:rPr>
        <w:t>la proposizione dell’opposizione sospende l’efficacia della determinazione motivata di conclusione della conferenza (art. 14-quinquies, comma 3);</w:t>
      </w:r>
      <w:r>
        <w:rPr>
          <w:rFonts w:ascii="Times New Roman" w:hAnsi="Times New Roman" w:cs="Times New Roman"/>
          <w:sz w:val="24"/>
          <w:szCs w:val="24"/>
        </w:rPr>
        <w:t xml:space="preserve"> </w:t>
      </w:r>
      <w:r w:rsidRPr="008B7CE5">
        <w:rPr>
          <w:rFonts w:ascii="Times New Roman" w:hAnsi="Times New Roman" w:cs="Times New Roman"/>
          <w:sz w:val="24"/>
          <w:szCs w:val="24"/>
        </w:rPr>
        <w:t>la Presidenza del Consiglio dei Ministri indice, entro 15 giorni dalla ricezione dell’opposizione, una riunione con le amministrazioni interessate al fine di raggiungere un accordo. Se alla conferenza hanno partecipato amministrazioni delle Regioni e province autonome può essere convocata una successiva riunione entro 15 giorni dalla precedente. Se si trova un accordo viene adottata una nuova determinazione conclusiva della Conferenza (art. 14-quinquies, commi 4,5,6);</w:t>
      </w:r>
      <w:r>
        <w:rPr>
          <w:rFonts w:ascii="Times New Roman" w:hAnsi="Times New Roman" w:cs="Times New Roman"/>
          <w:sz w:val="24"/>
          <w:szCs w:val="24"/>
        </w:rPr>
        <w:t xml:space="preserve"> </w:t>
      </w:r>
      <w:r w:rsidRPr="008B7CE5">
        <w:rPr>
          <w:rFonts w:ascii="Times New Roman" w:hAnsi="Times New Roman" w:cs="Times New Roman"/>
          <w:sz w:val="24"/>
          <w:szCs w:val="24"/>
        </w:rPr>
        <w:t xml:space="preserve">se non è stato raggiunto un accordo, la questione è rimessa al Consiglio dei Ministri, che la pone all’ordine del giorno della prima riunione successiva alla </w:t>
      </w:r>
      <w:r w:rsidRPr="008B7CE5">
        <w:rPr>
          <w:rFonts w:ascii="Times New Roman" w:hAnsi="Times New Roman" w:cs="Times New Roman"/>
          <w:sz w:val="24"/>
          <w:szCs w:val="24"/>
        </w:rPr>
        <w:lastRenderedPageBreak/>
        <w:t>scadenza del termine di 15 giorni dall’ultima riunione. Al Consiglio dei Ministri possono partecipare i presidenti delle Regioni o delle Province autonome. Se il Consiglio, non accoglie l’opposizione, la determinazione conclusiva della Conferenza acquista efficacia (art. 14-quinquies, comma 6).</w:t>
      </w:r>
    </w:p>
    <w:p w:rsidR="00E76FD9" w:rsidRPr="00E76FD9" w:rsidRDefault="00E76FD9" w:rsidP="00E76FD9">
      <w:pPr>
        <w:spacing w:line="360" w:lineRule="auto"/>
        <w:rPr>
          <w:rFonts w:ascii="Arial" w:hAnsi="Arial" w:cs="Arial"/>
          <w:sz w:val="24"/>
          <w:szCs w:val="24"/>
        </w:rPr>
      </w:pPr>
    </w:p>
    <w:p w:rsidR="00E76FD9" w:rsidRPr="00E76FD9" w:rsidRDefault="00E76FD9" w:rsidP="00E76FD9">
      <w:pPr>
        <w:rPr>
          <w:rFonts w:ascii="Arial" w:hAnsi="Arial" w:cs="Arial"/>
          <w:sz w:val="24"/>
          <w:szCs w:val="24"/>
        </w:rPr>
      </w:pPr>
    </w:p>
    <w:p w:rsidR="00E76FD9" w:rsidRPr="00E76FD9" w:rsidRDefault="00E76FD9">
      <w:pPr>
        <w:rPr>
          <w:rFonts w:ascii="Arial" w:hAnsi="Arial" w:cs="Arial"/>
          <w:sz w:val="24"/>
          <w:szCs w:val="24"/>
        </w:rPr>
      </w:pPr>
    </w:p>
    <w:p w:rsidR="00E76FD9" w:rsidRPr="00E76FD9" w:rsidRDefault="00E76FD9">
      <w:pPr>
        <w:rPr>
          <w:rFonts w:ascii="Arial" w:hAnsi="Arial" w:cs="Arial"/>
          <w:sz w:val="24"/>
          <w:szCs w:val="24"/>
        </w:rPr>
      </w:pPr>
    </w:p>
    <w:sectPr w:rsidR="00E76FD9" w:rsidRPr="00E76FD9" w:rsidSect="00354EB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Open Sans">
    <w:altName w:val="Segoe UI"/>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511B48"/>
    <w:multiLevelType w:val="hybridMultilevel"/>
    <w:tmpl w:val="136A2820"/>
    <w:lvl w:ilvl="0" w:tplc="677C8B28">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A9B47E0"/>
    <w:multiLevelType w:val="hybridMultilevel"/>
    <w:tmpl w:val="A9DAA9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32D11FE"/>
    <w:multiLevelType w:val="hybridMultilevel"/>
    <w:tmpl w:val="01A67CC4"/>
    <w:lvl w:ilvl="0" w:tplc="9DCC1DB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3124051"/>
    <w:multiLevelType w:val="hybridMultilevel"/>
    <w:tmpl w:val="F95AB706"/>
    <w:lvl w:ilvl="0" w:tplc="2EAA9F8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defaultTabStop w:val="708"/>
  <w:hyphenationZone w:val="283"/>
  <w:characterSpacingControl w:val="doNotCompress"/>
  <w:compat/>
  <w:rsids>
    <w:rsidRoot w:val="00E76FD9"/>
    <w:rsid w:val="00354EB5"/>
    <w:rsid w:val="00E76FD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76FD9"/>
    <w:pPr>
      <w:spacing w:after="160"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76FD9"/>
    <w:pPr>
      <w:spacing w:line="259" w:lineRule="auto"/>
      <w:ind w:left="720"/>
      <w:contextualSpacing/>
    </w:pPr>
  </w:style>
</w:styles>
</file>

<file path=word/webSettings.xml><?xml version="1.0" encoding="utf-8"?>
<w:webSettings xmlns:r="http://schemas.openxmlformats.org/officeDocument/2006/relationships" xmlns:w="http://schemas.openxmlformats.org/wordprocessingml/2006/main">
  <w:divs>
    <w:div w:id="105712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5384</Words>
  <Characters>30689</Characters>
  <Application>Microsoft Office Word</Application>
  <DocSecurity>0</DocSecurity>
  <Lines>255</Lines>
  <Paragraphs>72</Paragraphs>
  <ScaleCrop>false</ScaleCrop>
  <Company/>
  <LinksUpToDate>false</LinksUpToDate>
  <CharactersWithSpaces>36001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2020-10-08T13:20:00Z</dcterms:created>
  <dcterms:modified xsi:type="dcterms:W3CDTF">2020-10-08T13:27:00Z</dcterms:modified>
</cp:coreProperties>
</file>